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1540" w:right="1260" w:hanging="328"/>
        <w:spacing w:after="0" w:line="250" w:lineRule="auto"/>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83" w:lineRule="exact"/>
        <w:rPr>
          <w:sz w:val="24"/>
          <w:szCs w:val="24"/>
          <w:color w:val="auto"/>
        </w:rPr>
      </w:pPr>
    </w:p>
    <w:p>
      <w:pPr>
        <w:ind w:left="1540" w:right="1240" w:hanging="328"/>
        <w:spacing w:after="0" w:line="250" w:lineRule="auto"/>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2"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001-39888</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Affirm Holdings,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790"/>
              <w:spacing w:after="0"/>
              <w:rPr>
                <w:sz w:val="20"/>
                <w:szCs w:val="20"/>
                <w:color w:val="auto"/>
              </w:rPr>
            </w:pPr>
            <w:r>
              <w:rPr>
                <w:rFonts w:ascii="Arial" w:cs="Arial" w:eastAsia="Arial" w:hAnsi="Arial"/>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320" w:type="dxa"/>
            <w:vAlign w:val="bottom"/>
          </w:tcPr>
          <w:p>
            <w:pPr>
              <w:jc w:val="center"/>
              <w:ind w:left="610"/>
              <w:spacing w:after="0" w:line="202"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organization)</w:t>
            </w:r>
          </w:p>
        </w:tc>
        <w:tc>
          <w:tcPr>
            <w:tcW w:w="3320" w:type="dxa"/>
            <w:vAlign w:val="bottom"/>
          </w:tcPr>
          <w:p>
            <w:pPr>
              <w:spacing w:after="0"/>
              <w:rPr>
                <w:sz w:val="20"/>
                <w:szCs w:val="20"/>
                <w:color w:val="auto"/>
              </w:rPr>
            </w:pPr>
          </w:p>
        </w:tc>
      </w:tr>
      <w:tr>
        <w:trPr>
          <w:trHeight w:val="310"/>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650 California Street</w:t>
            </w:r>
          </w:p>
        </w:tc>
        <w:tc>
          <w:tcPr>
            <w:tcW w:w="3320" w:type="dxa"/>
            <w:vAlign w:val="bottom"/>
          </w:tcPr>
          <w:p>
            <w:pPr>
              <w:spacing w:after="0"/>
              <w:rPr>
                <w:sz w:val="24"/>
                <w:szCs w:val="24"/>
                <w:color w:val="auto"/>
              </w:rPr>
            </w:pPr>
          </w:p>
        </w:tc>
      </w:tr>
      <w:tr>
        <w:trPr>
          <w:trHeight w:val="283"/>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San Francisco, California</w:t>
            </w:r>
          </w:p>
        </w:tc>
        <w:tc>
          <w:tcPr>
            <w:tcW w:w="3320" w:type="dxa"/>
            <w:vAlign w:val="bottom"/>
          </w:tcPr>
          <w:p>
            <w:pPr>
              <w:jc w:val="right"/>
              <w:ind w:right="990"/>
              <w:spacing w:after="0"/>
              <w:rPr>
                <w:sz w:val="20"/>
                <w:szCs w:val="20"/>
                <w:color w:val="auto"/>
              </w:rPr>
            </w:pPr>
            <w:r>
              <w:rPr>
                <w:rFonts w:ascii="Arial" w:cs="Arial" w:eastAsia="Arial" w:hAnsi="Arial"/>
                <w:sz w:val="18"/>
                <w:szCs w:val="18"/>
                <w:b w:val="1"/>
                <w:bCs w:val="1"/>
                <w:color w:val="auto"/>
              </w:rPr>
              <w:t>94108</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320" w:type="dxa"/>
            <w:vAlign w:val="bottom"/>
          </w:tcPr>
          <w:p>
            <w:pPr>
              <w:jc w:val="center"/>
              <w:ind w:left="61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984-0490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w w:val="97"/>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Class A common stock, par value $0.00001 per share</w:t>
            </w: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color w:val="auto"/>
              </w:rPr>
              <w:t>AFRM</w:t>
            </w:r>
          </w:p>
        </w:tc>
        <w:tc>
          <w:tcPr>
            <w:tcW w:w="42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47" w:lineRule="exact"/>
        <w:rPr>
          <w:sz w:val="24"/>
          <w:szCs w:val="24"/>
          <w:color w:val="auto"/>
        </w:rPr>
      </w:pPr>
    </w:p>
    <w:p>
      <w:pPr>
        <w:jc w:val="both"/>
        <w:spacing w:after="0" w:line="30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0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25" w:lineRule="exact"/>
        <w:rPr>
          <w:sz w:val="24"/>
          <w:szCs w:val="24"/>
          <w:color w:val="auto"/>
        </w:rPr>
      </w:pPr>
    </w:p>
    <w:p>
      <w:pPr>
        <w:ind w:right="40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9" w:lineRule="exact"/>
        <w:rPr>
          <w:sz w:val="24"/>
          <w:szCs w:val="24"/>
          <w:color w:val="auto"/>
        </w:rPr>
      </w:pPr>
    </w:p>
    <w:p>
      <w:pPr>
        <w:jc w:val="both"/>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Arial" w:cs="Arial" w:eastAsia="Arial" w:hAnsi="Arial"/>
                <w:sz w:val="16"/>
                <w:szCs w:val="16"/>
                <w:color w:val="auto"/>
                <w:w w:val="90"/>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Arial" w:cs="Arial" w:eastAsia="Arial" w:hAnsi="Arial"/>
                <w:sz w:val="16"/>
                <w:szCs w:val="16"/>
                <w:color w:val="auto"/>
                <w:w w:val="97"/>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0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02"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5"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2" w:lineRule="exact"/>
        <w:rPr>
          <w:sz w:val="24"/>
          <w:szCs w:val="24"/>
          <w:color w:val="auto"/>
        </w:rPr>
      </w:pPr>
    </w:p>
    <w:p>
      <w:pPr>
        <w:ind w:right="540"/>
        <w:spacing w:after="0" w:line="346" w:lineRule="auto"/>
        <w:rPr>
          <w:sz w:val="20"/>
          <w:szCs w:val="20"/>
          <w:color w:val="auto"/>
        </w:rPr>
      </w:pPr>
      <w:r>
        <w:rPr>
          <w:rFonts w:ascii="Arial" w:cs="Arial" w:eastAsia="Arial" w:hAnsi="Arial"/>
          <w:sz w:val="16"/>
          <w:szCs w:val="16"/>
          <w:color w:val="auto"/>
        </w:rPr>
        <w:t>As of May 5, 2023, the number of shares of the registrant’s Class A common stock outstanding was 235,833,709 and the number of shares of the registrant’s Class B common stock outstanding was 59,851,818.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40" w:type="dxa"/>
            <w:vAlign w:val="bottom"/>
            <w:gridSpan w:val="12"/>
          </w:tcPr>
          <w:p>
            <w:pPr>
              <w:ind w:left="68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80"/>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136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0000FF"/>
            </w:tcBorders>
            <w:gridSpan w:val="3"/>
            <w:shd w:val="clear" w:color="auto" w:fill="CCEEFF"/>
          </w:tcPr>
          <w:p>
            <w:pPr>
              <w:spacing w:after="0" w:line="182" w:lineRule="exact"/>
              <w:rPr>
                <w:sz w:val="20"/>
                <w:szCs w:val="20"/>
                <w:color w:val="auto"/>
              </w:rPr>
            </w:pPr>
            <w:r>
              <w:rPr>
                <w:rFonts w:ascii="Arial" w:cs="Arial" w:eastAsia="Arial" w:hAnsi="Arial"/>
                <w:sz w:val="18"/>
                <w:szCs w:val="18"/>
                <w:color w:val="0000FF"/>
                <w:w w:val="91"/>
              </w:rPr>
              <w:t>Cover</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right"/>
              <w:spacing w:after="0" w:line="182" w:lineRule="exact"/>
              <w:rPr>
                <w:sz w:val="20"/>
                <w:szCs w:val="20"/>
                <w:color w:val="auto"/>
              </w:rPr>
            </w:pPr>
            <w:r>
              <w:rPr>
                <w:rFonts w:ascii="Arial" w:cs="Arial" w:eastAsia="Arial" w:hAnsi="Arial"/>
                <w:sz w:val="18"/>
                <w:szCs w:val="18"/>
                <w:color w:val="0000FF"/>
                <w:w w:val="79"/>
              </w:rPr>
              <w:t>1</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0300" w:type="dxa"/>
            <w:vAlign w:val="bottom"/>
            <w:gridSpan w:val="45"/>
          </w:tcPr>
          <w:p>
            <w:pPr>
              <w:spacing w:after="0" w:line="189" w:lineRule="exact"/>
              <w:rPr>
                <w:sz w:val="20"/>
                <w:szCs w:val="20"/>
                <w:color w:val="auto"/>
              </w:rPr>
            </w:pPr>
            <w:r>
              <w:rPr>
                <w:rFonts w:ascii="Arial" w:cs="Arial" w:eastAsia="Arial" w:hAnsi="Arial"/>
                <w:sz w:val="18"/>
                <w:szCs w:val="18"/>
                <w:color w:val="0000FF"/>
              </w:rPr>
              <w:t>Table of Contents</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00" w:type="dxa"/>
            <w:vAlign w:val="bottom"/>
            <w:gridSpan w:val="45"/>
            <w:shd w:val="clear" w:color="auto" w:fill="CCEEFF"/>
          </w:tcPr>
          <w:p>
            <w:pPr>
              <w:spacing w:after="0" w:line="189" w:lineRule="exact"/>
              <w:rPr>
                <w:sz w:val="20"/>
                <w:szCs w:val="20"/>
                <w:color w:val="auto"/>
              </w:rPr>
            </w:pPr>
            <w:r>
              <w:rPr>
                <w:rFonts w:ascii="Arial" w:cs="Arial" w:eastAsia="Arial" w:hAnsi="Arial"/>
                <w:sz w:val="18"/>
                <w:szCs w:val="18"/>
                <w:color w:val="0000FF"/>
              </w:rPr>
              <w:t>Part I - Financial Information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44"/>
          </w:tcPr>
          <w:p>
            <w:pPr>
              <w:spacing w:after="0" w:line="189" w:lineRule="exact"/>
              <w:rPr>
                <w:sz w:val="20"/>
                <w:szCs w:val="20"/>
                <w:color w:val="auto"/>
              </w:rPr>
            </w:pPr>
            <w:r>
              <w:rPr>
                <w:rFonts w:ascii="Arial" w:cs="Arial" w:eastAsia="Arial" w:hAnsi="Arial"/>
                <w:sz w:val="18"/>
                <w:szCs w:val="18"/>
                <w:color w:val="0000FF"/>
              </w:rPr>
              <w:t>Item 1. Unaudited Financial Statements</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20" w:type="dxa"/>
            <w:vAlign w:val="bottom"/>
            <w:tcBorders>
              <w:bottom w:val="single" w:sz="8" w:color="0000FF"/>
            </w:tcBorders>
            <w:gridSpan w:val="36"/>
            <w:shd w:val="clear" w:color="auto" w:fill="CCEEFF"/>
          </w:tcPr>
          <w:p>
            <w:pPr>
              <w:spacing w:after="0" w:line="189" w:lineRule="exact"/>
              <w:rPr>
                <w:sz w:val="20"/>
                <w:szCs w:val="20"/>
                <w:color w:val="auto"/>
              </w:rPr>
            </w:pPr>
            <w:r>
              <w:rPr>
                <w:rFonts w:ascii="Arial" w:cs="Arial" w:eastAsia="Arial" w:hAnsi="Arial"/>
                <w:sz w:val="18"/>
                <w:szCs w:val="18"/>
                <w:color w:val="0000FF"/>
                <w:w w:val="94"/>
              </w:rPr>
              <w:t>CONDENSED CONSOLIDATED BALANCE SHEETS (Unaudited)</w:t>
            </w:r>
          </w:p>
        </w:tc>
        <w:tc>
          <w:tcPr>
            <w:tcW w:w="4840" w:type="dxa"/>
            <w:vAlign w:val="bottom"/>
            <w:tcBorders>
              <w:bottom w:val="single" w:sz="8" w:color="CCEEFF"/>
            </w:tcBorders>
            <w:gridSpan w:val="7"/>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43"/>
          </w:tcPr>
          <w:p>
            <w:pPr>
              <w:spacing w:after="0" w:line="189" w:lineRule="exact"/>
              <w:rPr>
                <w:sz w:val="20"/>
                <w:szCs w:val="20"/>
                <w:color w:val="auto"/>
              </w:rPr>
            </w:pPr>
            <w:r>
              <w:rPr>
                <w:rFonts w:ascii="Arial" w:cs="Arial" w:eastAsia="Arial" w:hAnsi="Arial"/>
                <w:sz w:val="18"/>
                <w:szCs w:val="18"/>
                <w:color w:val="0000FF"/>
              </w:rPr>
              <w:t>CONDENSED CONSOLIDATED BALANCE SHEETS, CONT. (Unaudited)</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FF"/>
            </w:tcBorders>
            <w:gridSpan w:val="42"/>
            <w:shd w:val="clear" w:color="auto" w:fill="CCEEFF"/>
          </w:tcPr>
          <w:p>
            <w:pPr>
              <w:spacing w:after="0" w:line="189" w:lineRule="exact"/>
              <w:rPr>
                <w:sz w:val="20"/>
                <w:szCs w:val="20"/>
                <w:color w:val="auto"/>
              </w:rPr>
            </w:pPr>
            <w:r>
              <w:rPr>
                <w:rFonts w:ascii="Arial" w:cs="Arial" w:eastAsia="Arial" w:hAnsi="Arial"/>
                <w:sz w:val="18"/>
                <w:szCs w:val="18"/>
                <w:color w:val="0000FF"/>
                <w:w w:val="94"/>
              </w:rPr>
              <w:t>CONDENSED CONSOLIDATED STATEMENTS OF OPERATIONS AND COMPREHENSIVE LOSS (Unaudited)</w:t>
            </w:r>
          </w:p>
        </w:tc>
        <w:tc>
          <w:tcPr>
            <w:tcW w:w="1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43"/>
          </w:tcPr>
          <w:p>
            <w:pPr>
              <w:spacing w:after="0" w:line="189" w:lineRule="exact"/>
              <w:rPr>
                <w:sz w:val="20"/>
                <w:szCs w:val="20"/>
                <w:color w:val="auto"/>
              </w:rPr>
            </w:pPr>
            <w:r>
              <w:rPr>
                <w:rFonts w:ascii="Arial" w:cs="Arial" w:eastAsia="Arial" w:hAnsi="Arial"/>
                <w:sz w:val="18"/>
                <w:szCs w:val="18"/>
                <w:color w:val="0000FF"/>
              </w:rPr>
              <w:t>CONDENSED CONSOLIDATED STATEMENT OF STOCKHOLDERS’ EQUITY (Unaudited)</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60" w:type="dxa"/>
            <w:vAlign w:val="bottom"/>
            <w:gridSpan w:val="38"/>
            <w:shd w:val="clear" w:color="auto" w:fill="CCEEFF"/>
          </w:tcPr>
          <w:p>
            <w:pPr>
              <w:spacing w:after="0" w:line="189" w:lineRule="exact"/>
              <w:rPr>
                <w:sz w:val="20"/>
                <w:szCs w:val="20"/>
                <w:color w:val="auto"/>
              </w:rPr>
            </w:pPr>
            <w:r>
              <w:rPr>
                <w:rFonts w:ascii="Arial" w:cs="Arial" w:eastAsia="Arial" w:hAnsi="Arial"/>
                <w:sz w:val="18"/>
                <w:szCs w:val="18"/>
                <w:color w:val="0000FF"/>
                <w:w w:val="94"/>
              </w:rPr>
              <w:t>CONDENSED CONSOLIDATED STATEMENTS OF CASH FLOWS (Unaudited)</w:t>
            </w:r>
          </w:p>
        </w:tc>
        <w:tc>
          <w:tcPr>
            <w:tcW w:w="3800" w:type="dxa"/>
            <w:vAlign w:val="bottom"/>
            <w:gridSpan w:val="5"/>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10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43"/>
          </w:tcPr>
          <w:p>
            <w:pPr>
              <w:spacing w:after="0" w:line="189" w:lineRule="exact"/>
              <w:rPr>
                <w:sz w:val="20"/>
                <w:szCs w:val="20"/>
                <w:color w:val="auto"/>
              </w:rPr>
            </w:pPr>
            <w:r>
              <w:rPr>
                <w:rFonts w:ascii="Arial" w:cs="Arial" w:eastAsia="Arial" w:hAnsi="Arial"/>
                <w:sz w:val="18"/>
                <w:szCs w:val="18"/>
                <w:color w:val="0000FF"/>
              </w:rPr>
              <w:t>CONDENSED CONSOLIDATED STATEMENTS OF CASH FLOWS, CONT. (Unaudited)</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6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1. Business Description</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43"/>
          </w:tcPr>
          <w:p>
            <w:pPr>
              <w:spacing w:after="0" w:line="189" w:lineRule="exact"/>
              <w:rPr>
                <w:sz w:val="20"/>
                <w:szCs w:val="20"/>
                <w:color w:val="auto"/>
              </w:rPr>
            </w:pPr>
            <w:r>
              <w:rPr>
                <w:rFonts w:ascii="Arial" w:cs="Arial" w:eastAsia="Arial" w:hAnsi="Arial"/>
                <w:sz w:val="18"/>
                <w:szCs w:val="18"/>
                <w:color w:val="0000FF"/>
              </w:rPr>
              <w:t>2. Summary of Significant Accounting Policies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6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3. Revenue</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14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43"/>
          </w:tcPr>
          <w:p>
            <w:pPr>
              <w:spacing w:after="0" w:line="189" w:lineRule="exact"/>
              <w:rPr>
                <w:sz w:val="20"/>
                <w:szCs w:val="20"/>
                <w:color w:val="auto"/>
              </w:rPr>
            </w:pPr>
            <w:r>
              <w:rPr>
                <w:rFonts w:ascii="Arial" w:cs="Arial" w:eastAsia="Arial" w:hAnsi="Arial"/>
                <w:sz w:val="18"/>
                <w:szCs w:val="18"/>
                <w:color w:val="0000FF"/>
              </w:rPr>
              <w:t>4. Loans Held for Investment and Allowance for Credit Losses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16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6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5. Acquisitions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18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43"/>
          </w:tcPr>
          <w:p>
            <w:pPr>
              <w:spacing w:after="0" w:line="189" w:lineRule="exact"/>
              <w:rPr>
                <w:sz w:val="20"/>
                <w:szCs w:val="20"/>
                <w:color w:val="auto"/>
              </w:rPr>
            </w:pPr>
            <w:r>
              <w:rPr>
                <w:rFonts w:ascii="Arial" w:cs="Arial" w:eastAsia="Arial" w:hAnsi="Arial"/>
                <w:sz w:val="18"/>
                <w:szCs w:val="18"/>
                <w:color w:val="0000FF"/>
              </w:rPr>
              <w:t>6. Balance Sheet Components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6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7. Leases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25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60" w:type="dxa"/>
            <w:vAlign w:val="bottom"/>
            <w:gridSpan w:val="43"/>
          </w:tcPr>
          <w:p>
            <w:pPr>
              <w:spacing w:after="0" w:line="189" w:lineRule="exact"/>
              <w:rPr>
                <w:sz w:val="20"/>
                <w:szCs w:val="20"/>
                <w:color w:val="auto"/>
              </w:rPr>
            </w:pPr>
            <w:r>
              <w:rPr>
                <w:rFonts w:ascii="Arial" w:cs="Arial" w:eastAsia="Arial" w:hAnsi="Arial"/>
                <w:sz w:val="18"/>
                <w:szCs w:val="18"/>
                <w:color w:val="0000FF"/>
              </w:rPr>
              <w:t>8. Commitments and Contingencies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6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9. Transactions with Related Parties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27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Arial" w:cs="Arial" w:eastAsia="Arial" w:hAnsi="Arial"/>
                <w:sz w:val="18"/>
                <w:szCs w:val="18"/>
                <w:color w:val="0000FF"/>
                <w:w w:val="87"/>
              </w:rPr>
              <w:t>10.</w:t>
            </w:r>
          </w:p>
        </w:tc>
        <w:tc>
          <w:tcPr>
            <w:tcW w:w="9620" w:type="dxa"/>
            <w:vAlign w:val="bottom"/>
            <w:gridSpan w:val="41"/>
          </w:tcPr>
          <w:p>
            <w:pPr>
              <w:ind w:left="20"/>
              <w:spacing w:after="0" w:line="189" w:lineRule="exact"/>
              <w:rPr>
                <w:sz w:val="20"/>
                <w:szCs w:val="20"/>
                <w:color w:val="auto"/>
              </w:rPr>
            </w:pPr>
            <w:r>
              <w:rPr>
                <w:rFonts w:ascii="Arial" w:cs="Arial" w:eastAsia="Arial" w:hAnsi="Arial"/>
                <w:sz w:val="18"/>
                <w:szCs w:val="18"/>
                <w:color w:val="0000FF"/>
              </w:rPr>
              <w:t>Debt</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6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11. Securitization and Variable Interest Entities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31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Arial" w:cs="Arial" w:eastAsia="Arial" w:hAnsi="Arial"/>
                <w:sz w:val="18"/>
                <w:szCs w:val="18"/>
                <w:color w:val="0000FF"/>
                <w:w w:val="87"/>
              </w:rPr>
              <w:t>12.</w:t>
            </w:r>
          </w:p>
        </w:tc>
        <w:tc>
          <w:tcPr>
            <w:tcW w:w="9620" w:type="dxa"/>
            <w:vAlign w:val="bottom"/>
            <w:gridSpan w:val="41"/>
          </w:tcPr>
          <w:p>
            <w:pPr>
              <w:ind w:left="80"/>
              <w:spacing w:after="0" w:line="189" w:lineRule="exact"/>
              <w:rPr>
                <w:sz w:val="20"/>
                <w:szCs w:val="20"/>
                <w:color w:val="auto"/>
              </w:rPr>
            </w:pPr>
            <w:r>
              <w:rPr>
                <w:rFonts w:ascii="Arial" w:cs="Arial" w:eastAsia="Arial" w:hAnsi="Arial"/>
                <w:sz w:val="18"/>
                <w:szCs w:val="18"/>
                <w:color w:val="0000FF"/>
              </w:rPr>
              <w:t>Investments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33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sz w:val="20"/>
                <w:szCs w:val="20"/>
                <w:color w:val="auto"/>
              </w:rPr>
            </w:pPr>
            <w:r>
              <w:rPr>
                <w:rFonts w:ascii="Arial" w:cs="Arial" w:eastAsia="Arial" w:hAnsi="Arial"/>
                <w:sz w:val="18"/>
                <w:szCs w:val="18"/>
                <w:color w:val="0000FF"/>
                <w:w w:val="87"/>
              </w:rPr>
              <w:t>13.</w:t>
            </w:r>
          </w:p>
        </w:tc>
        <w:tc>
          <w:tcPr>
            <w:tcW w:w="9620" w:type="dxa"/>
            <w:vAlign w:val="bottom"/>
            <w:gridSpan w:val="41"/>
            <w:shd w:val="clear" w:color="auto" w:fill="CCEEFF"/>
          </w:tcPr>
          <w:p>
            <w:pPr>
              <w:ind w:left="80"/>
              <w:spacing w:after="0" w:line="189" w:lineRule="exact"/>
              <w:rPr>
                <w:sz w:val="20"/>
                <w:szCs w:val="20"/>
                <w:color w:val="auto"/>
              </w:rPr>
            </w:pPr>
            <w:r>
              <w:rPr>
                <w:rFonts w:ascii="Arial" w:cs="Arial" w:eastAsia="Arial" w:hAnsi="Arial"/>
                <w:sz w:val="18"/>
                <w:szCs w:val="18"/>
                <w:color w:val="0000FF"/>
              </w:rPr>
              <w:t>Derivative Financial Instruments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37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Arial" w:cs="Arial" w:eastAsia="Arial" w:hAnsi="Arial"/>
                <w:sz w:val="18"/>
                <w:szCs w:val="18"/>
                <w:color w:val="0000FF"/>
                <w:w w:val="87"/>
              </w:rPr>
              <w:t>14.</w:t>
            </w:r>
          </w:p>
        </w:tc>
        <w:tc>
          <w:tcPr>
            <w:tcW w:w="9620" w:type="dxa"/>
            <w:vAlign w:val="bottom"/>
            <w:gridSpan w:val="41"/>
          </w:tcPr>
          <w:p>
            <w:pPr>
              <w:ind w:left="20"/>
              <w:spacing w:after="0" w:line="189" w:lineRule="exact"/>
              <w:rPr>
                <w:sz w:val="20"/>
                <w:szCs w:val="20"/>
                <w:color w:val="auto"/>
              </w:rPr>
            </w:pPr>
            <w:r>
              <w:rPr>
                <w:rFonts w:ascii="Arial" w:cs="Arial" w:eastAsia="Arial" w:hAnsi="Arial"/>
                <w:sz w:val="18"/>
                <w:szCs w:val="18"/>
                <w:color w:val="0000FF"/>
              </w:rPr>
              <w:t>Fair Value of Financial Assets and Liabilities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39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sz w:val="20"/>
                <w:szCs w:val="20"/>
                <w:color w:val="auto"/>
              </w:rPr>
            </w:pPr>
            <w:r>
              <w:rPr>
                <w:rFonts w:ascii="Arial" w:cs="Arial" w:eastAsia="Arial" w:hAnsi="Arial"/>
                <w:sz w:val="18"/>
                <w:szCs w:val="18"/>
                <w:color w:val="0000FF"/>
                <w:w w:val="87"/>
              </w:rPr>
              <w:t>15.</w:t>
            </w:r>
          </w:p>
        </w:tc>
        <w:tc>
          <w:tcPr>
            <w:tcW w:w="9620" w:type="dxa"/>
            <w:vAlign w:val="bottom"/>
            <w:gridSpan w:val="41"/>
            <w:shd w:val="clear" w:color="auto" w:fill="CCEEFF"/>
          </w:tcPr>
          <w:p>
            <w:pPr>
              <w:ind w:left="20"/>
              <w:spacing w:after="0" w:line="189" w:lineRule="exact"/>
              <w:rPr>
                <w:sz w:val="20"/>
                <w:szCs w:val="20"/>
                <w:color w:val="auto"/>
              </w:rPr>
            </w:pPr>
            <w:r>
              <w:rPr>
                <w:rFonts w:ascii="Arial" w:cs="Arial" w:eastAsia="Arial" w:hAnsi="Arial"/>
                <w:sz w:val="18"/>
                <w:szCs w:val="18"/>
                <w:color w:val="0000FF"/>
              </w:rPr>
              <w:t>Stockholders</w:t>
            </w:r>
            <w:r>
              <w:rPr>
                <w:rFonts w:ascii="Arial" w:cs="Arial" w:eastAsia="Arial" w:hAnsi="Arial"/>
                <w:sz w:val="18"/>
                <w:szCs w:val="18"/>
                <w:u w:val="single" w:color="auto"/>
                <w:color w:val="000000"/>
                <w:highlight w:val="white"/>
              </w:rPr>
              <w:t>’</w:t>
            </w:r>
            <w:r>
              <w:rPr>
                <w:rFonts w:ascii="Arial" w:cs="Arial" w:eastAsia="Arial" w:hAnsi="Arial"/>
                <w:sz w:val="18"/>
                <w:szCs w:val="18"/>
                <w:color w:val="0000FF"/>
              </w:rPr>
              <w:t xml:space="preserve"> Equity</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49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Arial" w:cs="Arial" w:eastAsia="Arial" w:hAnsi="Arial"/>
                <w:sz w:val="18"/>
                <w:szCs w:val="18"/>
                <w:color w:val="0000FF"/>
                <w:w w:val="87"/>
              </w:rPr>
              <w:t>16.</w:t>
            </w:r>
          </w:p>
        </w:tc>
        <w:tc>
          <w:tcPr>
            <w:tcW w:w="9620" w:type="dxa"/>
            <w:vAlign w:val="bottom"/>
            <w:gridSpan w:val="41"/>
          </w:tcPr>
          <w:p>
            <w:pPr>
              <w:ind w:left="20"/>
              <w:spacing w:after="0" w:line="189" w:lineRule="exact"/>
              <w:rPr>
                <w:sz w:val="20"/>
                <w:szCs w:val="20"/>
                <w:color w:val="auto"/>
              </w:rPr>
            </w:pPr>
            <w:r>
              <w:rPr>
                <w:rFonts w:ascii="Arial" w:cs="Arial" w:eastAsia="Arial" w:hAnsi="Arial"/>
                <w:sz w:val="18"/>
                <w:szCs w:val="18"/>
                <w:color w:val="0000FF"/>
              </w:rPr>
              <w:t>Equity Incentive Plans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50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sz w:val="20"/>
                <w:szCs w:val="20"/>
                <w:color w:val="auto"/>
              </w:rPr>
            </w:pPr>
            <w:r>
              <w:rPr>
                <w:rFonts w:ascii="Arial" w:cs="Arial" w:eastAsia="Arial" w:hAnsi="Arial"/>
                <w:sz w:val="18"/>
                <w:szCs w:val="18"/>
                <w:color w:val="0000FF"/>
                <w:w w:val="87"/>
              </w:rPr>
              <w:t>17.</w:t>
            </w:r>
          </w:p>
        </w:tc>
        <w:tc>
          <w:tcPr>
            <w:tcW w:w="9620" w:type="dxa"/>
            <w:vAlign w:val="bottom"/>
            <w:gridSpan w:val="41"/>
            <w:shd w:val="clear" w:color="auto" w:fill="CCEEFF"/>
          </w:tcPr>
          <w:p>
            <w:pPr>
              <w:ind w:left="20"/>
              <w:spacing w:after="0" w:line="189" w:lineRule="exact"/>
              <w:rPr>
                <w:sz w:val="20"/>
                <w:szCs w:val="20"/>
                <w:color w:val="auto"/>
              </w:rPr>
            </w:pPr>
            <w:r>
              <w:rPr>
                <w:rFonts w:ascii="Arial" w:cs="Arial" w:eastAsia="Arial" w:hAnsi="Arial"/>
                <w:sz w:val="18"/>
                <w:szCs w:val="18"/>
                <w:color w:val="0000FF"/>
              </w:rPr>
              <w:t>Restructuring</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53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Arial" w:cs="Arial" w:eastAsia="Arial" w:hAnsi="Arial"/>
                <w:sz w:val="18"/>
                <w:szCs w:val="18"/>
                <w:color w:val="0000FF"/>
                <w:w w:val="87"/>
              </w:rPr>
              <w:t>18.</w:t>
            </w:r>
          </w:p>
        </w:tc>
        <w:tc>
          <w:tcPr>
            <w:tcW w:w="9620" w:type="dxa"/>
            <w:vAlign w:val="bottom"/>
            <w:gridSpan w:val="41"/>
          </w:tcPr>
          <w:p>
            <w:pPr>
              <w:ind w:left="20"/>
              <w:spacing w:after="0" w:line="189" w:lineRule="exact"/>
              <w:rPr>
                <w:sz w:val="20"/>
                <w:szCs w:val="20"/>
                <w:color w:val="auto"/>
              </w:rPr>
            </w:pPr>
            <w:r>
              <w:rPr>
                <w:rFonts w:ascii="Arial" w:cs="Arial" w:eastAsia="Arial" w:hAnsi="Arial"/>
                <w:sz w:val="18"/>
                <w:szCs w:val="18"/>
                <w:color w:val="0000FF"/>
              </w:rPr>
              <w:t>Income Taxes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54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sz w:val="20"/>
                <w:szCs w:val="20"/>
                <w:color w:val="auto"/>
              </w:rPr>
            </w:pPr>
            <w:r>
              <w:rPr>
                <w:rFonts w:ascii="Arial" w:cs="Arial" w:eastAsia="Arial" w:hAnsi="Arial"/>
                <w:sz w:val="18"/>
                <w:szCs w:val="18"/>
                <w:color w:val="0000FF"/>
                <w:w w:val="87"/>
              </w:rPr>
              <w:t>19.</w:t>
            </w:r>
          </w:p>
        </w:tc>
        <w:tc>
          <w:tcPr>
            <w:tcW w:w="9620" w:type="dxa"/>
            <w:vAlign w:val="bottom"/>
            <w:gridSpan w:val="41"/>
            <w:shd w:val="clear" w:color="auto" w:fill="CCEEFF"/>
          </w:tcPr>
          <w:p>
            <w:pPr>
              <w:ind w:left="20"/>
              <w:spacing w:after="0" w:line="189" w:lineRule="exact"/>
              <w:rPr>
                <w:sz w:val="20"/>
                <w:szCs w:val="20"/>
                <w:color w:val="auto"/>
              </w:rPr>
            </w:pPr>
            <w:r>
              <w:rPr>
                <w:rFonts w:ascii="Arial" w:cs="Arial" w:eastAsia="Arial" w:hAnsi="Arial"/>
                <w:sz w:val="18"/>
                <w:szCs w:val="18"/>
                <w:color w:val="0000FF"/>
              </w:rPr>
              <w:t>Net Loss per Share Attributable to Common Stockholders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55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44"/>
          </w:tcPr>
          <w:p>
            <w:pPr>
              <w:spacing w:after="0" w:line="189" w:lineRule="exact"/>
              <w:rPr>
                <w:sz w:val="20"/>
                <w:szCs w:val="20"/>
                <w:color w:val="auto"/>
              </w:rPr>
            </w:pPr>
            <w:r>
              <w:rPr>
                <w:rFonts w:ascii="Arial" w:cs="Arial" w:eastAsia="Arial" w:hAnsi="Arial"/>
                <w:sz w:val="18"/>
                <w:szCs w:val="18"/>
                <w:color w:val="0000FF"/>
              </w:rPr>
              <w:t>Item 2. Management</w:t>
            </w:r>
            <w:r>
              <w:rPr>
                <w:rFonts w:ascii="Arial" w:cs="Arial" w:eastAsia="Arial" w:hAnsi="Arial"/>
                <w:sz w:val="18"/>
                <w:szCs w:val="18"/>
                <w:color w:val="000000"/>
              </w:rPr>
              <w:t>’</w:t>
            </w:r>
            <w:r>
              <w:rPr>
                <w:rFonts w:ascii="Arial" w:cs="Arial" w:eastAsia="Arial" w:hAnsi="Arial"/>
                <w:sz w:val="18"/>
                <w:szCs w:val="18"/>
                <w:color w:val="0000FF"/>
              </w:rPr>
              <w:t>s Discussion and Analysis of Financial Condition and Results of Operations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56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920" w:type="dxa"/>
            <w:vAlign w:val="bottom"/>
            <w:gridSpan w:val="36"/>
            <w:shd w:val="clear" w:color="auto" w:fill="CCEEFF"/>
          </w:tcPr>
          <w:p>
            <w:pPr>
              <w:spacing w:after="0" w:line="189" w:lineRule="exact"/>
              <w:rPr>
                <w:sz w:val="20"/>
                <w:szCs w:val="20"/>
                <w:color w:val="auto"/>
              </w:rPr>
            </w:pPr>
            <w:r>
              <w:rPr>
                <w:rFonts w:ascii="Arial" w:cs="Arial" w:eastAsia="Arial" w:hAnsi="Arial"/>
                <w:sz w:val="18"/>
                <w:szCs w:val="18"/>
                <w:color w:val="0000FF"/>
                <w:w w:val="92"/>
              </w:rPr>
              <w:t>Item 3. Quantitative and Qualitative Disclosures About Market Risk</w:t>
            </w:r>
          </w:p>
        </w:tc>
        <w:tc>
          <w:tcPr>
            <w:tcW w:w="5160" w:type="dxa"/>
            <w:vAlign w:val="bottom"/>
            <w:gridSpan w:val="8"/>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74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20" w:type="dxa"/>
            <w:vAlign w:val="bottom"/>
            <w:gridSpan w:val="36"/>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5160" w:type="dxa"/>
            <w:vAlign w:val="bottom"/>
            <w:gridSpan w:val="8"/>
          </w:tcPr>
          <w:p>
            <w:pPr>
              <w:spacing w:after="0"/>
              <w:rPr>
                <w:sz w:val="16"/>
                <w:szCs w:val="16"/>
                <w:color w:val="auto"/>
              </w:rPr>
            </w:pP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00" w:type="dxa"/>
            <w:vAlign w:val="bottom"/>
            <w:gridSpan w:val="45"/>
            <w:shd w:val="clear" w:color="auto" w:fill="CCEEFF"/>
          </w:tcPr>
          <w:p>
            <w:pPr>
              <w:spacing w:after="0" w:line="189" w:lineRule="exact"/>
              <w:rPr>
                <w:sz w:val="20"/>
                <w:szCs w:val="20"/>
                <w:color w:val="auto"/>
              </w:rPr>
            </w:pPr>
            <w:r>
              <w:rPr>
                <w:rFonts w:ascii="Arial" w:cs="Arial" w:eastAsia="Arial" w:hAnsi="Arial"/>
                <w:sz w:val="18"/>
                <w:szCs w:val="18"/>
                <w:color w:val="0000FF"/>
              </w:rPr>
              <w:t>Part II - Other Information</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77</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44"/>
          </w:tcPr>
          <w:p>
            <w:pPr>
              <w:spacing w:after="0" w:line="189" w:lineRule="exact"/>
              <w:rPr>
                <w:sz w:val="20"/>
                <w:szCs w:val="20"/>
                <w:color w:val="auto"/>
              </w:rPr>
            </w:pPr>
            <w:r>
              <w:rPr>
                <w:rFonts w:ascii="Arial" w:cs="Arial" w:eastAsia="Arial" w:hAnsi="Arial"/>
                <w:sz w:val="18"/>
                <w:szCs w:val="18"/>
                <w:color w:val="0000FF"/>
              </w:rPr>
              <w:t>Item 1. Legal Proceedings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0000FF"/>
                <w:w w:val="91"/>
              </w:rPr>
              <w:t>Item 1A. Risk Factors</w:t>
            </w:r>
          </w:p>
        </w:tc>
        <w:tc>
          <w:tcPr>
            <w:tcW w:w="8480" w:type="dxa"/>
            <w:vAlign w:val="bottom"/>
            <w:gridSpan w:val="27"/>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77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80" w:type="dxa"/>
            <w:vAlign w:val="bottom"/>
            <w:gridSpan w:val="44"/>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80" w:type="dxa"/>
            <w:vAlign w:val="bottom"/>
            <w:gridSpan w:val="44"/>
            <w:shd w:val="clear" w:color="auto" w:fill="CCEEFF"/>
          </w:tcPr>
          <w:p>
            <w:pPr>
              <w:spacing w:after="0" w:line="189" w:lineRule="exact"/>
              <w:rPr>
                <w:sz w:val="20"/>
                <w:szCs w:val="20"/>
                <w:color w:val="auto"/>
              </w:rPr>
            </w:pPr>
            <w:r>
              <w:rPr>
                <w:rFonts w:ascii="Arial" w:cs="Arial" w:eastAsia="Arial" w:hAnsi="Arial"/>
                <w:sz w:val="18"/>
                <w:szCs w:val="18"/>
                <w:color w:val="0000FF"/>
              </w:rPr>
              <w:t>Item 3. Defaults Upon Senior Securities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80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28"/>
          </w:tcPr>
          <w:p>
            <w:pPr>
              <w:spacing w:after="0" w:line="189" w:lineRule="exact"/>
              <w:rPr>
                <w:sz w:val="20"/>
                <w:szCs w:val="20"/>
                <w:color w:val="auto"/>
              </w:rPr>
            </w:pPr>
            <w:r>
              <w:rPr>
                <w:rFonts w:ascii="Arial" w:cs="Arial" w:eastAsia="Arial" w:hAnsi="Arial"/>
                <w:sz w:val="18"/>
                <w:szCs w:val="18"/>
                <w:color w:val="0000FF"/>
              </w:rPr>
              <w:t>Item 4. Mine Safety Disclosures</w:t>
            </w:r>
          </w:p>
        </w:tc>
        <w:tc>
          <w:tcPr>
            <w:tcW w:w="7200" w:type="dxa"/>
            <w:vAlign w:val="bottom"/>
            <w:gridSpan w:val="16"/>
          </w:tcPr>
          <w:p>
            <w:pPr>
              <w:spacing w:after="0"/>
              <w:rPr>
                <w:sz w:val="16"/>
                <w:szCs w:val="16"/>
                <w:color w:val="auto"/>
              </w:rPr>
            </w:pP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80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2"/>
              </w:rPr>
              <w:t>Item 5. Other Information</w:t>
            </w:r>
          </w:p>
        </w:tc>
        <w:tc>
          <w:tcPr>
            <w:tcW w:w="8200" w:type="dxa"/>
            <w:vAlign w:val="bottom"/>
            <w:gridSpan w:val="25"/>
            <w:shd w:val="clear" w:color="auto" w:fill="CCEEFF"/>
          </w:tcPr>
          <w:p>
            <w:pPr>
              <w:spacing w:after="0"/>
              <w:rPr>
                <w:sz w:val="16"/>
                <w:szCs w:val="16"/>
                <w:color w:val="auto"/>
              </w:rPr>
            </w:pP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80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19"/>
          </w:tcPr>
          <w:p>
            <w:pPr>
              <w:spacing w:after="0" w:line="189" w:lineRule="exact"/>
              <w:rPr>
                <w:sz w:val="20"/>
                <w:szCs w:val="20"/>
                <w:color w:val="auto"/>
              </w:rPr>
            </w:pPr>
            <w:r>
              <w:rPr>
                <w:rFonts w:ascii="Arial" w:cs="Arial" w:eastAsia="Arial" w:hAnsi="Arial"/>
                <w:sz w:val="18"/>
                <w:szCs w:val="18"/>
                <w:color w:val="0000FF"/>
              </w:rPr>
              <w:t>Item 6. Exhibits</w:t>
            </w:r>
          </w:p>
        </w:tc>
        <w:tc>
          <w:tcPr>
            <w:tcW w:w="8200" w:type="dxa"/>
            <w:vAlign w:val="bottom"/>
            <w:gridSpan w:val="25"/>
          </w:tcPr>
          <w:p>
            <w:pPr>
              <w:spacing w:after="0"/>
              <w:rPr>
                <w:sz w:val="16"/>
                <w:szCs w:val="16"/>
                <w:color w:val="auto"/>
              </w:rPr>
            </w:pP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81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00" w:type="dxa"/>
            <w:vAlign w:val="bottom"/>
            <w:gridSpan w:val="45"/>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82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-5982970</wp:posOffset>
            </wp:positionV>
            <wp:extent cx="6257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type w:val="continuous"/>
        </w:sectPr>
      </w:pPr>
    </w:p>
    <w:bookmarkStart w:id="3" w:name="page4"/>
    <w:bookmarkEnd w:id="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revenue, expenses, and other operating results and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new merchants and commerce partners and retain and grow our relationships with existing merchants and commerce partners;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a highly competitive and evolving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consumers and retain and grow our relationships with our existing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innovation, introduction of, and demand for, our products;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maintain our relationship with Celtic Bank as an originating bank partner and engage additional originating bank partners;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renew or replace our existing funding arrangements and build and grow new funding relationships;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of our funding sources becoming unwilling or unable to provide funding to us on terms acceptable to us,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loans facilitated and originated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growth rate of our revenue and related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 in the future, including in the manner and timeframe we have previously communicated;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laws and regulations that currently apply or become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and future acquisitions, investments, and other strategic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investigations, regulatory inquiries, and proceedings;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regulatory environment;</w:t>
      </w:r>
    </w:p>
    <w:p>
      <w:pPr>
        <w:spacing w:after="0" w:line="103" w:lineRule="exact"/>
        <w:rPr>
          <w:rFonts w:ascii="Arial" w:cs="Arial" w:eastAsia="Arial" w:hAnsi="Arial"/>
          <w:sz w:val="18"/>
          <w:szCs w:val="18"/>
          <w:color w:val="auto"/>
        </w:rPr>
      </w:pPr>
    </w:p>
    <w:p>
      <w:pPr>
        <w:ind w:left="660" w:right="120" w:hanging="328"/>
        <w:spacing w:after="0" w:line="32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macroeconomic conditions on our business, including the impacts of inflation, a rising interest rate environment and corresponding increases in negotiated interest rate spreads, increasing recessionary concerns and the instability of financial institutions; and</w:t>
      </w:r>
    </w:p>
    <w:p>
      <w:pPr>
        <w:spacing w:after="0" w:line="2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rates of the markets in which we compete.</w:t>
      </w:r>
    </w:p>
    <w:p>
      <w:pPr>
        <w:spacing w:after="0" w:line="11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Forward-looking statements are based on our management’s beliefs and assumptions and on information currently available. These forward-looking statements are subject to a number of known and unknown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 xml:space="preserve">uncertainties and assumptions, including risks described in the section titled “Risk Factors” and elsewhere in this Form 10-Q, in our Quarterly Report on Form 10-Q for the fiscal quarter ended December 31, 2022, and in our most recently filed Annual Report on Form 10-K for the fiscal year ended June 30, 2022 (the </w:t>
      </w:r>
      <w:r>
        <w:rPr>
          <w:rFonts w:ascii="Arial" w:cs="Arial" w:eastAsia="Arial" w:hAnsi="Arial"/>
          <w:sz w:val="14"/>
          <w:szCs w:val="14"/>
          <w:color w:val="auto"/>
        </w:rPr>
        <w:t>“</w:t>
      </w:r>
      <w:r>
        <w:rPr>
          <w:rFonts w:ascii="Arial" w:cs="Arial" w:eastAsia="Arial" w:hAnsi="Arial"/>
          <w:sz w:val="16"/>
          <w:szCs w:val="16"/>
          <w:color w:val="auto"/>
        </w:rPr>
        <w:t>Annual Report”). Other sections of this Form 10-Q may include additional factors that could harm our business and financial performance.</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Moreover, we operate in a very competitive, heavily regulated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0"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addition, statements such as “we believe” and similar statements reflect our current beliefs and opinions on the relevant subject. These</w:t>
      </w:r>
    </w:p>
    <w:p>
      <w:pPr>
        <w:spacing w:after="0" w:line="1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29" w:lineRule="exact"/>
        <w:rPr>
          <w:sz w:val="20"/>
          <w:szCs w:val="20"/>
          <w:color w:val="auto"/>
        </w:rPr>
      </w:pPr>
    </w:p>
    <w:p>
      <w:pPr>
        <w:ind w:right="200" w:firstLine="648"/>
        <w:spacing w:after="0" w:line="244"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shares and per share amounts)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6"/>
        </w:trPr>
        <w:tc>
          <w:tcPr>
            <w:tcW w:w="7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972,477</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1,255,171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409,015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295,636</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Securities available for sale at fair value</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1,059,031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1,595,373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Loans held for investment</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3,775,542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2,503,561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(176,336)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(155,392)</w:t>
            </w: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rPr>
                <w:sz w:val="20"/>
                <w:szCs w:val="20"/>
                <w:color w:val="auto"/>
              </w:rPr>
            </w:pPr>
            <w:r>
              <w:rPr>
                <w:rFonts w:ascii="Arial" w:cs="Arial" w:eastAsia="Arial" w:hAnsi="Arial"/>
                <w:sz w:val="14"/>
                <w:szCs w:val="14"/>
                <w:color w:val="auto"/>
              </w:rPr>
              <w:t>Loans held for investment, net</w:t>
            </w:r>
          </w:p>
        </w:tc>
        <w:tc>
          <w:tcPr>
            <w:tcW w:w="2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3,599,206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2,348,169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135,816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142,052</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277,156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171,482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537,126</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539,534</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48,267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78,942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198,994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263,196</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270,639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281,567</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7,507,849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6,973,792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5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30,022</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33,072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44,187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71,383</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13,826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192,360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237,598</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Convertible senior notes, net</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1,413,345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1,706,668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1,788,853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1,627,580</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Funding debt</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1,514,120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672,577</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4,996,713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4,355,537</w:t>
            </w:r>
          </w:p>
        </w:tc>
        <w:tc>
          <w:tcPr>
            <w:tcW w:w="0" w:type="dxa"/>
            <w:vAlign w:val="bottom"/>
          </w:tcPr>
          <w:p>
            <w:pPr>
              <w:spacing w:after="0"/>
              <w:rPr>
                <w:sz w:val="1"/>
                <w:szCs w:val="1"/>
                <w:color w:val="auto"/>
              </w:rPr>
            </w:pP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560" w:type="dxa"/>
            <w:vAlign w:val="bottom"/>
          </w:tcPr>
          <w:p>
            <w:pPr>
              <w:ind w:left="280"/>
              <w:spacing w:after="0" w:line="143" w:lineRule="exact"/>
              <w:rPr>
                <w:sz w:val="20"/>
                <w:szCs w:val="20"/>
                <w:color w:val="auto"/>
              </w:rPr>
            </w:pPr>
            <w:r>
              <w:rPr>
                <w:rFonts w:ascii="Arial" w:cs="Arial" w:eastAsia="Arial" w:hAnsi="Arial"/>
                <w:sz w:val="14"/>
                <w:szCs w:val="14"/>
                <w:color w:val="auto"/>
                <w:w w:val="96"/>
              </w:rPr>
              <w:t>Class A common stock, par value $0.00001 per share: 3,030,000,000 shares authorized, 234,561,926 shares issued and</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560" w:type="dxa"/>
            <w:vAlign w:val="bottom"/>
          </w:tcPr>
          <w:p>
            <w:pPr>
              <w:ind w:left="300"/>
              <w:spacing w:after="0" w:line="141" w:lineRule="exact"/>
              <w:rPr>
                <w:sz w:val="20"/>
                <w:szCs w:val="20"/>
                <w:color w:val="auto"/>
              </w:rPr>
            </w:pPr>
            <w:r>
              <w:rPr>
                <w:rFonts w:ascii="Arial" w:cs="Arial" w:eastAsia="Arial" w:hAnsi="Arial"/>
                <w:sz w:val="14"/>
                <w:szCs w:val="14"/>
                <w:color w:val="auto"/>
                <w:w w:val="98"/>
              </w:rPr>
              <w:t>outstanding as of March 31, 2023; 3,030,000,000 shares authorized, 227,255,529 shares issued and outstanding as of</w:t>
            </w:r>
          </w:p>
        </w:tc>
        <w:tc>
          <w:tcPr>
            <w:tcW w:w="2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7560" w:type="dxa"/>
            <w:vAlign w:val="bottom"/>
          </w:tcPr>
          <w:p>
            <w:pPr>
              <w:ind w:left="300"/>
              <w:spacing w:after="0"/>
              <w:rPr>
                <w:sz w:val="20"/>
                <w:szCs w:val="20"/>
                <w:color w:val="auto"/>
              </w:rPr>
            </w:pPr>
            <w:r>
              <w:rPr>
                <w:rFonts w:ascii="Arial" w:cs="Arial" w:eastAsia="Arial" w:hAnsi="Arial"/>
                <w:sz w:val="14"/>
                <w:szCs w:val="14"/>
                <w:color w:val="auto"/>
              </w:rPr>
              <w:t>June 30, 2022</w:t>
            </w:r>
          </w:p>
        </w:tc>
        <w:tc>
          <w:tcPr>
            <w:tcW w:w="2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w w:val="99"/>
              </w:rPr>
              <w:t>Class B common stock, par value $0.00001 per share: 140,000,000 shares authorized, 60,088,662 shares issued and</w:t>
            </w:r>
          </w:p>
        </w:tc>
        <w:tc>
          <w:tcPr>
            <w:tcW w:w="2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5"/>
              </w:rPr>
              <w:t>outstanding as of March 31, 2023; 140,000,000 authorized, 60,109,844 shares issued and outstanding as of June 30, 2022</w:t>
            </w:r>
          </w:p>
        </w:tc>
        <w:tc>
          <w:tcPr>
            <w:tcW w:w="240" w:type="dxa"/>
            <w:vAlign w:val="bottom"/>
            <w:shd w:val="clear" w:color="auto" w:fill="CCEEFF"/>
          </w:tcPr>
          <w:p>
            <w:pPr>
              <w:spacing w:after="0"/>
              <w:rPr>
                <w:sz w:val="16"/>
                <w:szCs w:val="16"/>
                <w:color w:val="auto"/>
              </w:rPr>
            </w:pPr>
          </w:p>
        </w:tc>
        <w:tc>
          <w:tcPr>
            <w:tcW w:w="1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4,918,756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4,231,303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(2,385,285)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(1,605,902)</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(22,338)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(7,149)</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2,511,136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2,618,255</w:t>
            </w: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7,507,849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6,973,792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right="80" w:firstLine="177"/>
        <w:spacing w:after="0" w:line="257" w:lineRule="auto"/>
        <w:rPr>
          <w:sz w:val="20"/>
          <w:szCs w:val="20"/>
          <w:color w:val="auto"/>
        </w:rPr>
      </w:pPr>
      <w:r>
        <w:rPr>
          <w:rFonts w:ascii="Arial" w:cs="Arial" w:eastAsia="Arial" w:hAnsi="Arial"/>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2022</w:t>
            </w:r>
          </w:p>
        </w:tc>
      </w:tr>
      <w:tr>
        <w:trPr>
          <w:trHeight w:val="26"/>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251,964</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164,530</w:t>
            </w:r>
          </w:p>
        </w:tc>
      </w:tr>
      <w:tr>
        <w:trPr>
          <w:trHeight w:val="20"/>
        </w:trPr>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held for investment</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3,382,808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2,179,026</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Allowance for credit losses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(149,430)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(124,052)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 for investment, net</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3,233,378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2,054,974</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8,196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8,195</w:t>
            </w:r>
          </w:p>
        </w:tc>
      </w:tr>
      <w:tr>
        <w:trPr>
          <w:trHeight w:val="20"/>
        </w:trPr>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14,506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14,570</w:t>
            </w: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3,508,044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2,242,269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2,817</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2,897</w:t>
            </w:r>
          </w:p>
        </w:tc>
      </w:tr>
      <w:tr>
        <w:trPr>
          <w:trHeight w:val="20"/>
        </w:trPr>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interest payable</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6,525</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14,119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15,494</w:t>
            </w:r>
          </w:p>
        </w:tc>
      </w:tr>
      <w:tr>
        <w:trPr>
          <w:trHeight w:val="20"/>
        </w:trPr>
        <w:tc>
          <w:tcPr>
            <w:tcW w:w="7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1,788,853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1,627,580</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Funding debt</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1,358,666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514,033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2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3,178,281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2,166,529</w:t>
            </w:r>
          </w:p>
        </w:tc>
      </w:tr>
      <w:tr>
        <w:trPr>
          <w:trHeight w:val="20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329,763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75,740</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5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74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rPr>
                <w:sz w:val="20"/>
                <w:szCs w:val="20"/>
                <w:color w:val="auto"/>
              </w:rPr>
            </w:pPr>
            <w:r>
              <w:rPr>
                <w:rFonts w:ascii="Arial" w:cs="Arial" w:eastAsia="Arial" w:hAnsi="Arial"/>
                <w:sz w:val="14"/>
                <w:szCs w:val="14"/>
                <w:color w:val="auto"/>
              </w:rPr>
              <w:t>Merchant network revenue</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119,013</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121,054</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366,181</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340,385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Virtual card network revenue</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29,469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23,169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85,294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69,122</w:t>
            </w:r>
          </w:p>
        </w:tc>
        <w:tc>
          <w:tcPr>
            <w:tcW w:w="0" w:type="dxa"/>
            <w:vAlign w:val="bottom"/>
          </w:tcPr>
          <w:p>
            <w:pPr>
              <w:spacing w:after="0"/>
              <w:rPr>
                <w:sz w:val="1"/>
                <w:szCs w:val="1"/>
                <w:color w:val="auto"/>
              </w:rPr>
            </w:pPr>
          </w:p>
        </w:tc>
      </w:tr>
      <w:tr>
        <w:trPr>
          <w:trHeight w:val="176"/>
        </w:trPr>
        <w:tc>
          <w:tcPr>
            <w:tcW w:w="4820" w:type="dxa"/>
            <w:vAlign w:val="bottom"/>
          </w:tcPr>
          <w:p>
            <w:pPr>
              <w:ind w:left="220"/>
              <w:spacing w:after="0"/>
              <w:rPr>
                <w:sz w:val="20"/>
                <w:szCs w:val="20"/>
                <w:color w:val="auto"/>
              </w:rPr>
            </w:pPr>
            <w:r>
              <w:rPr>
                <w:rFonts w:ascii="Arial" w:cs="Arial" w:eastAsia="Arial" w:hAnsi="Arial"/>
                <w:sz w:val="14"/>
                <w:szCs w:val="14"/>
                <w:color w:val="auto"/>
              </w:rPr>
              <w:t>Total network revenue</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148,482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144,223</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451,475</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409,507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178,270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134,599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470,393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390,256</w:t>
            </w: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rPr>
                <w:sz w:val="20"/>
                <w:szCs w:val="20"/>
                <w:color w:val="auto"/>
              </w:rPr>
            </w:pPr>
            <w:r>
              <w:rPr>
                <w:rFonts w:ascii="Arial" w:cs="Arial" w:eastAsia="Arial" w:hAnsi="Arial"/>
                <w:sz w:val="14"/>
                <w:szCs w:val="14"/>
                <w:color w:val="auto"/>
              </w:rPr>
              <w:t>Gain on sales of loans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32,813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52,484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156,015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141,153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Servicing income</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21,413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23,456</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64,277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44,242</w:t>
            </w:r>
          </w:p>
        </w:tc>
        <w:tc>
          <w:tcPr>
            <w:tcW w:w="0" w:type="dxa"/>
            <w:vAlign w:val="bottom"/>
          </w:tcPr>
          <w:p>
            <w:pPr>
              <w:spacing w:after="0"/>
              <w:rPr>
                <w:sz w:val="1"/>
                <w:szCs w:val="1"/>
                <w:color w:val="auto"/>
              </w:rPr>
            </w:pPr>
          </w:p>
        </w:tc>
      </w:tr>
      <w:tr>
        <w:trPr>
          <w:trHeight w:val="19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Revenue, net</w:t>
            </w: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380,978</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354,762</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1,142,160</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985,158</w:t>
            </w:r>
          </w:p>
        </w:tc>
        <w:tc>
          <w:tcPr>
            <w:tcW w:w="0" w:type="dxa"/>
            <w:vAlign w:val="bottom"/>
          </w:tcPr>
          <w:p>
            <w:pPr>
              <w:spacing w:after="0"/>
              <w:rPr>
                <w:sz w:val="1"/>
                <w:szCs w:val="1"/>
                <w:color w:val="auto"/>
              </w:rPr>
            </w:pPr>
          </w:p>
        </w:tc>
      </w:tr>
      <w:tr>
        <w:trPr>
          <w:trHeight w:val="185"/>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rPr>
                <w:sz w:val="20"/>
                <w:szCs w:val="20"/>
                <w:color w:val="auto"/>
              </w:rPr>
            </w:pPr>
            <w:r>
              <w:rPr>
                <w:rFonts w:ascii="Arial" w:cs="Arial" w:eastAsia="Arial" w:hAnsi="Arial"/>
                <w:sz w:val="14"/>
                <w:szCs w:val="14"/>
                <w:color w:val="auto"/>
              </w:rPr>
              <w:t>Loss on loan purchase commitment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31,224</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46,853</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105,256</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163,796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Provision for credit losses</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66,438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66,294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237,377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182,581</w:t>
            </w: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rPr>
                <w:sz w:val="20"/>
                <w:szCs w:val="20"/>
                <w:color w:val="auto"/>
              </w:rPr>
            </w:pPr>
            <w:r>
              <w:rPr>
                <w:rFonts w:ascii="Arial" w:cs="Arial" w:eastAsia="Arial" w:hAnsi="Arial"/>
                <w:sz w:val="14"/>
                <w:szCs w:val="14"/>
                <w:color w:val="auto"/>
              </w:rPr>
              <w:t>Funding costs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51,188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120,005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50,277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Processing and servicing</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65,229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43,371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186,096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110,421</w:t>
            </w: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rPr>
                <w:sz w:val="20"/>
                <w:szCs w:val="20"/>
                <w:color w:val="auto"/>
              </w:rPr>
            </w:pPr>
            <w:r>
              <w:rPr>
                <w:rFonts w:ascii="Arial" w:cs="Arial" w:eastAsia="Arial" w:hAnsi="Arial"/>
                <w:sz w:val="14"/>
                <w:szCs w:val="14"/>
                <w:color w:val="auto"/>
              </w:rPr>
              <w:t>Technology and data analytics</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161,792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110,291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463,500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283,293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3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140,942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156,214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493,149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363,650</w:t>
            </w: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139,266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142,466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458,877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419,962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Restructuring charges, net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34,934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34,934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691,013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581,313</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2,099,194</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1,573,980</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(310,035)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(226,551)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(957,034)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(588,822)</w:t>
            </w:r>
          </w:p>
        </w:tc>
        <w:tc>
          <w:tcPr>
            <w:tcW w:w="0" w:type="dxa"/>
            <w:vAlign w:val="bottom"/>
          </w:tcPr>
          <w:p>
            <w:pPr>
              <w:spacing w:after="0"/>
              <w:rPr>
                <w:sz w:val="1"/>
                <w:szCs w:val="1"/>
                <w:color w:val="auto"/>
              </w:rPr>
            </w:pPr>
          </w:p>
        </w:tc>
      </w:tr>
      <w:tr>
        <w:trPr>
          <w:trHeight w:val="176"/>
        </w:trPr>
        <w:tc>
          <w:tcPr>
            <w:tcW w:w="482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103,522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172,139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175,067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68,507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(206,513)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(54,412)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(781,967)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(520,315)</w:t>
            </w:r>
          </w:p>
        </w:tc>
        <w:tc>
          <w:tcPr>
            <w:tcW w:w="0" w:type="dxa"/>
            <w:vAlign w:val="bottom"/>
          </w:tcPr>
          <w:p>
            <w:pPr>
              <w:spacing w:after="0"/>
              <w:rPr>
                <w:sz w:val="1"/>
                <w:szCs w:val="1"/>
                <w:color w:val="auto"/>
              </w:rPr>
            </w:pPr>
          </w:p>
        </w:tc>
      </w:tr>
      <w:tr>
        <w:trPr>
          <w:trHeight w:val="176"/>
        </w:trPr>
        <w:tc>
          <w:tcPr>
            <w:tcW w:w="4820" w:type="dxa"/>
            <w:vAlign w:val="bottom"/>
          </w:tcPr>
          <w:p>
            <w:pPr>
              <w:ind w:left="120"/>
              <w:spacing w:after="0"/>
              <w:rPr>
                <w:sz w:val="20"/>
                <w:szCs w:val="20"/>
                <w:color w:val="auto"/>
              </w:rPr>
            </w:pPr>
            <w:r>
              <w:rPr>
                <w:rFonts w:ascii="Arial" w:cs="Arial" w:eastAsia="Arial" w:hAnsi="Arial"/>
                <w:sz w:val="14"/>
                <w:szCs w:val="14"/>
                <w:color w:val="auto"/>
              </w:rPr>
              <w:t>Income tax (benefit) expense</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(205,677)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(54,671)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(779,383)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(521,021)</w:t>
            </w:r>
          </w:p>
        </w:tc>
        <w:tc>
          <w:tcPr>
            <w:tcW w:w="0" w:type="dxa"/>
            <w:vAlign w:val="bottom"/>
          </w:tcPr>
          <w:p>
            <w:pPr>
              <w:spacing w:after="0"/>
              <w:rPr>
                <w:sz w:val="1"/>
                <w:szCs w:val="1"/>
                <w:color w:val="auto"/>
              </w:rPr>
            </w:pPr>
          </w:p>
        </w:tc>
      </w:tr>
      <w:tr>
        <w:trPr>
          <w:trHeight w:val="174"/>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(16,993)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82"/>
        </w:trPr>
        <w:tc>
          <w:tcPr>
            <w:tcW w:w="4820" w:type="dxa"/>
            <w:vAlign w:val="bottom"/>
          </w:tcPr>
          <w:p>
            <w:pPr>
              <w:ind w:left="20"/>
              <w:spacing w:after="0"/>
              <w:rPr>
                <w:sz w:val="20"/>
                <w:szCs w:val="20"/>
                <w:color w:val="auto"/>
              </w:rPr>
            </w:pPr>
            <w:r>
              <w:rPr>
                <w:rFonts w:ascii="Arial" w:cs="Arial" w:eastAsia="Arial" w:hAnsi="Arial"/>
                <w:sz w:val="14"/>
                <w:szCs w:val="14"/>
                <w:color w:val="auto"/>
              </w:rPr>
              <w:t>Unrealized gain (loss) on securities available for sale, net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(3,041)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(loss) on cash flow hedges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Other Comprehensive Income (Loss)</w:t>
            </w: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4,294</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3,301</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(15,189)</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904</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(201,383)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(51,370)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(794,572)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(520,117)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b w:val="1"/>
                <w:bCs w:val="1"/>
                <w:color w:val="auto"/>
                <w:w w:val="99"/>
              </w:rPr>
              <w:t>Net loss per share attributable to common stockholders for Class A and</w:t>
            </w:r>
          </w:p>
        </w:tc>
        <w:tc>
          <w:tcPr>
            <w:tcW w:w="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Class B</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297,204,715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285,641,820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293,915,268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279,570,015</w:t>
            </w:r>
          </w:p>
        </w:tc>
        <w:tc>
          <w:tcPr>
            <w:tcW w:w="0" w:type="dxa"/>
            <w:vAlign w:val="bottom"/>
          </w:tcPr>
          <w:p>
            <w:pPr>
              <w:spacing w:after="0"/>
              <w:rPr>
                <w:sz w:val="1"/>
                <w:szCs w:val="1"/>
                <w:color w:val="auto"/>
              </w:rPr>
            </w:pPr>
          </w:p>
        </w:tc>
      </w:tr>
      <w:tr>
        <w:trPr>
          <w:trHeight w:val="182"/>
        </w:trPr>
        <w:tc>
          <w:tcPr>
            <w:tcW w:w="4820" w:type="dxa"/>
            <w:vAlign w:val="bottom"/>
          </w:tcPr>
          <w:p>
            <w:pPr>
              <w:ind w:left="12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297,204,715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285,641,820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293,915,268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279,570,015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125" w:right="419" w:bottom="1440" w:gutter="0" w:footer="0" w:header="0"/>
        </w:sectPr>
      </w:pPr>
    </w:p>
    <w:bookmarkStart w:id="8" w:name="page9"/>
    <w:bookmarkEnd w:id="8"/>
    <w:p>
      <w:pPr>
        <w:ind w:left="5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right"/>
        <w:ind w:right="2960"/>
        <w:spacing w:after="0"/>
        <w:rPr>
          <w:sz w:val="20"/>
          <w:szCs w:val="20"/>
          <w:color w:val="auto"/>
        </w:rPr>
      </w:pPr>
      <w:r>
        <w:rPr>
          <w:rFonts w:ascii="Arial" w:cs="Arial" w:eastAsia="Arial" w:hAnsi="Arial"/>
          <w:sz w:val="14"/>
          <w:szCs w:val="14"/>
          <w:b w:val="1"/>
          <w:bCs w:val="1"/>
          <w:color w:val="auto"/>
        </w:rPr>
        <w:t>CONDENSED CONSOLIDATED STATEMENT OF STOCKHOLDERS’ EQUITY</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share amounts)</w:t>
      </w:r>
    </w:p>
    <w:p>
      <w:pPr>
        <w:sectPr>
          <w:pgSz w:w="11900" w:h="16838" w:orient="portrait"/>
          <w:cols w:equalWidth="0" w:num="1">
            <w:col w:w="11060"/>
          </w:cols>
          <w:pgMar w:left="4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June 30, 2022</w:t>
      </w:r>
    </w:p>
    <w:p>
      <w:pPr>
        <w:spacing w:after="0" w:line="46" w:lineRule="exact"/>
        <w:rPr>
          <w:sz w:val="20"/>
          <w:szCs w:val="20"/>
          <w:color w:val="auto"/>
        </w:rPr>
      </w:pPr>
    </w:p>
    <w:p>
      <w:pPr>
        <w:ind w:right="200"/>
        <w:spacing w:after="0" w:line="251" w:lineRule="auto"/>
        <w:rPr>
          <w:sz w:val="20"/>
          <w:szCs w:val="20"/>
          <w:color w:val="auto"/>
        </w:rPr>
      </w:pPr>
      <w:r>
        <w:rPr>
          <w:rFonts w:ascii="Arial" w:cs="Arial" w:eastAsia="Arial" w:hAnsi="Arial"/>
          <w:sz w:val="14"/>
          <w:szCs w:val="14"/>
          <w:color w:val="auto"/>
        </w:rPr>
        <w:t>Issuance of common stock upon exercise of stock options</w:t>
      </w:r>
    </w:p>
    <w:p>
      <w:pPr>
        <w:spacing w:after="0" w:line="1" w:lineRule="exact"/>
        <w:rPr>
          <w:sz w:val="20"/>
          <w:szCs w:val="20"/>
          <w:color w:val="auto"/>
        </w:rPr>
      </w:pPr>
    </w:p>
    <w:p>
      <w:pPr>
        <w:ind w:right="140"/>
        <w:spacing w:after="0" w:line="301" w:lineRule="auto"/>
        <w:rPr>
          <w:sz w:val="20"/>
          <w:szCs w:val="20"/>
          <w:color w:val="auto"/>
        </w:rPr>
      </w:pPr>
      <w:r>
        <w:rPr>
          <w:rFonts w:ascii="Arial" w:cs="Arial" w:eastAsia="Arial" w:hAnsi="Arial"/>
          <w:sz w:val="14"/>
          <w:szCs w:val="14"/>
          <w:color w:val="auto"/>
        </w:rPr>
        <w:t>Forfeiture of common stock related to acquisitions Repurchases of Common Stock Vesting of restricted stock units</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Vesting of warrants for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Tax withholding on 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Unrealized loss on securities available for sale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September 30, 2022</w:t>
      </w:r>
    </w:p>
    <w:p>
      <w:pPr>
        <w:spacing w:after="0" w:line="46" w:lineRule="exact"/>
        <w:rPr>
          <w:sz w:val="20"/>
          <w:szCs w:val="20"/>
          <w:color w:val="auto"/>
        </w:rPr>
      </w:pPr>
    </w:p>
    <w:p>
      <w:pPr>
        <w:ind w:right="200"/>
        <w:spacing w:after="0" w:line="251" w:lineRule="auto"/>
        <w:rPr>
          <w:sz w:val="20"/>
          <w:szCs w:val="20"/>
          <w:color w:val="auto"/>
        </w:rPr>
      </w:pPr>
      <w:r>
        <w:rPr>
          <w:rFonts w:ascii="Arial" w:cs="Arial" w:eastAsia="Arial" w:hAnsi="Arial"/>
          <w:sz w:val="14"/>
          <w:szCs w:val="14"/>
          <w:color w:val="auto"/>
        </w:rPr>
        <w:t>Issuance of common stock upon exercise of stock options</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Issuance of common stock, employee share purchase plan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Vesting of restricted stock units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Vesting of warrants for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Tax withholding on 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Unrealized loss on securities available for sale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December 31, 2022</w:t>
      </w:r>
    </w:p>
    <w:p>
      <w:pPr>
        <w:spacing w:after="0" w:line="46" w:lineRule="exact"/>
        <w:rPr>
          <w:sz w:val="20"/>
          <w:szCs w:val="20"/>
          <w:color w:val="auto"/>
        </w:rPr>
      </w:pPr>
    </w:p>
    <w:p>
      <w:pPr>
        <w:ind w:right="200"/>
        <w:spacing w:after="0" w:line="251" w:lineRule="auto"/>
        <w:rPr>
          <w:sz w:val="20"/>
          <w:szCs w:val="20"/>
          <w:color w:val="auto"/>
        </w:rPr>
      </w:pPr>
      <w:r>
        <w:rPr>
          <w:rFonts w:ascii="Arial" w:cs="Arial" w:eastAsia="Arial" w:hAnsi="Arial"/>
          <w:sz w:val="14"/>
          <w:szCs w:val="14"/>
          <w:color w:val="auto"/>
        </w:rPr>
        <w:t>Issuance of common stock upon exercise of stock options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Vesting of restricted stock units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Vesting of warrants for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Tax withholding on 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Unrealized gain on securities available for sale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Unrealized loss on cash flow hedges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March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460" w:type="dxa"/>
            <w:vAlign w:val="bottom"/>
            <w:gridSpan w:val="5"/>
          </w:tcPr>
          <w:p>
            <w:pPr>
              <w:ind w:left="720"/>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Additional Paid-In</w:t>
            </w: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Stockholders’</w:t>
            </w:r>
          </w:p>
        </w:tc>
        <w:tc>
          <w:tcPr>
            <w:tcW w:w="0" w:type="dxa"/>
            <w:vAlign w:val="bottom"/>
          </w:tcPr>
          <w:p>
            <w:pPr>
              <w:spacing w:after="0"/>
              <w:rPr>
                <w:sz w:val="1"/>
                <w:szCs w:val="1"/>
                <w:color w:val="auto"/>
              </w:rPr>
            </w:pPr>
          </w:p>
        </w:tc>
      </w:tr>
      <w:tr>
        <w:trPr>
          <w:trHeight w:val="26"/>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26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6"/>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287,365,373</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4,231,303</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(1,605,902)</w:t>
            </w:r>
          </w:p>
        </w:tc>
        <w:tc>
          <w:tcPr>
            <w:tcW w:w="80" w:type="dxa"/>
            <w:vAlign w:val="bottom"/>
          </w:tcPr>
          <w:p>
            <w:pPr>
              <w:spacing w:after="0"/>
              <w:rPr>
                <w:sz w:val="16"/>
                <w:szCs w:val="16"/>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(7,149)</w:t>
            </w:r>
          </w:p>
        </w:tc>
        <w:tc>
          <w:tcPr>
            <w:tcW w:w="8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2,618,255</w:t>
            </w:r>
          </w:p>
        </w:tc>
        <w:tc>
          <w:tcPr>
            <w:tcW w:w="0" w:type="dxa"/>
            <w:vAlign w:val="bottom"/>
          </w:tcPr>
          <w:p>
            <w:pPr>
              <w:spacing w:after="0"/>
              <w:rPr>
                <w:sz w:val="1"/>
                <w:szCs w:val="1"/>
                <w:color w:val="auto"/>
              </w:rPr>
            </w:pPr>
          </w:p>
        </w:tc>
      </w:tr>
      <w:tr>
        <w:trPr>
          <w:trHeight w:val="328"/>
        </w:trPr>
        <w:tc>
          <w:tcPr>
            <w:tcW w:w="1260" w:type="dxa"/>
            <w:vAlign w:val="bottom"/>
          </w:tcPr>
          <w:p>
            <w:pPr>
              <w:jc w:val="right"/>
              <w:spacing w:after="0"/>
              <w:rPr>
                <w:sz w:val="20"/>
                <w:szCs w:val="20"/>
                <w:color w:val="auto"/>
              </w:rPr>
            </w:pPr>
            <w:r>
              <w:rPr>
                <w:rFonts w:ascii="Arial" w:cs="Arial" w:eastAsia="Arial" w:hAnsi="Arial"/>
                <w:sz w:val="14"/>
                <w:szCs w:val="14"/>
                <w:color w:val="auto"/>
              </w:rPr>
              <w:t>215,949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Arial" w:cs="Arial" w:eastAsia="Arial" w:hAnsi="Arial"/>
                <w:sz w:val="14"/>
                <w:szCs w:val="14"/>
                <w:color w:val="auto"/>
              </w:rPr>
              <w:t>(243,384)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Arial" w:cs="Arial" w:eastAsia="Arial" w:hAnsi="Arial"/>
                <w:sz w:val="14"/>
                <w:szCs w:val="14"/>
                <w:color w:val="auto"/>
              </w:rPr>
              <w:t>(12,437)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Arial" w:cs="Arial" w:eastAsia="Arial" w:hAnsi="Arial"/>
                <w:sz w:val="14"/>
                <w:szCs w:val="14"/>
                <w:color w:val="auto"/>
              </w:rPr>
              <w:t>2,166,715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108,742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108,742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141,012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141,012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(27,311)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(27,311)</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(21,546)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(21,546)</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(5,528)</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(251,269)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(251,269)</w:t>
            </w:r>
          </w:p>
        </w:tc>
        <w:tc>
          <w:tcPr>
            <w:tcW w:w="0" w:type="dxa"/>
            <w:vAlign w:val="bottom"/>
          </w:tcPr>
          <w:p>
            <w:pPr>
              <w:spacing w:after="0"/>
              <w:rPr>
                <w:sz w:val="1"/>
                <w:szCs w:val="1"/>
                <w:color w:val="auto"/>
              </w:rPr>
            </w:pPr>
          </w:p>
        </w:tc>
      </w:tr>
      <w:tr>
        <w:trPr>
          <w:trHeight w:val="26"/>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289,492,216</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4,454,829</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(1,857,171)</w:t>
            </w:r>
          </w:p>
        </w:tc>
        <w:tc>
          <w:tcPr>
            <w:tcW w:w="8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(34,223)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2,563,438</w:t>
            </w:r>
          </w:p>
        </w:tc>
        <w:tc>
          <w:tcPr>
            <w:tcW w:w="0" w:type="dxa"/>
            <w:vAlign w:val="bottom"/>
          </w:tcPr>
          <w:p>
            <w:pPr>
              <w:spacing w:after="0"/>
              <w:rPr>
                <w:sz w:val="1"/>
                <w:szCs w:val="1"/>
                <w:color w:val="auto"/>
              </w:rPr>
            </w:pPr>
          </w:p>
        </w:tc>
      </w:tr>
      <w:tr>
        <w:trPr>
          <w:trHeight w:val="298"/>
        </w:trPr>
        <w:tc>
          <w:tcPr>
            <w:tcW w:w="1260" w:type="dxa"/>
            <w:vAlign w:val="bottom"/>
          </w:tcPr>
          <w:p>
            <w:pPr>
              <w:jc w:val="right"/>
              <w:spacing w:after="0"/>
              <w:rPr>
                <w:sz w:val="20"/>
                <w:szCs w:val="20"/>
                <w:color w:val="auto"/>
              </w:rPr>
            </w:pPr>
            <w:r>
              <w:rPr>
                <w:rFonts w:ascii="Arial" w:cs="Arial" w:eastAsia="Arial" w:hAnsi="Arial"/>
                <w:sz w:val="14"/>
                <w:szCs w:val="14"/>
                <w:color w:val="auto"/>
              </w:rPr>
              <w:t>300,903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338"/>
        </w:trPr>
        <w:tc>
          <w:tcPr>
            <w:tcW w:w="1260" w:type="dxa"/>
            <w:vAlign w:val="bottom"/>
          </w:tcPr>
          <w:p>
            <w:pPr>
              <w:jc w:val="right"/>
              <w:spacing w:after="0"/>
              <w:rPr>
                <w:sz w:val="20"/>
                <w:szCs w:val="20"/>
                <w:color w:val="auto"/>
              </w:rPr>
            </w:pPr>
            <w:r>
              <w:rPr>
                <w:rFonts w:ascii="Arial" w:cs="Arial" w:eastAsia="Arial" w:hAnsi="Arial"/>
                <w:sz w:val="14"/>
                <w:szCs w:val="14"/>
                <w:color w:val="auto"/>
              </w:rPr>
              <w:t>500,443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5,921</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Arial" w:cs="Arial" w:eastAsia="Arial" w:hAnsi="Arial"/>
                <w:sz w:val="14"/>
                <w:szCs w:val="14"/>
                <w:color w:val="auto"/>
              </w:rPr>
              <w:t>1,798,218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128,054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128,054</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144,218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144,218</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(18,009)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4,522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(322,437)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(322,437)</w:t>
            </w:r>
          </w:p>
        </w:tc>
        <w:tc>
          <w:tcPr>
            <w:tcW w:w="0" w:type="dxa"/>
            <w:vAlign w:val="bottom"/>
          </w:tcPr>
          <w:p>
            <w:pPr>
              <w:spacing w:after="0"/>
              <w:rPr>
                <w:sz w:val="1"/>
                <w:szCs w:val="1"/>
                <w:color w:val="auto"/>
              </w:rPr>
            </w:pPr>
          </w:p>
        </w:tc>
      </w:tr>
      <w:tr>
        <w:trPr>
          <w:trHeight w:val="25"/>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292,091,780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4,716,385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(2,179,608)</w:t>
            </w:r>
          </w:p>
        </w:tc>
        <w:tc>
          <w:tcPr>
            <w:tcW w:w="8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(26,632)</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2,510,148</w:t>
            </w:r>
          </w:p>
        </w:tc>
        <w:tc>
          <w:tcPr>
            <w:tcW w:w="0" w:type="dxa"/>
            <w:vAlign w:val="bottom"/>
          </w:tcPr>
          <w:p>
            <w:pPr>
              <w:spacing w:after="0"/>
              <w:rPr>
                <w:sz w:val="1"/>
                <w:szCs w:val="1"/>
                <w:color w:val="auto"/>
              </w:rPr>
            </w:pPr>
          </w:p>
        </w:tc>
      </w:tr>
      <w:tr>
        <w:trPr>
          <w:trHeight w:val="299"/>
        </w:trPr>
        <w:tc>
          <w:tcPr>
            <w:tcW w:w="1260" w:type="dxa"/>
            <w:vAlign w:val="bottom"/>
          </w:tcPr>
          <w:p>
            <w:pPr>
              <w:jc w:val="right"/>
              <w:spacing w:after="0"/>
              <w:rPr>
                <w:sz w:val="20"/>
                <w:szCs w:val="20"/>
                <w:color w:val="auto"/>
              </w:rPr>
            </w:pPr>
            <w:r>
              <w:rPr>
                <w:rFonts w:ascii="Arial" w:cs="Arial" w:eastAsia="Arial" w:hAnsi="Arial"/>
                <w:sz w:val="14"/>
                <w:szCs w:val="14"/>
                <w:color w:val="auto"/>
              </w:rPr>
              <w:t>185,225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02"/>
        </w:trPr>
        <w:tc>
          <w:tcPr>
            <w:tcW w:w="1260" w:type="dxa"/>
            <w:vAlign w:val="bottom"/>
          </w:tcPr>
          <w:p>
            <w:pPr>
              <w:jc w:val="right"/>
              <w:spacing w:after="0"/>
              <w:rPr>
                <w:sz w:val="20"/>
                <w:szCs w:val="20"/>
                <w:color w:val="auto"/>
              </w:rPr>
            </w:pPr>
            <w:r>
              <w:rPr>
                <w:rFonts w:ascii="Arial" w:cs="Arial" w:eastAsia="Arial" w:hAnsi="Arial"/>
                <w:sz w:val="14"/>
                <w:szCs w:val="14"/>
                <w:color w:val="auto"/>
              </w:rPr>
              <w:t>2,373,583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93,922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93,922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125,902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125,902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(18,169)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4,520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4,520</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(205,677)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(205,677)</w:t>
            </w:r>
          </w:p>
        </w:tc>
        <w:tc>
          <w:tcPr>
            <w:tcW w:w="0" w:type="dxa"/>
            <w:vAlign w:val="bottom"/>
          </w:tcPr>
          <w:p>
            <w:pPr>
              <w:spacing w:after="0"/>
              <w:rPr>
                <w:sz w:val="1"/>
                <w:szCs w:val="1"/>
                <w:color w:val="auto"/>
              </w:rPr>
            </w:pPr>
          </w:p>
        </w:tc>
      </w:tr>
      <w:tr>
        <w:trPr>
          <w:trHeight w:val="25"/>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294,650,588</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4,918,756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(2,385,285)</w:t>
            </w:r>
          </w:p>
        </w:tc>
        <w:tc>
          <w:tcPr>
            <w:tcW w:w="8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(22,338)</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2,511,136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-4499610</wp:posOffset>
            </wp:positionV>
            <wp:extent cx="70294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-4148455</wp:posOffset>
            </wp:positionV>
            <wp:extent cx="702945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-3891280</wp:posOffset>
            </wp:positionV>
            <wp:extent cx="702945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-3634105</wp:posOffset>
            </wp:positionV>
            <wp:extent cx="702945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-3376930</wp:posOffset>
            </wp:positionV>
            <wp:extent cx="702945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-3119755</wp:posOffset>
            </wp:positionV>
            <wp:extent cx="702945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-2853690</wp:posOffset>
            </wp:positionV>
            <wp:extent cx="702945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9450" cy="21463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-2425065</wp:posOffset>
            </wp:positionV>
            <wp:extent cx="702945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-2167890</wp:posOffset>
            </wp:positionV>
            <wp:extent cx="702945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-1910715</wp:posOffset>
            </wp:positionV>
            <wp:extent cx="702945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-1653540</wp:posOffset>
            </wp:positionV>
            <wp:extent cx="702945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-1388110</wp:posOffset>
            </wp:positionV>
            <wp:extent cx="702945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0" cy="21463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-1045210</wp:posOffset>
            </wp:positionV>
            <wp:extent cx="702945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-788035</wp:posOffset>
            </wp:positionV>
            <wp:extent cx="702945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-530860</wp:posOffset>
            </wp:positionV>
            <wp:extent cx="702945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-273685</wp:posOffset>
            </wp:positionV>
            <wp:extent cx="702945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160"/>
            <w:col w:w="7840"/>
          </w:cols>
          <w:pgMar w:left="420" w:top="125"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107315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20" w:top="125" w:right="419" w:bottom="1440" w:gutter="0" w:footer="0" w:header="0"/>
          <w:type w:val="continuous"/>
        </w:sectPr>
      </w:pPr>
    </w:p>
    <w:bookmarkStart w:id="9" w:name="page10"/>
    <w:bookmarkEnd w:id="9"/>
    <w:p>
      <w:pPr>
        <w:ind w:left="5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right"/>
        <w:ind w:right="2980"/>
        <w:spacing w:after="0"/>
        <w:rPr>
          <w:sz w:val="20"/>
          <w:szCs w:val="20"/>
          <w:color w:val="auto"/>
        </w:rPr>
      </w:pPr>
      <w:r>
        <w:rPr>
          <w:rFonts w:ascii="Arial" w:cs="Arial" w:eastAsia="Arial" w:hAnsi="Arial"/>
          <w:sz w:val="14"/>
          <w:szCs w:val="14"/>
          <w:b w:val="1"/>
          <w:bCs w:val="1"/>
          <w:color w:val="auto"/>
        </w:rPr>
        <w:t>CONDENSED CONSOLIDATED STATEMENT OF STOCKHOLDERS’ EQUITY</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thousands, except share amounts)</w:t>
      </w:r>
    </w:p>
    <w:p>
      <w:pPr>
        <w:sectPr>
          <w:pgSz w:w="11900" w:h="16838" w:orient="portrait"/>
          <w:cols w:equalWidth="0" w:num="1">
            <w:col w:w="11080"/>
          </w:cols>
          <w:pgMar w:left="4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June 30, 2021</w:t>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Issuance of common stock upon exercise of stock options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Issuance of common stock in acquisition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Vesting of restricted stock units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Repurchases of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Tax withholding on stock-based compensation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Unrealized loss on securities available for sale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September 30, 2021</w:t>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Issuance of common stock upon exercise of stock options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Vesting of restricted stock units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Vesting of warrants for common stock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Tax withholding on stock-based compensation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Unrealized loss on securities available for sale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December 31, 2021</w:t>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Issuance of common stock upon exercise of stock options</w:t>
      </w:r>
    </w:p>
    <w:p>
      <w:pPr>
        <w:spacing w:after="0" w:line="1" w:lineRule="exact"/>
        <w:rPr>
          <w:sz w:val="20"/>
          <w:szCs w:val="20"/>
          <w:color w:val="auto"/>
        </w:rPr>
      </w:pPr>
    </w:p>
    <w:p>
      <w:pPr>
        <w:ind w:right="640"/>
        <w:spacing w:after="0" w:line="301" w:lineRule="auto"/>
        <w:rPr>
          <w:sz w:val="20"/>
          <w:szCs w:val="20"/>
          <w:color w:val="auto"/>
        </w:rPr>
      </w:pPr>
      <w:r>
        <w:rPr>
          <w:rFonts w:ascii="Arial" w:cs="Arial" w:eastAsia="Arial" w:hAnsi="Arial"/>
          <w:sz w:val="14"/>
          <w:szCs w:val="14"/>
          <w:color w:val="auto"/>
        </w:rPr>
        <w:t>Repurchases of Common Stock Vesting of restricted stock units Vesting of warrants for common stock Stock-based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Tax withholding on stock-based compensation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Foreign currency translation adjustments</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Unrealized loss on securities available for sale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as of March 31, 2022</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0" w:type="dxa"/>
            <w:vAlign w:val="bottom"/>
            <w:gridSpan w:val="5"/>
          </w:tcPr>
          <w:p>
            <w:pPr>
              <w:ind w:left="7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rPr>
              <w:t>Additional Paid-In</w:t>
            </w:r>
          </w:p>
        </w:tc>
        <w:tc>
          <w:tcPr>
            <w:tcW w:w="140" w:type="dxa"/>
            <w:vAlign w:val="bottom"/>
          </w:tcPr>
          <w:p>
            <w:pPr>
              <w:spacing w:after="0"/>
              <w:rPr>
                <w:sz w:val="5"/>
                <w:szCs w:val="5"/>
                <w:color w:val="auto"/>
              </w:rPr>
            </w:pPr>
          </w:p>
        </w:tc>
        <w:tc>
          <w:tcPr>
            <w:tcW w:w="1140" w:type="dxa"/>
            <w:vAlign w:val="bottom"/>
            <w:gridSpan w:val="2"/>
            <w:vMerge w:val="restart"/>
          </w:tcPr>
          <w:p>
            <w:pPr>
              <w:ind w:left="60"/>
              <w:spacing w:after="0" w:line="108"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5"/>
                <w:szCs w:val="5"/>
                <w:color w:val="auto"/>
              </w:rPr>
            </w:pPr>
          </w:p>
        </w:tc>
        <w:tc>
          <w:tcPr>
            <w:tcW w:w="1260" w:type="dxa"/>
            <w:vAlign w:val="bottom"/>
            <w:gridSpan w:val="2"/>
            <w:vMerge w:val="restart"/>
          </w:tcPr>
          <w:p>
            <w:pPr>
              <w:jc w:val="center"/>
              <w:ind w:right="220"/>
              <w:spacing w:after="0" w:line="108" w:lineRule="exact"/>
              <w:rPr>
                <w:sz w:val="20"/>
                <w:szCs w:val="20"/>
                <w:color w:val="auto"/>
              </w:rPr>
            </w:pPr>
            <w:r>
              <w:rPr>
                <w:rFonts w:ascii="Arial" w:cs="Arial" w:eastAsia="Arial" w:hAnsi="Arial"/>
                <w:sz w:val="12"/>
                <w:szCs w:val="12"/>
                <w:b w:val="1"/>
                <w:bCs w:val="1"/>
                <w:color w:val="auto"/>
              </w:rPr>
              <w:t>Comprehensive</w:t>
            </w:r>
          </w:p>
        </w:tc>
        <w:tc>
          <w:tcPr>
            <w:tcW w:w="1340" w:type="dxa"/>
            <w:vAlign w:val="bottom"/>
            <w:gridSpan w:val="2"/>
            <w:vMerge w:val="restart"/>
          </w:tcPr>
          <w:p>
            <w:pPr>
              <w:jc w:val="right"/>
              <w:ind w:right="8"/>
              <w:spacing w:after="0" w:line="108" w:lineRule="exact"/>
              <w:rPr>
                <w:sz w:val="20"/>
                <w:szCs w:val="20"/>
                <w:color w:val="auto"/>
              </w:rPr>
            </w:pPr>
            <w:r>
              <w:rPr>
                <w:rFonts w:ascii="Arial" w:cs="Arial" w:eastAsia="Arial" w:hAnsi="Arial"/>
                <w:sz w:val="12"/>
                <w:szCs w:val="12"/>
                <w:b w:val="1"/>
                <w:bCs w:val="1"/>
                <w:color w:val="auto"/>
              </w:rPr>
              <w:t>Total Stockholders’</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line="20" w:lineRule="exact"/>
              <w:rPr>
                <w:sz w:val="1"/>
                <w:szCs w:val="1"/>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6"/>
        </w:trPr>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269,358,104</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3,467,236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(898,485)</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6,773</w:t>
            </w:r>
          </w:p>
        </w:tc>
        <w:tc>
          <w:tcPr>
            <w:tcW w:w="8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2,575,527</w:t>
            </w:r>
          </w:p>
        </w:tc>
        <w:tc>
          <w:tcPr>
            <w:tcW w:w="0" w:type="dxa"/>
            <w:vAlign w:val="bottom"/>
          </w:tcPr>
          <w:p>
            <w:pPr>
              <w:spacing w:after="0"/>
              <w:rPr>
                <w:sz w:val="1"/>
                <w:szCs w:val="1"/>
                <w:color w:val="auto"/>
              </w:rPr>
            </w:pPr>
          </w:p>
        </w:tc>
      </w:tr>
      <w:tr>
        <w:trPr>
          <w:trHeight w:val="328"/>
        </w:trPr>
        <w:tc>
          <w:tcPr>
            <w:tcW w:w="1260" w:type="dxa"/>
            <w:vAlign w:val="bottom"/>
          </w:tcPr>
          <w:p>
            <w:pPr>
              <w:jc w:val="right"/>
              <w:ind w:right="8"/>
              <w:spacing w:after="0"/>
              <w:rPr>
                <w:sz w:val="20"/>
                <w:szCs w:val="20"/>
                <w:color w:val="auto"/>
              </w:rPr>
            </w:pPr>
            <w:r>
              <w:rPr>
                <w:rFonts w:ascii="Arial" w:cs="Arial" w:eastAsia="Arial" w:hAnsi="Arial"/>
                <w:sz w:val="14"/>
                <w:szCs w:val="14"/>
                <w:color w:val="auto"/>
              </w:rPr>
              <w:t>7,403,503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37,470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37,470</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Arial" w:cs="Arial" w:eastAsia="Arial" w:hAnsi="Arial"/>
                <w:sz w:val="14"/>
                <w:szCs w:val="14"/>
                <w:color w:val="auto"/>
              </w:rPr>
              <w:t>183,733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Arial" w:cs="Arial" w:eastAsia="Arial" w:hAnsi="Arial"/>
                <w:sz w:val="14"/>
                <w:szCs w:val="14"/>
                <w:color w:val="auto"/>
              </w:rPr>
              <w:t>772,653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Arial" w:cs="Arial" w:eastAsia="Arial" w:hAnsi="Arial"/>
                <w:sz w:val="14"/>
                <w:szCs w:val="14"/>
                <w:color w:val="auto"/>
              </w:rPr>
              <w:t>(821)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104,879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104,879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(39,817)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(39,817)</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(3,802)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(306,615)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(306,615)</w:t>
            </w:r>
          </w:p>
        </w:tc>
        <w:tc>
          <w:tcPr>
            <w:tcW w:w="0" w:type="dxa"/>
            <w:vAlign w:val="bottom"/>
          </w:tcPr>
          <w:p>
            <w:pPr>
              <w:spacing w:after="0"/>
              <w:rPr>
                <w:sz w:val="1"/>
                <w:szCs w:val="1"/>
                <w:color w:val="auto"/>
              </w:rPr>
            </w:pPr>
          </w:p>
        </w:tc>
      </w:tr>
      <w:tr>
        <w:trPr>
          <w:trHeight w:val="26"/>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277,717,172</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3,579,764</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(1,205,100)</w:t>
            </w:r>
          </w:p>
        </w:tc>
        <w:tc>
          <w:tcPr>
            <w:tcW w:w="8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2,692</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2,377,359</w:t>
            </w:r>
          </w:p>
        </w:tc>
        <w:tc>
          <w:tcPr>
            <w:tcW w:w="0" w:type="dxa"/>
            <w:vAlign w:val="bottom"/>
          </w:tcPr>
          <w:p>
            <w:pPr>
              <w:spacing w:after="0"/>
              <w:rPr>
                <w:sz w:val="1"/>
                <w:szCs w:val="1"/>
                <w:color w:val="auto"/>
              </w:rPr>
            </w:pPr>
          </w:p>
        </w:tc>
      </w:tr>
      <w:tr>
        <w:trPr>
          <w:trHeight w:val="298"/>
        </w:trPr>
        <w:tc>
          <w:tcPr>
            <w:tcW w:w="1260" w:type="dxa"/>
            <w:vAlign w:val="bottom"/>
          </w:tcPr>
          <w:p>
            <w:pPr>
              <w:jc w:val="right"/>
              <w:ind w:right="8"/>
              <w:spacing w:after="0"/>
              <w:rPr>
                <w:sz w:val="20"/>
                <w:szCs w:val="20"/>
                <w:color w:val="auto"/>
              </w:rPr>
            </w:pPr>
            <w:r>
              <w:rPr>
                <w:rFonts w:ascii="Arial" w:cs="Arial" w:eastAsia="Arial" w:hAnsi="Arial"/>
                <w:sz w:val="14"/>
                <w:szCs w:val="14"/>
                <w:color w:val="auto"/>
              </w:rPr>
              <w:t>4,689,973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21,674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21,674</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Arial" w:cs="Arial" w:eastAsia="Arial" w:hAnsi="Arial"/>
                <w:sz w:val="14"/>
                <w:szCs w:val="14"/>
                <w:color w:val="auto"/>
              </w:rPr>
              <w:t>803,263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198,383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198,383</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101,920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101,920</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(72,963)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(72,963)</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(159,735)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(159,735)</w:t>
            </w:r>
          </w:p>
        </w:tc>
        <w:tc>
          <w:tcPr>
            <w:tcW w:w="0" w:type="dxa"/>
            <w:vAlign w:val="bottom"/>
          </w:tcPr>
          <w:p>
            <w:pPr>
              <w:spacing w:after="0"/>
              <w:rPr>
                <w:sz w:val="1"/>
                <w:szCs w:val="1"/>
                <w:color w:val="auto"/>
              </w:rPr>
            </w:pPr>
          </w:p>
        </w:tc>
      </w:tr>
      <w:tr>
        <w:trPr>
          <w:trHeight w:val="25"/>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283,210,408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3,828,778</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(1,364,835)</w:t>
            </w:r>
          </w:p>
        </w:tc>
        <w:tc>
          <w:tcPr>
            <w:tcW w:w="8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4,376</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2,468,322</w:t>
            </w:r>
          </w:p>
        </w:tc>
        <w:tc>
          <w:tcPr>
            <w:tcW w:w="0" w:type="dxa"/>
            <w:vAlign w:val="bottom"/>
          </w:tcPr>
          <w:p>
            <w:pPr>
              <w:spacing w:after="0"/>
              <w:rPr>
                <w:sz w:val="1"/>
                <w:szCs w:val="1"/>
                <w:color w:val="auto"/>
              </w:rPr>
            </w:pPr>
          </w:p>
        </w:tc>
      </w:tr>
      <w:tr>
        <w:trPr>
          <w:trHeight w:val="299"/>
        </w:trPr>
        <w:tc>
          <w:tcPr>
            <w:tcW w:w="1260" w:type="dxa"/>
            <w:vAlign w:val="bottom"/>
          </w:tcPr>
          <w:p>
            <w:pPr>
              <w:jc w:val="right"/>
              <w:ind w:right="8"/>
              <w:spacing w:after="0"/>
              <w:rPr>
                <w:sz w:val="20"/>
                <w:szCs w:val="20"/>
                <w:color w:val="auto"/>
              </w:rPr>
            </w:pPr>
            <w:r>
              <w:rPr>
                <w:rFonts w:ascii="Arial" w:cs="Arial" w:eastAsia="Arial" w:hAnsi="Arial"/>
                <w:sz w:val="14"/>
                <w:szCs w:val="14"/>
                <w:color w:val="auto"/>
              </w:rPr>
              <w:t>1,258,865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8,171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8,171</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Arial" w:cs="Arial" w:eastAsia="Arial" w:hAnsi="Arial"/>
                <w:sz w:val="14"/>
                <w:szCs w:val="14"/>
                <w:color w:val="auto"/>
              </w:rPr>
              <w:t>(9,472)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Arial" w:cs="Arial" w:eastAsia="Arial" w:hAnsi="Arial"/>
                <w:sz w:val="14"/>
                <w:szCs w:val="14"/>
                <w:color w:val="auto"/>
              </w:rPr>
              <w:t>1,318,524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92,169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92,169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113,005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113,005</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(54,162)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(54,162)</w:t>
            </w:r>
          </w:p>
        </w:tc>
        <w:tc>
          <w:tcPr>
            <w:tcW w:w="0" w:type="dxa"/>
            <w:vAlign w:val="bottom"/>
          </w:tcPr>
          <w:p>
            <w:pPr>
              <w:spacing w:after="0"/>
              <w:rPr>
                <w:sz w:val="1"/>
                <w:szCs w:val="1"/>
                <w:color w:val="auto"/>
              </w:rPr>
            </w:pPr>
          </w:p>
        </w:tc>
      </w:tr>
      <w:tr>
        <w:trPr>
          <w:trHeight w:val="202"/>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5,406</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(54,671)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(54,671)</w:t>
            </w:r>
          </w:p>
        </w:tc>
        <w:tc>
          <w:tcPr>
            <w:tcW w:w="0" w:type="dxa"/>
            <w:vAlign w:val="bottom"/>
          </w:tcPr>
          <w:p>
            <w:pPr>
              <w:spacing w:after="0"/>
              <w:rPr>
                <w:sz w:val="1"/>
                <w:szCs w:val="1"/>
                <w:color w:val="auto"/>
              </w:rPr>
            </w:pPr>
          </w:p>
        </w:tc>
      </w:tr>
      <w:tr>
        <w:trPr>
          <w:trHeight w:val="25"/>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285,778,325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3,987,881</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(1,419,506)</w:t>
            </w:r>
          </w:p>
        </w:tc>
        <w:tc>
          <w:tcPr>
            <w:tcW w:w="8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7,677</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2,576,055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-4156710</wp:posOffset>
            </wp:positionV>
            <wp:extent cx="70465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-3805555</wp:posOffset>
            </wp:positionV>
            <wp:extent cx="704659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-3548380</wp:posOffset>
            </wp:positionV>
            <wp:extent cx="704659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-3291205</wp:posOffset>
            </wp:positionV>
            <wp:extent cx="704659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-3034030</wp:posOffset>
            </wp:positionV>
            <wp:extent cx="704659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-2776855</wp:posOffset>
            </wp:positionV>
            <wp:extent cx="704659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-2425065</wp:posOffset>
            </wp:positionV>
            <wp:extent cx="704659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-2167890</wp:posOffset>
            </wp:positionV>
            <wp:extent cx="704659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-1910715</wp:posOffset>
            </wp:positionV>
            <wp:extent cx="704659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-1653540</wp:posOffset>
            </wp:positionV>
            <wp:extent cx="704659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-1388110</wp:posOffset>
            </wp:positionV>
            <wp:extent cx="7046595"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6595" cy="21463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-1045210</wp:posOffset>
            </wp:positionV>
            <wp:extent cx="704659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-788035</wp:posOffset>
            </wp:positionV>
            <wp:extent cx="704659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-530860</wp:posOffset>
            </wp:positionV>
            <wp:extent cx="704659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-273685</wp:posOffset>
            </wp:positionV>
            <wp:extent cx="704659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4659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420"/>
            <w:col w:w="7820"/>
          </w:cols>
          <w:pgMar w:left="420" w:top="125" w:right="399" w:bottom="1440" w:gutter="0" w:footer="0" w:header="0"/>
          <w:type w:val="continuous"/>
        </w:sectPr>
      </w:pP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2"/>
          <w:szCs w:val="12"/>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20" w:top="125" w:right="399" w:bottom="1440" w:gutter="0" w:footer="0" w:header="0"/>
          <w:type w:val="continuous"/>
        </w:sectPr>
      </w:pPr>
    </w:p>
    <w:bookmarkStart w:id="10" w:name="page11"/>
    <w:bookmarkEnd w:id="1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Nine Months Ended March 31,</w:t>
            </w:r>
          </w:p>
        </w:tc>
      </w:tr>
      <w:tr>
        <w:trPr>
          <w:trHeight w:val="26"/>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9"/>
        </w:trPr>
        <w:tc>
          <w:tcPr>
            <w:tcW w:w="7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(779,383)</w:t>
            </w:r>
          </w:p>
        </w:tc>
        <w:tc>
          <w:tcPr>
            <w:tcW w:w="10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(521,021)</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182"/>
        </w:trPr>
        <w:tc>
          <w:tcPr>
            <w:tcW w:w="7940" w:type="dxa"/>
            <w:vAlign w:val="bottom"/>
          </w:tcPr>
          <w:p>
            <w:pPr>
              <w:ind w:left="240"/>
              <w:spacing w:after="0"/>
              <w:rPr>
                <w:sz w:val="20"/>
                <w:szCs w:val="20"/>
                <w:color w:val="auto"/>
              </w:rPr>
            </w:pPr>
            <w:r>
              <w:rPr>
                <w:rFonts w:ascii="Arial" w:cs="Arial" w:eastAsia="Arial" w:hAnsi="Arial"/>
                <w:sz w:val="14"/>
                <w:szCs w:val="14"/>
                <w:color w:val="auto"/>
              </w:rPr>
              <w:t>Provision for credit losses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237,377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182,581</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Amortization of premiums and discounts on loans, net</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(103,468)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(129,714)</w:t>
            </w:r>
          </w:p>
        </w:tc>
      </w:tr>
      <w:tr>
        <w:trPr>
          <w:trHeight w:val="182"/>
        </w:trPr>
        <w:tc>
          <w:tcPr>
            <w:tcW w:w="7940" w:type="dxa"/>
            <w:vAlign w:val="bottom"/>
          </w:tcPr>
          <w:p>
            <w:pPr>
              <w:ind w:left="240"/>
              <w:spacing w:after="0"/>
              <w:rPr>
                <w:sz w:val="20"/>
                <w:szCs w:val="20"/>
                <w:color w:val="auto"/>
              </w:rPr>
            </w:pPr>
            <w:r>
              <w:rPr>
                <w:rFonts w:ascii="Arial" w:cs="Arial" w:eastAsia="Arial" w:hAnsi="Arial"/>
                <w:sz w:val="14"/>
                <w:szCs w:val="14"/>
                <w:color w:val="auto"/>
              </w:rPr>
              <w:t>Gain on sales of loans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(156,015)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(141,153)</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Gain on extinguishment of debt</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(89,841)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940" w:type="dxa"/>
            <w:vAlign w:val="bottom"/>
          </w:tcPr>
          <w:p>
            <w:pPr>
              <w:ind w:left="240"/>
              <w:spacing w:after="0"/>
              <w:rPr>
                <w:sz w:val="20"/>
                <w:szCs w:val="20"/>
                <w:color w:val="auto"/>
              </w:rPr>
            </w:pPr>
            <w:r>
              <w:rPr>
                <w:rFonts w:ascii="Arial" w:cs="Arial" w:eastAsia="Arial" w:hAnsi="Arial"/>
                <w:sz w:val="14"/>
                <w:szCs w:val="14"/>
                <w:color w:val="auto"/>
              </w:rPr>
              <w:t>Changes in fair value of assets and liabilities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(38,821)</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Amortization of commercial agreement assets</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64,202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72,804</w:t>
            </w:r>
          </w:p>
        </w:tc>
      </w:tr>
      <w:tr>
        <w:trPr>
          <w:trHeight w:val="182"/>
        </w:trPr>
        <w:tc>
          <w:tcPr>
            <w:tcW w:w="794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13,198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13,215</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Amortization of discount on securities available for sale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(23,711)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968</w:t>
            </w:r>
          </w:p>
        </w:tc>
      </w:tr>
      <w:tr>
        <w:trPr>
          <w:trHeight w:val="182"/>
        </w:trPr>
        <w:tc>
          <w:tcPr>
            <w:tcW w:w="7940" w:type="dxa"/>
            <w:vAlign w:val="bottom"/>
          </w:tcPr>
          <w:p>
            <w:pPr>
              <w:ind w:left="240"/>
              <w:spacing w:after="0"/>
              <w:rPr>
                <w:sz w:val="20"/>
                <w:szCs w:val="20"/>
                <w:color w:val="auto"/>
              </w:rPr>
            </w:pPr>
            <w:r>
              <w:rPr>
                <w:rFonts w:ascii="Arial" w:cs="Arial" w:eastAsia="Arial" w:hAnsi="Arial"/>
                <w:sz w:val="14"/>
                <w:szCs w:val="14"/>
                <w:color w:val="auto"/>
              </w:rPr>
              <w:t>Commercial agreement warrant expense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330,718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157,023</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348,372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280,113</w:t>
            </w:r>
          </w:p>
        </w:tc>
      </w:tr>
      <w:tr>
        <w:trPr>
          <w:trHeight w:val="182"/>
        </w:trPr>
        <w:tc>
          <w:tcPr>
            <w:tcW w:w="794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91,355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35,607</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(5,725)</w:t>
            </w:r>
          </w:p>
        </w:tc>
      </w:tr>
      <w:tr>
        <w:trPr>
          <w:trHeight w:val="182"/>
        </w:trPr>
        <w:tc>
          <w:tcPr>
            <w:tcW w:w="7940" w:type="dxa"/>
            <w:vAlign w:val="bottom"/>
          </w:tcPr>
          <w:p>
            <w:pPr>
              <w:ind w:left="240"/>
              <w:spacing w:after="0"/>
              <w:rPr>
                <w:sz w:val="20"/>
                <w:szCs w:val="20"/>
                <w:color w:val="auto"/>
              </w:rPr>
            </w:pPr>
            <w:r>
              <w:rPr>
                <w:rFonts w:ascii="Arial" w:cs="Arial" w:eastAsia="Arial" w:hAnsi="Arial"/>
                <w:sz w:val="14"/>
                <w:szCs w:val="14"/>
                <w:color w:val="auto"/>
              </w:rPr>
              <w:t>Change in operating assets and liabilities: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Purchases of loans held for sale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(4,719,789)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(3,869,327)</w:t>
            </w: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Proceeds from the sale of loans held for sale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4,838,250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3,868,919</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(42,467)</w:t>
            </w: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(3,292)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28,018</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(3,618)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(8,773)</w:t>
            </w: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Payable to third-party loan owners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(27,196)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(14,117)</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Accrued interest payable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r>
      <w:tr>
        <w:trPr>
          <w:trHeight w:val="182"/>
        </w:trPr>
        <w:tc>
          <w:tcPr>
            <w:tcW w:w="7940" w:type="dxa"/>
            <w:vAlign w:val="bottom"/>
          </w:tcPr>
          <w:p>
            <w:pPr>
              <w:ind w:left="360"/>
              <w:spacing w:after="0"/>
              <w:rPr>
                <w:sz w:val="20"/>
                <w:szCs w:val="20"/>
                <w:color w:val="auto"/>
              </w:rPr>
            </w:pPr>
            <w:r>
              <w:rPr>
                <w:rFonts w:ascii="Arial" w:cs="Arial" w:eastAsia="Arial" w:hAnsi="Arial"/>
                <w:sz w:val="14"/>
                <w:szCs w:val="14"/>
                <w:color w:val="auto"/>
              </w:rPr>
              <w:t>Accrued expenses and other liabilities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(45,288)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28,545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(31,608)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(103,085)</w:t>
            </w:r>
          </w:p>
        </w:tc>
      </w:tr>
      <w:tr>
        <w:trPr>
          <w:trHeight w:val="174"/>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191"/>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Purchases and origination of loans held for investment</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(9,622,289)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(7,529,324)</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the sale of loans held for investment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1,093,894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1,330,341</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Principal repayments and other loan servicing activity</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7,199,568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5,867,583</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Acquisition, net of cash and restricted cash acquired</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(16,051)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(5,999)</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Additions to property, equipment and software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(95,917)</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(59,254)</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Purchases of securities available for sale</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(566,261)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(770,047)</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maturities and repayments of securities available for sale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1,127,785</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191,854</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Other investing cash inflows (outflows)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(10,775)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(875,896)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(985,621)</w:t>
            </w:r>
          </w:p>
        </w:tc>
      </w:tr>
      <w:tr>
        <w:trPr>
          <w:trHeight w:val="174"/>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191"/>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issuance of convertible debt, net</w:t>
            </w: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1,704,300</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Extinguishment of convertible debt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(206,567)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funding debt</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5,048,803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2,776,245</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Payment of debt issuance costs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(8,154)</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Principal repayments of funding debt</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(4,195,110)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(2,572,876)</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issuance of notes and residual trust certificates by securitization trusts</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499,494</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Principal repayments of notes issued by securitization trusts</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(584,634)</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(233,723)</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Proceeds from exercise of common stock options and warrants and contributions to ESPP</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8,909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67,740</w:t>
            </w:r>
          </w:p>
        </w:tc>
      </w:tr>
      <w:tr>
        <w:trPr>
          <w:trHeight w:val="20"/>
        </w:trPr>
        <w:tc>
          <w:tcPr>
            <w:tcW w:w="7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Repurchases of common stock</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Payments of tax withholding for stock-based compensation</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(63,489)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(166,942)</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6"/>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740,396</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2,066,000</w:t>
            </w:r>
          </w:p>
        </w:tc>
      </w:tr>
      <w:tr>
        <w:trPr>
          <w:trHeight w:val="182"/>
        </w:trPr>
        <w:tc>
          <w:tcPr>
            <w:tcW w:w="7940" w:type="dxa"/>
            <w:vAlign w:val="bottom"/>
          </w:tcPr>
          <w:p>
            <w:pPr>
              <w:ind w:left="1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5,639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(169,315)</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982,933</w:t>
            </w:r>
          </w:p>
        </w:tc>
      </w:tr>
      <w:tr>
        <w:trPr>
          <w:trHeight w:val="182"/>
        </w:trPr>
        <w:tc>
          <w:tcPr>
            <w:tcW w:w="794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1,550,807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1,692,632</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1,381,492</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2,675,565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Nine Months Ended March 31,</w:t>
            </w:r>
          </w:p>
        </w:tc>
      </w:tr>
      <w:tr>
        <w:trPr>
          <w:trHeight w:val="26"/>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to amounts on consolidated balance sheets (as of period end)</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972,477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2,261,937</w:t>
            </w:r>
          </w:p>
        </w:tc>
      </w:tr>
      <w:tr>
        <w:trPr>
          <w:trHeight w:val="20"/>
        </w:trPr>
        <w:tc>
          <w:tcPr>
            <w:tcW w:w="8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Restricted cash</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409,015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413,628</w:t>
            </w:r>
          </w:p>
        </w:tc>
      </w:tr>
      <w:tr>
        <w:trPr>
          <w:trHeight w:val="196"/>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1,381,492</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2,675,565</w:t>
            </w: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5"/>
        </w:trPr>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Nine Months Ended March 31,</w:t>
            </w:r>
          </w:p>
        </w:tc>
      </w:tr>
      <w:tr>
        <w:trPr>
          <w:trHeight w:val="26"/>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Cash payments for interest expense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104,923</w:t>
            </w:r>
          </w:p>
        </w:tc>
        <w:tc>
          <w:tcPr>
            <w:tcW w:w="8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34,325</w:t>
            </w:r>
          </w:p>
        </w:tc>
      </w:tr>
      <w:tr>
        <w:trPr>
          <w:trHeight w:val="20"/>
        </w:trPr>
        <w:tc>
          <w:tcPr>
            <w:tcW w:w="8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operating leases</w:t>
            </w: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8,328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11,989</w:t>
            </w: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Cash paid for income taxes</w:t>
            </w: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8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Stock-based compensation included in capitalized internal-use software</w:t>
            </w: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62,760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39,691</w:t>
            </w:r>
          </w:p>
        </w:tc>
      </w:tr>
      <w:tr>
        <w:trPr>
          <w:trHeight w:val="20"/>
        </w:trPr>
        <w:tc>
          <w:tcPr>
            <w:tcW w:w="8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 of common stock in connection with acquisition</w:t>
            </w: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Additions to property and equipment included in accrued expenses</w:t>
            </w: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0"/>
        </w:trPr>
        <w:tc>
          <w:tcPr>
            <w:tcW w:w="8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Securities retained under unconsolidated securitization transactions</w:t>
            </w: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22,067</w:t>
            </w: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Right of use assets obtained in exchange for operating lease liabilities</w:t>
            </w:r>
          </w:p>
        </w:tc>
        <w:tc>
          <w:tcPr>
            <w:tcW w:w="34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494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3,421</w:t>
            </w: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ind w:right="40" w:firstLine="648"/>
        <w:spacing w:after="0" w:line="278" w:lineRule="auto"/>
        <w:rPr>
          <w:sz w:val="20"/>
          <w:szCs w:val="20"/>
          <w:color w:val="auto"/>
        </w:rPr>
      </w:pPr>
      <w:r>
        <w:rPr>
          <w:rFonts w:ascii="Arial" w:cs="Arial" w:eastAsia="Arial" w:hAnsi="Arial"/>
          <w:sz w:val="17"/>
          <w:szCs w:val="17"/>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2022. The balance sheet as of June 30, 2022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20" w:firstLine="648"/>
        <w:spacing w:after="0" w:line="284" w:lineRule="auto"/>
        <w:rPr>
          <w:sz w:val="20"/>
          <w:szCs w:val="20"/>
          <w:color w:val="auto"/>
        </w:rPr>
      </w:pPr>
      <w:r>
        <w:rPr>
          <w:rFonts w:ascii="Arial" w:cs="Arial" w:eastAsia="Arial" w:hAnsi="Arial"/>
          <w:sz w:val="17"/>
          <w:szCs w:val="17"/>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variable consideration for revenue, the allowance for credit losses, capitalized internal-use software development costs, valuation allowance for deferred tax assets, loss on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purchase commitment, the fair value of servicing assets and liabilities, discount on directly originated loans, the fair value of assets acquired and any contingent consideration transferred in business combinations, the evaluation for impairment of intangible assets and goodwill,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market-based inputs, historical experience, current events, and other factors we believe to be reasonable under the circumstances. These estimates are subjective in nature and to the extent that there are differences between these estimates and actual results, our financial condition or operating results in future periods may be affected.</w:t>
      </w:r>
    </w:p>
    <w:p>
      <w:pPr>
        <w:spacing w:after="0" w:line="186" w:lineRule="exact"/>
        <w:rPr>
          <w:sz w:val="20"/>
          <w:szCs w:val="20"/>
          <w:color w:val="auto"/>
        </w:rPr>
      </w:pPr>
    </w:p>
    <w:p>
      <w:pPr>
        <w:ind w:right="380" w:firstLine="648"/>
        <w:spacing w:after="0" w:line="293" w:lineRule="auto"/>
        <w:rPr>
          <w:sz w:val="20"/>
          <w:szCs w:val="20"/>
          <w:color w:val="auto"/>
        </w:rPr>
      </w:pPr>
      <w:r>
        <w:rPr>
          <w:rFonts w:ascii="Arial" w:cs="Arial" w:eastAsia="Arial" w:hAnsi="Arial"/>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material changes to our significant accounting policies as disclosed in Note 2. Summary of Significant Accounting Policies of our Annual Report on Form 10-K for the fiscal year ended June 30, 2022, which was filed with the SEC on August 29, 2022.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ind w:right="40" w:firstLine="180"/>
        <w:spacing w:after="0" w:line="269" w:lineRule="auto"/>
        <w:rPr>
          <w:sz w:val="20"/>
          <w:szCs w:val="20"/>
          <w:color w:val="auto"/>
        </w:rPr>
      </w:pPr>
      <w:r>
        <w:rPr>
          <w:rFonts w:ascii="Arial" w:cs="Arial" w:eastAsia="Arial" w:hAnsi="Arial"/>
          <w:sz w:val="17"/>
          <w:szCs w:val="17"/>
          <w:color w:val="auto"/>
        </w:rPr>
        <w:t>In March 2022, the FASB issued ASU 2022-02, “Financial Instruments— Credit Losses (Topic 326), Troubled Debt Restructurings and Vintage Disclosure” which addresses areas identified by the FASB as part of its post-implementation review of the current expected credit losses model or “CECL” previously issued in ASU 2016-13, “Financial Instruments — Credit Losses (Topic 326)”. The amendments in this ASU eliminate the accounting guidance for troubled debt restructurings by creditors while enhancing the disclosure requirements for loan refinancing and restructurings made with borrowers experiencing financial difficulty. In addition, the amendments require a public business entity to disclose current-period gross write-offs by year of origination for financing receivables and net investment in leases in the vintage disclosures. For entities that have adopted ASU 2016-13, ASU 2022-02 is effective for fiscal years beginning after December 15, 2022, including interim periods within those fiscal years. Early adoption is permitted if an entity has adopted ASU 2016-13. Amendments in this ASU should be applied prospectively except for the transition method related to the accounting for troubled debt restructurings in which an entity has the option to apply a modified retrospective transition method resulting in a cumulative-effect adjustment to retained earnings in the period of adoption. We early adopted the new standard effective July 1, 2022 on a prospective basis. The adoption of the guidance did not have a material impact on our interim condensed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which requires contract assets and contract liabilities, such as deferred revenue, acquired in a business combination to be recognized and measured in accordance with Topic 606 (Revenue from Contracts with Customers). ASU 2021-08 is expected to reduce diversity in practice and increase comparability for both the recognition and measurement of acquired revenue contracts with customers at the date of and after a business combination. The ASU is effective for fiscal years beginning after December 15, 2022 and should be applied prospectively to acquisitions occurring on or after the effective date. Early adoption is permitted, including for interim periods, and is applicable to all business combinations for which the acquisition date occurs within the beginning of the fiscal year of adoption. We early adopted the new standard effective January 1, 2023 on a prospective basis. The adoption of the guidance did not have a material impact on our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66"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In January 2021, the FASB also issued ASU 2021-01, “Reference Rate Reform (Topic 848): Scope”, which provides additional optional expedients and exceptions applicable to all entities that have derivative instruments that use an interest rate for margining, discounting, or contract price alignment that is modified as a result of reference rate reform. In December 2022, the FASB issued ASU 2022-06, “Reference Rate Reform (Topic 848): Deferral of the Sunset Date of Topic 848”, to extend the temporary accounting rules under Topic 848 from December 31, 2022 to December 31, 2024. These ASUs are effective for all entities upon their respective issuance dates through December 31, 2024. We have reviewed all our financial agreements that utilize LIBOR as the reference rate and determined there is no impact to our interim condensed consolidated financial statements as of March 31, 2023. Throughout the remaining effective period for ASU 2020-04, ASU 2021-01 and ASU 2022-06, we will continue to evaluate the available relief measures within each of these amendments and will determine any impact on our consolidated financial statements and disclosures, as applicable.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revenue disaggregated by revenue source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360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18"/>
                <w:szCs w:val="18"/>
                <w:color w:val="auto"/>
              </w:rPr>
            </w:pPr>
          </w:p>
        </w:tc>
        <w:tc>
          <w:tcPr>
            <w:tcW w:w="3120" w:type="dxa"/>
            <w:vAlign w:val="bottom"/>
            <w:gridSpan w:val="4"/>
          </w:tcPr>
          <w:p>
            <w:pPr>
              <w:jc w:val="right"/>
              <w:ind w:right="611"/>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41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2022</w:t>
            </w: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network revenue</w:t>
            </w:r>
          </w:p>
        </w:tc>
        <w:tc>
          <w:tcPr>
            <w:tcW w:w="1040" w:type="dxa"/>
            <w:vAlign w:val="bottom"/>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119,013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366,181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340,385</w:t>
            </w: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color w:val="auto"/>
              </w:rPr>
              <w:t>Virtual card network revenue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29,469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23,169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85,294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69,122</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390,256</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Gain on sales of loans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32,813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52,484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141,153</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income</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44,242</w:t>
            </w: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104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380,978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1,142,160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985,158</w:t>
            </w:r>
          </w:p>
        </w:tc>
      </w:tr>
      <w:tr>
        <w:trPr>
          <w:trHeight w:val="20"/>
        </w:trPr>
        <w:tc>
          <w:tcPr>
            <w:tcW w:w="4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26142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w:t>
      </w:r>
    </w:p>
    <w:p>
      <w:pPr>
        <w:spacing w:after="0" w:line="25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certain cases, the losses incurred on loans originated for a merchant may exceed the total network revenue earned on those loans. To the extent we do not expect to recover the losses in future periods, we record the excess loss amounts as a sales and marketing expense.</w:t>
      </w:r>
    </w:p>
    <w:p>
      <w:pPr>
        <w:spacing w:after="0" w:line="20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March 31, 2023 and 2022, there were no merchants that exceeded 10% of total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Card Network Revenue</w:t>
      </w:r>
    </w:p>
    <w:p>
      <w:pPr>
        <w:spacing w:after="0" w:line="252" w:lineRule="exact"/>
        <w:rPr>
          <w:sz w:val="20"/>
          <w:szCs w:val="20"/>
          <w:color w:val="auto"/>
        </w:rPr>
      </w:pPr>
    </w:p>
    <w:p>
      <w:pPr>
        <w:ind w:right="140" w:firstLine="648"/>
        <w:spacing w:after="0" w:line="300" w:lineRule="auto"/>
        <w:rPr>
          <w:sz w:val="20"/>
          <w:szCs w:val="20"/>
          <w:color w:val="auto"/>
        </w:rPr>
      </w:pPr>
      <w:r>
        <w:rPr>
          <w:rFonts w:ascii="Arial" w:cs="Arial" w:eastAsia="Arial" w:hAnsi="Arial"/>
          <w:sz w:val="16"/>
          <w:szCs w:val="16"/>
          <w:color w:val="auto"/>
        </w:rPr>
        <w:t>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Our originating bank partner then originates a loan to the consumer once the transaction is confirmed by the merchant. The non-integrated merchants are charged interchange fees by the issuer processor for virtual debit card transactions,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consisted of the following components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76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49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2022</w:t>
            </w:r>
          </w:p>
        </w:tc>
      </w:tr>
      <w:tr>
        <w:trPr>
          <w:trHeight w:val="22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unpaid principal balance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379,755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266,868</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Amortization of discount on loans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w w:val="98"/>
              </w:rPr>
              <w:t>116,937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138,853</w:t>
            </w:r>
          </w:p>
        </w:tc>
      </w:tr>
      <w:tr>
        <w:trPr>
          <w:trHeight w:val="22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premiums on loans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(13,469)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r>
      <w:tr>
        <w:trPr>
          <w:trHeight w:val="230"/>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receivable charged-off, net of recoveries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2"/>
              </w:rPr>
              <w:t>(12,830)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w:t>
            </w:r>
          </w:p>
        </w:tc>
      </w:tr>
      <w:tr>
        <w:trPr>
          <w:trHeight w:val="248"/>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134,599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8"/>
              </w:rPr>
              <w:t>470,393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390,256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March 31, 2023 and June 30, 2022, the balance of loans held for investment on non-accrual status was $1.3 million and $1.7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3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as the difference between the proceeds received and the carrying value of the loan, adjusted for the initial recognition of any assets or liabilities incurred upon sale, which generally include a net servicing asset or liability in connection with our ongoing obligation to continue to service the loans and a recourse liability based on our estimate of future losses in connection with our obligation to repurchase loans that do not meet certain contractual requirements and such information about the loan was unknown at the time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33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Servicing income also includes fair value adjustments for servicing assets and servicing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held for investment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2023</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Unpaid principal balance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3,823,038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2,516,733</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33,997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20,697</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on loans held for investment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Less: Discount due to loss on loan purchase commitment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(45,368)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(20,692)</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Discount due to loss on directly originated loans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(20,443)</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Fair value adjustment on loans acquired through business combination</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 held for investment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3,775,542</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2,503,561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$3.7 billion and $11.7 billion during the three and nine months ended March 31, 2023, respectively, and $3.0 billion and $8.6 billion during the three and nine months ended March 31, 2022, respectively.</w:t>
      </w:r>
    </w:p>
    <w:p>
      <w:pPr>
        <w:spacing w:after="0" w:line="21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These loans have a variety of lending terms as well as maturities ranging from one to sixty months. Given that our loan portfolio focuses on one product segment, point-of-sale unsecured installment loans, we generally evaluate the entire portfolio as a single homogeneous loan portfolio and make merchant or program specific adjustments as necessary.</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w:t>
      </w:r>
      <w:r>
        <w:rPr>
          <w:rFonts w:ascii="Arial" w:cs="Arial" w:eastAsia="Arial" w:hAnsi="Arial"/>
          <w:sz w:val="15"/>
          <w:szCs w:val="15"/>
          <w:color w:val="auto"/>
        </w:rPr>
        <w:t>’</w:t>
      </w:r>
      <w:r>
        <w:rPr>
          <w:rFonts w:ascii="Arial" w:cs="Arial" w:eastAsia="Arial" w:hAnsi="Arial"/>
          <w:sz w:val="17"/>
          <w:szCs w:val="17"/>
          <w:color w:val="auto"/>
        </w:rPr>
        <w:t>s attributes that are shown to be predictive of both willingness and ability to repay including, but not limited to: basic features of a consumer</w:t>
      </w:r>
      <w:r>
        <w:rPr>
          <w:rFonts w:ascii="Arial" w:cs="Arial" w:eastAsia="Arial" w:hAnsi="Arial"/>
          <w:sz w:val="15"/>
          <w:szCs w:val="15"/>
          <w:color w:val="auto"/>
        </w:rPr>
        <w:t>’</w:t>
      </w:r>
      <w:r>
        <w:rPr>
          <w:rFonts w:ascii="Arial" w:cs="Arial" w:eastAsia="Arial" w:hAnsi="Arial"/>
          <w:sz w:val="17"/>
          <w:szCs w:val="17"/>
          <w:color w:val="auto"/>
        </w:rPr>
        <w:t>s credit profile, a consumer</w:t>
      </w:r>
      <w:r>
        <w:rPr>
          <w:rFonts w:ascii="Arial" w:cs="Arial" w:eastAsia="Arial" w:hAnsi="Arial"/>
          <w:sz w:val="15"/>
          <w:szCs w:val="15"/>
          <w:color w:val="auto"/>
        </w:rPr>
        <w:t>’</w:t>
      </w:r>
      <w:r>
        <w:rPr>
          <w:rFonts w:ascii="Arial" w:cs="Arial" w:eastAsia="Arial" w:hAnsi="Arial"/>
          <w:sz w:val="17"/>
          <w:szCs w:val="17"/>
          <w:color w:val="auto"/>
        </w:rPr>
        <w:t>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excluding accrued interest receivable, by fiscal year of origination on loans held for investment and loans held for sale (in thousands) as of March 31, 2023: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140" w:type="dxa"/>
            <w:vAlign w:val="bottom"/>
            <w:tcBorders>
              <w:top w:val="single" w:sz="8" w:color="auto"/>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3"/>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2,185,767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2,322,665</w:t>
            </w:r>
          </w:p>
        </w:tc>
      </w:tr>
      <w:tr>
        <w:trPr>
          <w:trHeight w:val="229"/>
        </w:trPr>
        <w:tc>
          <w:tcPr>
            <w:tcW w:w="2080" w:type="dxa"/>
            <w:vAlign w:val="bottom"/>
          </w:tcPr>
          <w:p>
            <w:pPr>
              <w:ind w:left="20"/>
              <w:spacing w:after="0"/>
              <w:rPr>
                <w:sz w:val="20"/>
                <w:szCs w:val="20"/>
                <w:color w:val="auto"/>
              </w:rPr>
            </w:pPr>
            <w:r>
              <w:rPr>
                <w:rFonts w:ascii="Arial" w:cs="Arial" w:eastAsia="Arial" w:hAnsi="Arial"/>
                <w:sz w:val="18"/>
                <w:szCs w:val="18"/>
                <w:color w:val="auto"/>
              </w:rPr>
              <w:t>94-96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905,258</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107,785</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&lt;90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19,589</w:t>
            </w:r>
          </w:p>
        </w:tc>
      </w:tr>
      <w:tr>
        <w:trPr>
          <w:trHeight w:val="229"/>
        </w:trPr>
        <w:tc>
          <w:tcPr>
            <w:tcW w:w="2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 score</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386,419</w:t>
            </w: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w w:val="97"/>
              </w:rPr>
              <w:t>Total amortized cost basis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3,452,231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10,796</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3,741,716</w:t>
            </w: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21" w:lineRule="exact"/>
        <w:rPr>
          <w:sz w:val="20"/>
          <w:szCs w:val="20"/>
          <w:color w:val="auto"/>
        </w:rPr>
      </w:pPr>
    </w:p>
    <w:p>
      <w:pPr>
        <w:ind w:left="660" w:right="360" w:hanging="328"/>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new markets without sufficient data currently available for use by the Affirm scoring methodology including loan receivables originated in Canada.</w:t>
      </w:r>
    </w:p>
    <w:p>
      <w:pPr>
        <w:spacing w:after="0" w:line="229"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7"/>
          <w:szCs w:val="17"/>
          <w:color w:val="auto"/>
        </w:rPr>
        <w:t>The following table presents net charge-offs by fiscal year of origination for the nine months ended (in thousands) as of March 31, 2023:</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6"/>
                <w:szCs w:val="16"/>
                <w:b w:val="1"/>
                <w:bCs w:val="1"/>
                <w:color w:val="auto"/>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Prior</w:t>
            </w:r>
          </w:p>
        </w:tc>
        <w:tc>
          <w:tcPr>
            <w:tcW w:w="260" w:type="dxa"/>
            <w:vAlign w:val="bottom"/>
          </w:tcPr>
          <w:p>
            <w:pPr>
              <w:spacing w:after="0"/>
              <w:rPr>
                <w:sz w:val="19"/>
                <w:szCs w:val="19"/>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period charge-offs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87"/>
              </w:rPr>
              <w:t>(6,115)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3"/>
              </w:rPr>
              <w:t>(74)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3"/>
              </w:rPr>
              <w:t>(26)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(227,886)</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recoveries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88"/>
              </w:rPr>
              <w:t>4,000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22,868</w:t>
            </w:r>
          </w:p>
        </w:tc>
        <w:tc>
          <w:tcPr>
            <w:tcW w:w="0" w:type="dxa"/>
            <w:vAlign w:val="bottom"/>
          </w:tcPr>
          <w:p>
            <w:pPr>
              <w:spacing w:after="0"/>
              <w:rPr>
                <w:sz w:val="1"/>
                <w:szCs w:val="1"/>
                <w:color w:val="auto"/>
              </w:rPr>
            </w:pPr>
          </w:p>
        </w:tc>
      </w:tr>
      <w:tr>
        <w:trPr>
          <w:trHeight w:val="155"/>
        </w:trPr>
        <w:tc>
          <w:tcPr>
            <w:tcW w:w="2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Current period net charge-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(56,272)</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(148,487)</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center"/>
              <w:ind w:left="270"/>
              <w:spacing w:after="0"/>
              <w:rPr>
                <w:sz w:val="20"/>
                <w:szCs w:val="20"/>
                <w:color w:val="auto"/>
              </w:rPr>
            </w:pPr>
            <w:r>
              <w:rPr>
                <w:rFonts w:ascii="Arial" w:cs="Arial" w:eastAsia="Arial" w:hAnsi="Arial"/>
                <w:sz w:val="18"/>
                <w:szCs w:val="18"/>
                <w:color w:val="auto"/>
                <w:w w:val="87"/>
              </w:rPr>
              <w:t>(2,115)</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(205,018)</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excluding accrued interest receivable, by fiscal year of origination on loans held for investment and loans held for sale (in thousands) as of June 30, 2022: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020" w:type="dxa"/>
            <w:vAlign w:val="bottom"/>
            <w:tcBorders>
              <w:top w:val="single" w:sz="8" w:color="auto"/>
              <w:bottom w:val="single" w:sz="8" w:color="auto"/>
            </w:tcBorders>
            <w:gridSpan w:val="11"/>
          </w:tcPr>
          <w:p>
            <w:pPr>
              <w:ind w:left="520"/>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3"/>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1,374,223</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94-96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620,403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632,431</w:t>
            </w:r>
          </w:p>
        </w:tc>
      </w:tr>
      <w:tr>
        <w:trPr>
          <w:trHeight w:val="230"/>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223,952</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&lt;90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44,437</w:t>
            </w:r>
          </w:p>
        </w:tc>
      </w:tr>
      <w:tr>
        <w:trPr>
          <w:trHeight w:val="230"/>
        </w:trPr>
        <w:tc>
          <w:tcPr>
            <w:tcW w:w="2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 score</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210,491</w:t>
            </w:r>
          </w:p>
        </w:tc>
      </w:tr>
      <w:tr>
        <w:trPr>
          <w:trHeight w:val="223"/>
        </w:trPr>
        <w:tc>
          <w:tcPr>
            <w:tcW w:w="2080" w:type="dxa"/>
            <w:vAlign w:val="bottom"/>
          </w:tcPr>
          <w:p>
            <w:pPr>
              <w:ind w:left="20"/>
              <w:spacing w:after="0"/>
              <w:rPr>
                <w:sz w:val="20"/>
                <w:szCs w:val="20"/>
                <w:color w:val="auto"/>
              </w:rPr>
            </w:pPr>
            <w:r>
              <w:rPr>
                <w:rFonts w:ascii="Arial" w:cs="Arial" w:eastAsia="Arial" w:hAnsi="Arial"/>
                <w:sz w:val="18"/>
                <w:szCs w:val="18"/>
                <w:color w:val="auto"/>
                <w:w w:val="97"/>
              </w:rPr>
              <w:t>Total amortized cost basis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2,288,907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2,485,534</w:t>
            </w:r>
          </w:p>
        </w:tc>
      </w:tr>
      <w:tr>
        <w:trPr>
          <w:trHeight w:val="20"/>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21" w:lineRule="exact"/>
        <w:rPr>
          <w:sz w:val="20"/>
          <w:szCs w:val="20"/>
          <w:color w:val="auto"/>
        </w:rPr>
      </w:pPr>
    </w:p>
    <w:p>
      <w:pPr>
        <w:ind w:left="660" w:right="360" w:hanging="328"/>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new markets without sufficient data currently available for use by the Affirm scoring methodology including loan receivables originated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2023</w:t>
            </w:r>
          </w:p>
        </w:tc>
        <w:tc>
          <w:tcPr>
            <w:tcW w:w="300" w:type="dxa"/>
            <w:vAlign w:val="bottom"/>
          </w:tcPr>
          <w:p>
            <w:pPr>
              <w:spacing w:after="0"/>
              <w:rPr>
                <w:sz w:val="18"/>
                <w:szCs w:val="18"/>
                <w:color w:val="auto"/>
              </w:rPr>
            </w:pPr>
          </w:p>
        </w:tc>
        <w:tc>
          <w:tcPr>
            <w:tcW w:w="1620" w:type="dxa"/>
            <w:vAlign w:val="bottom"/>
          </w:tcPr>
          <w:p>
            <w:pPr>
              <w:jc w:val="right"/>
              <w:ind w:right="391"/>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Non-delinquent loans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3,587,516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2,322,919</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4 – 29 calendar days past due</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68,344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77,963</w:t>
            </w:r>
          </w:p>
        </w:tc>
      </w:tr>
      <w:tr>
        <w:trPr>
          <w:trHeight w:val="23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 – 59 calendar days past due</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34,669</w:t>
            </w:r>
          </w:p>
        </w:tc>
      </w:tr>
      <w:tr>
        <w:trPr>
          <w:trHeight w:val="229"/>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60 – 89 calendar days past due</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27,888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26,919</w:t>
            </w:r>
          </w:p>
        </w:tc>
      </w:tr>
      <w:tr>
        <w:trPr>
          <w:trHeight w:val="229"/>
        </w:trPr>
        <w:tc>
          <w:tcPr>
            <w:tcW w:w="72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90 – 119 calendar days past due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23,064</w:t>
            </w:r>
          </w:p>
        </w:tc>
      </w:tr>
      <w:tr>
        <w:trPr>
          <w:trHeight w:val="223"/>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Total amortized cost basis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3,741,716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2,485,534</w:t>
            </w:r>
          </w:p>
        </w:tc>
      </w:tr>
      <w:tr>
        <w:trPr>
          <w:trHeight w:val="20"/>
        </w:trPr>
        <w:tc>
          <w:tcPr>
            <w:tcW w:w="2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121" w:lineRule="exact"/>
        <w:rPr>
          <w:sz w:val="20"/>
          <w:szCs w:val="20"/>
          <w:color w:val="auto"/>
        </w:rPr>
      </w:pPr>
    </w:p>
    <w:p>
      <w:pPr>
        <w:ind w:left="660" w:right="200" w:hanging="328"/>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$24.6 million and $22.7 million of loan receivables as of March 31, 2023 and June 30, 2022, respectively, that are 90 days or more past due, but are not on nonaccrual status.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maintain an allowance for credit losses at a level sufficient to absorb expected credit losses based on evaluating known and inherent risks in our loan portfolio. The allowance for credit losses is determined based on our current estimate of expected credit losses over the remaining contractual term, historical credit losses, consumer payment trends, estimates of recoveries, and future expectations as of each balance sheet date. Adjustments to the allowance each period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following table details activity in the allowance for credit losses, including charge-offs, recoveries and provision for loan losses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09"/>
        </w:trPr>
        <w:tc>
          <w:tcPr>
            <w:tcW w:w="5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117,760</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225,962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172,720</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(145,307)</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 of charged-off receivables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w:t>
            </w: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159,475</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56"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During the nine months ended March 31, 2023 and 2022, there was one acquisition accounted for as business combination in each of the respective years, discussed further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completed during the three and nine months ended March 31,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Butter Holdings Ltd</w:t>
      </w:r>
    </w:p>
    <w:p>
      <w:pPr>
        <w:spacing w:after="0" w:line="239" w:lineRule="exact"/>
        <w:rPr>
          <w:sz w:val="20"/>
          <w:szCs w:val="20"/>
          <w:color w:val="auto"/>
        </w:rPr>
      </w:pPr>
    </w:p>
    <w:p>
      <w:pPr>
        <w:ind w:right="120" w:firstLine="648"/>
        <w:spacing w:after="0" w:line="249" w:lineRule="auto"/>
        <w:rPr>
          <w:sz w:val="20"/>
          <w:szCs w:val="20"/>
          <w:color w:val="auto"/>
        </w:rPr>
      </w:pPr>
      <w:r>
        <w:rPr>
          <w:rFonts w:ascii="Arial" w:cs="Arial" w:eastAsia="Arial" w:hAnsi="Arial"/>
          <w:sz w:val="18"/>
          <w:szCs w:val="18"/>
          <w:color w:val="auto"/>
        </w:rPr>
        <w:t>On February 1, 2023, we completed the closing of the transaction contemplated by a share purchase agreement entered into with certain sellers to acquire the entire issued share capital of Butter Holdings Ltd., (“Butter”) a buy now, pay later company based in the United Kingdom. The purchase price was comprised of (i) $14.9 million in cash, subject to adjustments in accordance with the purchase agreement, and (ii) $1.5 million settlement of subordinated secured notes.</w:t>
      </w:r>
    </w:p>
    <w:p>
      <w:pPr>
        <w:spacing w:after="0" w:line="221"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acquisition date fair value of the consideration transferred for Butter was approximately $16.3 million, which consisted of the following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14,863</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of subordinated secured notes</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The goodwill is not expected to be deductible for income tax purposes.</w:t>
      </w:r>
    </w:p>
    <w:p>
      <w:pPr>
        <w:spacing w:after="0" w:line="228"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following table summarizes the allocation of the consideration paid of approximately $16.3 million to the fair values of the assets acquired and liabilities assumed at the acquisition date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Loans held for investment, net</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9,243</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3"/>
        </w:trPr>
        <w:tc>
          <w:tcPr>
            <w:tcW w:w="9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10,385</w:t>
            </w:r>
          </w:p>
        </w:tc>
      </w:tr>
      <w:tr>
        <w:trPr>
          <w:trHeight w:val="22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liabilities</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r>
      <w:tr>
        <w:trPr>
          <w:trHeight w:val="223"/>
        </w:trPr>
        <w:tc>
          <w:tcPr>
            <w:tcW w:w="9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6,894</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r>
      <w:tr>
        <w:trPr>
          <w:trHeight w:val="21"/>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2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Lending license</w:t>
            </w:r>
          </w:p>
        </w:tc>
        <w:tc>
          <w:tcPr>
            <w:tcW w:w="130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9,243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fair value of the intangible asset was determined by applying the with-and-without method. The fair value measurements are based on significant unobservable inputs, including management estimates and assumptions, and thus represents Level 3 measurements.</w:t>
      </w:r>
    </w:p>
    <w:p>
      <w:pPr>
        <w:spacing w:after="0" w:line="160" w:lineRule="exact"/>
        <w:rPr>
          <w:sz w:val="20"/>
          <w:szCs w:val="20"/>
          <w:color w:val="auto"/>
        </w:rPr>
      </w:pPr>
    </w:p>
    <w:p>
      <w:pPr>
        <w:jc w:val="both"/>
        <w:ind w:right="120" w:firstLine="648"/>
        <w:spacing w:after="0" w:line="256" w:lineRule="auto"/>
        <w:rPr>
          <w:sz w:val="20"/>
          <w:szCs w:val="20"/>
          <w:color w:val="auto"/>
        </w:rPr>
      </w:pPr>
      <w:r>
        <w:rPr>
          <w:rFonts w:ascii="Arial" w:cs="Arial" w:eastAsia="Arial" w:hAnsi="Arial"/>
          <w:sz w:val="18"/>
          <w:szCs w:val="18"/>
          <w:color w:val="auto"/>
        </w:rPr>
        <w:t>The transaction costs associated with the acquisition were immaterial for the three months ended March 31, 2023 and approximately $1.7 million for the nine months ended March 31, 2023, which are included in general and administrative expense in the interim consolidated statements of operations and comprehensive loss.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completed during the nine months ended March 31, 2022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ShopBrain</w:t>
      </w:r>
    </w:p>
    <w:p>
      <w:pPr>
        <w:spacing w:after="0" w:line="256" w:lineRule="exact"/>
        <w:rPr>
          <w:sz w:val="20"/>
          <w:szCs w:val="20"/>
          <w:color w:val="auto"/>
        </w:rPr>
      </w:pPr>
    </w:p>
    <w:p>
      <w:pPr>
        <w:ind w:right="60" w:firstLine="648"/>
        <w:spacing w:after="0" w:line="249" w:lineRule="auto"/>
        <w:rPr>
          <w:sz w:val="20"/>
          <w:szCs w:val="20"/>
          <w:color w:val="auto"/>
        </w:rPr>
      </w:pPr>
      <w:r>
        <w:rPr>
          <w:rFonts w:ascii="Arial" w:cs="Arial" w:eastAsia="Arial" w:hAnsi="Arial"/>
          <w:sz w:val="18"/>
          <w:szCs w:val="18"/>
          <w:color w:val="auto"/>
        </w:rPr>
        <w:t>On July 1, 2021, we completed the acquisition of technology and intellectual property from Yroo, Inc. and entered into employment arrangements with certain of its employees (“the ShopBrain acquisition”). Yroo, Inc. is a data aggregation and cataloging technology company based in Canada (“ShopBrain”). The purchase price was comprised of (i) $30.0 million in cash and (ii) 151,745 shares of our Class A common stock issued to the shareholders of ShopBrain at closing.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acquisition date fair value of the consideration transferred was approximately $40.0 million, which consisted of the following (in thousands):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30"/>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Class A common stock transferred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648"/>
        <w:spacing w:after="0" w:line="249" w:lineRule="auto"/>
        <w:rPr>
          <w:sz w:val="20"/>
          <w:szCs w:val="20"/>
          <w:color w:val="auto"/>
        </w:rPr>
      </w:pPr>
      <w:r>
        <w:rPr>
          <w:rFonts w:ascii="Arial" w:cs="Arial" w:eastAsia="Arial" w:hAnsi="Arial"/>
          <w:sz w:val="18"/>
          <w:szCs w:val="18"/>
          <w:color w:val="auto"/>
        </w:rPr>
        <w:t>The acquisition was accounted for as a business combination and reflects the application of acquisition accounting in accordance with ASC 805. The acquired identifiable intangible assets have been recorded at their estimated fair values with the excess purchase price assigned to goodwill. The goodwill was primarily attributed to future synergies from integration and the value of the assembled workforce. The goodwill is expected to be deductible for income tax purposes.</w:t>
      </w:r>
    </w:p>
    <w:p>
      <w:pPr>
        <w:spacing w:after="0" w:line="20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the allocation of the consideration paid of approximately $40.0 million to the fair values of the assets acquired and liabilities assumed at the acquisition date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9,488</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30,512</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Fair Value</w:t>
            </w:r>
          </w:p>
        </w:tc>
        <w:tc>
          <w:tcPr>
            <w:tcW w:w="18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7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26"/>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The fair values of the intangible assets were determined by applying the replacement cost method. The fair value measurements are based on significant unobservable inputs, including management estimates and assumptions, and thus represents Level 3 measurements.</w:t>
      </w:r>
    </w:p>
    <w:p>
      <w:pPr>
        <w:spacing w:after="0" w:line="16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The transaction costs associated with the acquisition were approximately $0.2 million for the nine months ended March 31, 2022, which are included in general and administrative expense within the interim condensed consolidated statements of operations and comprehensive loss. There were no transaction costs associated with the acquisition for the three months ended March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w:t>
      </w:r>
    </w:p>
    <w:p>
      <w:pPr>
        <w:spacing w:after="0" w:line="256"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On April 19, 2022, we completed the closing of the transaction contemplated by a Release and Waiver Agreement entered into with Fast AF, Inc., (“Fast”) relating to the hiring of certain of its employees or service providers and an option to acquire certain of its assets. The purchase price was comprised of (i) $10.0 million in cash and (ii) forgiveness of a $15.0 million senior secured note issued to Fast in April 2022 prior to the closing.</w:t>
      </w:r>
    </w:p>
    <w:p>
      <w:pPr>
        <w:spacing w:after="0" w:line="14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The acquisition was accounted for as an asset acquisition in accordance with ASC 805 since the assets acquired do not meet the definition of a business. The acquired identifiable intangible assets have been recorded at a total cost of $25.4 million, which includes approximately $0.4 million of transaction costs associated with the acquisition. The excess of the total cost of the assets over their total fair value was allocated between the assets on the basis of their relative fair values. The fair values of the intangible assets were determined by applying the replacement cost method. The fair value measurements are based on significant unobservable inputs, including management estimates and assumptions, and thus represent Level 3 measurements.</w:t>
      </w:r>
    </w:p>
    <w:p>
      <w:pPr>
        <w:spacing w:after="0" w:line="17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sets forth the identifiable intangible assets acquired and the cost allocated to each asset as of the date of acquisition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r>
      <w:tr>
        <w:trPr>
          <w:trHeight w:val="230"/>
        </w:trPr>
        <w:tc>
          <w:tcPr>
            <w:tcW w:w="9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Developed technology</w:t>
            </w:r>
            <w:r>
              <w:rPr>
                <w:rFonts w:ascii="Arial" w:cs="Arial" w:eastAsia="Arial" w:hAnsi="Arial"/>
                <w:sz w:val="23"/>
                <w:szCs w:val="23"/>
                <w:color w:val="auto"/>
                <w:vertAlign w:val="superscript"/>
              </w:rPr>
              <w:t>1</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w:t>
            </w:r>
          </w:p>
        </w:tc>
      </w:tr>
      <w:tr>
        <w:trPr>
          <w:trHeight w:val="24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25,415</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2240" w:type="dxa"/>
            <w:vAlign w:val="bottom"/>
            <w:tcBorders>
              <w:bottom w:val="single" w:sz="8" w:color="auto"/>
            </w:tcBorders>
          </w:tcPr>
          <w:p>
            <w:pPr>
              <w:spacing w:after="0"/>
              <w:rPr>
                <w:sz w:val="15"/>
                <w:szCs w:val="15"/>
                <w:color w:val="auto"/>
              </w:rPr>
            </w:pPr>
          </w:p>
        </w:tc>
        <w:tc>
          <w:tcPr>
            <w:tcW w:w="7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8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On March 10, 2023, we completed the purchase of the developed technology intangible asset.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52" w:lineRule="exact"/>
        <w:rPr>
          <w:sz w:val="20"/>
          <w:szCs w:val="20"/>
          <w:color w:val="auto"/>
        </w:rPr>
      </w:pPr>
    </w:p>
    <w:p>
      <w:pPr>
        <w:ind w:right="260" w:firstLine="648"/>
        <w:spacing w:after="0" w:line="284" w:lineRule="auto"/>
        <w:rPr>
          <w:sz w:val="20"/>
          <w:szCs w:val="20"/>
          <w:color w:val="auto"/>
        </w:rPr>
      </w:pPr>
      <w:r>
        <w:rPr>
          <w:rFonts w:ascii="Arial" w:cs="Arial" w:eastAsia="Arial" w:hAnsi="Arial"/>
          <w:sz w:val="17"/>
          <w:szCs w:val="17"/>
          <w:color w:val="auto"/>
        </w:rPr>
        <w:t>Our accounts receivable consist primarily of amounts due from payment processors, merchant partners, affiliate network partners and servicing fees due from third-party loan owners. We evaluate accounts receivable to determine management’s current estimate of expected credit losses based on historical experience and future expectations and record an allowance for credit losses, as applicable. Our allowance for credit losses with respect to accounts receivable was $12.3 million and $13.9 million as of March 31, 2023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equipment and software, net consisted of the following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2023</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344,497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200,621</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16,169</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equipment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at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231,820</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(60,338)</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171,482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firstLine="648"/>
        <w:spacing w:after="0" w:line="324" w:lineRule="auto"/>
        <w:rPr>
          <w:sz w:val="20"/>
          <w:szCs w:val="20"/>
          <w:color w:val="auto"/>
        </w:rPr>
      </w:pPr>
      <w:r>
        <w:rPr>
          <w:rFonts w:ascii="Arial" w:cs="Arial" w:eastAsia="Arial" w:hAnsi="Arial"/>
          <w:sz w:val="17"/>
          <w:szCs w:val="17"/>
          <w:color w:val="auto"/>
        </w:rPr>
        <w:t>Depreciation and amortization expense on property, equipment and software was $23.9 million and $53.0 million for the three and nine months ended March 31, 2023, respectively, and $7.6 million and $19.2 million for the three and nine months ended March 31, 2022, respectively.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impairment losses related to property, equipment and software were recorded during the three and nine months ended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during the nine months ended March 31, 2023 were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539,534</w:t>
            </w:r>
          </w:p>
        </w:tc>
      </w:tr>
      <w:tr>
        <w:trPr>
          <w:trHeight w:val="230"/>
        </w:trPr>
        <w:tc>
          <w:tcPr>
            <w:tcW w:w="9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9,443</w:t>
            </w:r>
          </w:p>
        </w:tc>
      </w:tr>
      <w:tr>
        <w:trPr>
          <w:trHeight w:val="230"/>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foreign currency translation</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(11,851)</w:t>
            </w:r>
          </w:p>
        </w:tc>
      </w:tr>
      <w:tr>
        <w:trPr>
          <w:trHeight w:val="223"/>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Balance as of March 31, 2023</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537,126</w:t>
            </w:r>
          </w:p>
        </w:tc>
      </w:tr>
      <w:tr>
        <w:trPr>
          <w:trHeight w:val="20"/>
        </w:trPr>
        <w:tc>
          <w:tcPr>
            <w:tcW w:w="22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2240" w:type="dxa"/>
            <w:vAlign w:val="bottom"/>
            <w:tcBorders>
              <w:bottom w:val="single" w:sz="8" w:color="auto"/>
            </w:tcBorders>
          </w:tcPr>
          <w:p>
            <w:pPr>
              <w:spacing w:after="0"/>
              <w:rPr>
                <w:sz w:val="18"/>
                <w:szCs w:val="18"/>
                <w:color w:val="auto"/>
              </w:rPr>
            </w:pPr>
          </w:p>
        </w:tc>
        <w:tc>
          <w:tcPr>
            <w:tcW w:w="7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spacing w:after="0" w:line="7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Refer to Note 5. Acquisitions for a description of additions to goodwill during the nine months ended March 31, 2023.</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color w:val="auto"/>
        </w:rPr>
        <w:t>No impairment losses related to goodwill were recorded during the three and nine months ended March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ind w:left="1000"/>
              <w:spacing w:after="0"/>
              <w:rPr>
                <w:sz w:val="20"/>
                <w:szCs w:val="20"/>
                <w:color w:val="auto"/>
              </w:rPr>
            </w:pPr>
            <w:r>
              <w:rPr>
                <w:rFonts w:ascii="Arial" w:cs="Arial" w:eastAsia="Arial" w:hAnsi="Arial"/>
                <w:sz w:val="16"/>
                <w:szCs w:val="16"/>
                <w:b w:val="1"/>
                <w:bCs w:val="1"/>
                <w:color w:val="auto"/>
              </w:rPr>
              <w:t>March 31, 2023</w:t>
            </w: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Accumulated</w:t>
            </w: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vMerge w:val="restart"/>
          </w:tcPr>
          <w:p>
            <w:pPr>
              <w:jc w:val="right"/>
              <w:ind w:right="671"/>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 Useful Life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Amortization</w:t>
            </w:r>
          </w:p>
        </w:tc>
        <w:tc>
          <w:tcPr>
            <w:tcW w:w="6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(26,159)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13,340</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June 30, 2022</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Accumulated</w:t>
            </w: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vMerge w:val="restart"/>
          </w:tcPr>
          <w:p>
            <w:pPr>
              <w:jc w:val="right"/>
              <w:ind w:right="671"/>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 Useful Life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Amortization</w:t>
            </w:r>
          </w:p>
        </w:tc>
        <w:tc>
          <w:tcPr>
            <w:tcW w:w="6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(15,882)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23,900</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Amortization expense for intangible assets was $23.6 million and $38.4 million for the three and nine months ended March 31, 2023, respectively, and $5.5 million and $16.4 million for the three and nine months ended March 31, 2022, respectively. No impairment losses related to intangible assets were recorded during the three and nine months ended March 31, 2023 and 2022.</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future amortization expense of these intangible assets as of March 31, 2023 is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25,910</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10,260</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2026</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36,495</w:t>
            </w:r>
          </w:p>
        </w:tc>
      </w:tr>
      <w:tr>
        <w:trPr>
          <w:trHeight w:val="20"/>
        </w:trPr>
        <w:tc>
          <w:tcPr>
            <w:tcW w:w="9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 Assets</w:t>
      </w:r>
    </w:p>
    <w:p>
      <w:pPr>
        <w:spacing w:after="0" w:line="239" w:lineRule="exact"/>
        <w:rPr>
          <w:sz w:val="20"/>
          <w:szCs w:val="20"/>
          <w:color w:val="auto"/>
        </w:rPr>
      </w:pPr>
    </w:p>
    <w:p>
      <w:pPr>
        <w:ind w:firstLine="648"/>
        <w:spacing w:after="0" w:line="274" w:lineRule="auto"/>
        <w:rPr>
          <w:sz w:val="20"/>
          <w:szCs w:val="20"/>
          <w:color w:val="auto"/>
        </w:rPr>
      </w:pPr>
      <w:r>
        <w:rPr>
          <w:rFonts w:ascii="Arial" w:cs="Arial" w:eastAsia="Arial" w:hAnsi="Arial"/>
          <w:sz w:val="16"/>
          <w:szCs w:val="16"/>
          <w:color w:val="auto"/>
        </w:rPr>
        <w:t>During the year ended June 30, 2022,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approximate 3.2 year term of the commercial agreement at the grant date. For the three and nine months ended March 31, 2023, we recognized amortization expense of $10.2 million and $31.1 million, respectively, and $10.2 million and $16.0 million for the three and nine months ended March 31, 2022 in our interim condensed consolidated statements of operations and comprehensive loss as a component of sales and marketing expense. Refer to Note 15. Stockholders’ Equity for further discussion of the warrants.</w:t>
      </w:r>
    </w:p>
    <w:p>
      <w:pPr>
        <w:spacing w:after="0" w:line="177" w:lineRule="exact"/>
        <w:rPr>
          <w:sz w:val="20"/>
          <w:szCs w:val="20"/>
          <w:color w:val="auto"/>
        </w:rPr>
      </w:pPr>
    </w:p>
    <w:p>
      <w:pPr>
        <w:ind w:right="60" w:firstLine="648"/>
        <w:spacing w:after="0" w:line="271" w:lineRule="auto"/>
        <w:rPr>
          <w:sz w:val="20"/>
          <w:szCs w:val="20"/>
          <w:color w:val="auto"/>
        </w:rPr>
      </w:pPr>
      <w:r>
        <w:rPr>
          <w:rFonts w:ascii="Arial" w:cs="Arial" w:eastAsia="Arial" w:hAnsi="Arial"/>
          <w:sz w:val="16"/>
          <w:szCs w:val="16"/>
          <w:color w:val="auto"/>
        </w:rPr>
        <w:t>During the year ended June 30, 2021,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March 31, 2023. The expected benefit period of the asset was initially estimated to be four years, and the remaining useful life of the asset is reevaluated each reporting period. During fiscal year 2022, the remaining expected benefit period was extended by two years upon the execution of an amendment to the commercial agreement with Shopify which extended the term of the agreement. During the three and nine months ended March 31, 2023, we recorded amortization expense related to the commercial agreement asset of $8.8 million and $26.9 million, respectively, and $16.7 million and $50.7 million for the three and nine months ended March 31, 2022, respectively, in our interim condensed consolidated statements of operations and comprehensive loss as a component of sales and marketing expense.</w:t>
      </w:r>
    </w:p>
    <w:p>
      <w:pPr>
        <w:spacing w:after="0" w:line="196"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During the year ended June 30,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and nine months ended March 31, 2023, we recorded amortization expense related to the asset of $2.0 million and $6.2 million, respectively, and $2.0 million and $6.0 million for the three and nine months ended March 31, 2022, respectively, in our interim condensed consolidated statements of operations and comprehensive loss as a component of sales and marketing expense.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 consisted of the following (in thousands):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2023</w:t>
            </w:r>
          </w:p>
        </w:tc>
        <w:tc>
          <w:tcPr>
            <w:tcW w:w="320" w:type="dxa"/>
            <w:vAlign w:val="bottom"/>
          </w:tcPr>
          <w:p>
            <w:pPr>
              <w:spacing w:after="0"/>
              <w:rPr>
                <w:sz w:val="18"/>
                <w:szCs w:val="18"/>
                <w:color w:val="auto"/>
              </w:rPr>
            </w:pPr>
          </w:p>
        </w:tc>
        <w:tc>
          <w:tcPr>
            <w:tcW w:w="1700" w:type="dxa"/>
            <w:vAlign w:val="bottom"/>
          </w:tcPr>
          <w:p>
            <w:pPr>
              <w:jc w:val="right"/>
              <w:ind w:right="451"/>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Processing reserves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26,483</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49,983</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at cost</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43,172</w:t>
            </w: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34,054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50,671</w:t>
            </w: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37,497</w:t>
            </w:r>
          </w:p>
        </w:tc>
      </w:tr>
      <w:tr>
        <w:trPr>
          <w:trHeight w:val="23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73,761</w:t>
            </w:r>
          </w:p>
        </w:tc>
      </w:tr>
      <w:tr>
        <w:trPr>
          <w:trHeight w:val="248"/>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281,567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2023</w:t>
            </w:r>
          </w:p>
        </w:tc>
        <w:tc>
          <w:tcPr>
            <w:tcW w:w="320" w:type="dxa"/>
            <w:vAlign w:val="bottom"/>
          </w:tcPr>
          <w:p>
            <w:pPr>
              <w:spacing w:after="0"/>
              <w:rPr>
                <w:sz w:val="18"/>
                <w:szCs w:val="18"/>
                <w:color w:val="auto"/>
              </w:rPr>
            </w:pPr>
          </w:p>
        </w:tc>
        <w:tc>
          <w:tcPr>
            <w:tcW w:w="1720" w:type="dxa"/>
            <w:vAlign w:val="bottom"/>
          </w:tcPr>
          <w:p>
            <w:pPr>
              <w:jc w:val="right"/>
              <w:ind w:right="472"/>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65,713</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Collateral held for derivative instruments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52,219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55,779</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48,763</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237,598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nine months to one year. As of March 31, 2023, we have not considered such provisions in the determination of the lease term, as it is not reasonably certain these options will be exercised. Leases have remaining terms that range from less than one year to eight years.</w:t>
      </w:r>
    </w:p>
    <w:p>
      <w:pPr>
        <w:spacing w:after="0" w:line="214"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$9.7 million as of both March 31, 2023 and June 30, 2022.</w:t>
      </w:r>
    </w:p>
    <w:p>
      <w:pPr>
        <w:spacing w:after="0" w:line="176"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There was no impairment expense incurred related to leases during the three and nine months ended March 31, 2023. For the three and nine months ended March 31, 2022 the impairment expense related to leases was not material to our interim consolidated statement of operations.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expense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3780" w:type="dxa"/>
            <w:vAlign w:val="bottom"/>
            <w:gridSpan w:val="4"/>
          </w:tcPr>
          <w:p>
            <w:pPr>
              <w:ind w:left="720"/>
              <w:spacing w:after="0"/>
              <w:rPr>
                <w:sz w:val="20"/>
                <w:szCs w:val="20"/>
                <w:color w:val="auto"/>
              </w:rPr>
            </w:pPr>
            <w:r>
              <w:rPr>
                <w:rFonts w:ascii="Arial" w:cs="Arial" w:eastAsia="Arial" w:hAnsi="Arial"/>
                <w:sz w:val="16"/>
                <w:szCs w:val="16"/>
                <w:b w:val="1"/>
                <w:bCs w:val="1"/>
                <w:color w:val="auto"/>
              </w:rPr>
              <w:t>Three Months Ended March 31,</w:t>
            </w:r>
          </w:p>
        </w:tc>
        <w:tc>
          <w:tcPr>
            <w:tcW w:w="3680" w:type="dxa"/>
            <w:vAlign w:val="bottom"/>
            <w:gridSpan w:val="3"/>
          </w:tcPr>
          <w:p>
            <w:pPr>
              <w:ind w:left="780"/>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378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2022</w:t>
            </w:r>
          </w:p>
        </w:tc>
      </w:tr>
      <w:tr>
        <w:trPr>
          <w:trHeight w:val="226"/>
        </w:trPr>
        <w:tc>
          <w:tcPr>
            <w:tcW w:w="378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(1)</w:t>
            </w:r>
          </w:p>
        </w:tc>
        <w:tc>
          <w:tcPr>
            <w:tcW w:w="178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$8,325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$15,841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$11,400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14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17" w:lineRule="exact"/>
        <w:rPr>
          <w:sz w:val="20"/>
          <w:szCs w:val="20"/>
          <w:color w:val="auto"/>
        </w:rPr>
      </w:pPr>
    </w:p>
    <w:p>
      <w:pPr>
        <w:ind w:left="660" w:right="320" w:hanging="328"/>
        <w:spacing w:after="0" w:line="234"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During the three and nine months ended March 31, 2023, we incurred charges of $4.7 million, within restructuring charges, net, on our interim consolidated statements of operations, related to a reduction to our ROU lease assets which were attributed to certain leased space we are no longer utilizing for our business operations.</w:t>
      </w:r>
    </w:p>
    <w:p>
      <w:pPr>
        <w:spacing w:after="0" w:line="23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subleased a portion of our leased facilities. Sublease income totaled $0.9 million and $2.6 million during the three and nine months ended March 31, 2023, respectively, and $0.9 million and $2.3 million during the three and nine months ended March 31, 2022,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term and discount rate information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44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March 31, 2023</w:t>
            </w:r>
          </w:p>
        </w:tc>
      </w:tr>
      <w:tr>
        <w:trPr>
          <w:trHeight w:val="226"/>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8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rPr>
              <w:t>4.0</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800" w:type="dxa"/>
            <w:vAlign w:val="bottom"/>
          </w:tcPr>
          <w:p>
            <w:pPr>
              <w:jc w:val="right"/>
              <w:ind w:right="633"/>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660"/>
              <w:spacing w:after="0"/>
              <w:rPr>
                <w:sz w:val="20"/>
                <w:szCs w:val="20"/>
                <w:color w:val="auto"/>
              </w:rPr>
            </w:pPr>
            <w:r>
              <w:rPr>
                <w:rFonts w:ascii="Arial" w:cs="Arial" w:eastAsia="Arial" w:hAnsi="Arial"/>
                <w:sz w:val="18"/>
                <w:szCs w:val="18"/>
                <w:color w:val="auto"/>
              </w:rPr>
              <w:t>Maturities of lease liabilities as of March 31, 2023 are as follows (in thousands) for the years ended:</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22"/>
        </w:trPr>
        <w:tc>
          <w:tcPr>
            <w:tcW w:w="9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three months)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16,504</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16,317</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2026</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15,371</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62,641</w:t>
            </w:r>
          </w:p>
        </w:tc>
      </w:tr>
      <w:tr>
        <w:trPr>
          <w:trHeight w:val="230"/>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r>
      <w:tr>
        <w:trPr>
          <w:trHeight w:val="223"/>
        </w:trPr>
        <w:tc>
          <w:tcPr>
            <w:tcW w:w="944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55,977</w:t>
            </w:r>
          </w:p>
        </w:tc>
      </w:tr>
      <w:tr>
        <w:trPr>
          <w:trHeight w:val="21"/>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Obligation</w:t>
      </w:r>
    </w:p>
    <w:p>
      <w:pPr>
        <w:spacing w:after="0" w:line="252"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Under the normal terms of our whole loans sales to third-party investors, we may become obligated to repurchase loans from investors in certain instances where a breach in representation and warranties is identified. Generally, a breach in representation and warranties would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This amount was not material as of March 31,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Toole v. Affirm Holdings, Inc.</w:t>
      </w:r>
    </w:p>
    <w:p>
      <w:pPr>
        <w:spacing w:after="0" w:line="25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February 28, 2022, plaintiff Jeffrey Toole filed a putative class action against Affirm and Max Levchin in the U.S. District Court for the Northern District of California (the “Toole action”). The Toole action alleged that Affirm violated Sections 10(b) and 20(a) of the Exchange Act, and Rule 10b-5 promulgated thereunder by issuing and then subsequently deleting a tweet from its official Twitter account on February 10, 2022, which omitted full details of Affirm’s second quarter fiscal 2022 financial results. Plaintiff sought class certification, unspecified compensatory and punitive damages, and costs and expenses. On September 28, 2022, the Court granted Affirm’s motion to dismiss for failure to state a claim with leave to amend within 21 days. No amended complaint was filed by the deadline. On October 20, 2022, the Court dismissed the putative class action and entered judgment in Affirm’s favor.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Vallieres v Levchin, et al.</w:t>
      </w:r>
    </w:p>
    <w:p>
      <w:pPr>
        <w:spacing w:after="0" w:line="25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On April 25, 2022, plaintiff Michael Vallieres filed a shareholder derivative lawsuit in the U.S. District Court for the Northern District of California (the “Vallieres action”) against Affirm, as a nominal defendant, and certain of Affirm’s current officers and directors as defendants based on allegations substantially similar to those in the Toole action. The Vallieres complaint purported to assert claims on Affirm's behalf for breach of fiduciary duty, gross mismanagement, abuse of control, unjust enrichment, and contribution under the federal securities laws, and sought corporate reforms, unspecified damages and restitution, and fees and costs. On January 12, 2023, the Court dismissed the derivative action without prejudice.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Williams v. Levchin, et al.</w:t>
      </w:r>
    </w:p>
    <w:p>
      <w:pPr>
        <w:spacing w:after="0" w:line="25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September 16, 2022, plaintiff Ron Williams filed a shareholder derivative lawsuit in the U.S. District Court for the Northern District of California (the “Williams action”) against Affirm, as a nominal defendant, and certain of Affirm’s current and former officers and directors as defendants based on allegations substantially similar to those in the Toole action and Vallieres action. The Williams complaint purported to assert six causes of action on Affirm's behalf—violation of Section 14(a) of the Exchange Act, breach of fiduciary duty, unjust enrichment, abuse of control, gross mismanagement, and waste of corporate assets. The plaintiff in the Williams action also alleged a cause of action against defendant Levchin for contribution under 10(b) and 21D of the Exchange Act. The Williams complaint sought corporate reforms, unspecified damages and restitution, and fees and costs. On December 22, 2022, the Court dismissed the derivative action without prejudice.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Kusnier v. Affirm Holdings, Inc.</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December 8, 2022, plaintiff Mark Kusnier filed a putative class action lawsuit against Affirm, Max Levchin, and Michael Linford in the U.S. District Court for the Northern District of California (the “Kusnier action”). Plaintiff’s amended complaint filed on May 5, 2023 alleges that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In light of the above, plaintiff asserts that Affirm violated Section 10(b) of the Exchange Act and Rule 10b-5 promulgated thereunder, and that Levchin and Linford violated Section 20(a) of the Exchange Act. Plaintiff seeks class certification, unspecified compensatory and punitive damages, and costs and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Quiroga v. Levchin, et al.</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March 29, 2023, plaintiff John Quiroga filed a shareholder derivative lawsuit in the U.S. District Court for the Northern District of California against Affirm, as a nominal defendant, and certain of Affirm's current officers and directors as defendants based on allegations substantially similar to those in the Kusnier action.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2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determined, based on current knowledge, that the aggregate amount or range of losses that are estimable with respect to our legal proceedings, including the matters described above, would not have a material adverse effect on our consolidated financial position, results of operations or cash flows. Amounts accrued as of March 31, 2023 were not material. The ultimate outcome of legal proceedings involves judgments, estimates and inherent uncertainties, and cannot be predicted with certainty.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Transactions with Related Parties</w:t>
      </w:r>
    </w:p>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As of March 31, 2023, the outstanding balance and interest earned on such accounts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encompasses funding debt, convertible senior notes and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Debt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2023</w:t>
            </w:r>
          </w:p>
        </w:tc>
        <w:tc>
          <w:tcPr>
            <w:tcW w:w="360" w:type="dxa"/>
            <w:vAlign w:val="bottom"/>
          </w:tcPr>
          <w:p>
            <w:pPr>
              <w:spacing w:after="0"/>
              <w:rPr>
                <w:sz w:val="18"/>
                <w:szCs w:val="18"/>
                <w:color w:val="auto"/>
              </w:rPr>
            </w:pPr>
          </w:p>
        </w:tc>
        <w:tc>
          <w:tcPr>
            <w:tcW w:w="1800" w:type="dxa"/>
            <w:vAlign w:val="bottom"/>
          </w:tcPr>
          <w:p>
            <w:pPr>
              <w:jc w:val="right"/>
              <w:ind w:right="511"/>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158,547</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598,318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421,484</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231,308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103,364</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1,527,919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683,395</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 funding debt, net of deferred debt issuance costs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1,514,120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672,577</w:t>
            </w:r>
          </w:p>
        </w:tc>
      </w:tr>
      <w:tr>
        <w:trPr>
          <w:trHeight w:val="21"/>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Through subsidiaries, we entered into warehouse credit facilities with certain lenders to finance the purchase and origination of our loans. Borrowings under these agreements are referred to as funding debt and proceeds from the borrowings can only be used for the purposes of facilitating loan funding and origination, with advance rates ranging from 82% to 88% of the total collateralized balance. These revolving facilities mature between fiscal years 2024 and 2029, and subject to covenant compliance, generally permit borrowings up to 12 months prior to the final maturity date of each respective facility. As of March 31, 2023, the aggregate commitment amount of these facilities was $4.0 billion on a revolving basis, of which $1.5 billion was drawn, with $2.5 billion remaining available. Some of the loans originated by us or purchased from the originating bank partners are pledged as collateral for borrowings in our facilities. The unpaid principal balance of these loans totaled $1.8 billion and $0.8 billion as of March 31, 2023 and June 30, 2022, respectively. Our U.S. based warehouse credit facilities and certain lending facilities funding the origination of loans outside of the U.S., have been classified as VIEs and are bankruptcy-remote special-purpose vehicles in which creditors do not have recourse against the general credit of Affirm. Funding debt, net of deferred issuance costs, primarily held within our VIEs represents $1.5 billion and $0.7 billion, as of March 31, 2023 and June 30, 2022, respectively.</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accrue monthly interest expense on each warehouse based on the contractual terms set forth in the applicable credit agreement. Interest expense also includes capitalized transaction fees which are amortized on a straight-line basis over the term of the warehouse agreement. The contractual interest rate varies across each warehouse facility and is either based on a benchmark interest rate (such as LIBOR, SOFR, Canadian Prime Rate, CDOR, or the Government of Canada Central Bank Rate), or an alternative commercial paper rate (which is the per annum rate equivalent to the weighted-average of the per annum rates at which all commercial paper notes were issued by certain lenders to fund advances or maintain loans), plus a spread ranging from 1.25% to 4.25%. In addition, these agreements require payment of a monthly unused commitment fee ranging from 0.00% to 0.75% per annum on the undrawn portion available.</w:t>
      </w:r>
    </w:p>
    <w:p>
      <w:pPr>
        <w:spacing w:after="0" w:line="222" w:lineRule="exact"/>
        <w:rPr>
          <w:sz w:val="20"/>
          <w:szCs w:val="20"/>
          <w:color w:val="auto"/>
        </w:rPr>
      </w:pPr>
    </w:p>
    <w:p>
      <w:pPr>
        <w:jc w:val="both"/>
        <w:ind w:right="66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As of March 31, 2023, we were in compliance with all applicable covenants in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Repurchase Agreements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a repurchase date extension for an additional three month term at market interest rates on such extension date. As of March 31, 2023, the interest rates were 6.68% for both the senior pledged securities and the residual certificate pledged securities. We had $17.5 million and $27.0 million in debt outstanding under our repurchase agreements disclosed within funding debt on the interim condensed consolidated balance sheets as of March 31, 2023 and June 30, 2022, respectively. The debt will be amortized through regular principal and interest payments on the pledged securities. The outstanding debt relates to $25.2 million and $32.4 million in pledged securities disclosed within securities available for sale at fair value on the interim condensed consolidated balance sheets as of March 31, 2023 and June 30, 2022,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120" w:firstLine="648"/>
        <w:spacing w:after="0" w:line="265" w:lineRule="auto"/>
        <w:rPr>
          <w:sz w:val="20"/>
          <w:szCs w:val="20"/>
          <w:color w:val="auto"/>
        </w:rPr>
      </w:pPr>
      <w:r>
        <w:rPr>
          <w:rFonts w:ascii="Arial" w:cs="Arial" w:eastAsia="Arial" w:hAnsi="Arial"/>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spacing w:after="0" w:line="207"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24" w:lineRule="exact"/>
        <w:rPr>
          <w:sz w:val="20"/>
          <w:szCs w:val="20"/>
          <w:color w:val="auto"/>
        </w:rPr>
      </w:pPr>
    </w:p>
    <w:p>
      <w:pPr>
        <w:ind w:left="580" w:right="40" w:hanging="5"/>
        <w:spacing w:after="0" w:line="259" w:lineRule="auto"/>
        <w:tabs>
          <w:tab w:leader="none" w:pos="775"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13" w:lineRule="exact"/>
        <w:rPr>
          <w:rFonts w:ascii="Arial" w:cs="Arial" w:eastAsia="Arial" w:hAnsi="Arial"/>
          <w:sz w:val="18"/>
          <w:szCs w:val="18"/>
          <w:color w:val="auto"/>
        </w:rPr>
      </w:pPr>
    </w:p>
    <w:p>
      <w:pPr>
        <w:jc w:val="both"/>
        <w:ind w:left="580" w:right="60" w:hanging="5"/>
        <w:spacing w:after="0" w:line="311" w:lineRule="auto"/>
        <w:tabs>
          <w:tab w:leader="none" w:pos="775"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75" w:lineRule="exact"/>
        <w:rPr>
          <w:rFonts w:ascii="Arial" w:cs="Arial" w:eastAsia="Arial" w:hAnsi="Arial"/>
          <w:sz w:val="16"/>
          <w:szCs w:val="16"/>
          <w:color w:val="auto"/>
        </w:rPr>
      </w:pPr>
    </w:p>
    <w:p>
      <w:pPr>
        <w:ind w:left="580" w:right="200" w:hanging="5"/>
        <w:spacing w:after="0" w:line="277" w:lineRule="auto"/>
        <w:tabs>
          <w:tab w:leader="none" w:pos="7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760" w:hanging="185"/>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252"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upon conversion will be based on a daily conversion value (as set forth in the Indenture) calculated on a proportionate basis for each trading day in a 40 trading day observation period.</w:t>
      </w:r>
    </w:p>
    <w:p>
      <w:pPr>
        <w:spacing w:after="0" w:line="211" w:lineRule="exact"/>
        <w:rPr>
          <w:sz w:val="20"/>
          <w:szCs w:val="20"/>
          <w:color w:val="auto"/>
        </w:rPr>
      </w:pPr>
    </w:p>
    <w:p>
      <w:pPr>
        <w:ind w:right="20" w:firstLine="648"/>
        <w:spacing w:after="0" w:line="280" w:lineRule="auto"/>
        <w:rPr>
          <w:sz w:val="20"/>
          <w:szCs w:val="20"/>
          <w:color w:val="auto"/>
        </w:rPr>
      </w:pPr>
      <w:r>
        <w:rPr>
          <w:rFonts w:ascii="Arial" w:cs="Arial" w:eastAsia="Arial" w:hAnsi="Arial"/>
          <w:sz w:val="17"/>
          <w:szCs w:val="17"/>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1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7"/>
          <w:szCs w:val="17"/>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195"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During the three and nine months ended March 31, 2023, we entered into a series of privately negotiated transactions with certain holders of our 2026 Notes, pursuant to which we paid an aggregate amount of $206.6 million in cash for the repurchase of $299.1 million aggregate principal amount of our 2026 Notes (the “2026 Note Repurchases”). The carrying amount of the extinguished 2026 Notes was approximately $296.4 million resulting in a $89.8 million gain on early extinguishment of debt, which is reported as a component of other income, net within our interim consolidated statements of operations and comprehensive income. In exchange for paying cash pursuant to the 2026 Note Repurchases, we received and canceled the repurchased 2026 Notes.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convertible senior notes outstanding as of March 31, 2023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Principal Amount</w:t>
            </w:r>
          </w:p>
        </w:tc>
        <w:tc>
          <w:tcPr>
            <w:tcW w:w="160" w:type="dxa"/>
            <w:vAlign w:val="bottom"/>
          </w:tcPr>
          <w:p>
            <w:pPr>
              <w:spacing w:after="0"/>
              <w:rPr>
                <w:sz w:val="16"/>
                <w:szCs w:val="16"/>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Unamortized Discount and</w:t>
            </w:r>
          </w:p>
        </w:tc>
        <w:tc>
          <w:tcPr>
            <w:tcW w:w="120" w:type="dxa"/>
            <w:vAlign w:val="bottom"/>
          </w:tcPr>
          <w:p>
            <w:pPr>
              <w:spacing w:after="0"/>
              <w:rPr>
                <w:sz w:val="16"/>
                <w:szCs w:val="16"/>
                <w:color w:val="auto"/>
              </w:rPr>
            </w:pPr>
          </w:p>
        </w:tc>
        <w:tc>
          <w:tcPr>
            <w:tcW w:w="168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w w:val="94"/>
              </w:rPr>
              <w:t>Net Carrying Amount</w:t>
            </w: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Issuance Cost</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1,413,345</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20" w:firstLine="648"/>
        <w:spacing w:after="0" w:line="284" w:lineRule="auto"/>
        <w:rPr>
          <w:sz w:val="20"/>
          <w:szCs w:val="20"/>
          <w:color w:val="auto"/>
        </w:rPr>
      </w:pPr>
      <w:r>
        <w:rPr>
          <w:rFonts w:ascii="Arial" w:cs="Arial" w:eastAsia="Arial" w:hAnsi="Arial"/>
          <w:sz w:val="17"/>
          <w:szCs w:val="17"/>
          <w:color w:val="auto"/>
        </w:rPr>
        <w:t>The 2026 Notes do not bear interest. We recognized $1.0 million and $3.1 million during the three and nine months ended March 31, 2023, respectively, and $1.0 million and $1.4 million during the three and nine months ended March 31, 2022, respectively, of interest expense related to the amortization of debt discount and issuance costs in the interim condensed consolidated statement of operations and comprehensive loss within other income, net. As of March 31, 2023, the remaining life of the 2026 Notes is approximately 44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On February 4, 2022, we entered into a revolving credit agreement with a syndicate of commercial banks for a $165.0 million unsecured revolving credit facility. On May 16, 2022, we increased unsecured revolving commitments under the facility to $205.0 million. This facility bears interest at a rate equal to, at our option, either (a) 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1.00% per annum, in each case, plus an applicable margin of 0.85% per annum. The revolving credit agreement has a final maturity date of February 4, 2025. The facility contains certain covenants and restrictions, including certain financial maintenance covenants, and requires payment of a monthly unused commitment fee of 0.20% per annum on the undrawn balance available. There are no borrowings outstanding under the facility as of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Securitization and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Facilities</w:t>
      </w:r>
    </w:p>
    <w:p>
      <w:pPr>
        <w:spacing w:after="0" w:line="266" w:lineRule="exact"/>
        <w:rPr>
          <w:sz w:val="20"/>
          <w:szCs w:val="20"/>
          <w:color w:val="auto"/>
        </w:rPr>
      </w:pPr>
    </w:p>
    <w:p>
      <w:pPr>
        <w:ind w:right="360" w:firstLine="648"/>
        <w:spacing w:after="0" w:line="301" w:lineRule="auto"/>
        <w:rPr>
          <w:sz w:val="20"/>
          <w:szCs w:val="20"/>
          <w:color w:val="auto"/>
        </w:rPr>
      </w:pPr>
      <w:r>
        <w:rPr>
          <w:rFonts w:ascii="Arial" w:cs="Arial" w:eastAsia="Arial" w:hAnsi="Arial"/>
          <w:sz w:val="16"/>
          <w:szCs w:val="16"/>
          <w:color w:val="auto"/>
        </w:rPr>
        <w:t>We established certain entities, deemed to be VIEs, to enter into warehouse credit facilities for the purpose of purchasing loans from our originating bank partners and funding directly originated loans. Refer to Note 10.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Securitizations</w:t>
      </w:r>
    </w:p>
    <w:p>
      <w:pPr>
        <w:spacing w:after="0" w:line="252" w:lineRule="exact"/>
        <w:rPr>
          <w:sz w:val="20"/>
          <w:szCs w:val="20"/>
          <w:color w:val="auto"/>
        </w:rPr>
      </w:pPr>
    </w:p>
    <w:p>
      <w:pPr>
        <w:ind w:right="240" w:firstLine="648"/>
        <w:spacing w:after="0" w:line="284" w:lineRule="auto"/>
        <w:rPr>
          <w:sz w:val="20"/>
          <w:szCs w:val="20"/>
          <w:color w:val="auto"/>
        </w:rPr>
      </w:pPr>
      <w:r>
        <w:rPr>
          <w:rFonts w:ascii="Arial" w:cs="Arial" w:eastAsia="Arial" w:hAnsi="Arial"/>
          <w:sz w:val="17"/>
          <w:szCs w:val="17"/>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193" w:lineRule="exact"/>
        <w:rPr>
          <w:sz w:val="20"/>
          <w:szCs w:val="20"/>
          <w:color w:val="auto"/>
        </w:rPr>
      </w:pPr>
    </w:p>
    <w:p>
      <w:pPr>
        <w:ind w:right="20" w:firstLine="648"/>
        <w:spacing w:after="0" w:line="265" w:lineRule="auto"/>
        <w:rPr>
          <w:sz w:val="20"/>
          <w:szCs w:val="20"/>
          <w:color w:val="auto"/>
        </w:rPr>
      </w:pPr>
      <w:r>
        <w:rPr>
          <w:rFonts w:ascii="Arial" w:cs="Arial" w:eastAsia="Arial" w:hAnsi="Arial"/>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07"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64"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87"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For each securitization, the residual certificates represent the right to receive excess cash on the loans each collection period after all fees and required distributions have been made to the note holders on the related payment date. For the majority of consolidated securitization VIEs, we retain 100% of the residual trust certificates issued by the securitization trust. Any portion of the residual trust certificates sold to third-party investors are measured at fair value, using a discounted cash flow model, and presented within accrued expenses and other liabilities on the interim condensed consolidated balance sheets. In addition to the retained residual certificates, our continued involvement includes loan servicing responsibilities over the life of the underlying loans.</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defer and amortize debt issuance costs for consolidated securitization trusts on a straight-line basis over the expected life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aggregate carrying value of financial assets and liabilities within consolidated VIEs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 2023</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1,585,168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7"/>
              </w:rPr>
              <w:t>1,386,167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199,001</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4"/>
              </w:rPr>
              <w:t>1,792,114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130,762</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3,508,044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3,178,281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329,763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52"/>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0"/>
              </w:rPr>
              <w:t>June 30, 2022</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5"/>
              </w:rPr>
              <w:t>534,422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28,785</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4"/>
              </w:rPr>
              <w:t>1,632,107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2,242,269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b w:val="1"/>
                <w:bCs w:val="1"/>
                <w:color w:val="auto"/>
                <w:w w:val="94"/>
              </w:rPr>
              <w:t>2,166,529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75,740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transactions with unconsolidated VIEs include securitization trusts where we did not retain significant economic exposure through our variable interests and therefore we determined that we are not the primary beneficiary as of March 31, 2023.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pertains to unconsolidated VIEs where we hold a variable interest but are not the primary beneficiary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4"/>
              </w:rPr>
              <w:t>March 31, 2023</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505,301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489,938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25,252</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505,301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489,938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2022</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996,242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51,248</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965,909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51,248</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242424"/>
        </w:rPr>
        <w:t xml:space="preserve">Maximum </w:t>
      </w:r>
      <w:r>
        <w:rPr>
          <w:rFonts w:ascii="Arial" w:cs="Arial" w:eastAsia="Arial" w:hAnsi="Arial"/>
          <w:sz w:val="18"/>
          <w:szCs w:val="18"/>
          <w:color w:val="000000"/>
        </w:rPr>
        <w:t>exposure to losses represents our exposure through our continuing involvement as servicer and through our retained interests. For</w:t>
      </w:r>
      <w:r>
        <w:rPr>
          <w:rFonts w:ascii="Arial" w:cs="Arial" w:eastAsia="Arial" w:hAnsi="Arial"/>
          <w:sz w:val="18"/>
          <w:szCs w:val="18"/>
          <w:color w:val="242424"/>
        </w:rPr>
        <w:t xml:space="preserve"> </w:t>
      </w:r>
      <w:r>
        <w:rPr>
          <w:rFonts w:ascii="Arial" w:cs="Arial" w:eastAsia="Arial" w:hAnsi="Arial"/>
          <w:sz w:val="18"/>
          <w:szCs w:val="18"/>
          <w:color w:val="000000"/>
        </w:rPr>
        <w:t>unconsolidated VIEs, this includes $25.2 million in retained notes and residual certificates disclosed within securities available for sale at fair value in our interim condensed consolidated balance sheets and an immaterial amount related to our servicing assets disclosed within other assets in our interim condensed consolidated balance sheets as of March 31, 2023.</w:t>
      </w:r>
    </w:p>
    <w:p>
      <w:pPr>
        <w:spacing w:after="0" w:line="210" w:lineRule="exact"/>
        <w:rPr>
          <w:sz w:val="20"/>
          <w:szCs w:val="20"/>
          <w:color w:val="auto"/>
        </w:rPr>
      </w:pPr>
    </w:p>
    <w:p>
      <w:pPr>
        <w:ind w:right="500" w:firstLine="648"/>
        <w:spacing w:after="0" w:line="293" w:lineRule="auto"/>
        <w:rPr>
          <w:sz w:val="20"/>
          <w:szCs w:val="20"/>
          <w:color w:val="auto"/>
        </w:rPr>
      </w:pPr>
      <w:r>
        <w:rPr>
          <w:rFonts w:ascii="Arial" w:cs="Arial" w:eastAsia="Arial" w:hAnsi="Arial"/>
          <w:sz w:val="18"/>
          <w:szCs w:val="18"/>
          <w:color w:val="auto"/>
        </w:rPr>
        <w:t>Additionally, we may experience a loss due to future repurchase obligations resulting from breaches in representations and warranties in our securitization and third-party sale agreements. This amount was not material as of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Beneficial Interests in Unconsolidated VIEs</w:t>
      </w:r>
    </w:p>
    <w:p>
      <w:pPr>
        <w:spacing w:after="0" w:line="252" w:lineRule="exact"/>
        <w:rPr>
          <w:sz w:val="20"/>
          <w:szCs w:val="20"/>
          <w:color w:val="auto"/>
        </w:rPr>
      </w:pPr>
    </w:p>
    <w:p>
      <w:pPr>
        <w:jc w:val="both"/>
        <w:ind w:right="260" w:firstLine="648"/>
        <w:spacing w:after="0" w:line="320" w:lineRule="auto"/>
        <w:rPr>
          <w:sz w:val="20"/>
          <w:szCs w:val="20"/>
          <w:color w:val="auto"/>
        </w:rPr>
      </w:pPr>
      <w:r>
        <w:rPr>
          <w:rFonts w:ascii="Arial" w:cs="Arial" w:eastAsia="Arial" w:hAnsi="Arial"/>
          <w:sz w:val="16"/>
          <w:szCs w:val="16"/>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interim condensed consolidated balance sheets.</w:t>
      </w:r>
    </w:p>
    <w:p>
      <w:pPr>
        <w:spacing w:after="0" w:line="18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See Note 14. Fair Value of Financial Assets and Liabilities for additional information on the fair value sensitivity of the notes receivable and residual certificates. Additionally, as of March 31, 2023, we have pledged each of our retained beneficial interests as collateral in a sale and repurchase agreement as described in Note 10.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2023</w:t>
            </w:r>
          </w:p>
        </w:tc>
        <w:tc>
          <w:tcPr>
            <w:tcW w:w="34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2022</w:t>
            </w:r>
          </w:p>
        </w:tc>
      </w:tr>
      <w:tr>
        <w:trPr>
          <w:trHeight w:val="210"/>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204,449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162,483</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16,026</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156,887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229,272</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 bonds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193,175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58,541</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available for sale:</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145,528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300,390</w:t>
            </w:r>
          </w:p>
        </w:tc>
      </w:tr>
      <w:tr>
        <w:trPr>
          <w:trHeight w:val="229"/>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368,671</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186,143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478,293</w:t>
            </w:r>
          </w:p>
        </w:tc>
      </w:tr>
      <w:tr>
        <w:trPr>
          <w:trHeight w:val="230"/>
        </w:trPr>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Agency bonds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Government bonds</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Non-US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367,081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378,386</w:t>
            </w:r>
          </w:p>
        </w:tc>
      </w:tr>
      <w:tr>
        <w:trPr>
          <w:trHeight w:val="230"/>
        </w:trPr>
        <w:tc>
          <w:tcPr>
            <w:tcW w:w="6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Securitization notes receivable and certificates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1,613,542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2,061,695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4"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These securities have been pledged as collateral in connection with sale and repurchase agreements as discussed within Note 10.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Available for Sale, at Fair Value</w:t>
      </w:r>
    </w:p>
    <w:p>
      <w:pPr>
        <w:spacing w:after="0" w:line="25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amortized cost, gross unrealized gains and losses, allowance for credit losses, and fair value of securities available for sale as of March 31, 2023 and June 30, 2022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4"/>
              </w:rPr>
              <w:t>March 31, 2023</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145,813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296,186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292,726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35,194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20"/>
              <w:spacing w:after="0"/>
              <w:rPr>
                <w:sz w:val="20"/>
                <w:szCs w:val="20"/>
                <w:color w:val="auto"/>
              </w:rPr>
            </w:pPr>
            <w:r>
              <w:rPr>
                <w:rFonts w:ascii="Arial" w:cs="Arial" w:eastAsia="Arial" w:hAnsi="Arial"/>
                <w:sz w:val="18"/>
                <w:szCs w:val="18"/>
                <w:color w:val="auto"/>
              </w:rPr>
              <w:t>Non-US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40"/>
              <w:spacing w:after="0" w:line="230" w:lineRule="exact"/>
              <w:rPr>
                <w:sz w:val="20"/>
                <w:szCs w:val="20"/>
                <w:color w:val="auto"/>
              </w:rPr>
            </w:pPr>
            <w:r>
              <w:rPr>
                <w:rFonts w:ascii="Arial" w:cs="Arial" w:eastAsia="Arial" w:hAnsi="Arial"/>
                <w:sz w:val="26"/>
                <w:szCs w:val="26"/>
                <w:color w:val="auto"/>
                <w:vertAlign w:val="subscript"/>
              </w:rPr>
              <w:t>US</w:t>
            </w:r>
            <w:r>
              <w:rPr>
                <w:rFonts w:ascii="Arial" w:cs="Arial" w:eastAsia="Arial" w:hAnsi="Arial"/>
                <w:sz w:val="10"/>
                <w:szCs w:val="10"/>
                <w:color w:val="auto"/>
              </w:rPr>
              <w:t xml:space="preserve"> (1)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560,256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w w:val="94"/>
              </w:rPr>
              <w:t xml:space="preserve">Securitization notes receivable and certificates </w:t>
            </w:r>
            <w:r>
              <w:rPr>
                <w:rFonts w:ascii="Arial" w:cs="Arial" w:eastAsia="Arial" w:hAnsi="Arial"/>
                <w:sz w:val="23"/>
                <w:szCs w:val="23"/>
                <w:color w:val="auto"/>
                <w:w w:val="94"/>
                <w:vertAlign w:val="superscript"/>
              </w:rPr>
              <w:t>(2)</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25,235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1,415,533</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1,409,093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3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 2022</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bonds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line="230" w:lineRule="exact"/>
              <w:rPr>
                <w:sz w:val="20"/>
                <w:szCs w:val="20"/>
                <w:color w:val="auto"/>
              </w:rPr>
            </w:pPr>
            <w:r>
              <w:rPr>
                <w:rFonts w:ascii="Arial" w:cs="Arial" w:eastAsia="Arial" w:hAnsi="Arial"/>
                <w:sz w:val="26"/>
                <w:szCs w:val="26"/>
                <w:color w:val="auto"/>
                <w:vertAlign w:val="subscript"/>
              </w:rPr>
              <w:t>US</w:t>
            </w:r>
            <w:r>
              <w:rPr>
                <w:rFonts w:ascii="Arial" w:cs="Arial" w:eastAsia="Arial" w:hAnsi="Arial"/>
                <w:sz w:val="10"/>
                <w:szCs w:val="10"/>
                <w:color w:val="auto"/>
              </w:rPr>
              <w:t xml:space="preserve"> (1)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438,947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436,927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Securitization notes receivable and certificates </w:t>
            </w:r>
            <w:r>
              <w:rPr>
                <w:rFonts w:ascii="Arial" w:cs="Arial" w:eastAsia="Arial" w:hAnsi="Arial"/>
                <w:sz w:val="23"/>
                <w:szCs w:val="23"/>
                <w:color w:val="auto"/>
                <w:w w:val="94"/>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1,907,255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1,899,212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660" w:right="120" w:hanging="328"/>
        <w:spacing w:after="0" w:line="251"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Certificates of deposit, corporate bonds, commercial paper, and US government bonds include $350.1 million and $303.8 million as of March 31, 2023 and June 30, 2022, respectively, classified as cash and cash equivalents within the interim condensed consolidated balance sheets.</w:t>
      </w:r>
    </w:p>
    <w:p>
      <w:pPr>
        <w:spacing w:after="0" w:line="1" w:lineRule="exact"/>
        <w:rPr>
          <w:rFonts w:ascii="Arial" w:cs="Arial" w:eastAsia="Arial" w:hAnsi="Arial"/>
          <w:sz w:val="21"/>
          <w:szCs w:val="21"/>
          <w:color w:val="auto"/>
          <w:vertAlign w:val="superscript"/>
        </w:rPr>
      </w:pPr>
    </w:p>
    <w:p>
      <w:pPr>
        <w:ind w:left="640" w:hanging="308"/>
        <w:spacing w:after="0" w:line="204" w:lineRule="auto"/>
        <w:tabs>
          <w:tab w:leader="none" w:pos="64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These securities have been pledged as collateral in connection with sale and repurchase agreements as discussed within Note 10. Debt.</w:t>
      </w:r>
    </w:p>
    <w:p>
      <w:pPr>
        <w:spacing w:after="0" w:line="23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March 31, 2023 and June 30, 2022,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March 31, 2023 and June 30, 2022,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center"/>
              <w:spacing w:after="0"/>
              <w:rPr>
                <w:sz w:val="20"/>
                <w:szCs w:val="20"/>
                <w:color w:val="auto"/>
              </w:rPr>
            </w:pPr>
            <w:r>
              <w:rPr>
                <w:rFonts w:ascii="Arial" w:cs="Arial" w:eastAsia="Arial" w:hAnsi="Arial"/>
                <w:sz w:val="16"/>
                <w:szCs w:val="16"/>
                <w:b w:val="1"/>
                <w:bCs w:val="1"/>
                <w:color w:val="auto"/>
                <w:w w:val="94"/>
              </w:rPr>
              <w:t>March 31, 2023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6"/>
                <w:szCs w:val="16"/>
                <w:b w:val="1"/>
                <w:bCs w:val="1"/>
                <w:color w:val="auto"/>
                <w:w w:val="96"/>
              </w:rPr>
              <w:t>Less than or equal to 1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380"/>
              <w:spacing w:after="0"/>
              <w:rPr>
                <w:sz w:val="20"/>
                <w:szCs w:val="20"/>
                <w:color w:val="auto"/>
              </w:rPr>
            </w:pPr>
            <w:r>
              <w:rPr>
                <w:rFonts w:ascii="Arial" w:cs="Arial" w:eastAsia="Arial" w:hAnsi="Arial"/>
                <w:sz w:val="16"/>
                <w:szCs w:val="16"/>
                <w:b w:val="1"/>
                <w:bCs w:val="1"/>
                <w:color w:val="auto"/>
              </w:rPr>
              <w:t>Greater than 1 year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Fair Value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80"/>
              <w:spacing w:after="0" w:line="158" w:lineRule="exact"/>
              <w:rPr>
                <w:sz w:val="20"/>
                <w:szCs w:val="20"/>
                <w:color w:val="auto"/>
              </w:rPr>
            </w:pPr>
            <w:r>
              <w:rPr>
                <w:rFonts w:ascii="Arial" w:cs="Arial" w:eastAsia="Arial" w:hAnsi="Arial"/>
                <w:sz w:val="16"/>
                <w:szCs w:val="16"/>
                <w:b w:val="1"/>
                <w:bCs w:val="1"/>
                <w:color w:val="auto"/>
                <w:w w:val="96"/>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31"/>
              <w:spacing w:after="0" w:line="158" w:lineRule="exact"/>
              <w:rPr>
                <w:sz w:val="20"/>
                <w:szCs w:val="20"/>
                <w:color w:val="auto"/>
              </w:rPr>
            </w:pPr>
            <w:r>
              <w:rPr>
                <w:rFonts w:ascii="Arial" w:cs="Arial" w:eastAsia="Arial" w:hAnsi="Arial"/>
                <w:sz w:val="16"/>
                <w:szCs w:val="16"/>
                <w:b w:val="1"/>
                <w:bCs w:val="1"/>
                <w:color w:val="auto"/>
                <w:w w:val="98"/>
              </w:rPr>
              <w:t>Unrealized</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Losses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79"/>
              </w:rPr>
              <w:t>Losses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Losses</w:t>
            </w:r>
          </w:p>
        </w:tc>
        <w:tc>
          <w:tcPr>
            <w:tcW w:w="0" w:type="dxa"/>
            <w:vAlign w:val="bottom"/>
          </w:tcPr>
          <w:p>
            <w:pPr>
              <w:spacing w:after="0"/>
              <w:rPr>
                <w:sz w:val="1"/>
                <w:szCs w:val="1"/>
                <w:color w:val="auto"/>
              </w:rPr>
            </w:pPr>
          </w:p>
        </w:tc>
      </w:tr>
      <w:tr>
        <w:trPr>
          <w:trHeight w:val="226"/>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123,816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123,816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243,747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29,672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(321)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273,419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151,058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151,058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(107)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201,831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201,831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Total securities available for sale </w:t>
            </w:r>
            <w:r>
              <w:rPr>
                <w:rFonts w:ascii="Arial" w:cs="Arial" w:eastAsia="Arial" w:hAnsi="Arial"/>
                <w:sz w:val="23"/>
                <w:szCs w:val="23"/>
                <w:color w:val="auto"/>
                <w:vertAlign w:val="superscript"/>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722,541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(428)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756,231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600"/>
              <w:spacing w:after="0"/>
              <w:rPr>
                <w:sz w:val="20"/>
                <w:szCs w:val="20"/>
                <w:color w:val="auto"/>
              </w:rPr>
            </w:pPr>
            <w:r>
              <w:rPr>
                <w:rFonts w:ascii="Arial" w:cs="Arial" w:eastAsia="Arial" w:hAnsi="Arial"/>
                <w:sz w:val="16"/>
                <w:szCs w:val="16"/>
                <w:b w:val="1"/>
                <w:bCs w:val="1"/>
                <w:color w:val="auto"/>
              </w:rPr>
              <w:t>June 30, 2022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8"/>
          </w:tcPr>
          <w:p>
            <w:pPr>
              <w:jc w:val="right"/>
              <w:ind w:right="360"/>
              <w:spacing w:after="0"/>
              <w:rPr>
                <w:sz w:val="20"/>
                <w:szCs w:val="20"/>
                <w:color w:val="auto"/>
              </w:rPr>
            </w:pPr>
            <w:r>
              <w:rPr>
                <w:rFonts w:ascii="Arial" w:cs="Arial" w:eastAsia="Arial" w:hAnsi="Arial"/>
                <w:sz w:val="16"/>
                <w:szCs w:val="16"/>
                <w:b w:val="1"/>
                <w:bCs w:val="1"/>
                <w:color w:val="auto"/>
                <w:w w:val="92"/>
              </w:rPr>
              <w:t>Less than or equal to 1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ind w:left="300"/>
              <w:spacing w:after="0"/>
              <w:rPr>
                <w:sz w:val="20"/>
                <w:szCs w:val="20"/>
                <w:color w:val="auto"/>
              </w:rPr>
            </w:pPr>
            <w:r>
              <w:rPr>
                <w:rFonts w:ascii="Arial" w:cs="Arial" w:eastAsia="Arial" w:hAnsi="Arial"/>
                <w:sz w:val="16"/>
                <w:szCs w:val="16"/>
                <w:b w:val="1"/>
                <w:bCs w:val="1"/>
                <w:color w:val="auto"/>
              </w:rPr>
              <w:t>Greater than 1 year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94"/>
              </w:rPr>
              <w:t>Fair Value</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112"/>
              <w:spacing w:after="0" w:line="158" w:lineRule="exact"/>
              <w:rPr>
                <w:sz w:val="20"/>
                <w:szCs w:val="20"/>
                <w:color w:val="auto"/>
              </w:rPr>
            </w:pPr>
            <w:r>
              <w:rPr>
                <w:rFonts w:ascii="Arial" w:cs="Arial" w:eastAsia="Arial" w:hAnsi="Arial"/>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2"/>
              <w:spacing w:after="0" w:line="158" w:lineRule="exact"/>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96"/>
              </w:rPr>
              <w:t>Fair Value</w:t>
            </w:r>
          </w:p>
        </w:tc>
        <w:tc>
          <w:tcPr>
            <w:tcW w:w="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w w:val="89"/>
              </w:rPr>
              <w:t>Unrealized Losses</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7"/>
              </w:rPr>
              <w:t>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Losses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center"/>
              <w:ind w:left="552"/>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351,088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47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351,088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679,272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US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431,903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472"/>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431,903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Securitization notes receivable and certificates</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securities available for sale </w:t>
            </w:r>
            <w:r>
              <w:rPr>
                <w:rFonts w:ascii="Arial" w:cs="Arial" w:eastAsia="Arial" w:hAnsi="Arial"/>
                <w:sz w:val="23"/>
                <w:szCs w:val="23"/>
                <w:color w:val="auto"/>
                <w:vertAlign w:val="superscript"/>
              </w:rPr>
              <w:t>(1)</w:t>
            </w: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1,771,109</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center"/>
              <w:ind w:left="472"/>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20" w:hanging="328"/>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The number of positions with unrealized losses for which an allowance for credit losses has not been recorded totaled 133 and 270 as of March 31, 2023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length of time to contractual maturities of securities available for sale as of March 31, 2023 and June 30, 2022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w w:val="94"/>
              </w:rPr>
              <w:t>March 31, 2023</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Within 1 year</w:t>
            </w:r>
          </w:p>
        </w:tc>
        <w:tc>
          <w:tcPr>
            <w:tcW w:w="120" w:type="dxa"/>
            <w:vAlign w:val="bottom"/>
          </w:tcPr>
          <w:p>
            <w:pPr>
              <w:spacing w:after="0"/>
              <w:rPr>
                <w:sz w:val="13"/>
                <w:szCs w:val="13"/>
                <w:color w:val="auto"/>
              </w:rPr>
            </w:pPr>
          </w:p>
        </w:tc>
        <w:tc>
          <w:tcPr>
            <w:tcW w:w="2520" w:type="dxa"/>
            <w:vAlign w:val="bottom"/>
            <w:gridSpan w:val="5"/>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Greater than 1 year, less than or</w:t>
            </w:r>
          </w:p>
        </w:tc>
        <w:tc>
          <w:tcPr>
            <w:tcW w:w="280" w:type="dxa"/>
            <w:vAlign w:val="bottom"/>
          </w:tcPr>
          <w:p>
            <w:pPr>
              <w:spacing w:after="0"/>
              <w:rPr>
                <w:sz w:val="13"/>
                <w:szCs w:val="13"/>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equal to 5 years</w:t>
            </w:r>
          </w:p>
        </w:tc>
        <w:tc>
          <w:tcPr>
            <w:tcW w:w="28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3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32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3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26"/>
        </w:trPr>
        <w:tc>
          <w:tcPr>
            <w:tcW w:w="332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(2)</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145,528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bonds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161,736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132,240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296,186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292,726</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343,030</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35,194</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Non-US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line="230" w:lineRule="exact"/>
              <w:rPr>
                <w:sz w:val="20"/>
                <w:szCs w:val="20"/>
                <w:color w:val="auto"/>
              </w:rPr>
            </w:pPr>
            <w:r>
              <w:rPr>
                <w:rFonts w:ascii="Arial" w:cs="Arial" w:eastAsia="Arial" w:hAnsi="Arial"/>
                <w:sz w:val="26"/>
                <w:szCs w:val="26"/>
                <w:color w:val="auto"/>
                <w:vertAlign w:val="subscript"/>
              </w:rPr>
              <w:t>US</w:t>
            </w:r>
            <w:r>
              <w:rPr>
                <w:rFonts w:ascii="Arial" w:cs="Arial" w:eastAsia="Arial" w:hAnsi="Arial"/>
                <w:sz w:val="10"/>
                <w:szCs w:val="10"/>
                <w:color w:val="auto"/>
              </w:rPr>
              <w:t xml:space="preserve"> (2)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560,256</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(1)</w:t>
            </w:r>
          </w:p>
        </w:tc>
        <w:tc>
          <w:tcPr>
            <w:tcW w:w="2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26,330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25,235</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1,178,625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1,176,308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232,785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1,415,533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1,409,093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w w:val="90"/>
              </w:rPr>
              <w:t>June 30, 2022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Within 1 year</w:t>
            </w:r>
          </w:p>
        </w:tc>
        <w:tc>
          <w:tcPr>
            <w:tcW w:w="140" w:type="dxa"/>
            <w:vAlign w:val="bottom"/>
          </w:tcPr>
          <w:p>
            <w:pPr>
              <w:spacing w:after="0"/>
              <w:rPr>
                <w:sz w:val="13"/>
                <w:szCs w:val="13"/>
                <w:color w:val="auto"/>
              </w:rPr>
            </w:pPr>
          </w:p>
        </w:tc>
        <w:tc>
          <w:tcPr>
            <w:tcW w:w="2520" w:type="dxa"/>
            <w:vAlign w:val="bottom"/>
            <w:gridSpan w:val="5"/>
          </w:tcPr>
          <w:p>
            <w:pPr>
              <w:jc w:val="center"/>
              <w:ind w:right="260"/>
              <w:spacing w:after="0" w:line="158" w:lineRule="exact"/>
              <w:rPr>
                <w:sz w:val="20"/>
                <w:szCs w:val="20"/>
                <w:color w:val="auto"/>
              </w:rPr>
            </w:pPr>
            <w:r>
              <w:rPr>
                <w:rFonts w:ascii="Arial" w:cs="Arial" w:eastAsia="Arial" w:hAnsi="Arial"/>
                <w:sz w:val="16"/>
                <w:szCs w:val="16"/>
                <w:b w:val="1"/>
                <w:bCs w:val="1"/>
                <w:color w:val="auto"/>
                <w:w w:val="90"/>
              </w:rPr>
              <w:t>Greater than 1 year, less than or</w:t>
            </w:r>
          </w:p>
        </w:tc>
        <w:tc>
          <w:tcPr>
            <w:tcW w:w="28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equal to 5 years</w:t>
            </w:r>
          </w:p>
        </w:tc>
        <w:tc>
          <w:tcPr>
            <w:tcW w:w="2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34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32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3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26"/>
        </w:trPr>
        <w:tc>
          <w:tcPr>
            <w:tcW w:w="3340" w:type="dxa"/>
            <w:vAlign w:val="bottom"/>
            <w:tcBorders>
              <w:top w:val="single" w:sz="8" w:color="CCEEFF"/>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Certificates of deposit </w:t>
            </w:r>
            <w:r>
              <w:rPr>
                <w:rFonts w:ascii="Arial" w:cs="Arial" w:eastAsia="Arial" w:hAnsi="Arial"/>
                <w:sz w:val="23"/>
                <w:szCs w:val="23"/>
                <w:color w:val="auto"/>
                <w:vertAlign w:val="superscript"/>
              </w:rPr>
              <w:t>(2)</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317,331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316,416</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Corporate bonds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165,699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371,907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708,694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707,565</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Non-US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29"/>
        </w:trPr>
        <w:tc>
          <w:tcPr>
            <w:tcW w:w="3340" w:type="dxa"/>
            <w:vAlign w:val="bottom"/>
          </w:tcPr>
          <w:p>
            <w:pPr>
              <w:ind w:left="120"/>
              <w:spacing w:after="0" w:line="230" w:lineRule="exact"/>
              <w:rPr>
                <w:sz w:val="20"/>
                <w:szCs w:val="20"/>
                <w:color w:val="auto"/>
              </w:rPr>
            </w:pPr>
            <w:r>
              <w:rPr>
                <w:rFonts w:ascii="Arial" w:cs="Arial" w:eastAsia="Arial" w:hAnsi="Arial"/>
                <w:sz w:val="26"/>
                <w:szCs w:val="26"/>
                <w:color w:val="auto"/>
                <w:vertAlign w:val="subscript"/>
              </w:rPr>
              <w:t>US</w:t>
            </w:r>
            <w:r>
              <w:rPr>
                <w:rFonts w:ascii="Arial" w:cs="Arial" w:eastAsia="Arial" w:hAnsi="Arial"/>
                <w:sz w:val="10"/>
                <w:szCs w:val="10"/>
                <w:color w:val="auto"/>
              </w:rPr>
              <w:t xml:space="preserve"> (2)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359,242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438,947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436,927</w:t>
            </w:r>
          </w:p>
        </w:tc>
        <w:tc>
          <w:tcPr>
            <w:tcW w:w="0" w:type="dxa"/>
            <w:vAlign w:val="bottom"/>
          </w:tcPr>
          <w:p>
            <w:pPr>
              <w:spacing w:after="0"/>
              <w:rPr>
                <w:sz w:val="1"/>
                <w:szCs w:val="1"/>
                <w:color w:val="auto"/>
              </w:rPr>
            </w:pPr>
          </w:p>
        </w:tc>
      </w:tr>
      <w:tr>
        <w:trPr>
          <w:trHeight w:val="176"/>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1,604,885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1,599,650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302,370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299,562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1,907,255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1,899,212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life of expected cash flows as of March 31, 2023 and June 30, 2022.</w:t>
      </w:r>
    </w:p>
    <w:p>
      <w:pPr>
        <w:spacing w:after="0" w:line="1" w:lineRule="exact"/>
        <w:rPr>
          <w:rFonts w:ascii="Arial" w:cs="Arial" w:eastAsia="Arial" w:hAnsi="Arial"/>
          <w:sz w:val="23"/>
          <w:szCs w:val="23"/>
          <w:color w:val="auto"/>
          <w:vertAlign w:val="superscript"/>
        </w:rPr>
      </w:pPr>
    </w:p>
    <w:p>
      <w:pPr>
        <w:ind w:left="660" w:right="120" w:hanging="328"/>
        <w:spacing w:after="0" w:line="246" w:lineRule="auto"/>
        <w:tabs>
          <w:tab w:leader="none" w:pos="64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Certificates of deposit, corporate bonds, commercial paper, and US government bonds include $350.1 million and $303.8 million as of March 31, 2023 and June 30, 2022, respectively, classified as cash and cash equivalents within the interim condensed consolidated balance sheets.</w:t>
      </w:r>
    </w:p>
    <w:p>
      <w:pPr>
        <w:spacing w:after="0" w:line="22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Gross proceeds from matured or redeemed securities were $709.5 million and $2,863.9 million for the three and nine months ended March 31, 2023, respectively, and $949.3 million and $1,584.8 million for the three and nine months ended March 31, 2022, respectively.</w:t>
      </w:r>
    </w:p>
    <w:p>
      <w:pPr>
        <w:spacing w:after="0" w:line="173"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For available for sale securities realized gains and losses from portfolio sales were not material for the three and nine months ended March 31, 2023. There were no portfolio sales or associated realized gains or losses for the three and nine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Equity investments without a readily determinable fair value held at cost were $43.2 million as of both March 31, 2023 and June 30, 2022 and are included in other assets within the interim condensed consolidated balance sheets.</w:t>
      </w:r>
    </w:p>
    <w:p>
      <w:pPr>
        <w:spacing w:after="0" w:line="19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There have been no unrealized or realized gains and losses due to observable changes in orderly transactions and we did not record any impairment for the three and nine months ended March 31, 2023 and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 Financial Instruments</w:t>
      </w:r>
    </w:p>
    <w:p>
      <w:pPr>
        <w:spacing w:after="0" w:line="25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use derivative financial instruments (“derivatives”) to manage exposure to variable interest rates. Our primary objective in holding derivatives is to reduce the volatility in cash flows associated with our funding activities, arising from changes in interest rates. We do not employ derivatives for trading or speculative purposes.</w:t>
      </w:r>
    </w:p>
    <w:p>
      <w:pPr>
        <w:spacing w:after="0" w:line="21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March 31, 2023, we used a combination of interest rate cap agreements and interest rate swaps to manage interest costs and the risk associated with variable interest rates. FASB ASC 815-10 requires that an entity recognize all derivative instruments as either assets or liabilities in the statement of financial position. In accordance with that Subtopic, we designate certain derivative instruments as cash flow hedges, while others are not designated as hedges. Certain of our derivative agreements provide for netting arrangements for contracts that settle with the same counterparty, however, we do not offset assets and liabilities under these arrangements for financial statement presentation purposes. As such, the fair values are presented gross within other assets and accrued expenses and other liabilities. Offsetting collateral received by or paid to the counterparty is presented gross within accrued expenses and other liabilities or other assets, as applicable, on the interim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interest rate swaps designated as cash flow hedges in order to mitigate our exposure to changes in interest rates on our variable rate warehouse funding debt. The interest rate swaps involve the receipt of variable-rate amounts from a counterparty in exchange for fixed-rate payments over the life of the agreements without exchange of the underlying notional amount. These swaps that qualify as cash flow hedges are documented and designated as such when we enter into the contracts. In accordance with our risk management policies, we structure our hedges with terms similar to that of the item being hedged. We formally assess, at inception of the hedge accounting relationship and on a quarterly basis, whether derivatives designated as cash flow hedges are highly effective in offsetting changes to the forecasted cash flows of the hedged items.</w:t>
      </w:r>
    </w:p>
    <w:p>
      <w:pPr>
        <w:spacing w:after="0" w:line="20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gain or loss on the derivatives is recorded in other comprehensive income (loss) (“OCI”) and reclassified into earnings when the hedged cash flows are recognized in funding costs within the interim consolidated statements of operations and comprehensive income. The amount that is reclassified into earnings is presented in the interim consolidated statements of income in funding costs, the same line item in which the hedged transaction is recognized.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25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We have interest rate caps and interest rate swaps that are not designated as hedging instruments. We enter into these contracts to manage interest rate risk. Any changes in the fair value of these financial instruments are reflected in other income, net,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total fair value, including interest accruals, and outstanding notional amounts of derivative instruments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June 30, 2022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31, 2023</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2022</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6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Derivative</w:t>
            </w:r>
          </w:p>
        </w:tc>
      </w:tr>
      <w:tr>
        <w:trPr>
          <w:trHeight w:val="239"/>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rPr>
              <w:t>Liabilities</w:t>
            </w:r>
          </w:p>
        </w:tc>
      </w:tr>
      <w:tr>
        <w:trPr>
          <w:trHeight w:val="214"/>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3"/>
              </w:rPr>
              <w:t>Derivatives designated as cash flow hedges</w:t>
            </w: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w w:val="95"/>
              </w:rPr>
              <w:t>Interest rate contracts - cash flow hedges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Derivatives not designated as hedges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49,983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Total gross derivative assets/liabilities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3,166,660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impact of the cash flow hedges on Accumulated Other Comprehensive Income (“AOCI”)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7"/>
                <w:szCs w:val="17"/>
                <w:color w:val="auto"/>
              </w:rPr>
            </w:pPr>
          </w:p>
        </w:tc>
        <w:tc>
          <w:tcPr>
            <w:tcW w:w="2380" w:type="dxa"/>
            <w:vAlign w:val="bottom"/>
            <w:gridSpan w:val="3"/>
          </w:tcPr>
          <w:p>
            <w:pPr>
              <w:ind w:left="100"/>
              <w:spacing w:after="0"/>
              <w:rPr>
                <w:sz w:val="20"/>
                <w:szCs w:val="20"/>
                <w:color w:val="auto"/>
              </w:rPr>
            </w:pPr>
            <w:r>
              <w:rPr>
                <w:rFonts w:ascii="Arial" w:cs="Arial" w:eastAsia="Arial" w:hAnsi="Arial"/>
                <w:sz w:val="18"/>
                <w:szCs w:val="18"/>
                <w:b w:val="1"/>
                <w:bCs w:val="1"/>
                <w:color w:val="auto"/>
                <w:w w:val="95"/>
              </w:rPr>
              <w:t>Three Months Ended March</w:t>
            </w:r>
          </w:p>
        </w:tc>
        <w:tc>
          <w:tcPr>
            <w:tcW w:w="2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Nine Months Ended March</w:t>
            </w:r>
          </w:p>
        </w:tc>
      </w:tr>
      <w:tr>
        <w:trPr>
          <w:trHeight w:val="239"/>
        </w:trPr>
        <w:tc>
          <w:tcPr>
            <w:tcW w:w="65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31,</w:t>
            </w: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31,</w:t>
            </w:r>
          </w:p>
        </w:tc>
      </w:tr>
      <w:tr>
        <w:trPr>
          <w:trHeight w:val="349"/>
        </w:trPr>
        <w:tc>
          <w:tcPr>
            <w:tcW w:w="656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Changes in fair value</w:t>
            </w: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Amounts reclassified into earnings </w:t>
            </w:r>
            <w:r>
              <w:rPr>
                <w:rFonts w:ascii="Arial" w:cs="Arial" w:eastAsia="Arial" w:hAnsi="Arial"/>
                <w:sz w:val="23"/>
                <w:szCs w:val="23"/>
                <w:color w:val="auto"/>
                <w:vertAlign w:val="superscript"/>
              </w:rPr>
              <w:t>(1)</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656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Balance at end of period </w:t>
            </w:r>
            <w:r>
              <w:rPr>
                <w:rFonts w:ascii="Arial" w:cs="Arial" w:eastAsia="Arial" w:hAnsi="Arial"/>
                <w:sz w:val="23"/>
                <w:szCs w:val="23"/>
                <w:b w:val="1"/>
                <w:bCs w:val="1"/>
                <w:color w:val="auto"/>
                <w:vertAlign w:val="superscript"/>
              </w:rPr>
              <w:t>(</w:t>
            </w:r>
            <w:r>
              <w:rPr>
                <w:rFonts w:ascii="Arial" w:cs="Arial" w:eastAsia="Arial" w:hAnsi="Arial"/>
                <w:sz w:val="23"/>
                <w:szCs w:val="23"/>
                <w:color w:val="auto"/>
                <w:vertAlign w:val="superscript"/>
              </w:rPr>
              <w:t>2)</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r>
      <w:tr>
        <w:trPr>
          <w:trHeight w:val="21"/>
        </w:trPr>
        <w:tc>
          <w:tcPr>
            <w:tcW w:w="6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The amounts reclassified into earnings is presented in the interim consolidated statements of income within funding costs.</w:t>
      </w:r>
    </w:p>
    <w:p>
      <w:pPr>
        <w:spacing w:after="0" w:line="1" w:lineRule="exact"/>
        <w:rPr>
          <w:rFonts w:ascii="Arial" w:cs="Arial" w:eastAsia="Arial" w:hAnsi="Arial"/>
          <w:sz w:val="23"/>
          <w:szCs w:val="23"/>
          <w:color w:val="auto"/>
          <w:vertAlign w:val="superscript"/>
        </w:rPr>
      </w:pPr>
    </w:p>
    <w:p>
      <w:pPr>
        <w:ind w:left="660" w:right="140" w:hanging="328"/>
        <w:spacing w:after="0" w:line="219"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Over the next 12 months, we expect to reclassify $0.3 million of net pre-tax losses from AOCI into funding costs within our interim consolidated statements of operations and comprehensive income.</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The following table summarizes the impact of the derivative instruments on income and indicates where within the interim consolidated statements of operations and comprehensive income such impact is reported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2"/>
              </w:rPr>
              <w:t>Location of Gains (Losses) where the Effects of Derivatives are</w:t>
            </w:r>
          </w:p>
        </w:tc>
        <w:tc>
          <w:tcPr>
            <w:tcW w:w="304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 March 31,</w:t>
            </w:r>
          </w:p>
        </w:tc>
        <w:tc>
          <w:tcPr>
            <w:tcW w:w="2980" w:type="dxa"/>
            <w:vAlign w:val="bottom"/>
            <w:gridSpan w:val="3"/>
          </w:tcPr>
          <w:p>
            <w:pPr>
              <w:jc w:val="right"/>
              <w:ind w:right="215"/>
              <w:spacing w:after="0"/>
              <w:rPr>
                <w:sz w:val="20"/>
                <w:szCs w:val="20"/>
                <w:color w:val="auto"/>
              </w:rPr>
            </w:pPr>
            <w:r>
              <w:rPr>
                <w:rFonts w:ascii="Arial" w:cs="Arial" w:eastAsia="Arial" w:hAnsi="Arial"/>
                <w:sz w:val="18"/>
                <w:szCs w:val="18"/>
                <w:b w:val="1"/>
                <w:bCs w:val="1"/>
                <w:color w:val="auto"/>
              </w:rPr>
              <w:t>Nine Months Ended March 31,</w:t>
            </w:r>
          </w:p>
        </w:tc>
        <w:tc>
          <w:tcPr>
            <w:tcW w:w="0" w:type="dxa"/>
            <w:vAlign w:val="bottom"/>
          </w:tcPr>
          <w:p>
            <w:pPr>
              <w:spacing w:after="0"/>
              <w:rPr>
                <w:sz w:val="1"/>
                <w:szCs w:val="1"/>
                <w:color w:val="auto"/>
              </w:rPr>
            </w:pPr>
          </w:p>
        </w:tc>
      </w:tr>
      <w:tr>
        <w:trPr>
          <w:trHeight w:val="101"/>
        </w:trPr>
        <w:tc>
          <w:tcPr>
            <w:tcW w:w="5200" w:type="dxa"/>
            <w:vAlign w:val="bottom"/>
            <w:vMerge w:val="continue"/>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5200" w:type="dxa"/>
            <w:vAlign w:val="bottom"/>
            <w:tcBorders>
              <w:bottom w:val="single" w:sz="8" w:color="CCEEFF"/>
            </w:tcBorders>
          </w:tcPr>
          <w:p>
            <w:pPr>
              <w:ind w:left="2200"/>
              <w:spacing w:after="0"/>
              <w:rPr>
                <w:sz w:val="20"/>
                <w:szCs w:val="20"/>
                <w:color w:val="auto"/>
              </w:rPr>
            </w:pPr>
            <w:r>
              <w:rPr>
                <w:rFonts w:ascii="Arial" w:cs="Arial" w:eastAsia="Arial" w:hAnsi="Arial"/>
                <w:sz w:val="18"/>
                <w:szCs w:val="18"/>
                <w:b w:val="1"/>
                <w:bCs w:val="1"/>
                <w:color w:val="auto"/>
              </w:rPr>
              <w:t>recorded</w:t>
            </w: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 effects of cash flow hedging</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Funding Costs</w:t>
            </w: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The effects of derivatives not designated in hedging relationships</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20" w:type="dxa"/>
            <w:vAlign w:val="bottom"/>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35,145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33,819</w:t>
            </w: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of Financial Assets and Liabilities</w:t>
      </w:r>
    </w:p>
    <w:p>
      <w:pPr>
        <w:spacing w:after="0" w:line="25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ASC Topic 820, “Fair Value Measurement” (“ASC 820”) establishes a fair value hierarchy that prioritizes the use of inputs used in valuation methodologies into the following three levels:</w:t>
      </w:r>
    </w:p>
    <w:p>
      <w:pPr>
        <w:spacing w:after="0" w:line="197" w:lineRule="exact"/>
        <w:rPr>
          <w:sz w:val="20"/>
          <w:szCs w:val="20"/>
          <w:color w:val="auto"/>
        </w:rPr>
      </w:pPr>
    </w:p>
    <w:p>
      <w:pPr>
        <w:ind w:left="660" w:right="4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 A quoted price in an</w:t>
      </w:r>
      <w:r>
        <w:rPr>
          <w:rFonts w:ascii="Arial" w:cs="Arial" w:eastAsia="Arial" w:hAnsi="Arial"/>
          <w:sz w:val="17"/>
          <w:szCs w:val="17"/>
          <w:i w:val="1"/>
          <w:iCs w:val="1"/>
          <w:color w:val="auto"/>
        </w:rPr>
        <w:t xml:space="preserve"> </w:t>
      </w:r>
      <w:r>
        <w:rPr>
          <w:rFonts w:ascii="Arial" w:cs="Arial" w:eastAsia="Arial" w:hAnsi="Arial"/>
          <w:sz w:val="17"/>
          <w:szCs w:val="17"/>
          <w:color w:val="auto"/>
        </w:rPr>
        <w:t>active market provides the most reliable evidence of fair value and shall be used to measure fair value whenever available.</w:t>
      </w:r>
    </w:p>
    <w:p>
      <w:pPr>
        <w:spacing w:after="0" w:line="173" w:lineRule="exact"/>
        <w:rPr>
          <w:rFonts w:ascii="Arial" w:cs="Arial" w:eastAsia="Arial" w:hAnsi="Arial"/>
          <w:sz w:val="17"/>
          <w:szCs w:val="17"/>
          <w:color w:val="auto"/>
        </w:rPr>
      </w:pPr>
    </w:p>
    <w:p>
      <w:pPr>
        <w:ind w:left="660" w:hanging="328"/>
        <w:spacing w:after="0" w:line="286"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or liabilities in active markets; inputs to the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192" w:lineRule="exact"/>
        <w:rPr>
          <w:rFonts w:ascii="Arial" w:cs="Arial" w:eastAsia="Arial" w:hAnsi="Arial"/>
          <w:sz w:val="17"/>
          <w:szCs w:val="17"/>
          <w:color w:val="auto"/>
        </w:rPr>
      </w:pPr>
    </w:p>
    <w:p>
      <w:pPr>
        <w:jc w:val="both"/>
        <w:ind w:left="660" w:right="10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Inputs to the valuation methodology are unobservable and significant to the fair value measurement. Level 3 assets and liabilities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whose value is determined using discounted cash flow methodologies,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March 31, 2023 and June 30, 2022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gridSpan w:val="5"/>
            <w:shd w:val="clear" w:color="auto" w:fill="CCEEFF"/>
          </w:tcPr>
          <w:p>
            <w:pPr>
              <w:ind w:left="520"/>
              <w:spacing w:after="0"/>
              <w:rPr>
                <w:sz w:val="20"/>
                <w:szCs w:val="20"/>
                <w:color w:val="auto"/>
              </w:rPr>
            </w:pPr>
            <w:r>
              <w:rPr>
                <w:rFonts w:ascii="Arial" w:cs="Arial" w:eastAsia="Arial" w:hAnsi="Arial"/>
                <w:sz w:val="16"/>
                <w:szCs w:val="16"/>
                <w:b w:val="1"/>
                <w:bCs w:val="1"/>
                <w:color w:val="auto"/>
              </w:rPr>
              <w:t>March 31, 2023</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07"/>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7"/>
                <w:szCs w:val="17"/>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204,449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204,449</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156,887</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 - 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193,175</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145,528</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292,726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292,726</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186,143</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Agency bonds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35,194</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6,108</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367,081</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25,235</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Servicing assets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49,459</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204,449</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1,432,301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1,663,772</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Servicing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3,674</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14,580</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Profit share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2,190</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22,603</w:t>
            </w: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162,483</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16,026</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229,272</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Government bonds - 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58,541</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Certificate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300,390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300,390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368,671</w:t>
            </w: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478,293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478,293</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360"/>
              <w:spacing w:after="0"/>
              <w:rPr>
                <w:sz w:val="20"/>
                <w:szCs w:val="20"/>
                <w:color w:val="auto"/>
              </w:rPr>
            </w:pPr>
            <w:r>
              <w:rPr>
                <w:rFonts w:ascii="Arial" w:cs="Arial" w:eastAsia="Arial" w:hAnsi="Arial"/>
                <w:sz w:val="18"/>
                <w:szCs w:val="18"/>
                <w:color w:val="auto"/>
              </w:rPr>
              <w:t>Non-U.S.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17,955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378,386</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51,678</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assets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49,983</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2,112,870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Performance fee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23,348</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30,095</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30,095</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periods ended March 31, 2023 and June 30,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(Level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Securities Available for Sale</w:t>
      </w:r>
    </w:p>
    <w:p>
      <w:pPr>
        <w:spacing w:after="0" w:line="25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of March 31, 2023, we held marketable securities classified as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52"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As of March 31, 2023 and June 30, 2022, our derivative instruments are classified as Level 2 within the fair value hierarchy, based on prices quoted for similar financial instruments in markets that are not active. Refer to Note 13. Derivative Financial Instruments in the notes to the interim condensed consolidated financial statements for further details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using Significant Unobservable Inputs (Level 3)</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contingent consideration, and profit share liability do not trade in an active market with readily observable prices, we use significant unobservable inputs to measure fair value. This determination requires significant judgments to be made.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25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We sold loans with an unpaid balance of $1.7 billion and $5.8 billion for the three and nine months ended March 31, 2023, respectively, and $2.0 billion and $5.6 billion for the three and nine months ended March 31, 2022, respectively, for which we retained servicing rights.</w:t>
      </w:r>
    </w:p>
    <w:p>
      <w:pPr>
        <w:spacing w:after="0" w:line="17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March 31, 2023 and June 30, 2022, we serviced loans which we sold with a remaining unpaid principal balance of $4.2 billion and $4.5 billion, respectively.</w:t>
      </w:r>
    </w:p>
    <w:p>
      <w:pPr>
        <w:spacing w:after="0" w:line="19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We use discounted cash flow models to arrive at an estimate of fair value. Significant assumptions used in the valuation of our servicing rights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Adequate Compensation</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5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Default Rate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earned $21.4 million and $64.3 million of servicing income for the three and nine months ended March 31, 2023, respectively, and $23.5 million and $44.2 million for the three and nine months ended March 31, 2022, respectively.</w:t>
      </w:r>
    </w:p>
    <w:p>
      <w:pPr>
        <w:spacing w:after="0" w:line="19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As of March 31, 2023 and June 30, 2022, the aggregate fair value of the servicing assets was measured at $0.8 million and $1.2 million, respectively, and presented within other assets on the interim condensed consolidated balance sheets. As of March 31, 2023 and June 30, 2022, the aggregate fair value of the servicing liabilities was measured at $3.7 million and $2.7 million, respectively,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04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Nine Months Ended March 31,</w:t>
            </w:r>
          </w:p>
        </w:tc>
      </w:tr>
      <w:tr>
        <w:trPr>
          <w:trHeight w:val="210"/>
        </w:trPr>
        <w:tc>
          <w:tcPr>
            <w:tcW w:w="5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920" w:type="dxa"/>
            <w:vAlign w:val="bottom"/>
            <w:shd w:val="clear" w:color="auto" w:fill="CCEEFF"/>
          </w:tcPr>
          <w:p>
            <w:pPr>
              <w:jc w:val="right"/>
              <w:ind w:right="73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Initial transfers of financial assets</w:t>
            </w:r>
          </w:p>
        </w:tc>
        <w:tc>
          <w:tcPr>
            <w:tcW w:w="9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3,105</w:t>
            </w:r>
          </w:p>
        </w:tc>
      </w:tr>
      <w:tr>
        <w:trPr>
          <w:trHeight w:val="22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920" w:type="dxa"/>
            <w:vAlign w:val="bottom"/>
            <w:tcBorders>
              <w:bottom w:val="single" w:sz="8" w:color="auto"/>
            </w:tcBorders>
          </w:tcPr>
          <w:p>
            <w:pPr>
              <w:jc w:val="right"/>
              <w:ind w:right="73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w:t>
            </w:r>
          </w:p>
        </w:tc>
      </w:tr>
      <w:tr>
        <w:trPr>
          <w:trHeight w:val="20"/>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liabilities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Nine Months Ended March 31,</w:t>
            </w:r>
          </w:p>
        </w:tc>
      </w:tr>
      <w:tr>
        <w:trPr>
          <w:trHeight w:val="210"/>
        </w:trPr>
        <w:tc>
          <w:tcPr>
            <w:tcW w:w="5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8"/>
              </w:rPr>
              <w:t>8,626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88"/>
              </w:rPr>
              <w:t>2,673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Initial transfers of financial assets</w:t>
            </w:r>
          </w:p>
        </w:tc>
        <w:tc>
          <w:tcPr>
            <w:tcW w:w="8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1,954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2"/>
              <w:spacing w:after="0"/>
              <w:rPr>
                <w:sz w:val="20"/>
                <w:szCs w:val="20"/>
                <w:color w:val="auto"/>
              </w:rPr>
            </w:pPr>
            <w:r>
              <w:rPr>
                <w:rFonts w:ascii="Arial" w:cs="Arial" w:eastAsia="Arial" w:hAnsi="Arial"/>
                <w:sz w:val="18"/>
                <w:szCs w:val="18"/>
                <w:color w:val="auto"/>
                <w:w w:val="88"/>
              </w:rPr>
              <w:t>2,940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center"/>
              <w:ind w:left="513"/>
              <w:spacing w:after="0"/>
              <w:rPr>
                <w:sz w:val="20"/>
                <w:szCs w:val="20"/>
                <w:color w:val="auto"/>
              </w:rPr>
            </w:pPr>
            <w:r>
              <w:rPr>
                <w:rFonts w:ascii="Arial" w:cs="Arial" w:eastAsia="Arial" w:hAnsi="Arial"/>
                <w:sz w:val="18"/>
                <w:szCs w:val="18"/>
                <w:color w:val="auto"/>
                <w:w w:val="88"/>
              </w:rPr>
              <w:t>6,149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13,826</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(1,960)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91"/>
              </w:rPr>
              <w:t>(5,960)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493"/>
              <w:spacing w:after="0"/>
              <w:rPr>
                <w:sz w:val="20"/>
                <w:szCs w:val="20"/>
                <w:color w:val="auto"/>
              </w:rPr>
            </w:pPr>
            <w:r>
              <w:rPr>
                <w:rFonts w:ascii="Arial" w:cs="Arial" w:eastAsia="Arial" w:hAnsi="Arial"/>
                <w:sz w:val="18"/>
                <w:szCs w:val="18"/>
                <w:color w:val="auto"/>
                <w:w w:val="94"/>
              </w:rPr>
              <w:t>(5,148)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88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3,674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8"/>
              </w:rPr>
              <w:t>5,606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88"/>
              </w:rPr>
              <w:t>3,674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w:t>
            </w:r>
          </w:p>
        </w:tc>
      </w:tr>
      <w:tr>
        <w:trPr>
          <w:trHeight w:val="21"/>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tables presents quantitative information about the significant unobservable inputs used for our Level 3 fair value measurement of servicing assets and liabilities as of March 31, 2023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3"/>
              </w:rPr>
              <w:t>March 31, 2023</w:t>
            </w:r>
          </w:p>
        </w:tc>
        <w:tc>
          <w:tcPr>
            <w:tcW w:w="1760" w:type="dxa"/>
            <w:vAlign w:val="bottom"/>
            <w:tcBorders>
              <w:bottom w:val="single" w:sz="8" w:color="auto"/>
            </w:tcBorders>
          </w:tcPr>
          <w:p>
            <w:pPr>
              <w:spacing w:after="0"/>
              <w:rPr>
                <w:sz w:val="18"/>
                <w:szCs w:val="18"/>
                <w:color w:val="auto"/>
              </w:rPr>
            </w:pPr>
          </w:p>
        </w:tc>
      </w:tr>
      <w:tr>
        <w:trPr>
          <w:trHeight w:val="213"/>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2"/>
          </w:tcPr>
          <w:p>
            <w:pPr>
              <w:ind w:left="680"/>
              <w:spacing w:after="0"/>
              <w:rPr>
                <w:sz w:val="20"/>
                <w:szCs w:val="20"/>
                <w:color w:val="auto"/>
              </w:rPr>
            </w:pPr>
            <w:r>
              <w:rPr>
                <w:rFonts w:ascii="Arial" w:cs="Arial" w:eastAsia="Arial" w:hAnsi="Arial"/>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Arial" w:cs="Arial" w:eastAsia="Arial" w:hAnsi="Arial"/>
                <w:sz w:val="16"/>
                <w:szCs w:val="16"/>
                <w:b w:val="1"/>
                <w:bCs w:val="1"/>
                <w:color w:val="auto"/>
              </w:rPr>
              <w:t>Minimum</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Maximum</w:t>
            </w:r>
          </w:p>
        </w:tc>
        <w:tc>
          <w:tcPr>
            <w:tcW w:w="1760" w:type="dxa"/>
            <w:vAlign w:val="bottom"/>
          </w:tcPr>
          <w:p>
            <w:pPr>
              <w:jc w:val="right"/>
              <w:ind w:right="151"/>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0.75 %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0.97 %</w:t>
            </w:r>
          </w:p>
        </w:tc>
      </w:tr>
      <w:tr>
        <w:trPr>
          <w:trHeight w:val="229"/>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Servicing liabilities</w:t>
            </w:r>
          </w:p>
        </w:tc>
        <w:tc>
          <w:tcPr>
            <w:tcW w:w="28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r>
      <w:tr>
        <w:trPr>
          <w:trHeight w:val="312"/>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8"/>
                <w:szCs w:val="18"/>
                <w:color w:val="auto"/>
              </w:rPr>
              <w:t>10.25 %</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27.14 %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13.35 %</w:t>
            </w:r>
          </w:p>
        </w:tc>
      </w:tr>
      <w:tr>
        <w:trPr>
          <w:trHeight w:val="344"/>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2022</w:t>
            </w:r>
          </w:p>
        </w:tc>
        <w:tc>
          <w:tcPr>
            <w:tcW w:w="1760" w:type="dxa"/>
            <w:vAlign w:val="bottom"/>
            <w:tcBorders>
              <w:bottom w:val="single" w:sz="8" w:color="auto"/>
            </w:tcBorders>
          </w:tcPr>
          <w:p>
            <w:pPr>
              <w:spacing w:after="0"/>
              <w:rPr>
                <w:sz w:val="24"/>
                <w:szCs w:val="24"/>
                <w:color w:val="auto"/>
              </w:rPr>
            </w:pPr>
          </w:p>
        </w:tc>
      </w:tr>
      <w:tr>
        <w:trPr>
          <w:trHeight w:val="213"/>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2"/>
          </w:tcPr>
          <w:p>
            <w:pPr>
              <w:ind w:left="660"/>
              <w:spacing w:after="0"/>
              <w:rPr>
                <w:sz w:val="20"/>
                <w:szCs w:val="20"/>
                <w:color w:val="auto"/>
              </w:rPr>
            </w:pPr>
            <w:r>
              <w:rPr>
                <w:rFonts w:ascii="Arial" w:cs="Arial" w:eastAsia="Arial" w:hAnsi="Arial"/>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Arial" w:cs="Arial" w:eastAsia="Arial" w:hAnsi="Arial"/>
                <w:sz w:val="16"/>
                <w:szCs w:val="16"/>
                <w:b w:val="1"/>
                <w:bCs w:val="1"/>
                <w:color w:val="auto"/>
              </w:rPr>
              <w:t>Minimum</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Maximum</w:t>
            </w:r>
          </w:p>
        </w:tc>
        <w:tc>
          <w:tcPr>
            <w:tcW w:w="1760" w:type="dxa"/>
            <w:vAlign w:val="bottom"/>
          </w:tcPr>
          <w:p>
            <w:pPr>
              <w:jc w:val="right"/>
              <w:ind w:right="151"/>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0" w:type="dxa"/>
            <w:vAlign w:val="bottom"/>
            <w:tcBorders>
              <w:top w:val="single" w:sz="8" w:color="auto"/>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3"/>
                <w:szCs w:val="23"/>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8"/>
                <w:szCs w:val="18"/>
                <w:color w:val="auto"/>
              </w:rPr>
              <w:t>0.78 %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Servicing liabilities</w:t>
            </w:r>
          </w:p>
        </w:tc>
        <w:tc>
          <w:tcPr>
            <w:tcW w:w="28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29"/>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304"/>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8"/>
                <w:szCs w:val="18"/>
                <w:color w:val="auto"/>
              </w:rPr>
              <w:t>9.03 %</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24.44 %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4141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7"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Estimated annual cost of servicing a loan as a percentage of unpaid principal balance</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Annualized estimated gross charge-offs as a percentage of unpaid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2023</w:t>
            </w:r>
          </w:p>
        </w:tc>
        <w:tc>
          <w:tcPr>
            <w:tcW w:w="320" w:type="dxa"/>
            <w:vAlign w:val="bottom"/>
          </w:tcPr>
          <w:p>
            <w:pPr>
              <w:spacing w:after="0"/>
              <w:rPr>
                <w:sz w:val="18"/>
                <w:szCs w:val="18"/>
                <w:color w:val="auto"/>
              </w:rPr>
            </w:pPr>
          </w:p>
        </w:tc>
        <w:tc>
          <w:tcPr>
            <w:tcW w:w="1720" w:type="dxa"/>
            <w:vAlign w:val="bottom"/>
          </w:tcPr>
          <w:p>
            <w:pPr>
              <w:jc w:val="right"/>
              <w:ind w:right="471"/>
              <w:spacing w:after="0"/>
              <w:rPr>
                <w:sz w:val="20"/>
                <w:szCs w:val="20"/>
                <w:color w:val="auto"/>
              </w:rPr>
            </w:pPr>
            <w:r>
              <w:rPr>
                <w:rFonts w:ascii="Arial" w:cs="Arial" w:eastAsia="Arial" w:hAnsi="Arial"/>
                <w:sz w:val="16"/>
                <w:szCs w:val="16"/>
                <w:b w:val="1"/>
                <w:bCs w:val="1"/>
                <w:color w:val="auto"/>
              </w:rPr>
              <w:t>June 30, 2022</w:t>
            </w:r>
          </w:p>
        </w:tc>
      </w:tr>
      <w:tr>
        <w:trPr>
          <w:trHeight w:val="213"/>
        </w:trPr>
        <w:tc>
          <w:tcPr>
            <w:tcW w:w="6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Servicing assets</w:t>
            </w:r>
          </w:p>
        </w:tc>
        <w:tc>
          <w:tcPr>
            <w:tcW w:w="3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860" w:type="dxa"/>
            <w:vAlign w:val="bottom"/>
          </w:tcPr>
          <w:p>
            <w:pPr>
              <w:ind w:left="120"/>
              <w:spacing w:after="0"/>
              <w:rPr>
                <w:sz w:val="20"/>
                <w:szCs w:val="20"/>
                <w:color w:val="auto"/>
              </w:rPr>
            </w:pPr>
            <w:r>
              <w:rPr>
                <w:rFonts w:ascii="Arial" w:cs="Arial" w:eastAsia="Arial" w:hAnsi="Arial"/>
                <w:sz w:val="18"/>
                <w:szCs w:val="18"/>
                <w:color w:val="auto"/>
              </w:rPr>
              <w:t>Gross default rate assumption:</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default rate increase of 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860" w:type="dxa"/>
            <w:vAlign w:val="bottom"/>
          </w:tcPr>
          <w:p>
            <w:pPr>
              <w:ind w:left="240"/>
              <w:spacing w:after="0"/>
              <w:rPr>
                <w:sz w:val="20"/>
                <w:szCs w:val="20"/>
                <w:color w:val="auto"/>
              </w:rPr>
            </w:pPr>
            <w:r>
              <w:rPr>
                <w:rFonts w:ascii="Arial" w:cs="Arial" w:eastAsia="Arial" w:hAnsi="Arial"/>
                <w:sz w:val="18"/>
                <w:szCs w:val="18"/>
                <w:color w:val="auto"/>
              </w:rPr>
              <w:t>Gross default rate increase of 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Adequate compensation assumption: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860" w:type="dxa"/>
            <w:vAlign w:val="bottom"/>
          </w:tcPr>
          <w:p>
            <w:pPr>
              <w:ind w:left="240"/>
              <w:spacing w:after="0"/>
              <w:rPr>
                <w:sz w:val="20"/>
                <w:szCs w:val="20"/>
                <w:color w:val="auto"/>
              </w:rPr>
            </w:pPr>
            <w:r>
              <w:rPr>
                <w:rFonts w:ascii="Arial" w:cs="Arial" w:eastAsia="Arial" w:hAnsi="Arial"/>
                <w:sz w:val="18"/>
                <w:szCs w:val="18"/>
                <w:color w:val="auto"/>
              </w:rPr>
              <w:t>Adequate compensation increase of 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(3,513)</w:t>
            </w:r>
          </w:p>
        </w:tc>
      </w:tr>
      <w:tr>
        <w:trPr>
          <w:trHeight w:val="229"/>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r>
      <w:tr>
        <w:trPr>
          <w:trHeight w:val="230"/>
        </w:trPr>
        <w:tc>
          <w:tcPr>
            <w:tcW w:w="6860" w:type="dxa"/>
            <w:vAlign w:val="bottom"/>
          </w:tcPr>
          <w:p>
            <w:pPr>
              <w:ind w:left="120"/>
              <w:spacing w:after="0"/>
              <w:rPr>
                <w:sz w:val="20"/>
                <w:szCs w:val="20"/>
                <w:color w:val="auto"/>
              </w:rPr>
            </w:pPr>
            <w:r>
              <w:rPr>
                <w:rFonts w:ascii="Arial" w:cs="Arial" w:eastAsia="Arial" w:hAnsi="Arial"/>
                <w:sz w:val="18"/>
                <w:szCs w:val="18"/>
                <w:color w:val="auto"/>
              </w:rPr>
              <w:t>Discount rate assumption:</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686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Servicing liabilities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860" w:type="dxa"/>
            <w:vAlign w:val="bottom"/>
          </w:tcPr>
          <w:p>
            <w:pPr>
              <w:ind w:left="120"/>
              <w:spacing w:after="0"/>
              <w:rPr>
                <w:sz w:val="20"/>
                <w:szCs w:val="20"/>
                <w:color w:val="auto"/>
              </w:rPr>
            </w:pPr>
            <w:r>
              <w:rPr>
                <w:rFonts w:ascii="Arial" w:cs="Arial" w:eastAsia="Arial" w:hAnsi="Arial"/>
                <w:sz w:val="18"/>
                <w:szCs w:val="18"/>
                <w:color w:val="auto"/>
              </w:rPr>
              <w:t>Gross default rate assumption:</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default rate increase of 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860" w:type="dxa"/>
            <w:vAlign w:val="bottom"/>
          </w:tcPr>
          <w:p>
            <w:pPr>
              <w:ind w:left="240"/>
              <w:spacing w:after="0"/>
              <w:rPr>
                <w:sz w:val="20"/>
                <w:szCs w:val="20"/>
                <w:color w:val="auto"/>
              </w:rPr>
            </w:pPr>
            <w:r>
              <w:rPr>
                <w:rFonts w:ascii="Arial" w:cs="Arial" w:eastAsia="Arial" w:hAnsi="Arial"/>
                <w:sz w:val="18"/>
                <w:szCs w:val="18"/>
                <w:color w:val="auto"/>
              </w:rPr>
              <w:t>Gross default rate increase of 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Adequate compensation assumption:</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860" w:type="dxa"/>
            <w:vAlign w:val="bottom"/>
          </w:tcPr>
          <w:p>
            <w:pPr>
              <w:ind w:left="240"/>
              <w:spacing w:after="0"/>
              <w:rPr>
                <w:sz w:val="20"/>
                <w:szCs w:val="20"/>
                <w:color w:val="auto"/>
              </w:rPr>
            </w:pPr>
            <w:r>
              <w:rPr>
                <w:rFonts w:ascii="Arial" w:cs="Arial" w:eastAsia="Arial" w:hAnsi="Arial"/>
                <w:sz w:val="18"/>
                <w:szCs w:val="18"/>
                <w:color w:val="auto"/>
              </w:rPr>
              <w:t>Adequate compensation increase of 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6,139</w:t>
            </w:r>
          </w:p>
        </w:tc>
      </w:tr>
      <w:tr>
        <w:trPr>
          <w:trHeight w:val="230"/>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r>
      <w:tr>
        <w:trPr>
          <w:trHeight w:val="229"/>
        </w:trPr>
        <w:tc>
          <w:tcPr>
            <w:tcW w:w="6860" w:type="dxa"/>
            <w:vAlign w:val="bottom"/>
          </w:tcPr>
          <w:p>
            <w:pPr>
              <w:ind w:left="120"/>
              <w:spacing w:after="0"/>
              <w:rPr>
                <w:sz w:val="20"/>
                <w:szCs w:val="20"/>
                <w:color w:val="auto"/>
              </w:rPr>
            </w:pPr>
            <w:r>
              <w:rPr>
                <w:rFonts w:ascii="Arial" w:cs="Arial" w:eastAsia="Arial" w:hAnsi="Arial"/>
                <w:sz w:val="18"/>
                <w:szCs w:val="18"/>
                <w:color w:val="auto"/>
              </w:rPr>
              <w:t>Discount rate assumption:</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686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performance fee liability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308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Nine Months Ended March 31,</w:t>
            </w:r>
          </w:p>
        </w:tc>
      </w:tr>
      <w:tr>
        <w:trPr>
          <w:trHeight w:val="210"/>
        </w:trPr>
        <w:tc>
          <w:tcPr>
            <w:tcW w:w="5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Purchases of loans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5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performance fee liability as of March 31, 2023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2023</w:t>
            </w:r>
          </w:p>
        </w:tc>
        <w:tc>
          <w:tcPr>
            <w:tcW w:w="1440" w:type="dxa"/>
            <w:vAlign w:val="bottom"/>
            <w:tcBorders>
              <w:bottom w:val="single" w:sz="8" w:color="auto"/>
            </w:tcBorders>
          </w:tcPr>
          <w:p>
            <w:pPr>
              <w:spacing w:after="0"/>
              <w:rPr>
                <w:sz w:val="18"/>
                <w:szCs w:val="18"/>
                <w:color w:val="auto"/>
              </w:rPr>
            </w:pPr>
          </w:p>
        </w:tc>
      </w:t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1.50%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1.50%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2.77%</w:t>
            </w:r>
          </w:p>
        </w:tc>
      </w:tr>
      <w:tr>
        <w:trPr>
          <w:trHeight w:val="413"/>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2022</w:t>
            </w:r>
          </w:p>
        </w:tc>
        <w:tc>
          <w:tcPr>
            <w:tcW w:w="1440" w:type="dxa"/>
            <w:vAlign w:val="bottom"/>
            <w:tcBorders>
              <w:bottom w:val="single" w:sz="8" w:color="auto"/>
            </w:tcBorders>
          </w:tcPr>
          <w:p>
            <w:pPr>
              <w:spacing w:after="0"/>
              <w:rPr>
                <w:sz w:val="24"/>
                <w:szCs w:val="24"/>
                <w:color w:val="auto"/>
              </w:rPr>
            </w:pPr>
          </w:p>
        </w:tc>
      </w:t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Residual Trust Certificates Held by Third-Parties in Consolidated VIEs</w:t>
      </w:r>
    </w:p>
    <w:p>
      <w:pPr>
        <w:spacing w:after="0" w:line="25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activity related to the fair value of the residual trust certificates held by third-parties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304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Nine Months Ended March 31,</w:t>
            </w:r>
          </w:p>
        </w:tc>
      </w:tr>
      <w:tr>
        <w:trPr>
          <w:trHeight w:val="210"/>
        </w:trPr>
        <w:tc>
          <w:tcPr>
            <w:tcW w:w="52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6"/>
              </w:rPr>
              <w:t>914</w:t>
            </w: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Repayments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592"/>
              <w:spacing w:after="0"/>
              <w:rPr>
                <w:sz w:val="20"/>
                <w:szCs w:val="20"/>
                <w:color w:val="auto"/>
              </w:rPr>
            </w:pPr>
            <w:r>
              <w:rPr>
                <w:rFonts w:ascii="Arial" w:cs="Arial" w:eastAsia="Arial" w:hAnsi="Arial"/>
                <w:sz w:val="18"/>
                <w:szCs w:val="18"/>
                <w:color w:val="auto"/>
                <w:w w:val="95"/>
              </w:rPr>
              <w:t>(549)</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12"/>
              <w:spacing w:after="0"/>
              <w:rPr>
                <w:sz w:val="20"/>
                <w:szCs w:val="20"/>
                <w:color w:val="auto"/>
              </w:rPr>
            </w:pPr>
            <w:r>
              <w:rPr>
                <w:rFonts w:ascii="Arial" w:cs="Arial" w:eastAsia="Arial" w:hAnsi="Arial"/>
                <w:sz w:val="18"/>
                <w:szCs w:val="18"/>
                <w:color w:val="auto"/>
                <w:w w:val="86"/>
              </w:rPr>
              <w:t>124</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612"/>
              <w:spacing w:after="0"/>
              <w:rPr>
                <w:sz w:val="20"/>
                <w:szCs w:val="20"/>
                <w:color w:val="auto"/>
              </w:rPr>
            </w:pPr>
            <w:r>
              <w:rPr>
                <w:rFonts w:ascii="Arial" w:cs="Arial" w:eastAsia="Arial" w:hAnsi="Arial"/>
                <w:sz w:val="18"/>
                <w:szCs w:val="18"/>
                <w:color w:val="auto"/>
                <w:w w:val="86"/>
              </w:rPr>
              <w:t>489</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 quantitative information about the significant unobservable inputs used for our Level 3 fair value measurement of the residual trust certificates held by third-parties as of March 31, 2023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March 31, 2023</w:t>
            </w:r>
          </w:p>
        </w:tc>
        <w:tc>
          <w:tcPr>
            <w:tcW w:w="1640" w:type="dxa"/>
            <w:vAlign w:val="bottom"/>
            <w:tcBorders>
              <w:bottom w:val="single" w:sz="8" w:color="auto"/>
            </w:tcBorders>
          </w:tcPr>
          <w:p>
            <w:pPr>
              <w:spacing w:after="0"/>
              <w:rPr>
                <w:sz w:val="18"/>
                <w:szCs w:val="18"/>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Arial" w:cs="Arial" w:eastAsia="Arial" w:hAnsi="Arial"/>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164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1.13%</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r>
      <w:tr>
        <w:trPr>
          <w:trHeight w:val="575"/>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2022</w:t>
            </w:r>
          </w:p>
        </w:tc>
        <w:tc>
          <w:tcPr>
            <w:tcW w:w="1640" w:type="dxa"/>
            <w:vAlign w:val="bottom"/>
            <w:tcBorders>
              <w:bottom w:val="single" w:sz="8" w:color="auto"/>
            </w:tcBorders>
          </w:tcPr>
          <w:p>
            <w:pPr>
              <w:spacing w:after="0"/>
              <w:rPr>
                <w:sz w:val="24"/>
                <w:szCs w:val="24"/>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Arial" w:cs="Arial" w:eastAsia="Arial" w:hAnsi="Arial"/>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164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0.75%</w:t>
            </w: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Retained Beneficial Interests in Unconsolidated VIEs</w:t>
      </w:r>
    </w:p>
    <w:p>
      <w:pPr>
        <w:spacing w:after="0" w:line="266"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of March 31, 2023, the Company held notes receivable and residual trust certificates with an aggregate fair value of $25.2 million in connection with unconsolidated securitizations. The balances correspond to the 5% economic risk retention the Company is required to maintain as the securitization sponsor.</w:t>
      </w:r>
    </w:p>
    <w:p>
      <w:pPr>
        <w:spacing w:after="0" w:line="224" w:lineRule="exact"/>
        <w:rPr>
          <w:sz w:val="20"/>
          <w:szCs w:val="20"/>
          <w:color w:val="auto"/>
        </w:rPr>
      </w:pPr>
    </w:p>
    <w:p>
      <w:pPr>
        <w:ind w:right="180" w:firstLine="648"/>
        <w:spacing w:after="0" w:line="307" w:lineRule="auto"/>
        <w:rPr>
          <w:sz w:val="20"/>
          <w:szCs w:val="20"/>
          <w:color w:val="auto"/>
        </w:rPr>
      </w:pPr>
      <w:r>
        <w:rPr>
          <w:rFonts w:ascii="Arial" w:cs="Arial" w:eastAsia="Arial" w:hAnsi="Arial"/>
          <w:sz w:val="16"/>
          <w:szCs w:val="16"/>
          <w:color w:val="auto"/>
        </w:rPr>
        <w:t>These assets are measured at fair value using a discounted cash flow model, and presented within securities available for sale at fair value on the interim condensed consolidated balance sheets. Changes in the fair value, other than declines in fair value due to credit recognized as an allowance, are reflected in other comprehensive income (loss) on the interim condensed consolidated statements of operations and comprehensive loss. Declines in fair value due to credit are reflected in other income, net on the interim condensed consolidated statements of operations and comprehensive loss.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notes and residual trust certificates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70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9"/>
              </w:rPr>
              <w:t>Nine Months Ended March 31,</w:t>
            </w:r>
          </w:p>
        </w:tc>
      </w:tr>
      <w:tr>
        <w:trPr>
          <w:trHeight w:val="210"/>
        </w:trPr>
        <w:tc>
          <w:tcPr>
            <w:tcW w:w="5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22,067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35,762</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received (due to payments or sales)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w:t>
            </w:r>
          </w:p>
        </w:tc>
      </w:tr>
      <w:tr>
        <w:trPr>
          <w:trHeight w:val="229"/>
        </w:trPr>
        <w:tc>
          <w:tcPr>
            <w:tcW w:w="5220" w:type="dxa"/>
            <w:vAlign w:val="bottom"/>
          </w:tcPr>
          <w:p>
            <w:pPr>
              <w:ind w:left="140"/>
              <w:spacing w:after="0"/>
              <w:rPr>
                <w:sz w:val="20"/>
                <w:szCs w:val="20"/>
                <w:color w:val="auto"/>
              </w:rPr>
            </w:pPr>
            <w:r>
              <w:rPr>
                <w:rFonts w:ascii="Arial" w:cs="Arial" w:eastAsia="Arial" w:hAnsi="Arial"/>
                <w:sz w:val="18"/>
                <w:szCs w:val="18"/>
                <w:color w:val="auto"/>
              </w:rPr>
              <w:t>Change in unrealized gain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0"/>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Reversal of (impairment on) securities available for sale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42,707</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residual trust certificates as of March 31, 2023 and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2023</w:t>
            </w:r>
          </w:p>
        </w:tc>
        <w:tc>
          <w:tcPr>
            <w:tcW w:w="1440" w:type="dxa"/>
            <w:vAlign w:val="bottom"/>
            <w:tcBorders>
              <w:bottom w:val="single" w:sz="8" w:color="auto"/>
            </w:tcBorders>
          </w:tcPr>
          <w:p>
            <w:pPr>
              <w:spacing w:after="0"/>
              <w:rPr>
                <w:sz w:val="18"/>
                <w:szCs w:val="18"/>
                <w:color w:val="auto"/>
              </w:rPr>
            </w:pPr>
          </w:p>
        </w:tc>
      </w:t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4.45%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29.84%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6.96%</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1.16%</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17.39%</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3.58%</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30.30%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19.72%</w:t>
            </w:r>
          </w:p>
        </w:tc>
      </w:tr>
      <w:tr>
        <w:trPr>
          <w:trHeight w:val="318"/>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2022</w:t>
            </w:r>
          </w:p>
        </w:tc>
        <w:tc>
          <w:tcPr>
            <w:tcW w:w="1440" w:type="dxa"/>
            <w:vAlign w:val="bottom"/>
            <w:tcBorders>
              <w:bottom w:val="single" w:sz="8" w:color="auto"/>
            </w:tcBorders>
          </w:tcPr>
          <w:p>
            <w:pPr>
              <w:spacing w:after="0"/>
              <w:rPr>
                <w:sz w:val="24"/>
                <w:szCs w:val="24"/>
                <w:color w:val="auto"/>
              </w:rPr>
            </w:pPr>
          </w:p>
        </w:tc>
      </w:t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w w:val="94"/>
              </w:rPr>
              <w:t>Weighted Average</w:t>
            </w: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22.50%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5.37%</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10.95%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2.65%</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18.48%</w:t>
            </w:r>
          </w:p>
        </w:tc>
      </w:tr>
    </w:tbl>
    <w:p>
      <w:pPr>
        <w:spacing w:after="0" w:line="32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trust certificates given hypothetical changes in significant unobservable inputs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2023</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Arial" w:cs="Arial" w:eastAsia="Arial" w:hAnsi="Arial"/>
                <w:sz w:val="16"/>
                <w:szCs w:val="16"/>
                <w:b w:val="1"/>
                <w:bCs w:val="1"/>
                <w:color w:val="auto"/>
              </w:rPr>
              <w:t>June 30, 2022</w:t>
            </w:r>
          </w:p>
        </w:tc>
      </w:tr>
      <w:tr>
        <w:trPr>
          <w:trHeight w:val="212"/>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28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2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30"/>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30"/>
        </w:trPr>
        <w:tc>
          <w:tcPr>
            <w:tcW w:w="722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(368)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22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30"/>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acquisition of PayBright, Inc. (“PayBright”) on January 1, 2021 included consideration transferred and 2,587,362 shares of our common stock held in escrow, contingent upon the achievement of future milestones. At the acquisition date, we classified the contingent consideration as a liability and estimated its fair value using a Monte Carlo simulation utilizing assumptions of simulated revenue, equity volatility, and a discount rate. The liability is remeasured to its fair value at each reporting date, utilizing a Monte Carlo simulation for periods in which actual revenues are unknown, until the contingency is resolved. During the year ended June 30, 2022, one of these milestones was achieved and 1,293,681 shares of our Class A common stock were released from escrow, resulting in a reduction to the contingent liability. During the nine months ended March 31, 2023, an additional milestone was achieved and the fair value was estimated based on the shares expected to be released from escrow multiplied by the estimated share price. The fair value estimate represents a Level 3 measurement, as the revenue milestone represents a significant unobservable input. The change in fair value of the contingent consideration at each reporting date is recognized as a component of other income, net in the interim condensed consolidated statements of operations and comprehensive loss for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PayBright contingent consideration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Nine Months Ended March 31,</w:t>
            </w:r>
          </w:p>
        </w:tc>
      </w:tr>
      <w:tr>
        <w:trPr>
          <w:trHeight w:val="210"/>
        </w:trPr>
        <w:tc>
          <w:tcPr>
            <w:tcW w:w="5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8"/>
              </w:rPr>
              <w:t>23,348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153,447</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Subsequent changes in fair value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ind w:left="600"/>
              <w:spacing w:after="0"/>
              <w:rPr>
                <w:sz w:val="20"/>
                <w:szCs w:val="20"/>
                <w:color w:val="auto"/>
              </w:rPr>
            </w:pPr>
            <w:r>
              <w:rPr>
                <w:rFonts w:ascii="Arial" w:cs="Arial" w:eastAsia="Arial" w:hAnsi="Arial"/>
                <w:sz w:val="18"/>
                <w:szCs w:val="18"/>
                <w:color w:val="auto"/>
                <w:w w:val="94"/>
              </w:rPr>
              <w:t>(7,193)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(28,682)</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94"/>
              </w:rPr>
              <w:t>(1,575)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8"/>
              </w:rPr>
              <w:t>14,580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119,008</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Share Liability</w:t>
      </w:r>
    </w:p>
    <w:p>
      <w:pPr>
        <w:spacing w:after="0" w:line="25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profit share liability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304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March 31,</w:t>
            </w:r>
          </w:p>
        </w:tc>
        <w:tc>
          <w:tcPr>
            <w:tcW w:w="260" w:type="dxa"/>
            <w:vAlign w:val="bottom"/>
          </w:tcPr>
          <w:p>
            <w:pPr>
              <w:spacing w:after="0"/>
              <w:rPr>
                <w:sz w:val="18"/>
                <w:szCs w:val="18"/>
                <w:color w:val="auto"/>
              </w:rPr>
            </w:pPr>
          </w:p>
        </w:tc>
        <w:tc>
          <w:tcPr>
            <w:tcW w:w="27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9"/>
              </w:rPr>
              <w:t>Nine Months Ended March 31,</w:t>
            </w:r>
          </w:p>
        </w:tc>
      </w:tr>
      <w:tr>
        <w:trPr>
          <w:trHeight w:val="210"/>
        </w:trPr>
        <w:tc>
          <w:tcPr>
            <w:tcW w:w="5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8"/>
              </w:rPr>
              <w:t>2,053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88"/>
              </w:rPr>
              <w:t>1,987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8"/>
              </w:rPr>
              <w:t>2,465</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Facilitation of loans</w:t>
            </w:r>
          </w:p>
        </w:tc>
        <w:tc>
          <w:tcPr>
            <w:tcW w:w="8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492"/>
              <w:spacing w:after="0"/>
              <w:rPr>
                <w:sz w:val="20"/>
                <w:szCs w:val="20"/>
                <w:color w:val="auto"/>
              </w:rPr>
            </w:pPr>
            <w:r>
              <w:rPr>
                <w:rFonts w:ascii="Arial" w:cs="Arial" w:eastAsia="Arial" w:hAnsi="Arial"/>
                <w:sz w:val="18"/>
                <w:szCs w:val="18"/>
                <w:color w:val="auto"/>
                <w:w w:val="88"/>
              </w:rPr>
              <w:t>1,098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center"/>
              <w:ind w:left="533"/>
              <w:spacing w:after="0"/>
              <w:rPr>
                <w:sz w:val="20"/>
                <w:szCs w:val="20"/>
                <w:color w:val="auto"/>
              </w:rPr>
            </w:pPr>
            <w:r>
              <w:rPr>
                <w:rFonts w:ascii="Arial" w:cs="Arial" w:eastAsia="Arial" w:hAnsi="Arial"/>
                <w:sz w:val="18"/>
                <w:szCs w:val="18"/>
                <w:color w:val="auto"/>
                <w:w w:val="88"/>
              </w:rPr>
              <w:t>4,520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2"/>
              <w:spacing w:after="0"/>
              <w:rPr>
                <w:sz w:val="20"/>
                <w:szCs w:val="20"/>
                <w:color w:val="auto"/>
              </w:rPr>
            </w:pPr>
            <w:r>
              <w:rPr>
                <w:rFonts w:ascii="Arial" w:cs="Arial" w:eastAsia="Arial" w:hAnsi="Arial"/>
                <w:sz w:val="18"/>
                <w:szCs w:val="18"/>
                <w:color w:val="auto"/>
                <w:w w:val="88"/>
              </w:rPr>
              <w:t>4,672</w:t>
            </w: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performance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91"/>
              </w:rPr>
              <w:t>(2,918)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1"/>
              </w:rPr>
              <w:t>(6,154)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4"/>
              </w:rPr>
              <w:t>(3,929)</w:t>
            </w:r>
          </w:p>
        </w:tc>
      </w:tr>
      <w:tr>
        <w:trPr>
          <w:trHeight w:val="230"/>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1,338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color w:val="auto"/>
                <w:w w:val="88"/>
              </w:rPr>
              <w:t>1,645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33"/>
              <w:spacing w:after="0"/>
              <w:rPr>
                <w:sz w:val="20"/>
                <w:szCs w:val="20"/>
                <w:color w:val="auto"/>
              </w:rPr>
            </w:pPr>
            <w:r>
              <w:rPr>
                <w:rFonts w:ascii="Arial" w:cs="Arial" w:eastAsia="Arial" w:hAnsi="Arial"/>
                <w:sz w:val="18"/>
                <w:szCs w:val="18"/>
                <w:color w:val="auto"/>
                <w:w w:val="88"/>
              </w:rPr>
              <w:t>1,837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color w:val="auto"/>
                <w:w w:val="94"/>
              </w:rPr>
              <w:t>(1,330)</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88"/>
              </w:rPr>
              <w:t>1,878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88"/>
              </w:rPr>
              <w:t>2,190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8"/>
              </w:rPr>
              <w:t>1,878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profit sharing liability as of March 31, 2023 and June 30, 2022:</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3"/>
              </w:rPr>
              <w:t>March 31, 2023</w:t>
            </w:r>
          </w:p>
        </w:tc>
        <w:tc>
          <w:tcPr>
            <w:tcW w:w="1620" w:type="dxa"/>
            <w:vAlign w:val="bottom"/>
            <w:tcBorders>
              <w:bottom w:val="single" w:sz="8" w:color="auto"/>
            </w:tcBorders>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Arial" w:cs="Arial" w:eastAsia="Arial" w:hAnsi="Arial"/>
                <w:sz w:val="16"/>
                <w:szCs w:val="16"/>
                <w:b w:val="1"/>
                <w:bCs w:val="1"/>
                <w:color w:val="auto"/>
              </w:rPr>
              <w:t>Minimum</w:t>
            </w:r>
          </w:p>
        </w:tc>
        <w:tc>
          <w:tcPr>
            <w:tcW w:w="1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162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Program profitability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0.07%</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1.81%</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1.30%</w:t>
            </w:r>
          </w:p>
        </w:tc>
      </w:tr>
      <w:tr>
        <w:trPr>
          <w:trHeight w:val="331"/>
        </w:trPr>
        <w:tc>
          <w:tcPr>
            <w:tcW w:w="6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2022</w:t>
            </w:r>
          </w:p>
        </w:tc>
        <w:tc>
          <w:tcPr>
            <w:tcW w:w="1620" w:type="dxa"/>
            <w:vAlign w:val="bottom"/>
            <w:tcBorders>
              <w:bottom w:val="single" w:sz="8" w:color="auto"/>
            </w:tcBorders>
          </w:tcPr>
          <w:p>
            <w:pPr>
              <w:spacing w:after="0"/>
              <w:rPr>
                <w:sz w:val="24"/>
                <w:szCs w:val="24"/>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Arial" w:cs="Arial" w:eastAsia="Arial" w:hAnsi="Arial"/>
                <w:sz w:val="16"/>
                <w:szCs w:val="16"/>
                <w:b w:val="1"/>
                <w:bCs w:val="1"/>
                <w:color w:val="auto"/>
              </w:rPr>
              <w:t>Minimum</w:t>
            </w:r>
          </w:p>
        </w:tc>
        <w:tc>
          <w:tcPr>
            <w:tcW w:w="17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1620" w:type="dxa"/>
            <w:vAlign w:val="bottom"/>
          </w:tcPr>
          <w:p>
            <w:pPr>
              <w:ind w:left="180"/>
              <w:spacing w:after="0"/>
              <w:rPr>
                <w:sz w:val="20"/>
                <w:szCs w:val="20"/>
                <w:color w:val="auto"/>
              </w:rPr>
            </w:pPr>
            <w:r>
              <w:rPr>
                <w:rFonts w:ascii="Arial" w:cs="Arial" w:eastAsia="Arial" w:hAnsi="Arial"/>
                <w:sz w:val="16"/>
                <w:szCs w:val="16"/>
                <w:b w:val="1"/>
                <w:bCs w:val="1"/>
                <w:color w:val="auto"/>
              </w:rPr>
              <w:t>Weighted Average</w:t>
            </w:r>
          </w:p>
        </w:tc>
      </w:tr>
      <w:tr>
        <w:trPr>
          <w:trHeight w:val="226"/>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Program profitability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1.25%</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3.54%</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present the fair value hierarchy for financial assets and liabilities not recorded at fair value as of March 31, 2023 and June 30, 2022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March 31, 2023</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99"/>
              </w:rPr>
              <w:t>Carrying Amount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Balance at Fair</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420" w:type="dxa"/>
            <w:vAlign w:val="bottom"/>
            <w:gridSpan w:val="2"/>
          </w:tcPr>
          <w:p>
            <w:pPr>
              <w:jc w:val="right"/>
              <w:ind w:right="11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3,599,206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3,816,941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3,816,941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9,637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3,608,965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3,816,941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3,826,700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senior notes, net </w:t>
            </w:r>
            <w:r>
              <w:rPr>
                <w:rFonts w:ascii="Arial" w:cs="Arial" w:eastAsia="Arial" w:hAnsi="Arial"/>
                <w:sz w:val="23"/>
                <w:szCs w:val="23"/>
                <w:color w:val="auto"/>
                <w:vertAlign w:val="superscript"/>
              </w:rPr>
              <w:t>(1)</w:t>
            </w:r>
          </w:p>
        </w:tc>
        <w:tc>
          <w:tcPr>
            <w:tcW w:w="420" w:type="dxa"/>
            <w:vAlign w:val="bottom"/>
            <w:gridSpan w:val="2"/>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1,413,345</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923,270</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923,270</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1,788,853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1,743,862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1,743,862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Funding debt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1,527,919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1,527,869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1,527,869</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4,730,117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923,270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4,195,001</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June 30,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500" w:type="dxa"/>
            <w:vAlign w:val="bottom"/>
            <w:gridSpan w:val="4"/>
            <w:vMerge w:val="restart"/>
          </w:tcPr>
          <w:p>
            <w:pPr>
              <w:jc w:val="right"/>
              <w:ind w:right="180"/>
              <w:spacing w:after="0"/>
              <w:rPr>
                <w:sz w:val="20"/>
                <w:szCs w:val="20"/>
                <w:color w:val="auto"/>
              </w:rPr>
            </w:pPr>
            <w:r>
              <w:rPr>
                <w:rFonts w:ascii="Arial" w:cs="Arial" w:eastAsia="Arial" w:hAnsi="Arial"/>
                <w:sz w:val="16"/>
                <w:szCs w:val="16"/>
                <w:b w:val="1"/>
                <w:bCs w:val="1"/>
                <w:color w:val="auto"/>
                <w:w w:val="99"/>
              </w:rPr>
              <w:t>Carrying Amount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Balance at Fair</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7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2,670</w:t>
            </w:r>
          </w:p>
        </w:tc>
        <w:tc>
          <w:tcPr>
            <w:tcW w:w="8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2,670</w:t>
            </w:r>
          </w:p>
        </w:tc>
        <w:tc>
          <w:tcPr>
            <w:tcW w:w="2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2,348,169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12,661</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2,412,871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2,428,202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senior notes, net </w:t>
            </w:r>
            <w:r>
              <w:rPr>
                <w:rFonts w:ascii="Arial" w:cs="Arial" w:eastAsia="Arial" w:hAnsi="Arial"/>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1,706,668</w:t>
            </w:r>
          </w:p>
        </w:tc>
        <w:tc>
          <w:tcPr>
            <w:tcW w:w="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984,285</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984,285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1,627,580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1,529,401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Funding debt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683,388</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4,017,643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3,197,074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100" w:hanging="328"/>
        <w:spacing w:after="0" w:line="227" w:lineRule="auto"/>
        <w:tabs>
          <w:tab w:leader="none" w:pos="6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ind w:left="660" w:right="140" w:hanging="328"/>
        <w:spacing w:after="0" w:line="219" w:lineRule="auto"/>
        <w:tabs>
          <w:tab w:leader="none" w:pos="6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As of March 31, 2023 and June 30, 2022, debt issuance costs in the amount of $13.8 million and $10.8 million, respectively, was included within funding debt.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shares of common stock reserved for issuance as follows: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2100" w:type="dxa"/>
            <w:vAlign w:val="bottom"/>
            <w:gridSpan w:val="2"/>
          </w:tcPr>
          <w:p>
            <w:pPr>
              <w:ind w:left="440"/>
              <w:spacing w:after="0"/>
              <w:rPr>
                <w:sz w:val="20"/>
                <w:szCs w:val="20"/>
                <w:color w:val="auto"/>
              </w:rPr>
            </w:pPr>
            <w:r>
              <w:rPr>
                <w:rFonts w:ascii="Arial" w:cs="Arial" w:eastAsia="Arial" w:hAnsi="Arial"/>
                <w:sz w:val="16"/>
                <w:szCs w:val="16"/>
                <w:b w:val="1"/>
                <w:bCs w:val="1"/>
                <w:color w:val="auto"/>
              </w:rPr>
              <w:t>March 31, 2023</w:t>
            </w:r>
          </w:p>
        </w:tc>
        <w:tc>
          <w:tcPr>
            <w:tcW w:w="1960" w:type="dxa"/>
            <w:vAlign w:val="bottom"/>
          </w:tcPr>
          <w:p>
            <w:pPr>
              <w:jc w:val="right"/>
              <w:ind w:right="432"/>
              <w:spacing w:after="0"/>
              <w:rPr>
                <w:sz w:val="20"/>
                <w:szCs w:val="20"/>
                <w:color w:val="auto"/>
              </w:rPr>
            </w:pPr>
            <w:r>
              <w:rPr>
                <w:rFonts w:ascii="Arial" w:cs="Arial" w:eastAsia="Arial" w:hAnsi="Arial"/>
                <w:sz w:val="16"/>
                <w:szCs w:val="16"/>
                <w:b w:val="1"/>
                <w:bCs w:val="1"/>
                <w:color w:val="auto"/>
              </w:rPr>
              <w:t>June 30, 2022</w:t>
            </w:r>
          </w:p>
        </w:tc>
      </w:tr>
      <w:tr>
        <w:trPr>
          <w:trHeight w:val="226"/>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outstanding under stock option plan</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54,341,564</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53,158,233</w:t>
            </w:r>
          </w:p>
        </w:tc>
      </w:tr>
      <w:tr>
        <w:trPr>
          <w:trHeight w:val="229"/>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Available for future grant under stock option plan</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37,230,979</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31,156,746</w:t>
            </w:r>
          </w:p>
        </w:tc>
      </w:tr>
      <w:tr>
        <w:trPr>
          <w:trHeight w:val="248"/>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91,572,543</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84,314,979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Common stock warrants are included as a component of additional paid in capital within the interim condensed consolidated balance sheets.</w:t>
      </w:r>
    </w:p>
    <w:p>
      <w:pPr>
        <w:spacing w:after="0" w:line="26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November 2021, we granted warrants to purchase 22,000,000 shares of common stock in connection with our commercial agreements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We recognized an asset of $133.5 million associated with the portion of the warrants that were fully vested at the grant date. Refer to Note 6. Balance Sheet Components for more information on the asset and related amortization during the period. The remaining grant-date fair value of the warrants will be recognized within our interim condensed consolidated statements of operations and comprehensive loss as a component of sales and marketing expense as the warrants vest, based upon Amazon’s satisfaction of the vesting conditions. During the three and nine months ended March 31, 2023, a total of $104.1 million and $361.8 million, respectively, was recognized within sales and marketing expense which included $10.2 million and $31.1 million, respectively, in amortization expense of the commercial agreement asset and $93.9 million and $330.7 million, respectively, in expense based upon the grant-date fair value of the warrant shares that vested. During the three and nine months ended March 31, 2022, a total of $102.4 million and $173.0 million, respectively, was recognized within sales and marketing expense which included $10.2 million and $16.0 million, respectively, in amortization expense of the commercial agreement asset and $92.2 million and $157.0 million, respectively, in expense based upon the grant-date fair value of the warrant shares that vested.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Incentive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Stock Plan</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 our Amended and Restated 2012 Stock Plan (the “Plan”), we may grant incentive and nonqualified stock options, restricted stock, and restricted stock units (“RSUs”) to employees, officers, directors, and consultants. As of March 31, 2023, the maximum number of shares of common stock which may be issued under the Plan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146,209,197 Class A shares. As of March 31, 2023 and June 30, 2022, there were 37,230,979 and 31,156,746 shares of Class A common stock, respectively, available for future grants under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stock option activity for the nine months ended March 31,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Arial" w:cs="Arial" w:eastAsia="Arial" w:hAnsi="Arial"/>
                <w:sz w:val="16"/>
                <w:szCs w:val="16"/>
                <w:b w:val="1"/>
                <w:bCs w:val="1"/>
                <w:color w:val="auto"/>
                <w:w w:val="93"/>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6"/>
                <w:szCs w:val="16"/>
                <w:b w:val="1"/>
                <w:bCs w:val="1"/>
                <w:color w:val="auto"/>
                <w:w w:val="88"/>
              </w:rPr>
              <w:t>Value (in thousands)</w:t>
            </w:r>
          </w:p>
        </w:tc>
        <w:tc>
          <w:tcPr>
            <w:tcW w:w="0" w:type="dxa"/>
            <w:vAlign w:val="bottom"/>
          </w:tcPr>
          <w:p>
            <w:pPr>
              <w:spacing w:after="0"/>
              <w:rPr>
                <w:sz w:val="1"/>
                <w:szCs w:val="1"/>
                <w:color w:val="auto"/>
              </w:rPr>
            </w:pPr>
          </w:p>
        </w:tc>
      </w:tr>
      <w:tr>
        <w:trPr>
          <w:trHeight w:val="22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19,310,706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6.94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1,991,427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(993,984)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19,581,724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March 31, 2023</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5"/>
              </w:rPr>
              <w:t>5.61</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62,657</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14,385,171</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Vested and exercisable, and expected to vest thereafter</w:t>
            </w:r>
            <w:r>
              <w:rPr>
                <w:rFonts w:ascii="Arial" w:cs="Arial" w:eastAsia="Arial" w:hAnsi="Arial"/>
                <w:sz w:val="20"/>
                <w:szCs w:val="20"/>
                <w:color w:val="auto"/>
                <w:vertAlign w:val="superscript"/>
              </w:rPr>
              <w:t>(1)</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19,341,889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Options expected to vest reflect the application of an estimated forfeiture rate.</w:t>
      </w:r>
    </w:p>
    <w:p>
      <w:pPr>
        <w:spacing w:after="0" w:line="22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weighted-average grant date fair value of options granted during the nine months ended March 31, 2023 was $10.92. As of March 31, 2023, unrecognized compensation expense related to unvested stock options was approximately $50.2 million, which is expected to be recognized over a remaining weighted-average period of 2.3 years.</w:t>
      </w:r>
    </w:p>
    <w:p>
      <w:pPr>
        <w:spacing w:after="0" w:line="21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When an employee exercises stock options, we collect and remit taxes on the employee’s behalf to applicable taxing authorities. As of March 31, 2023 and June 30, 2022, the balance of equity exercise taxes payable was $3.2 million and $10.9 million, respectively, which is included in accounts payable on the interim condensed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Creation Award</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w:t>
      </w:r>
      <w:r>
        <w:rPr>
          <w:rFonts w:ascii="Arial" w:cs="Arial" w:eastAsia="Arial" w:hAnsi="Arial"/>
          <w:sz w:val="15"/>
          <w:szCs w:val="15"/>
          <w:color w:val="auto"/>
        </w:rPr>
        <w:t>’</w:t>
      </w:r>
      <w:r>
        <w:rPr>
          <w:rFonts w:ascii="Arial" w:cs="Arial" w:eastAsia="Arial" w:hAnsi="Arial"/>
          <w:sz w:val="17"/>
          <w:szCs w:val="17"/>
          <w:color w:val="auto"/>
        </w:rPr>
        <w:t>s Board of Directors approved a long-term, multi-year performance-based stock option grant providing Mr. Levchin with the opportunity to earn the right to purchase up to 12,500,000 shares of the Company</w:t>
      </w:r>
      <w:r>
        <w:rPr>
          <w:rFonts w:ascii="Arial" w:cs="Arial" w:eastAsia="Arial" w:hAnsi="Arial"/>
          <w:sz w:val="15"/>
          <w:szCs w:val="15"/>
          <w:color w:val="auto"/>
        </w:rPr>
        <w:t>’</w:t>
      </w:r>
      <w:r>
        <w:rPr>
          <w:rFonts w:ascii="Arial" w:cs="Arial" w:eastAsia="Arial" w:hAnsi="Arial"/>
          <w:sz w:val="17"/>
          <w:szCs w:val="17"/>
          <w:color w:val="auto"/>
        </w:rPr>
        <w:t>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During the three and nine months ended March 31, 2023, we incurred stock-based compensation expense of $20.3 million and $75.2 million, respectively, associated with the Value Creation Award as a component of general and administrative expense within the interim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operations and comprehensive loss. For the three and nine months ended March 31, 2022, we incurred stock-based compensation expense of $29.0 million and $113.5 million, respectively.</w:t>
      </w:r>
    </w:p>
    <w:p>
      <w:pPr>
        <w:spacing w:after="0" w:line="19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March 31, 2023, unrecognized compensation expense related to the Value Creation Award was approximately $132.2 million, which is expected to be recognized over a remaining weighted-average period of 2.8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RSU activity during the nine months ended March 31, 2023:</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9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213"/>
        </w:trPr>
        <w:tc>
          <w:tcPr>
            <w:tcW w:w="742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72"/>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6"/>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June 30, 2022</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21,387,592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15,977,301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(10,118,647)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(4,911,072)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as of March 31, 2023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22,335,174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As of March 31, 2023, unrecognized compensation expense related to unvested RSUs was approximately $574.3 million, which is expected to be recognized over a remaining weighted-average period of 1.8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11.3 million shares of Class A common stock are reserved and available for issuance under the ESPP and 649,580 shares have been issued as of March 31, 2023. The ESPP provides for six-month offering periods beginning December 1 and June 1 of each year, with the initial six-month offering period beginning December 1, 2021.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and classification of stock-based compensation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56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w w:val="97"/>
              </w:rPr>
              <w:t>Nine Months Ended March 31,</w:t>
            </w:r>
          </w:p>
        </w:tc>
      </w:tr>
      <w:tr>
        <w:trPr>
          <w:trHeight w:val="210"/>
        </w:trPr>
        <w:tc>
          <w:tcPr>
            <w:tcW w:w="54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226"/>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187,789</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Technology and data analytics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75,133</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15,655</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280,113</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39,691</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319,804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connection with the acquisition of Returnly on May 1, 2021, we issued 304,364 shares of our Class A common stock, which are held in escrow. Because the future payment of the escrowed shares is contingent on continued employment of certain employees, the arrangement represents stock-based compensation in the post combination period. The grant-date fair value was estimated based on the value of the shares at the date of closing. The escrowed shares have a requisite service period of two years and contain a performance-based vesting condition (i.e., the achievement of certain revenue targets). We record stock-based compensation expense on a straight-line basis for each tranche over the requisite service period, as long as the performance-based conditions are considered probable of being satisfied. During the nine months ended March 31, 2023, the arrangement was modified, resulting in the release of 45,459 shares from escrow and the remittance of 243,384 shares back to the Company. The modification resulted in the recognition of $2.0 million of incremental compensation cost within general and administrative expenses in our interim condensed statement of operations. As of March 31, 2023, 15,521 shares remain in escrow.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charges, net</w:t>
      </w:r>
    </w:p>
    <w:p>
      <w:pPr>
        <w:spacing w:after="0" w:line="256"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On February 8, 2023, we committed to a restructuring plan (the “Plan”) designed to manage our operating expenses in response to current macroeconomic conditions and ongoing business prioritization efforts. As part of the plan, we reduced our workforce by approximately 500 employees, representing approximately 19% of our employees and incurred lease exit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costs related to vacating a portion of our San Francisco office. Restructuring charges, net consists of employee severance pay and related costs and accelerations of amortization expense for the lease asset associated with the exit of certain of our office space.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nine months ended March 31, 2023, restructuring charges, net was comprised of the following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March 31, 2023</w:t>
            </w:r>
          </w:p>
        </w:tc>
      </w:tr>
      <w:tr>
        <w:trPr>
          <w:trHeight w:val="223"/>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severance pay and related costs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28,753</w:t>
            </w:r>
          </w:p>
        </w:tc>
      </w:tr>
      <w:tr>
        <w:trPr>
          <w:trHeight w:val="230"/>
        </w:trPr>
        <w:tc>
          <w:tcPr>
            <w:tcW w:w="88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Non-cash accelerations of depreciation and amortization expense </w:t>
            </w:r>
            <w:r>
              <w:rPr>
                <w:rFonts w:ascii="Arial" w:cs="Arial" w:eastAsia="Arial" w:hAnsi="Arial"/>
                <w:sz w:val="23"/>
                <w:szCs w:val="23"/>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6,181</w:t>
            </w:r>
          </w:p>
        </w:tc>
      </w:tr>
      <w:tr>
        <w:trPr>
          <w:trHeight w:val="248"/>
        </w:trPr>
        <w:tc>
          <w:tcPr>
            <w:tcW w:w="8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34,934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220" w:hanging="328"/>
        <w:spacing w:after="0" w:line="227" w:lineRule="auto"/>
        <w:tabs>
          <w:tab w:leader="none" w:pos="64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At March 31, 2023, we had a remaining right-of-use asset of $5.2 million related to the office closure that we expect to be fully amortized in the fourth quarter of fiscal 2023 upon fully vacating this space. For further information, refer to Note 7.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restructuring accrual activity for the nine months ended March 31, 2023 is summarized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restructuring costs, June 30, 2022</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4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26,297</w:t>
            </w:r>
          </w:p>
        </w:tc>
      </w:tr>
      <w:tr>
        <w:trPr>
          <w:trHeight w:val="229"/>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(25,642)</w:t>
            </w: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Adjustment</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460" w:type="dxa"/>
            <w:vAlign w:val="bottom"/>
          </w:tcPr>
          <w:p>
            <w:pPr>
              <w:ind w:left="100"/>
              <w:spacing w:after="0"/>
              <w:rPr>
                <w:sz w:val="20"/>
                <w:szCs w:val="20"/>
                <w:color w:val="auto"/>
              </w:rPr>
            </w:pPr>
            <w:r>
              <w:rPr>
                <w:rFonts w:ascii="Arial" w:cs="Arial" w:eastAsia="Arial" w:hAnsi="Arial"/>
                <w:sz w:val="18"/>
                <w:szCs w:val="18"/>
                <w:color w:val="auto"/>
              </w:rPr>
              <w:t>Accrued restructuring costs, March 31, 2023</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r>
      <w:tr>
        <w:trPr>
          <w:trHeight w:val="21"/>
        </w:trPr>
        <w:tc>
          <w:tcPr>
            <w:tcW w:w="9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quarterly provision for income taxes is based on the current estimate of the annual effective income tax rate and the tax effect of discrete items occurring during the quarter. The Company’s quarterly provision and the estimate of the annual effective tax rate are subject to significant variation due to several factors, including variability in the pre-tax jurisdictional mix of earnings and the impact of discrete items.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three and nine months ended March 31, 2023, we recorded income tax expense (benefit) of $(0.8) million and $(2.6) million, respectively, which was primarily attributable to the effects of foreign income taxes on our Canadian subsidiary and partially offset by various U.S state and other foreign income taxes, as well as the tax amortization of certain intangibles. For the three and nine months ended March 31, 2022, we recorded income tax expense (benefit) of $0.3 million and $0.7 million, respectively, which was primarily attributable to various U.S. state and foreign income taxes and the tax amortization of certain intangibles.</w:t>
      </w:r>
    </w:p>
    <w:p>
      <w:pPr>
        <w:spacing w:after="0" w:line="21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As of March 31, 2023, we continue to recognize a full valuation allowance against our U.S. federal and state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prior three fiscal years. The presence of a three-year cumulative loss limits the ability to consider other subjective evidence, such as our expectations of future taxable income and projections for growth.</w:t>
      </w:r>
    </w:p>
    <w:p>
      <w:pPr>
        <w:spacing w:after="0" w:line="21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As a result of the integration and consolidation of our PayBright business into and with Affirm’s Canadian business and the expansion of our overall business in Canada, as well as other objectively verifiable positive evidence, all of which we have concluded is sufficient to outweigh the existing negative evidence – including the presence of a three-year cumulative loss attributable to the related foreign jurisdiction, we have determined that it is more likely than not that our Canadian deferred tax assets will be realized and a valuation allowance is not required.</w:t>
      </w:r>
    </w:p>
    <w:p>
      <w:pPr>
        <w:spacing w:after="0" w:line="19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August 16, 2022, the Inflation Reduction Act was enacted into U.S. federal law. The Company does not currently expect that the Inflation Reduction Act will have a material impact on its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Net Loss per Share Attributable to Common Stockholders</w:t>
      </w:r>
    </w:p>
    <w:p>
      <w:pPr>
        <w:spacing w:after="0" w:line="256" w:lineRule="exact"/>
        <w:rPr>
          <w:sz w:val="20"/>
          <w:szCs w:val="20"/>
          <w:color w:val="auto"/>
        </w:rPr>
      </w:pPr>
    </w:p>
    <w:p>
      <w:pPr>
        <w:ind w:right="180" w:firstLine="648"/>
        <w:spacing w:after="0" w:line="274" w:lineRule="auto"/>
        <w:rPr>
          <w:sz w:val="20"/>
          <w:szCs w:val="20"/>
          <w:color w:val="auto"/>
        </w:rPr>
      </w:pPr>
      <w:r>
        <w:rPr>
          <w:rFonts w:ascii="Arial" w:cs="Arial" w:eastAsia="Arial" w:hAnsi="Arial"/>
          <w:sz w:val="18"/>
          <w:szCs w:val="18"/>
          <w:color w:val="auto"/>
        </w:rPr>
        <w:t>The following table presents basic and diluted net loss per share attributable to common stockholders for Class A and Class B common stock (in thousands, except share and per share data):</w:t>
      </w:r>
    </w:p>
    <w:p>
      <w:pPr>
        <w:sectPr>
          <w:pgSz w:w="11900" w:h="16838" w:orient="portrait"/>
          <w:cols w:equalWidth="0" w:num="1">
            <w:col w:w="11240"/>
          </w:cols>
          <w:pgMar w:left="320" w:top="125" w:right="339" w:bottom="1440" w:gutter="0" w:footer="0" w:header="0"/>
        </w:sectPr>
      </w:pPr>
    </w:p>
    <w:p>
      <w:pPr>
        <w:jc w:val="center"/>
        <w:ind w:left="408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27940</wp:posOffset>
            </wp:positionV>
            <wp:extent cx="22459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7" w:lineRule="exact"/>
        <w:rPr>
          <w:sz w:val="20"/>
          <w:szCs w:val="20"/>
          <w:color w:val="auto"/>
        </w:rPr>
      </w:pPr>
    </w:p>
    <w:p>
      <w:pPr>
        <w:jc w:val="center"/>
        <w:ind w:left="4080"/>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20320</wp:posOffset>
            </wp:positionV>
            <wp:extent cx="22459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 w:lineRule="exact"/>
        <w:rPr>
          <w:sz w:val="20"/>
          <w:szCs w:val="20"/>
          <w:color w:val="auto"/>
        </w:rPr>
      </w:pPr>
    </w:p>
    <w:p>
      <w:pPr>
        <w:ind w:left="4700"/>
        <w:spacing w:after="0"/>
        <w:tabs>
          <w:tab w:leader="none" w:pos="6500" w:val="left"/>
        </w:tabs>
        <w:rPr>
          <w:sz w:val="20"/>
          <w:szCs w:val="20"/>
          <w:color w:val="auto"/>
        </w:rPr>
      </w:pPr>
      <w:r>
        <w:rPr>
          <w:rFonts w:ascii="Arial" w:cs="Arial" w:eastAsia="Arial" w:hAnsi="Arial"/>
          <w:sz w:val="16"/>
          <w:szCs w:val="16"/>
          <w:b w:val="1"/>
          <w:bCs w:val="1"/>
          <w:color w:val="auto"/>
        </w:rPr>
        <w:t>Class A</w:t>
      </w:r>
      <w:r>
        <w:rPr>
          <w:sz w:val="20"/>
          <w:szCs w:val="20"/>
          <w:color w:val="auto"/>
        </w:rPr>
        <w:tab/>
      </w:r>
      <w:r>
        <w:rPr>
          <w:rFonts w:ascii="Arial" w:cs="Arial" w:eastAsia="Arial" w:hAnsi="Arial"/>
          <w:sz w:val="14"/>
          <w:szCs w:val="14"/>
          <w:b w:val="1"/>
          <w:bCs w:val="1"/>
          <w:color w:val="auto"/>
        </w:rPr>
        <w:t>Class B</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Arial" w:cs="Arial" w:eastAsia="Arial" w:hAnsi="Arial"/>
          <w:sz w:val="16"/>
          <w:szCs w:val="16"/>
          <w:b w:val="1"/>
          <w:bCs w:val="1"/>
          <w:color w:val="auto"/>
        </w:rPr>
        <w:t>Nine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20320</wp:posOffset>
            </wp:positionV>
            <wp:extent cx="22459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6"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20320</wp:posOffset>
            </wp:positionV>
            <wp:extent cx="22459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b w:val="1"/>
          <w:bCs w:val="1"/>
          <w:color w:val="auto"/>
        </w:rPr>
        <w:t>Class A</w:t>
      </w:r>
      <w:r>
        <w:rPr>
          <w:sz w:val="20"/>
          <w:szCs w:val="20"/>
          <w:color w:val="auto"/>
        </w:rPr>
        <w:tab/>
      </w:r>
      <w:r>
        <w:rPr>
          <w:rFonts w:ascii="Arial" w:cs="Arial" w:eastAsia="Arial" w:hAnsi="Arial"/>
          <w:sz w:val="14"/>
          <w:szCs w:val="14"/>
          <w:b w:val="1"/>
          <w:bCs w:val="1"/>
          <w:color w:val="auto"/>
        </w:rPr>
        <w:t>Class B</w:t>
      </w:r>
    </w:p>
    <w:p>
      <w:pPr>
        <w:spacing w:after="0" w:line="26" w:lineRule="exact"/>
        <w:rPr>
          <w:sz w:val="20"/>
          <w:szCs w:val="20"/>
          <w:color w:val="auto"/>
        </w:rPr>
      </w:pPr>
    </w:p>
    <w:p>
      <w:pPr>
        <w:sectPr>
          <w:pgSz w:w="11900" w:h="16838" w:orient="portrait"/>
          <w:cols w:equalWidth="0" w:num="2">
            <w:col w:w="7600" w:space="720"/>
            <w:col w:w="2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(620,015)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(159,368)</w:t>
            </w:r>
          </w:p>
        </w:tc>
        <w:tc>
          <w:tcPr>
            <w:tcW w:w="0" w:type="dxa"/>
            <w:vAlign w:val="bottom"/>
          </w:tcPr>
          <w:p>
            <w:pPr>
              <w:spacing w:after="0"/>
              <w:rPr>
                <w:sz w:val="1"/>
                <w:szCs w:val="1"/>
                <w:color w:val="auto"/>
              </w:rPr>
            </w:pPr>
          </w:p>
        </w:tc>
      </w:tr>
      <w:tr>
        <w:trPr>
          <w:trHeight w:val="156"/>
        </w:trPr>
        <w:tc>
          <w:tcPr>
            <w:tcW w:w="4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loss attributable to common stockholders -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(164,093)</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(41,584)</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(620,015)</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(159,368)</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of common stock - basic</w:t>
            </w:r>
          </w:p>
        </w:tc>
        <w:tc>
          <w:tcPr>
            <w:tcW w:w="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237,116,053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60,088,662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233,815,676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60,099,592</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w w:val="97"/>
              </w:rPr>
              <w:t>Weighted average shares of common stock - diluted</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237,116,053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60,088,662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233,815,676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60,099,592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164" w:lineRule="exact"/>
        <w:rPr>
          <w:sz w:val="20"/>
          <w:szCs w:val="20"/>
          <w:color w:val="auto"/>
        </w:rPr>
      </w:pPr>
    </w:p>
    <w:p>
      <w:pPr>
        <w:jc w:val="center"/>
        <w:ind w:left="408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27940</wp:posOffset>
            </wp:positionV>
            <wp:extent cx="22459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7" w:lineRule="exact"/>
        <w:rPr>
          <w:sz w:val="20"/>
          <w:szCs w:val="20"/>
          <w:color w:val="auto"/>
        </w:rPr>
      </w:pPr>
    </w:p>
    <w:p>
      <w:pPr>
        <w:jc w:val="center"/>
        <w:ind w:left="4080"/>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20320</wp:posOffset>
            </wp:positionV>
            <wp:extent cx="22459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 w:lineRule="exact"/>
        <w:rPr>
          <w:sz w:val="20"/>
          <w:szCs w:val="20"/>
          <w:color w:val="auto"/>
        </w:rPr>
      </w:pPr>
    </w:p>
    <w:p>
      <w:pPr>
        <w:ind w:left="4700"/>
        <w:spacing w:after="0"/>
        <w:tabs>
          <w:tab w:leader="none" w:pos="6500" w:val="left"/>
        </w:tabs>
        <w:rPr>
          <w:sz w:val="20"/>
          <w:szCs w:val="20"/>
          <w:color w:val="auto"/>
        </w:rPr>
      </w:pPr>
      <w:r>
        <w:rPr>
          <w:rFonts w:ascii="Arial" w:cs="Arial" w:eastAsia="Arial" w:hAnsi="Arial"/>
          <w:sz w:val="16"/>
          <w:szCs w:val="16"/>
          <w:b w:val="1"/>
          <w:bCs w:val="1"/>
          <w:color w:val="auto"/>
        </w:rPr>
        <w:t>Class A</w:t>
      </w:r>
      <w:r>
        <w:rPr>
          <w:sz w:val="20"/>
          <w:szCs w:val="20"/>
          <w:color w:val="auto"/>
        </w:rPr>
        <w:tab/>
      </w:r>
      <w:r>
        <w:rPr>
          <w:rFonts w:ascii="Arial" w:cs="Arial" w:eastAsia="Arial" w:hAnsi="Arial"/>
          <w:sz w:val="14"/>
          <w:szCs w:val="14"/>
          <w:b w:val="1"/>
          <w:bCs w:val="1"/>
          <w:color w:val="auto"/>
        </w:rPr>
        <w:t>Class B</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Nine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20320</wp:posOffset>
            </wp:positionV>
            <wp:extent cx="22459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20320</wp:posOffset>
            </wp:positionV>
            <wp:extent cx="22459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 w:lineRule="exact"/>
        <w:rPr>
          <w:sz w:val="20"/>
          <w:szCs w:val="20"/>
          <w:color w:val="auto"/>
        </w:rPr>
      </w:pPr>
    </w:p>
    <w:p>
      <w:pPr>
        <w:spacing w:after="0"/>
        <w:tabs>
          <w:tab w:leader="none" w:pos="1820" w:val="left"/>
        </w:tabs>
        <w:rPr>
          <w:sz w:val="20"/>
          <w:szCs w:val="20"/>
          <w:color w:val="auto"/>
        </w:rPr>
      </w:pPr>
      <w:r>
        <w:rPr>
          <w:rFonts w:ascii="Arial" w:cs="Arial" w:eastAsia="Arial" w:hAnsi="Arial"/>
          <w:sz w:val="16"/>
          <w:szCs w:val="16"/>
          <w:b w:val="1"/>
          <w:bCs w:val="1"/>
          <w:color w:val="auto"/>
        </w:rPr>
        <w:t>Class A</w:t>
      </w:r>
      <w:r>
        <w:rPr>
          <w:sz w:val="20"/>
          <w:szCs w:val="20"/>
          <w:color w:val="auto"/>
        </w:rPr>
        <w:tab/>
      </w:r>
      <w:r>
        <w:rPr>
          <w:rFonts w:ascii="Arial" w:cs="Arial" w:eastAsia="Arial" w:hAnsi="Arial"/>
          <w:sz w:val="14"/>
          <w:szCs w:val="14"/>
          <w:b w:val="1"/>
          <w:bCs w:val="1"/>
          <w:color w:val="auto"/>
        </w:rPr>
        <w:t>Class B</w:t>
      </w:r>
    </w:p>
    <w:p>
      <w:pPr>
        <w:spacing w:after="0" w:line="26" w:lineRule="exact"/>
        <w:rPr>
          <w:sz w:val="20"/>
          <w:szCs w:val="20"/>
          <w:color w:val="auto"/>
        </w:rPr>
      </w:pPr>
    </w:p>
    <w:p>
      <w:pPr>
        <w:sectPr>
          <w:pgSz w:w="11900" w:h="16838" w:orient="portrait"/>
          <w:cols w:equalWidth="0" w:num="2">
            <w:col w:w="7600" w:space="720"/>
            <w:col w:w="2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(131,597)</w:t>
            </w: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loss attributable to common stockholders - basic</w:t>
            </w: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(43,061)</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(389,424)</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(131,597)</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of common stock - basic</w:t>
            </w:r>
          </w:p>
        </w:tc>
        <w:tc>
          <w:tcPr>
            <w:tcW w:w="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224,980,598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60,661,222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208,957,734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70,612,281</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w w:val="97"/>
              </w:rPr>
              <w:t>Weighted average shares of common stock - diluted</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224,980,598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60,661,222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208,957,734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70,612,281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Basic</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tbl>
      <w:tblPr>
        <w:tblLayout w:type="fixed"/>
        <w:tblInd w:w="0" w:type="dxa"/>
        <w:tblCellMar>
          <w:top w:w="0" w:type="dxa"/>
          <w:left w:w="0" w:type="dxa"/>
          <w:bottom w:w="0" w:type="dxa"/>
          <w:right w:w="0" w:type="dxa"/>
        </w:tblCellMar>
      </w:tblPr>
      <w:tr>
        <w:trPr>
          <w:trHeight w:val="213"/>
        </w:trPr>
        <w:tc>
          <w:tcPr>
            <w:tcW w:w="7940" w:type="dxa"/>
            <w:vAlign w:val="bottom"/>
          </w:tcPr>
          <w:p>
            <w:pPr>
              <w:spacing w:after="0"/>
              <w:rPr>
                <w:sz w:val="18"/>
                <w:szCs w:val="18"/>
                <w:color w:val="auto"/>
              </w:rPr>
            </w:pPr>
          </w:p>
        </w:tc>
        <w:tc>
          <w:tcPr>
            <w:tcW w:w="22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w w:val="96"/>
              </w:rPr>
              <w:t>As of March 31,</w:t>
            </w:r>
          </w:p>
        </w:tc>
        <w:tc>
          <w:tcPr>
            <w:tcW w:w="1040" w:type="dxa"/>
            <w:vAlign w:val="bottom"/>
            <w:tcBorders>
              <w:bottom w:val="single" w:sz="8" w:color="auto"/>
            </w:tcBorders>
          </w:tcPr>
          <w:p>
            <w:pPr>
              <w:spacing w:after="0"/>
              <w:rPr>
                <w:sz w:val="18"/>
                <w:szCs w:val="18"/>
                <w:color w:val="auto"/>
              </w:rPr>
            </w:pPr>
          </w:p>
        </w:tc>
      </w:tr>
      <w:tr>
        <w:trPr>
          <w:trHeight w:val="210"/>
        </w:trPr>
        <w:tc>
          <w:tcPr>
            <w:tcW w:w="794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2022</w:t>
            </w: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22,335,174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16,351,621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Stock options, including early exercise of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19,581,724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17,195,165</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6,036,813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5,909,896</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 shares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640,075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161,300</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48,593,786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39,617,982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2022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are building the next generation platform for digital and mobile-first commerce. We believe that by using modern technology, the very best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0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manage payments, open a high-yield savings account, and access a personalized marketplace.</w:t>
      </w:r>
    </w:p>
    <w:p>
      <w:pPr>
        <w:spacing w:after="0" w:line="151"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5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thereby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w w:val="94"/>
              </w:rPr>
              <w:t>Three Months Ended March 31,</w:t>
            </w: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6"/>
              </w:rPr>
              <w:t>Nine Months Ended March 31,</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ind w:left="80"/>
              <w:spacing w:after="0"/>
              <w:rPr>
                <w:sz w:val="20"/>
                <w:szCs w:val="20"/>
                <w:color w:val="auto"/>
              </w:rPr>
            </w:pPr>
            <w:r>
              <w:rPr>
                <w:rFonts w:ascii="Arial" w:cs="Arial" w:eastAsia="Arial" w:hAnsi="Arial"/>
                <w:sz w:val="16"/>
                <w:szCs w:val="16"/>
                <w:b w:val="1"/>
                <w:bCs w:val="1"/>
                <w:color w:val="auto"/>
                <w:w w:val="89"/>
              </w:rPr>
              <w:t>(in thousands, except percentages)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 net</w:t>
            </w:r>
          </w:p>
        </w:tc>
        <w:tc>
          <w:tcPr>
            <w:tcW w:w="240" w:type="dxa"/>
            <w:vAlign w:val="bottom"/>
            <w:tcBorders>
              <w:top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380,978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354,762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26,216</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1,142,160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985,158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157,002</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0" w:type="dxa"/>
            <w:vAlign w:val="bottom"/>
          </w:tcPr>
          <w:p>
            <w:pPr>
              <w:spacing w:after="0"/>
              <w:rPr>
                <w:sz w:val="1"/>
                <w:szCs w:val="1"/>
                <w:color w:val="auto"/>
              </w:rPr>
            </w:pPr>
          </w:p>
        </w:tc>
      </w:tr>
      <w:tr>
        <w:trPr>
          <w:trHeight w:val="142"/>
        </w:trPr>
        <w:tc>
          <w:tcPr>
            <w:tcW w:w="166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Total Operating</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691,013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581,313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109,700</w:t>
            </w:r>
          </w:p>
        </w:tc>
        <w:tc>
          <w:tcPr>
            <w:tcW w:w="1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2,099,194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1,573,980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525,214</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33 %</w:t>
            </w:r>
          </w:p>
        </w:tc>
        <w:tc>
          <w:tcPr>
            <w:tcW w:w="0" w:type="dxa"/>
            <w:vAlign w:val="bottom"/>
          </w:tcPr>
          <w:p>
            <w:pPr>
              <w:spacing w:after="0"/>
              <w:rPr>
                <w:sz w:val="1"/>
                <w:szCs w:val="1"/>
                <w:color w:val="auto"/>
              </w:rPr>
            </w:pPr>
          </w:p>
        </w:tc>
      </w:tr>
      <w:tr>
        <w:trPr>
          <w:trHeight w:val="213"/>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(310,035)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(226,551)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(83,484)</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(957,034)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(588,822)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(368,212)</w:t>
            </w: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63 %</w:t>
            </w: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172,139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(68,617)</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175,067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106,560</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145"/>
        </w:trPr>
        <w:tc>
          <w:tcPr>
            <w:tcW w:w="1660" w:type="dxa"/>
            <w:vAlign w:val="bottom"/>
            <w:shd w:val="clear" w:color="auto" w:fill="CCEEFF"/>
          </w:tcPr>
          <w:p>
            <w:pPr>
              <w:ind w:left="40"/>
              <w:spacing w:after="0" w:line="145" w:lineRule="exact"/>
              <w:rPr>
                <w:sz w:val="20"/>
                <w:szCs w:val="20"/>
                <w:color w:val="auto"/>
              </w:rPr>
            </w:pPr>
            <w:r>
              <w:rPr>
                <w:rFonts w:ascii="Arial" w:cs="Arial" w:eastAsia="Arial" w:hAnsi="Arial"/>
                <w:sz w:val="16"/>
                <w:szCs w:val="16"/>
                <w:b w:val="1"/>
                <w:bCs w:val="1"/>
                <w:color w:val="auto"/>
              </w:rPr>
              <w:t>Loss Before Income</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(206,513)</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(54,412)</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(152,101)</w:t>
            </w:r>
          </w:p>
        </w:tc>
        <w:tc>
          <w:tcPr>
            <w:tcW w:w="10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280 %</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(781,967)</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(520,315)</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(261,652)</w:t>
            </w:r>
          </w:p>
        </w:tc>
        <w:tc>
          <w:tcPr>
            <w:tcW w:w="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50 %</w:t>
            </w: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Taxes</w:t>
            </w: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660" w:type="dxa"/>
            <w:vAlign w:val="bottom"/>
          </w:tcPr>
          <w:p>
            <w:pPr>
              <w:ind w:left="20"/>
              <w:spacing w:after="0" w:line="146" w:lineRule="exact"/>
              <w:rPr>
                <w:sz w:val="20"/>
                <w:szCs w:val="20"/>
                <w:color w:val="auto"/>
              </w:rPr>
            </w:pPr>
            <w:r>
              <w:rPr>
                <w:rFonts w:ascii="Arial" w:cs="Arial" w:eastAsia="Arial" w:hAnsi="Arial"/>
                <w:sz w:val="16"/>
                <w:szCs w:val="16"/>
                <w:color w:val="auto"/>
              </w:rPr>
              <w:t>Income tax (benefit)</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(423) %</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(3,290)</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(466) %</w:t>
            </w:r>
          </w:p>
        </w:tc>
        <w:tc>
          <w:tcPr>
            <w:tcW w:w="0" w:type="dxa"/>
            <w:vAlign w:val="bottom"/>
          </w:tcPr>
          <w:p>
            <w:pPr>
              <w:spacing w:after="0"/>
              <w:rPr>
                <w:sz w:val="1"/>
                <w:szCs w:val="1"/>
                <w:color w:val="auto"/>
              </w:rPr>
            </w:pPr>
          </w:p>
        </w:tc>
      </w:tr>
      <w:tr>
        <w:trPr>
          <w:trHeight w:val="209"/>
        </w:trPr>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(205,677)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(54,671)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(151,006)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276 %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(779,383)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(521,021)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(258,362)</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50 %</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w:t>
      </w:r>
    </w:p>
    <w:p>
      <w:pPr>
        <w:spacing w:after="0" w:line="18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From merchants, we earn a fee when we help them convert a sale and facilitate a transaction. We have two loan product offerings: Pay-in-4 and Core loans. Pay-in-4 is a short-term payment plan with four biweekly 0% APR installments, while Core loans include all interest bearing installment loans and 0% APR monthly installment loans. While merchant fees depend on the individual arrangement between us and each merchant and vary based on the terms of the product offering, we generally earn larger merchant fees on 0% APR financing products. For the three and nine months ended March 31, 2023, Pay-in-4 represented 16% and 19% of total GMV facilitated through our platform, respectively, while 0% APR Core loans represented 15% and 14%, respectively. For the three and nine months ended March 31, 2022, Pay-in-4 represented 18% and 17% of total GMV facilitated through our platform, respectively, while 0% APR Core loans represented 24% and 26%, respectively.</w:t>
      </w:r>
    </w:p>
    <w:p>
      <w:pPr>
        <w:spacing w:after="0" w:line="13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w:t>
      </w:r>
    </w:p>
    <w:p>
      <w:pPr>
        <w:spacing w:after="0" w:line="13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8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principal amount of a loan that is paid by a consumer. See Note 14. Fair Value of Financial Assets and Liabilities for more information on the performance fee liability.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also able to originate loans directly under our lending, servicing, and brokering licenses in Canada and across various states in the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through our consolidated subsidiaries. For the three and nine months ended March 31, 2023, we originated approximately $187.9 million, or 4%,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$618.3 million, or 4%, respectively, of loans in Canada compared to approximately $216.0 million, or 6%, and $645.7 million, or 6%, of loans for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nine months ended March 31, 2022, respectively. For the three and nine months ended March 31, 2023, we directly originated $690.8 million, or 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$2,203.1 million, or 15%, respectively, of loans in the U.S. pursuant to our state licenses, compared to approximately $659.7 million, or 17%,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$1,774.4 million, or 16%, of loans for the three and nine months ended March 31, 2022, respectively.</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act as the servicer on all loans that we originate directly or purchase from our originating bank partners and earn a servicing fee on loans we sell to our funding sources. In the normal course of business, we do not sell the servicing rights on any of the loans. To allow for flexible staffing to support overflow and seasonal traffic, we partner with several sub-servicers to manage customer care, first priority collections, and third-party collections in accordance with our policies and procedures.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Our performance has been and may continue to be affected by many factors, including those identified below, as well as the factors discussed in the section titled “Risk Factors” in this Form 10-Q, our Form 10-Q for the fiscal quarter ended December 31, 2022, and in our most recently filed Annual Report on Form 10-K for the fiscal year ended June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Network, Diversity, and Mix of Funding Relationships</w:t>
      </w:r>
    </w:p>
    <w:p>
      <w:pPr>
        <w:spacing w:after="0" w:line="198"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6"/>
          <w:szCs w:val="16"/>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While we have continued to improve our equity capital efficiency,</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percentage of our equity capital required as a percent of the last twelve months’ GMV increased from approximately 1% as of June 30, 2022, to approximately 2% as of March 31, 2023. The increase is due to an increase in on-balance sheet loans, and a lower percentage of our on balance sheet loans funded through securitizations, which generally require a lower percentage of equity capital compared to our warehouse credit facilities. We have elected this shift in our funding mix in response to the current market environment given our ability to allocate loans to warehouse facilities with better economic terms at a given time to support the growth of our business while optimizing cost of funds.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5" w:lineRule="exact"/>
        <w:rPr>
          <w:sz w:val="20"/>
          <w:szCs w:val="20"/>
          <w:color w:val="auto"/>
        </w:rPr>
      </w:pPr>
    </w:p>
    <w:p>
      <w:pPr>
        <w:ind w:right="180" w:firstLine="648"/>
        <w:spacing w:after="0" w:line="320" w:lineRule="auto"/>
        <w:rPr>
          <w:sz w:val="20"/>
          <w:szCs w:val="20"/>
          <w:color w:val="auto"/>
        </w:rPr>
      </w:pPr>
      <w:r>
        <w:rPr>
          <w:rFonts w:ascii="Arial" w:cs="Arial" w:eastAsia="Arial" w:hAnsi="Arial"/>
          <w:sz w:val="16"/>
          <w:szCs w:val="16"/>
          <w:color w:val="auto"/>
        </w:rPr>
        <w:t>The shifts in volume among merchants and the mix of products that our merchants offer and our consumers purchase in any period affects our operating results. These mix impacts affect GMV, revenue, our financial results, and our key operating metric performance for that period. Differences in product mix relate to different loan durations, APR mix, and varying proportion of 0% APR versus interest-bearing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color w:val="auto"/>
        </w:rPr>
        <w:t>Product and economic terms of commercial agreements vary among our merchants.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the merchant is fully integrated within our network, and general economic conditions affecting consumer demand. Our revenue as a percentage of GMV in any given period varies across products. As such, as we continue to expand our network to include more merchants, revenue as a percentage of GMV will vary. In addition, our commercial agreement with Shopify to offer Shop Pay Installments powered by Affirm and our Pay-in-4 offering will continue to impact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Pay-in-4 and other low-AOV offerings.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We experience seasonal fluctuations in our revenue as a result of consumer spending patterns. Historically, our revenue has been the strongest during the second quarter of our fiscal year due to increases in retail commerce during the holiday season. Adverse events that occur during these months could have a disproportionate effect on our financial results for the fiscal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Environment</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regularly monitor the direct and indirect impacts of the current macroeconomic conditions on our business, financial condition, and results of operations. During fiscal 2023, the macroeconomic environment has presented a number of challenges to our business. In response to continued inflationary pressure, the U.S. Federal Reserve has raised, and may continue to raise, the federal funds interest rate. Simultaneously, economic uncertainty and the prospect of economic recession has impacted consumer spending. These developments have affected, and may continue to affect, our business and results of operations in the following ways:</w:t>
      </w:r>
    </w:p>
    <w:p>
      <w:pPr>
        <w:spacing w:after="0" w:line="215" w:lineRule="exact"/>
        <w:rPr>
          <w:sz w:val="20"/>
          <w:szCs w:val="20"/>
          <w:color w:val="auto"/>
        </w:rPr>
      </w:pPr>
    </w:p>
    <w:p>
      <w:pPr>
        <w:ind w:left="660" w:right="5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Deceleration in consumer demand: </w:t>
      </w:r>
      <w:r>
        <w:rPr>
          <w:rFonts w:ascii="Arial" w:cs="Arial" w:eastAsia="Arial" w:hAnsi="Arial"/>
          <w:sz w:val="18"/>
          <w:szCs w:val="18"/>
          <w:color w:val="auto"/>
        </w:rPr>
        <w:t>We have experienced a deceleration in consumer demand for discretionary items, which has adversely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impacted GMV growth.</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borrowing costs: </w:t>
      </w:r>
      <w:r>
        <w:rPr>
          <w:rFonts w:ascii="Arial" w:cs="Arial" w:eastAsia="Arial" w:hAnsi="Arial"/>
          <w:sz w:val="18"/>
          <w:szCs w:val="18"/>
          <w:color w:val="auto"/>
        </w:rPr>
        <w:t>Our costs of borrowing have increased, resulting in higher transaction costs.</w:t>
      </w:r>
    </w:p>
    <w:p>
      <w:pPr>
        <w:spacing w:after="0" w:line="252"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Volatile capital markets: </w:t>
      </w:r>
      <w:r>
        <w:rPr>
          <w:rFonts w:ascii="Arial" w:cs="Arial" w:eastAsia="Arial" w:hAnsi="Arial"/>
          <w:sz w:val="18"/>
          <w:szCs w:val="18"/>
          <w:color w:val="auto"/>
        </w:rPr>
        <w:t>In response to volatile capital markets conditions, we have retained more loans on our balance sheet funded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securitizations and warehouse lines in recent fiscal quarters. Retaining loans on our balance sheet effectively delays the recognition of revenue associated with those loans.</w:t>
      </w:r>
    </w:p>
    <w:p>
      <w:pPr>
        <w:spacing w:after="0" w:line="210" w:lineRule="exact"/>
        <w:rPr>
          <w:rFonts w:ascii="Arial" w:cs="Arial" w:eastAsia="Arial" w:hAnsi="Arial"/>
          <w:sz w:val="18"/>
          <w:szCs w:val="18"/>
          <w:color w:val="auto"/>
        </w:rPr>
      </w:pPr>
    </w:p>
    <w:p>
      <w:pPr>
        <w:ind w:left="660" w:right="80" w:hanging="328"/>
        <w:spacing w:after="0" w:line="31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Managing delinquency rates: </w:t>
      </w:r>
      <w:r>
        <w:rPr>
          <w:rFonts w:ascii="Arial" w:cs="Arial" w:eastAsia="Arial" w:hAnsi="Arial"/>
          <w:sz w:val="16"/>
          <w:szCs w:val="16"/>
          <w:color w:val="auto"/>
        </w:rPr>
        <w:t>We are continuously optimizing our underwriting to manage delinquency rates. While these actions have adversely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our GMV growth rates during fiscal 2023, for the quarter ended March 31, 2023, our 30-day delinquency rates for monthly installment loans were comparable to, and our allowance rates for loan losses improved over, those experienced during the quarter ended March 31, 2022.</w:t>
      </w:r>
    </w:p>
    <w:p>
      <w:pPr>
        <w:spacing w:after="0" w:line="176" w:lineRule="exact"/>
        <w:rPr>
          <w:sz w:val="20"/>
          <w:szCs w:val="20"/>
          <w:color w:val="auto"/>
        </w:rPr>
      </w:pPr>
    </w:p>
    <w:p>
      <w:pPr>
        <w:ind w:right="480" w:firstLine="648"/>
        <w:spacing w:after="0" w:line="279" w:lineRule="auto"/>
        <w:rPr>
          <w:sz w:val="20"/>
          <w:szCs w:val="20"/>
          <w:color w:val="auto"/>
        </w:rPr>
      </w:pPr>
      <w:r>
        <w:rPr>
          <w:rFonts w:ascii="Arial" w:cs="Arial" w:eastAsia="Arial" w:hAnsi="Arial"/>
          <w:sz w:val="17"/>
          <w:szCs w:val="17"/>
          <w:color w:val="auto"/>
        </w:rPr>
        <w:t>Macroeconomic factors can also cause fluctuations of available capital in our lending marketplace due to shifts in the risk preferences of our lending partners and institutional investors or for other reasons. For example, since the beginning of March 2023, there have been public reports of instability at certain financial institutions. Despite the steps taken to date by U.S. and foreign agencies and institutions, the follow-on effects of this instability are unknown and may lead to disruptions to the businesses and operations of our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Plan</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February 8, 2023, we committed to a restructuring plan designed to manage our operating expenses in response to macroeconomic conditions and ongoing business prioritization efforts. As part of the plan, we reduced our workforce by approximately 500 employees, representing approximately 19% of our employees at that time, and vacated a portion of our leased San Francisco office. The implementation of the restructuring plan is now substantially complete. For further information, refer to Note 17. Restructuring charges, net to the interim condensed consolidated financial statements in this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Initiatives</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have begun implementing certain pricing initiatives that have the dual purpose of offsetting our increased funding costs while also enabling us to responsibly extend access to credit to a larger number of consumers. These pricing initiatives include the following:</w:t>
      </w:r>
    </w:p>
    <w:p>
      <w:pPr>
        <w:spacing w:after="0" w:line="19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the maximum APR for loans facilitated on our platform from 30% to 36%;</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increasing the merchant fees payable by some merchants on 0% APR financing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expanding the use of down payments and fine-tuning the requested amounts;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offering merchant-subsidized low APR loans (4-9.99%) as an alternative to monthly 0% APR programs;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shortening loan lengths and minimum order sizes for monthly 0% APR programs.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239" w:lineRule="exact"/>
        <w:rPr>
          <w:sz w:val="20"/>
          <w:szCs w:val="20"/>
          <w:color w:val="auto"/>
        </w:rPr>
      </w:pPr>
    </w:p>
    <w:p>
      <w:pPr>
        <w:ind w:right="180" w:firstLine="648"/>
        <w:spacing w:after="0" w:line="243" w:lineRule="auto"/>
        <w:rPr>
          <w:sz w:val="20"/>
          <w:szCs w:val="20"/>
          <w:color w:val="auto"/>
        </w:rPr>
      </w:pPr>
      <w:r>
        <w:rPr>
          <w:rFonts w:ascii="Arial" w:cs="Arial" w:eastAsia="Arial" w:hAnsi="Arial"/>
          <w:sz w:val="18"/>
          <w:szCs w:val="18"/>
          <w:color w:val="auto"/>
        </w:rPr>
        <w:t>We are subject to the regulatory and enforcement authority of the Consumer Financial Protection Board (the “CFPB”) as a facilitator, servicer, acquirer or originator of consumer credit. In December 2021, the CFPB issued a Request for Information to five of the largest BNPL providers, including us, requesting information by March 1, 2022. We timely complied with that request but expect to receive additional CFPB requests for information from time to time in the future.</w:t>
      </w:r>
    </w:p>
    <w:p>
      <w:pPr>
        <w:spacing w:after="0" w:line="21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6"/>
          <w:szCs w:val="16"/>
          <w:color w:val="auto"/>
        </w:rPr>
        <w:t>In September 2022, the CFPB published a report on the “buy now, pay later” (“BNPL”) industry. At the time that report was published, the CFPB indicated that it may seek to subject BNPL companies to supervisory examinations. In March 2023, certain members of the U.S. Senate wrote to the director of the CFPB encouraging the CFPB to “move quickly towards bringing the largest [BNPL] lenders under Federal Supervision….” In addition,</w:t>
      </w:r>
    </w:p>
    <w:p>
      <w:pPr>
        <w:ind w:right="840"/>
        <w:spacing w:after="0" w:line="243" w:lineRule="auto"/>
        <w:rPr>
          <w:sz w:val="20"/>
          <w:szCs w:val="20"/>
          <w:color w:val="auto"/>
        </w:rPr>
      </w:pPr>
      <w:r>
        <w:rPr>
          <w:rFonts w:ascii="Arial" w:cs="Arial" w:eastAsia="Arial" w:hAnsi="Arial"/>
          <w:sz w:val="18"/>
          <w:szCs w:val="18"/>
          <w:color w:val="auto"/>
        </w:rPr>
        <w:t>based on our own communications with the CFPB, we expect the CFPB to begin to supervise companies in the BNPL industry, including, in the foreseeable future, us.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We focus on several key operating metrics to measure the performance of our business and help determine strategic direction. In addition to revenue, net loss, and other results under U.S. GAAP, the following tables set forth key operating metrics we use to evaluate our business.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 Ended March 31,</w:t>
            </w:r>
          </w:p>
        </w:tc>
        <w:tc>
          <w:tcPr>
            <w:tcW w:w="1000" w:type="dxa"/>
            <w:vAlign w:val="bottom"/>
            <w:tcBorders>
              <w:bottom w:val="single" w:sz="8" w:color="auto"/>
            </w:tcBorders>
          </w:tcPr>
          <w:p>
            <w:pPr>
              <w:spacing w:after="0"/>
              <w:rPr>
                <w:sz w:val="18"/>
                <w:szCs w:val="18"/>
                <w:color w:val="auto"/>
              </w:rPr>
            </w:pPr>
          </w:p>
        </w:tc>
      </w:tr>
      <w:tr>
        <w:trPr>
          <w:trHeight w:val="210"/>
        </w:trPr>
        <w:tc>
          <w:tcPr>
            <w:tcW w:w="2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2023</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5"/>
              <w:spacing w:after="0"/>
              <w:rPr>
                <w:sz w:val="20"/>
                <w:szCs w:val="20"/>
                <w:color w:val="auto"/>
              </w:rPr>
            </w:pPr>
            <w:r>
              <w:rPr>
                <w:rFonts w:ascii="Arial" w:cs="Arial" w:eastAsia="Arial" w:hAnsi="Arial"/>
                <w:sz w:val="16"/>
                <w:szCs w:val="16"/>
                <w:b w:val="1"/>
                <w:bCs w:val="1"/>
                <w:color w:val="auto"/>
              </w:rPr>
              <w:t>2022</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3"/>
              </w:rPr>
              <w:t>% Change</w:t>
            </w:r>
          </w:p>
        </w:tc>
      </w:tr>
      <w:tr>
        <w:trPr>
          <w:trHeight w:val="191"/>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80" w:type="dxa"/>
            <w:vAlign w:val="bottom"/>
            <w:gridSpan w:val="5"/>
          </w:tcPr>
          <w:p>
            <w:pPr>
              <w:jc w:val="right"/>
              <w:ind w:right="116"/>
              <w:spacing w:after="0"/>
              <w:rPr>
                <w:sz w:val="20"/>
                <w:szCs w:val="20"/>
                <w:color w:val="auto"/>
              </w:rPr>
            </w:pPr>
            <w:r>
              <w:rPr>
                <w:rFonts w:ascii="Arial" w:cs="Arial" w:eastAsia="Arial" w:hAnsi="Arial"/>
                <w:sz w:val="14"/>
                <w:szCs w:val="14"/>
                <w:b w:val="1"/>
                <w:bCs w:val="1"/>
                <w:color w:val="auto"/>
              </w:rPr>
              <w:t>(in thousands, except per consumer data)</w:t>
            </w: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Merchandise Volume (GMV)  $</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4,638,580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3,916,253</w:t>
            </w:r>
          </w:p>
        </w:tc>
        <w:tc>
          <w:tcPr>
            <w:tcW w:w="1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18 %  $</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14,686,275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11,086,766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GMV</w:t>
      </w:r>
    </w:p>
    <w:p>
      <w:pPr>
        <w:spacing w:after="0" w:line="11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measure GMV to assess the volume of transactions that take place on our platform. We define GMV as the total dollar amount of all transactions on our platform during the period, net of refunds. GMV does not represent revenue earned by us, however, it is an indicator of the success of our merchants and the strength of our platform.</w:t>
      </w:r>
    </w:p>
    <w:p>
      <w:pPr>
        <w:spacing w:after="0" w:line="62" w:lineRule="exact"/>
        <w:rPr>
          <w:sz w:val="20"/>
          <w:szCs w:val="20"/>
          <w:color w:val="auto"/>
        </w:rPr>
      </w:pPr>
    </w:p>
    <w:p>
      <w:pPr>
        <w:ind w:right="40" w:firstLine="648"/>
        <w:spacing w:after="0" w:line="239" w:lineRule="auto"/>
        <w:rPr>
          <w:sz w:val="20"/>
          <w:szCs w:val="20"/>
          <w:color w:val="auto"/>
        </w:rPr>
      </w:pPr>
      <w:r>
        <w:rPr>
          <w:rFonts w:ascii="Arial" w:cs="Arial" w:eastAsia="Arial" w:hAnsi="Arial"/>
          <w:sz w:val="18"/>
          <w:szCs w:val="18"/>
          <w:color w:val="auto"/>
        </w:rPr>
        <w:t>For the three and nine months ended March 31, 2023, GMV was $4.6 billion and $14.7 billion, respectively, which represents an increase of approximately 18% and 32%, respectively, as compared to the same periods in fiscal 2022. Overall, the increase in GMV in both periods was primarily driven by the expansion of our active merchant base and increases in active consumers and average transactions per consumer. The increase in GMV for the three months ended March 31, 2023 also reflects increased consumer demand at our largest merchant partner by GMV, Amazon, and increased consumer demand in our travel and ticketing category. The increase in GMV for the nine months ended March 31, 2023 was positively impacted by Affirm being an available payment option to Amazon consumers throughout fiscal 2023, while Affirm was a payment option to Amazon consumers only during a portion of fiscal 2022.</w:t>
      </w:r>
    </w:p>
    <w:p>
      <w:pPr>
        <w:spacing w:after="0" w:line="9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three and nine months ended March 31, 2023, our top five merchants and platform partners represented approximately 40% and 42%, respectively, of total GMV, as compared to 34% and 33%, respectively, for the three and nine months ended March 31, 2022. GMV attributable to Amazon increased during both the three and nine months ended March 31, 2023 as compared to the same periods in fiscal 2022 but represented less than 20% of total GMV for all such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21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March 31, 2023</w:t>
            </w:r>
          </w:p>
        </w:tc>
        <w:tc>
          <w:tcPr>
            <w:tcW w:w="2360" w:type="dxa"/>
            <w:vAlign w:val="bottom"/>
            <w:tcBorders>
              <w:bottom w:val="single" w:sz="8" w:color="auto"/>
            </w:tcBorders>
          </w:tcPr>
          <w:p>
            <w:pPr>
              <w:jc w:val="right"/>
              <w:ind w:right="893"/>
              <w:spacing w:after="0"/>
              <w:rPr>
                <w:sz w:val="20"/>
                <w:szCs w:val="20"/>
                <w:color w:val="auto"/>
              </w:rPr>
            </w:pPr>
            <w:r>
              <w:rPr>
                <w:rFonts w:ascii="Arial" w:cs="Arial" w:eastAsia="Arial" w:hAnsi="Arial"/>
                <w:sz w:val="16"/>
                <w:szCs w:val="16"/>
                <w:b w:val="1"/>
                <w:bCs w:val="1"/>
                <w:color w:val="auto"/>
              </w:rPr>
              <w:t>March 31, 2022</w:t>
            </w:r>
          </w:p>
        </w:tc>
        <w:tc>
          <w:tcPr>
            <w:tcW w:w="156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 Change</w:t>
            </w:r>
          </w:p>
        </w:tc>
      </w:tr>
      <w:tr>
        <w:trPr>
          <w:trHeight w:val="191"/>
        </w:trPr>
        <w:tc>
          <w:tcPr>
            <w:tcW w:w="5220" w:type="dxa"/>
            <w:vAlign w:val="bottom"/>
          </w:tcPr>
          <w:p>
            <w:pPr>
              <w:spacing w:after="0"/>
              <w:rPr>
                <w:sz w:val="16"/>
                <w:szCs w:val="16"/>
                <w:color w:val="auto"/>
              </w:rPr>
            </w:pPr>
          </w:p>
        </w:tc>
        <w:tc>
          <w:tcPr>
            <w:tcW w:w="44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(in thousands, except per consumer data)</w:t>
            </w:r>
          </w:p>
        </w:tc>
        <w:tc>
          <w:tcPr>
            <w:tcW w:w="1560" w:type="dxa"/>
            <w:vAlign w:val="bottom"/>
          </w:tcPr>
          <w:p>
            <w:pPr>
              <w:spacing w:after="0"/>
              <w:rPr>
                <w:sz w:val="16"/>
                <w:szCs w:val="16"/>
                <w:color w:val="auto"/>
              </w:rPr>
            </w:pPr>
          </w:p>
        </w:tc>
      </w:tr>
      <w:tr>
        <w:trPr>
          <w:trHeight w:val="23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Consumers</w:t>
            </w:r>
          </w:p>
        </w:tc>
        <w:tc>
          <w:tcPr>
            <w:tcW w:w="210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16,006</w:t>
            </w:r>
          </w:p>
        </w:tc>
        <w:tc>
          <w:tcPr>
            <w:tcW w:w="236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rPr>
              <w:t>12,733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Transactions per Active Consumer (x)</w:t>
            </w:r>
          </w:p>
        </w:tc>
        <w:tc>
          <w:tcPr>
            <w:tcW w:w="2100" w:type="dxa"/>
            <w:vAlign w:val="bottom"/>
          </w:tcPr>
          <w:p>
            <w:pPr>
              <w:jc w:val="right"/>
              <w:ind w:right="197"/>
              <w:spacing w:after="0"/>
              <w:rPr>
                <w:sz w:val="20"/>
                <w:szCs w:val="20"/>
                <w:color w:val="auto"/>
              </w:rPr>
            </w:pPr>
            <w:r>
              <w:rPr>
                <w:rFonts w:ascii="Arial" w:cs="Arial" w:eastAsia="Arial" w:hAnsi="Arial"/>
                <w:sz w:val="18"/>
                <w:szCs w:val="18"/>
                <w:color w:val="auto"/>
              </w:rPr>
              <w:t>3.6</w:t>
            </w:r>
          </w:p>
        </w:tc>
        <w:tc>
          <w:tcPr>
            <w:tcW w:w="2360" w:type="dxa"/>
            <w:vAlign w:val="bottom"/>
          </w:tcPr>
          <w:p>
            <w:pPr>
              <w:jc w:val="right"/>
              <w:ind w:right="513"/>
              <w:spacing w:after="0"/>
              <w:rPr>
                <w:sz w:val="20"/>
                <w:szCs w:val="20"/>
                <w:color w:val="auto"/>
              </w:rPr>
            </w:pPr>
            <w:r>
              <w:rPr>
                <w:rFonts w:ascii="Arial" w:cs="Arial" w:eastAsia="Arial" w:hAnsi="Arial"/>
                <w:sz w:val="18"/>
                <w:szCs w:val="18"/>
                <w:color w:val="auto"/>
              </w:rPr>
              <w:t>2.7</w:t>
            </w:r>
          </w:p>
        </w:tc>
        <w:tc>
          <w:tcPr>
            <w:tcW w:w="1560" w:type="dxa"/>
            <w:vAlign w:val="bottom"/>
          </w:tcPr>
          <w:p>
            <w:pPr>
              <w:jc w:val="right"/>
              <w:spacing w:after="0"/>
              <w:rPr>
                <w:sz w:val="20"/>
                <w:szCs w:val="20"/>
                <w:color w:val="auto"/>
              </w:rPr>
            </w:pPr>
            <w:r>
              <w:rPr>
                <w:rFonts w:ascii="Arial" w:cs="Arial" w:eastAsia="Arial" w:hAnsi="Arial"/>
                <w:sz w:val="18"/>
                <w:szCs w:val="18"/>
                <w:color w:val="auto"/>
              </w:rPr>
              <w:t>34 %</w:t>
            </w:r>
          </w:p>
        </w:tc>
      </w:tr>
    </w:tbl>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Consumers</w:t>
      </w:r>
    </w:p>
    <w:p>
      <w:pPr>
        <w:spacing w:after="0" w:line="117"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w:t>
      </w:r>
    </w:p>
    <w:p>
      <w:pPr>
        <w:spacing w:after="0" w:line="14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March 31, 2023, we had 16.0 million active consumers, representing an increase of approximately 26% compared to 12.7 million as of March 31, 2022 reflecting the continued growth of our network.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per Active Consumer</w:t>
      </w:r>
    </w:p>
    <w:p>
      <w:pPr>
        <w:spacing w:after="0" w:line="19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43"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As of March 31, 2023, we had approximately 3.6 transactions per active consumer, an increase of approximately 34% compared to March 31, 2022, primarily as a result of platform growth and higher frequency repeat users driven by consumer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tables set forth selected interim condensed consolidated statements of operations and comprehensive loss data for each of the periods presented in dollars: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5"/>
              </w:rPr>
              <w:t>Three Months Ended March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Nine Months Ended March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40" w:type="dxa"/>
            <w:vAlign w:val="bottom"/>
            <w:gridSpan w:val="9"/>
          </w:tcPr>
          <w:p>
            <w:pPr>
              <w:jc w:val="center"/>
              <w:ind w:right="159"/>
              <w:spacing w:after="0"/>
              <w:rPr>
                <w:sz w:val="20"/>
                <w:szCs w:val="20"/>
                <w:color w:val="auto"/>
              </w:rPr>
            </w:pPr>
            <w:r>
              <w:rPr>
                <w:rFonts w:ascii="Arial" w:cs="Arial" w:eastAsia="Arial" w:hAnsi="Arial"/>
                <w:sz w:val="16"/>
                <w:szCs w:val="16"/>
                <w:b w:val="1"/>
                <w:bCs w:val="1"/>
                <w:color w:val="auto"/>
                <w:w w:val="87"/>
              </w:rPr>
              <w:t>(in thousands, except percentages)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color w:val="auto"/>
              </w:rPr>
              <w:t>Merchant network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119,013</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121,054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(2,041)</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260" w:type="dxa"/>
            <w:vAlign w:val="bottom"/>
          </w:tcPr>
          <w:p>
            <w:pPr>
              <w:jc w:val="center"/>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366,181</w:t>
            </w:r>
          </w:p>
        </w:tc>
        <w:tc>
          <w:tcPr>
            <w:tcW w:w="34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340,385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25,796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Virtual card network revenue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16,172</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380" w:type="dxa"/>
            <w:vAlign w:val="bottom"/>
          </w:tcPr>
          <w:p>
            <w:pPr>
              <w:ind w:left="260"/>
              <w:spacing w:after="0"/>
              <w:rPr>
                <w:sz w:val="20"/>
                <w:szCs w:val="20"/>
                <w:color w:val="auto"/>
              </w:rPr>
            </w:pPr>
            <w:r>
              <w:rPr>
                <w:rFonts w:ascii="Arial" w:cs="Arial" w:eastAsia="Arial" w:hAnsi="Arial"/>
                <w:sz w:val="16"/>
                <w:szCs w:val="16"/>
                <w:color w:val="auto"/>
              </w:rPr>
              <w:t>Total network revenue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148,482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144,223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4,259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451,475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409,507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41,968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43,671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470,393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Gain on sales of loans </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32,813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(19,671)</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14,862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Servicing income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23,456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64,277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20,035</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Revenue, net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380,978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354,762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26,216</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1,142,160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985,158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157,002</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16 %</w:t>
            </w:r>
          </w:p>
        </w:tc>
        <w:tc>
          <w:tcPr>
            <w:tcW w:w="0" w:type="dxa"/>
            <w:vAlign w:val="bottom"/>
          </w:tcPr>
          <w:p>
            <w:pPr>
              <w:spacing w:after="0"/>
              <w:rPr>
                <w:sz w:val="1"/>
                <w:szCs w:val="1"/>
                <w:color w:val="auto"/>
              </w:rPr>
            </w:pPr>
          </w:p>
        </w:tc>
      </w:tr>
      <w:tr>
        <w:trPr>
          <w:trHeight w:val="199"/>
        </w:trPr>
        <w:tc>
          <w:tcPr>
            <w:tcW w:w="238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21"/>
                <w:szCs w:val="21"/>
                <w:b w:val="1"/>
                <w:bCs w:val="1"/>
                <w:color w:val="auto"/>
                <w:vertAlign w:val="superscript"/>
              </w:rPr>
              <w:t>(2)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80" w:type="dxa"/>
            <w:vAlign w:val="bottom"/>
          </w:tcPr>
          <w:p>
            <w:pPr>
              <w:ind w:left="140"/>
              <w:spacing w:after="0" w:line="166" w:lineRule="exact"/>
              <w:rPr>
                <w:sz w:val="20"/>
                <w:szCs w:val="20"/>
                <w:color w:val="auto"/>
              </w:rPr>
            </w:pPr>
            <w:r>
              <w:rPr>
                <w:rFonts w:ascii="Arial" w:cs="Arial" w:eastAsia="Arial" w:hAnsi="Arial"/>
                <w:sz w:val="16"/>
                <w:szCs w:val="16"/>
                <w:color w:val="auto"/>
              </w:rPr>
              <w:t>Loss on loan purchase</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31,224</w:t>
            </w:r>
          </w:p>
        </w:tc>
        <w:tc>
          <w:tcPr>
            <w:tcW w:w="32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46,853</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(15,629)</w:t>
            </w:r>
          </w:p>
        </w:tc>
        <w:tc>
          <w:tcPr>
            <w:tcW w:w="8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4"/>
                <w:szCs w:val="14"/>
                <w:color w:val="auto"/>
              </w:rPr>
            </w:pPr>
          </w:p>
        </w:tc>
        <w:tc>
          <w:tcPr>
            <w:tcW w:w="260" w:type="dxa"/>
            <w:vAlign w:val="bottom"/>
            <w:vMerge w:val="restart"/>
          </w:tcPr>
          <w:p>
            <w:pPr>
              <w:jc w:val="center"/>
              <w:ind w:right="7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105,256</w:t>
            </w:r>
          </w:p>
        </w:tc>
        <w:tc>
          <w:tcPr>
            <w:tcW w:w="340" w:type="dxa"/>
            <w:vAlign w:val="bottom"/>
            <w:gridSpan w:val="3"/>
            <w:vMerge w:val="restart"/>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163,796</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(58,540)</w:t>
            </w:r>
          </w:p>
        </w:tc>
        <w:tc>
          <w:tcPr>
            <w:tcW w:w="8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9"/>
        </w:trPr>
        <w:tc>
          <w:tcPr>
            <w:tcW w:w="2380" w:type="dxa"/>
            <w:vAlign w:val="bottom"/>
          </w:tcPr>
          <w:p>
            <w:pPr>
              <w:ind w:left="140"/>
              <w:spacing w:after="0"/>
              <w:rPr>
                <w:sz w:val="20"/>
                <w:szCs w:val="20"/>
                <w:color w:val="auto"/>
              </w:rPr>
            </w:pPr>
            <w:r>
              <w:rPr>
                <w:rFonts w:ascii="Arial" w:cs="Arial" w:eastAsia="Arial" w:hAnsi="Arial"/>
                <w:sz w:val="16"/>
                <w:szCs w:val="16"/>
                <w:color w:val="auto"/>
              </w:rPr>
              <w:t>commitment</w:t>
            </w: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credit losses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54,796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color w:val="auto"/>
              </w:rPr>
              <w:t>Funding costs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51,188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35,364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69,728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 and servicing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21,858</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75,675</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color w:val="auto"/>
              </w:rPr>
              <w:t>Technology and data analytics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161,792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110,291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51,501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463,500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283,293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180,207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(15,272)</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129,499</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139,266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142,466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(3,200)</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458,877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419,962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38,915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charges,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34,934</w:t>
            </w:r>
          </w:p>
        </w:tc>
        <w:tc>
          <w:tcPr>
            <w:tcW w:w="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640"/>
              <w:spacing w:after="0" w:line="219" w:lineRule="exact"/>
              <w:rPr>
                <w:sz w:val="20"/>
                <w:szCs w:val="20"/>
                <w:color w:val="auto"/>
              </w:rPr>
            </w:pPr>
            <w:r>
              <w:rPr>
                <w:rFonts w:ascii="Arial" w:cs="Arial" w:eastAsia="Arial" w:hAnsi="Arial"/>
                <w:sz w:val="16"/>
                <w:szCs w:val="16"/>
                <w:color w:val="auto"/>
              </w:rPr>
              <w:t>NM</w:t>
            </w:r>
            <w:r>
              <w:rPr>
                <w:rFonts w:ascii="Arial" w:cs="Arial" w:eastAsia="Arial" w:hAnsi="Arial"/>
                <w:sz w:val="21"/>
                <w:szCs w:val="21"/>
                <w:color w:val="auto"/>
                <w:vertAlign w:val="superscript"/>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34,934</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line="219" w:lineRule="exact"/>
              <w:rPr>
                <w:sz w:val="20"/>
                <w:szCs w:val="20"/>
                <w:color w:val="auto"/>
              </w:rPr>
            </w:pPr>
            <w:r>
              <w:rPr>
                <w:rFonts w:ascii="Arial" w:cs="Arial" w:eastAsia="Arial" w:hAnsi="Arial"/>
                <w:sz w:val="16"/>
                <w:szCs w:val="16"/>
                <w:color w:val="auto"/>
              </w:rPr>
              <w:t>NM</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691,013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581,313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109,700</w:t>
            </w:r>
          </w:p>
        </w:tc>
        <w:tc>
          <w:tcPr>
            <w:tcW w:w="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19 %</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2,099,194</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1,573,980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525,214</w:t>
            </w:r>
          </w:p>
        </w:tc>
        <w:tc>
          <w:tcPr>
            <w:tcW w:w="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33 %</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(310,035)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(226,551)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(83,484)</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37 %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(957,034)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(588,822)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(368,212)</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63 %</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103,522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172,139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(68,617)</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175,067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68,507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106,560</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(206,513)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(54,412)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(152,101)</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280 %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(781,967)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(520,315)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(261,652)</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50 %</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(423) %</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(466) %</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(205,677)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(54,671)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(151,006)</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(779,383)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(521,021)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(258,362)</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141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81" w:lineRule="exact"/>
        <w:rPr>
          <w:sz w:val="20"/>
          <w:szCs w:val="20"/>
          <w:color w:val="auto"/>
        </w:rPr>
      </w:pPr>
    </w:p>
    <w:p>
      <w:pPr>
        <w:ind w:left="340" w:right="20" w:hanging="332"/>
        <w:spacing w:after="0" w:line="234" w:lineRule="auto"/>
        <w:tabs>
          <w:tab w:leader="none" w:pos="328"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120"/>
        <w:spacing w:after="0" w:line="257" w:lineRule="auto"/>
        <w:rPr>
          <w:sz w:val="20"/>
          <w:szCs w:val="20"/>
          <w:color w:val="auto"/>
        </w:rPr>
      </w:pPr>
      <w:r>
        <w:rPr>
          <w:rFonts w:ascii="Arial" w:cs="Arial" w:eastAsia="Arial" w:hAnsi="Arial"/>
          <w:sz w:val="18"/>
          <w:szCs w:val="18"/>
          <w:color w:val="auto"/>
        </w:rPr>
        <w:t>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18"/>
                <w:szCs w:val="18"/>
                <w:color w:val="auto"/>
              </w:rPr>
            </w:pPr>
          </w:p>
        </w:tc>
        <w:tc>
          <w:tcPr>
            <w:tcW w:w="258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4"/>
              </w:rPr>
              <w:t>Nine Months Ended March 31,</w:t>
            </w:r>
          </w:p>
        </w:tc>
      </w:tr>
      <w:tr>
        <w:trPr>
          <w:trHeight w:val="210"/>
        </w:trPr>
        <w:tc>
          <w:tcPr>
            <w:tcW w:w="5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r>
      <w:tr>
        <w:trPr>
          <w:trHeight w:val="191"/>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53,177</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Additions from loans purchased or originated, net of refunds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286,034</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(138,853)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Unamortized discount released on loans sold</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(150,857)</w:t>
            </w: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currency translation</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Balance at the end of the period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89,389</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49,501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49,501</w:t>
            </w:r>
          </w:p>
        </w:tc>
      </w:tr>
      <w:tr>
        <w:trPr>
          <w:trHeight w:val="21"/>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329184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9184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716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400" w:type="dxa"/>
            <w:vAlign w:val="bottom"/>
          </w:tcPr>
          <w:p>
            <w:pPr>
              <w:spacing w:after="0"/>
              <w:rPr>
                <w:sz w:val="17"/>
                <w:szCs w:val="17"/>
                <w:color w:val="auto"/>
              </w:rPr>
            </w:pPr>
          </w:p>
        </w:tc>
        <w:tc>
          <w:tcPr>
            <w:tcW w:w="258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4"/>
              </w:rPr>
              <w:t>Nine Months Ended March 31,</w:t>
            </w:r>
          </w:p>
        </w:tc>
      </w:tr>
      <w:tr>
        <w:trPr>
          <w:trHeight w:val="207"/>
        </w:trPr>
        <w:tc>
          <w:tcPr>
            <w:tcW w:w="5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2022</w:t>
            </w:r>
          </w:p>
        </w:tc>
      </w:tr>
      <w:tr>
        <w:trPr>
          <w:trHeight w:val="199"/>
        </w:trPr>
        <w:tc>
          <w:tcPr>
            <w:tcW w:w="5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54,789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58,100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188,788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187,789</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75,133</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15,655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280,113</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39,691</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113,005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411,132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319,804</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March 31, 2023 and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w:t>
      </w:r>
    </w:p>
    <w:p>
      <w:pPr>
        <w:spacing w:after="0" w:line="18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w:t>
      </w:r>
    </w:p>
    <w:p>
      <w:pPr>
        <w:spacing w:after="0" w:line="15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Merchant network revenue decreased by $2.0 million, or 2%, for the three months ended March 31, 2023 compared to the same period in fiscal 2022. The decrease is primarily attributed to a decrease of $274.2 million in long-term non-interest bearing loans, our highest merchant fee category, for the three months ended March 31, 2023. The decrease was partially offset by an increase of $742.8 million in short term interest bearing loans, which typically have lower merchant fees, in line with the decline in merchant network revenue as a percentage of GMV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Merchant network revenue increased by $25.8 million, or 8%, for the nine months ended March 31, 2023, compared to the same period in fiscal 2022. The increase is primarily attributed to an increase of $3.6 billion in GMV for the nine months ended March 31, 2023. The increase in GMV is a result of the expansion of our active merchant base from 207,049 as of March 31, 2022 to 245,652 as of March 31, 2023, an increase in active consumers from 12.7 million as of March 31, 2022 to 16.0 million as of March 31, 2023, and an increase in average transactions per consumer from 2.7 as of March 31, 2022 to 3.6 as of March 31, 2023. Despite the increase in merchant network revenue, merchant network revenue as a percentage of GMV contracted and AOVs decreased during the period. Merchant network revenue as a percentage of GMV was 2% for the nine months ended March 31, 2023, down from 3% for the same period in fiscal 2022. AOV was $319 for the nine months ended March 31, 2023, down from $377 for the same period in fiscal 2022. These decreases are the result of a higher frequency of consumers choosing Affirm as their payment option with merchants that offer shorter-term, interest-bearing loans with lower AOVs, resulting in lower merchant fees.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card network revenue</w:t>
      </w:r>
    </w:p>
    <w:p>
      <w:pPr>
        <w:spacing w:after="0" w:line="19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Virtual card network revenue increased by $6.3 million, or 27%, and $16.2 million, or 23%, for the three and nine months ended March 31, 2023, respectively, compared to the same period in 2022. Virtual card network revenue growth is correlated with the growth of GMV processed by our issuer processors. As such, the increase is primarily driven by $1.4 billion and $4.2 billion of GMV processed through our issuer processors, an increase of 22% and 27% for the three and nine months ended March 31, 2023, respectively, as compared to the same period in 2022. This is the result of increased activity on our virtual card-enabled mobile application, as well as growth in existing and new merchants using our virtual card platform, growing from 1,053 merchants as of March 31, 2022 to 1,226 merchants as of March 31, 2023. Virtual card network revenue is also impacted by the mix of merchants as different merchants can have different interchange rates depending on their industry or size, among other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Interest income increased by $43.7 million, or 32%, and $80.1 million, or 21%, for the three and nine months ended March 31, 2023, respectively, compared to the same period in fiscal 2022. Generally, interest income is correlated with the changes in the average balance of loans held for investment. The average balance of loans held for investment increased by 51% to $3.7 billion and 39% to $3.2 billion for the three and nine months ended March 31, 2023, respectively, compared to the same period in fiscal 2022. The increase in loans held for investment on our interim consolidated balance sheet is in response to the current market environment and our ability to allocate loans to warehouse facilities with better economic terms while optimizing cost of funds. Coupled with the increase in loans held for investment on our interim consolidated balance sheet, interest income from interest bearing loans increased from $95.3 million and $266.9 million for the three and nine months ended March 31, 2022 to $147.8 million and $379.8 million for three and nine months ended March 31, 2023, respectively. This increase was in part due to recent pricing initiatives including increasing the maximum APR for loans facilitated on our platform from 30% to 36% and introducing merchant-subsidized low APR loans (4-9.99%) as an alternative to monthly 0% APR programs.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185" w:lineRule="exact"/>
        <w:rPr>
          <w:sz w:val="20"/>
          <w:szCs w:val="20"/>
          <w:color w:val="auto"/>
        </w:rPr>
      </w:pPr>
    </w:p>
    <w:p>
      <w:pPr>
        <w:jc w:val="both"/>
        <w:ind w:left="120" w:right="280" w:firstLine="648"/>
        <w:spacing w:after="0" w:line="311" w:lineRule="auto"/>
        <w:rPr>
          <w:sz w:val="20"/>
          <w:szCs w:val="20"/>
          <w:color w:val="auto"/>
        </w:rPr>
      </w:pPr>
      <w:r>
        <w:rPr>
          <w:rFonts w:ascii="Arial" w:cs="Arial" w:eastAsia="Arial" w:hAnsi="Arial"/>
          <w:sz w:val="16"/>
          <w:szCs w:val="16"/>
          <w:color w:val="auto"/>
        </w:rPr>
        <w:t>Gain on sales of loans decreased by $19.7 million, or 37%, for the three months ended March 31, 2023 compared to the same period in 2022, primarily due to a decrease in loan sale volume as we retain more loans on balance sheet in response to the current market environment. We sold loans with an unpaid balance of $1.7 billion for the three months ended March 31, 2023 compared to $2.0 billion for the same period in 2022.</w:t>
      </w:r>
    </w:p>
    <w:p>
      <w:pPr>
        <w:spacing w:after="0" w:line="108" w:lineRule="exact"/>
        <w:rPr>
          <w:sz w:val="20"/>
          <w:szCs w:val="20"/>
          <w:color w:val="auto"/>
        </w:rPr>
      </w:pPr>
    </w:p>
    <w:p>
      <w:pPr>
        <w:ind w:left="120" w:right="160" w:firstLine="648"/>
        <w:spacing w:after="0" w:line="259" w:lineRule="auto"/>
        <w:rPr>
          <w:sz w:val="20"/>
          <w:szCs w:val="20"/>
          <w:color w:val="auto"/>
        </w:rPr>
      </w:pPr>
      <w:r>
        <w:rPr>
          <w:rFonts w:ascii="Arial" w:cs="Arial" w:eastAsia="Arial" w:hAnsi="Arial"/>
          <w:sz w:val="18"/>
          <w:szCs w:val="18"/>
          <w:color w:val="auto"/>
        </w:rPr>
        <w:t>Gain on sales of loans increased by $14.9 million, or 11%, for the nine months ended March 31, 2023, compared to the same period in 2022, mainly driven by increased loan sale activity. We sold loans with an unpaid balance of $5.8 billion for the nine months ended March 31, 2023 compared to $5.6 billion for the same period in 2022. This increase was driven by higher loan sale volume to third-party loan buyers and optimizing the allocation of loans to loan buyers with more favorable pricing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185" w:lineRule="exact"/>
        <w:rPr>
          <w:sz w:val="20"/>
          <w:szCs w:val="20"/>
          <w:color w:val="auto"/>
        </w:rPr>
      </w:pPr>
    </w:p>
    <w:p>
      <w:pPr>
        <w:ind w:right="460" w:firstLine="648"/>
        <w:spacing w:after="0" w:line="301" w:lineRule="auto"/>
        <w:rPr>
          <w:sz w:val="20"/>
          <w:szCs w:val="20"/>
          <w:color w:val="auto"/>
        </w:rPr>
      </w:pPr>
      <w:r>
        <w:rPr>
          <w:rFonts w:ascii="Arial" w:cs="Arial" w:eastAsia="Arial" w:hAnsi="Arial"/>
          <w:sz w:val="16"/>
          <w:szCs w:val="16"/>
          <w:color w:val="auto"/>
        </w:rPr>
        <w:t>Servicing income includes net servicing fee revenue and fair value adjustments for servicing assets and liabilities, and is recognized for loan portfolios sold to third party loan buyers and for loans held within our off 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3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14. Fair Value of Financial Assets and Liabilities.</w:t>
      </w:r>
    </w:p>
    <w:p>
      <w:pPr>
        <w:spacing w:after="0" w:line="152"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Servicing income decreased by $2.0 million, or 9%, for the three months ended March 31, 2023, compared to the same period in 2022, primarily driven by changes in fair value of servicing assets and liabilities. The decrease related to changes in fair value of servicing assets and liabilities was partially offset by an increase in servicing fee revenue driven by an increase in the average unpaid principal balance of loans owned by third-party loan owners, which increased from $4.0 billion during the three months ended March 31, 2022 to $4.5 billion during the three months ended March 31, 2023.</w:t>
      </w:r>
    </w:p>
    <w:p>
      <w:pPr>
        <w:spacing w:after="0" w:line="11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Servicing income increased by $20.0 million, or 45%, for the nine months ended March 31, 2023, compared to the same period in 2022, driven primarily by an increase in servicing fee revenue driven by an increase in the average unpaid principal balance of loans owned by third-party loan owners, which increased from $3.0 billion during the nine months ended March 31, 2022 to $4.1 billion during the nine months ended March 31, 2023, combined with increased servicing fees. Additionally, during the nine months ended March 31, 2023, an increase of $0.6 million related to the changes in fair value of servicing assets and liabilities contributed to the overall increase in servicing income, compared to the same period in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17"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We purchase certain loans from our originating bank partners that are processed through our platform and our originating bank partners put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1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Loss on loan purchase commitment decreased by $15.6 million, or 33%, and $58.5 million, or 36%, for the three and nine months ended</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March 31, 2023, respectively, compared to the same period in 2022. This decrease was due to a decrease in the volume and concentration of long-term 0% APR loans purchased from our originating bank partners which are purchased above fair market value. The difference between fair value and purchase price for our loans is generally correlated with the term length and APR of the loans. As such, the reduction in the long term 0% loans purchased from our bank partner contributed to the decline in loss on loan purchase commitment. Additionally, as the percentage of our portfolio shifts towards more interest bearing loans, loss on loan purchase commitment decreases. During the three and nine months ended March 31, 2023, we purchased $306.5 million and $1,056.9 million, respectively, of long-term 0% APR loan receivables from our originating bank partners, representing a decrease of $224.6 million, or 42%, and $559.6 million, or 35%, respectively,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15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Provision for credit losses increased by $0.1 million, or less than 1%, for the three months ended March 31, 2023 compared to the same period in 2022, driven by growth in the volume of loans held for investment. Loans held for investment increased by $120.0 million during the three months ended March 31, 2023 compared to a $78.0 million increase during the same period in 2022. The increase was almost entirely offset by improvements in credit quality of loans outstanding and updates to the assumptions used in our credit loss valuation model, including a refinement to the application of our stress loss multiple.</w:t>
      </w:r>
    </w:p>
    <w:p>
      <w:pPr>
        <w:spacing w:after="0" w:line="16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Provision for credit losses increased by $54.8 million, or 30%, for the nine months ended March 31, 2023 compared to the same period in 2022, driven by growth in the volume of loans held for investment and partially offset by improvements in credit quality of loans outstanding. Loans held for investment increased by $1,272.0 million during the nine months ended March 31, 2023 compared to a $481.2 million increase during the same period in 2022.</w:t>
      </w:r>
    </w:p>
    <w:p>
      <w:pPr>
        <w:spacing w:after="0" w:line="14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Total loans held for investment was $3,775.5 million and $2,502.9 million as of March 31, 2023 and 2022, respectively. The allowance for credit losses as a percentage of loans held for investment decreased from 6.4% as of March 31, 2022 to 4.7% as of March 31, 2023, primarily driven by improvements in credit quality of loans outstanding and updates to the assumptions used in our credit loss valuation model.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Funding costs consist of interest expense and the amortization of fees for certain borrowings collateralized by our loans including on balance sheet VIEs, sale and repurchase agreements collateralized by our retained securitization interests, and other costs incurred in connection with funding the purchases and originations of loans. Funding costs for a given period are correlated with the sum of the average balance of funding debt and the average balance of notes issued by securitization trusts.</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Funding costs increased by $35.4 million, or 223%, and $69.7 million, or 139%, for the three and nine months ended March 31, 2023, respectively, compared to the same period in 2022. The increase was primarily due to higher benchmark interest rates, increased utilization fees and an increase of funding debt during the current fiscal year. Additionally, the increase is attributable to a larger volume of on-balance sheet loans being retained during the period. The average balance of notes issued by securitization trusts during both the three and nine months ended March 31, 2023 was $1.6 billion, respectively, compared with $1.5 billion and $1.4 billion during the same periods in 2022, respectively. The average balance of funding debt for the three and nine months ended March 31, 2023 was $1.7 billion and $1.2 billion, respectively, compared with $773.6 million and $688.9 million during the same periods in 2022, respectively. Additionally, the average loan balance on-balance sheet was $3.7 billion and $3.2 billion for the three and nine months ended March 31, 2023, respectively, compared to $2.5 billion and $2.3 billion during the same period in 2022, respectively. Average total funding debt from warehouses and securitizations for the three and nine months ended March 31, 2023 increased by $963.9 million, or 42%, and $724.2 million, or 34%, respectively,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30"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Processing and servicing expense increased by $21.9 million, or 50%, and $75.7 million, or 69%, for the three and nine months ended March 31, 2023, respectively, compared to the same period in 2022. This increase was driven primarily by an increase in payment processing fees of $9.9 million, or 39%, and $34.9 million, or 55%, for the three and nine months ended March 31, 2023, respectively, related to increased merchant payment volume.</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Additionally, during the three and nine months ended March 31, 2023, our platform fees and servicing costs increased by $5.8 million and $20.5 million, respectively, due to an increase in our platform partner fee with a large enterprise partner.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17"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Technology and data analytics expense consists primarily of the salaries, stock-based compensation, and personnel-related costs of our engineering and product employees as well as our credit and analytics employees who develop our proprietary risk model and internally-developed software.</w:t>
      </w:r>
    </w:p>
    <w:p>
      <w:pPr>
        <w:spacing w:after="0" w:line="143"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Technology and data analytics expense increased by $51.5 million, or 47%, and $180.2 million, or 64%, for the three and nine months ended March 31, 2023, respectively, compared to the same period in 2022. This increase is primarily driven by an increase of $22.5 million, or 33%, and $97.1 million, or 56%, in stock-based compensation and payroll and personnel-related costs for the three and nine months ended March 31, 2023, respectively, compared to the same period in 2022, resulting from efforts to continue to support our growth and technology platform. Additionally, data infrastructure and hosting costs increased by $3.1 million, or 13%, and $27.2 million, or 43%, for the three and nine months ended March 31, 2023, respectively, compared to the same period in 2022, due to increased capacity requirements of our technology platform driven by increases in active users and transactions per active consumer.</w:t>
      </w:r>
    </w:p>
    <w:p>
      <w:pPr>
        <w:spacing w:after="0" w:line="15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Furthermore, amortization of internally-developed software and intangible assets increased by $24.6 million, or 257%, and $46.0 million, or 184%, for the three and nine months ended March 31, 2023, respectively, compared to the same period in 2022, primarily as a result of an increase in the number of capitalized projects and our periodic reassessment of the remaining useful lives of those assets. Capitalized projects grew by 121% from 213 projects to 471 projects as of March 31, 2023, compared to the same period in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8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w:t>
      </w:r>
    </w:p>
    <w:p>
      <w:pPr>
        <w:spacing w:after="0" w:line="14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Sales and marketing expense decreased by $15.3 million, or 10%, during the three months ended March 31, 2023, compared to the same period in 2022. The decrease was primarily driven by a $6.2 million, or 70%, decrease in brand and consumer marketing spend, as well as a decrease of $3.3 million, in business-to-business marketing spend during the three months ended March 31, 2023, compared to the same period in 2022. Additionally, the sales and marketing expenses related to our Shopify commercial agreement decreased by $7.8 million, or 47%, during the three months ended March 31, 2023 compared to the same period in 2022, driven by an extension of our partnership agreement, which also extended the amortization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Sales and marketing expense increased by $129.5 million, or 36%, during the nine months ended March 31, 2023, compared to the same period in 2022. The increase was primarily driven by amortization on our commercial agreements with Amazon which increased from $173.0 million for the</w:t>
      </w:r>
    </w:p>
    <w:p>
      <w:pPr>
        <w:ind w:right="80"/>
        <w:spacing w:after="0" w:line="281" w:lineRule="auto"/>
        <w:rPr>
          <w:sz w:val="20"/>
          <w:szCs w:val="20"/>
          <w:color w:val="auto"/>
        </w:rPr>
      </w:pPr>
      <w:r>
        <w:rPr>
          <w:rFonts w:ascii="Arial" w:cs="Arial" w:eastAsia="Arial" w:hAnsi="Arial"/>
          <w:sz w:val="16"/>
          <w:szCs w:val="16"/>
          <w:color w:val="auto"/>
        </w:rPr>
        <w:t>nine months ended March 31, 2022 to $361.8 million for the same period 2023. The increase was partially offset by a $27.2 million, or 64%, decrease in brand and consumer marketing spend associated with our brand-activation, holiday shopping, lifestyle, and travel marketing campaigns, as well as a decrease of $11.0 million, or 82%, in business-to-business marketing spend during the nine months ended March 31, 2023 compared to the same period in 2022. Additionally, the sales and marketing expenses related to our Shopify commercial agreement decreased by $23.8 million, or 47%, during the</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nine months ended March 31, 2023, compared to the same period in 2022 driven by an extension of our partnership agreement, which also extended the amortization period.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38"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General and administrative expense decreased by $3.2 million, or 2%, during the three months ended March 31, 2023 compared to the same period in 2022, driven in part by a $5.4 million, or 46%, decrease in professional service fees and a $2.5 million, or 82%, decrease in recruiting expenses, which was offset by an increase of $4.4 million, or 4%, in payroll and personnel-related related costs.</w:t>
      </w:r>
    </w:p>
    <w:p>
      <w:pPr>
        <w:spacing w:after="0" w:line="143"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General and administrative expense increased by $38.9 million, or 9%, during the nine months ended March 31, 2023 compared to the same period in 2022, primarily due to an increase of $39.7 million in payroll and personnel-related costs partially offset by a $9.5 million, or 32%, decrease in professional service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 net</w:t>
      </w:r>
    </w:p>
    <w:p>
      <w:pPr>
        <w:spacing w:after="0" w:line="117" w:lineRule="exact"/>
        <w:rPr>
          <w:sz w:val="20"/>
          <w:szCs w:val="20"/>
          <w:color w:val="auto"/>
        </w:rPr>
      </w:pPr>
    </w:p>
    <w:p>
      <w:pPr>
        <w:ind w:right="120" w:firstLine="648"/>
        <w:spacing w:after="0" w:line="292" w:lineRule="auto"/>
        <w:rPr>
          <w:sz w:val="20"/>
          <w:szCs w:val="20"/>
          <w:color w:val="auto"/>
        </w:rPr>
      </w:pPr>
      <w:r>
        <w:rPr>
          <w:rFonts w:ascii="Arial" w:cs="Arial" w:eastAsia="Arial" w:hAnsi="Arial"/>
          <w:sz w:val="16"/>
          <w:szCs w:val="16"/>
          <w:color w:val="auto"/>
        </w:rPr>
        <w:t>During the three months ended March 31, 2023, we committed to a restructuring plan designed to manage our operating expenses in response to current macroeconomic conditions and ongoing business prioritization efforts. The associated restructuring charges during the three and nine ended March 31, 2023 were approximately $34.9 million, which included expenditures of $28.8 million relating to employee severance and other employment termination benefits and $6.2 million of accelerations of amortization expense which primarily related to the lease asset associated with the exit of certain of our office space. For further information, refer to Note 17. Restructuring charges, net to the interim condensed consolidated financial statements in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Other income, net consists primarily of interest earned on our money market funds included in cash and cash equivalents and restricted cash, interest earned on securities available for sale, gains on derivative agreements driven by increases in fair value, amortization of convertible debt issuance cost and revolving credit facility issuance costs, and fair value adjustments resulting from changes in the fair value of our contingent consideration liability, primarily driven by changes in the market price of our Class A common stock.</w:t>
      </w:r>
    </w:p>
    <w:p>
      <w:pPr>
        <w:spacing w:after="0" w:line="146"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Other income (expense), net decreased by $68.6 million, or 40%, during the three months ended March 31, 2023 compared to the same period in 2022. The decrease is primarily driven by a $2.1 million loss related to a decrease in the fair value of our contingent consideration liability, as compared to a gain of $136.2 million in the same period in 2022, a change of $138.4 million, primarily due to changes in the fair value of our common stock.</w:t>
      </w:r>
    </w:p>
    <w:p>
      <w:pPr>
        <w:spacing w:after="0" w:line="2"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Additionally, we had a $3.7 million loss on derivative instruments compared to a $35.1 million gain during the same period in 2022. This was partially offset by an increase in interest income on investments of $21.0 million and a gain of $89.8 million on the extinguishment of convertible debt.</w:t>
      </w:r>
    </w:p>
    <w:p>
      <w:pPr>
        <w:spacing w:after="0" w:line="9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income (expense), net increased by $106.6 million, or 156%, during the nine months ended March 31, 2023 compared to the same period in 2022. The increase is primarily driven by a gain of $89.8 million on the extinguishment of convertible debt during the nine months ended March 31, 2023 and an increase in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income on investments of $48.3 million compared to the same period 2022. This increase is partially offset by a $7.2 million gain related to the fair value of our contingent consideration liability as compared to a loss of $28.7 million in the same period in 2022, a decrease of $21.5 million.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8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With rising interest rates and inflation, our excess funding capacity and committed and long-term relationships with a diverse group of existing funding partners help provide flexibility as we optimize our funding to support the growth in loan volume.</w:t>
      </w:r>
    </w:p>
    <w:p>
      <w:pPr>
        <w:spacing w:after="0" w:line="13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principal sources of liquidity are cash and cash equivalents, available for sale securities, available capacity from warehouse and revolving credit facilities, revolving securitizations, forward flow loan sale arrangements, and certain cash flows from our operations. As of March 31, 2023, we had $2.0 billion in cash and cash equivalents and available for sale securities, $2.5 billion in funding capacity remaining across our warehouse funding channels and $205.0 million in borrowing capacity available under our revolving credit facility.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cash equivalents and investments in debt securities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2023</w:t>
            </w:r>
          </w:p>
        </w:tc>
        <w:tc>
          <w:tcPr>
            <w:tcW w:w="34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30, 2022</w:t>
            </w:r>
          </w:p>
        </w:tc>
      </w:tr>
      <w:tr>
        <w:trPr>
          <w:trHeight w:val="223"/>
        </w:trPr>
        <w:tc>
          <w:tcPr>
            <w:tcW w:w="68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972,477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1,255,171</w:t>
            </w:r>
          </w:p>
        </w:tc>
      </w:tr>
      <w:tr>
        <w:trPr>
          <w:trHeight w:val="229"/>
        </w:trPr>
        <w:tc>
          <w:tcPr>
            <w:tcW w:w="6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Investments in short-term debt securities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826,246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1,295,811</w:t>
            </w:r>
          </w:p>
        </w:tc>
      </w:tr>
      <w:tr>
        <w:trPr>
          <w:trHeight w:val="230"/>
        </w:trPr>
        <w:tc>
          <w:tcPr>
            <w:tcW w:w="6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Investments in long-term debt securities </w:t>
            </w:r>
            <w:r>
              <w:rPr>
                <w:rFonts w:ascii="Arial" w:cs="Arial" w:eastAsia="Arial" w:hAnsi="Arial"/>
                <w:sz w:val="23"/>
                <w:szCs w:val="23"/>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299,562</w:t>
            </w:r>
          </w:p>
        </w:tc>
      </w:tr>
      <w:tr>
        <w:trPr>
          <w:trHeight w:val="223"/>
        </w:trPr>
        <w:tc>
          <w:tcPr>
            <w:tcW w:w="6800" w:type="dxa"/>
            <w:vAlign w:val="bottom"/>
          </w:tcPr>
          <w:p>
            <w:pPr>
              <w:ind w:left="120"/>
              <w:spacing w:after="0"/>
              <w:rPr>
                <w:sz w:val="20"/>
                <w:szCs w:val="20"/>
                <w:color w:val="auto"/>
              </w:rPr>
            </w:pPr>
            <w:r>
              <w:rPr>
                <w:rFonts w:ascii="Arial" w:cs="Arial" w:eastAsia="Arial" w:hAnsi="Arial"/>
                <w:sz w:val="18"/>
                <w:szCs w:val="18"/>
                <w:b w:val="1"/>
                <w:bCs w:val="1"/>
                <w:color w:val="auto"/>
              </w:rPr>
              <w:t>Cash, cash equivalent and investments in debt securities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2,031,508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2,850,544</w:t>
            </w:r>
          </w:p>
        </w:tc>
      </w:tr>
      <w:tr>
        <w:trPr>
          <w:trHeight w:val="21"/>
        </w:trPr>
        <w:tc>
          <w:tcPr>
            <w:tcW w:w="6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100" w:hanging="328"/>
        <w:spacing w:after="0" w:line="227" w:lineRule="auto"/>
        <w:tabs>
          <w:tab w:leader="none" w:pos="64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Cash and cash equivalents consist of bank accounts, money market funds, certificates of deposits, other commercial paper, and government bonds with maturities less than three months.</w:t>
      </w:r>
    </w:p>
    <w:p>
      <w:pPr>
        <w:ind w:left="660" w:right="200" w:hanging="328"/>
        <w:spacing w:after="0" w:line="255" w:lineRule="auto"/>
        <w:tabs>
          <w:tab w:leader="none" w:pos="651" w:val="left"/>
        </w:tabs>
        <w:numPr>
          <w:ilvl w:val="0"/>
          <w:numId w:val="24"/>
        </w:numPr>
        <w:rPr>
          <w:rFonts w:ascii="Arial" w:cs="Arial" w:eastAsia="Arial" w:hAnsi="Arial"/>
          <w:sz w:val="11"/>
          <w:szCs w:val="11"/>
          <w:color w:val="auto"/>
        </w:rPr>
      </w:pPr>
      <w:r>
        <w:rPr>
          <w:rFonts w:ascii="Arial" w:cs="Arial" w:eastAsia="Arial" w:hAnsi="Arial"/>
          <w:sz w:val="18"/>
          <w:szCs w:val="18"/>
          <w:color w:val="auto"/>
        </w:rPr>
        <w:t>Securities available for sale at fair value primarily consist of certificates of deposits, corporate bonds, commercial paper, and government bonds. Short-term securities have maturities less than or equal to one year, and long-term securities range from greater than one year to less than five years.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 Credit and Funding Debt</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available capacity as of March 31, 2023 primarily include warehouse credit facilities, convertible senior notes, revolving credit facilities and repurchase liabilities. A detailed description of each of our borrowing arrangements is included in Note 10. Debt 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summarizes our funding credit facilities as of March 31, 2023. The funding debt consists of warehouse credit facilities, revolving credit facilities, and repurchase liabilities: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gridSpan w:val="2"/>
          </w:tcPr>
          <w:p>
            <w:pPr>
              <w:ind w:left="20"/>
              <w:spacing w:after="0"/>
              <w:rPr>
                <w:sz w:val="20"/>
                <w:szCs w:val="20"/>
                <w:color w:val="auto"/>
              </w:rPr>
            </w:pPr>
            <w:r>
              <w:rPr>
                <w:rFonts w:ascii="Arial" w:cs="Arial" w:eastAsia="Arial" w:hAnsi="Arial"/>
                <w:sz w:val="16"/>
                <w:szCs w:val="16"/>
                <w:b w:val="1"/>
                <w:bCs w:val="1"/>
                <w:color w:val="auto"/>
              </w:rPr>
              <w:t>Maturity Fiscal Year</w:t>
            </w:r>
          </w:p>
        </w:tc>
        <w:tc>
          <w:tcPr>
            <w:tcW w:w="22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Arial" w:cs="Arial" w:eastAsia="Arial" w:hAnsi="Arial"/>
                <w:sz w:val="16"/>
                <w:szCs w:val="16"/>
                <w:b w:val="1"/>
                <w:bCs w:val="1"/>
                <w:color w:val="auto"/>
              </w:rPr>
              <w:t>Borrowing Capacity</w:t>
            </w:r>
          </w:p>
        </w:tc>
        <w:tc>
          <w:tcPr>
            <w:tcW w:w="200" w:type="dxa"/>
            <w:vAlign w:val="bottom"/>
          </w:tcPr>
          <w:p>
            <w:pPr>
              <w:spacing w:after="0"/>
              <w:rPr>
                <w:sz w:val="18"/>
                <w:szCs w:val="18"/>
                <w:color w:val="auto"/>
              </w:rPr>
            </w:pPr>
          </w:p>
        </w:tc>
        <w:tc>
          <w:tcPr>
            <w:tcW w:w="1920" w:type="dxa"/>
            <w:vAlign w:val="bottom"/>
          </w:tcPr>
          <w:p>
            <w:pPr>
              <w:jc w:val="right"/>
              <w:ind w:right="191"/>
              <w:spacing w:after="0"/>
              <w:rPr>
                <w:sz w:val="20"/>
                <w:szCs w:val="20"/>
                <w:color w:val="auto"/>
              </w:rPr>
            </w:pPr>
            <w:r>
              <w:rPr>
                <w:rFonts w:ascii="Arial" w:cs="Arial" w:eastAsia="Arial" w:hAnsi="Arial"/>
                <w:sz w:val="16"/>
                <w:szCs w:val="16"/>
                <w:b w:val="1"/>
                <w:bCs w:val="1"/>
                <w:color w:val="auto"/>
                <w:w w:val="97"/>
              </w:rPr>
              <w:t>Principal Outstanding</w:t>
            </w:r>
          </w:p>
        </w:tc>
      </w:tr>
      <w:tr>
        <w:trPr>
          <w:trHeight w:val="191"/>
        </w:trPr>
        <w:tc>
          <w:tcPr>
            <w:tcW w:w="6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gridSpan w:val="4"/>
          </w:tcPr>
          <w:p>
            <w:pPr>
              <w:jc w:val="right"/>
              <w:ind w:right="1631"/>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17,503</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1,048,938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598,318</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419,580</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834,566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231,308</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261,210</w:t>
            </w: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3,994,244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1,527,919</w:t>
            </w:r>
          </w:p>
        </w:tc>
      </w:tr>
      <w:tr>
        <w:trPr>
          <w:trHeight w:val="21"/>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19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warehouse credit facilities, which allow us to borrow up to an aggregate of $4.0 billion, mature between 2023 and 2029 and subject to covenant compliance, generally permit borrowings up to 12 months prior to the final maturity date. As of March 31, 2023, we have drawn an aggregate of $1.5 billion on our warehouse facilities. As of March 31, 2023, we were in compliance with all applicable covenants in the agreements. Refer to Note 10. Debt in the notes to the interim condensed consolidated financial statements included elsewhere in this Form 10-Q for further details on our warehouse credit facilities.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8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November 2021, we closed on the issuance of $1.7 billion aggregate principal amount of a convertible senior note which does not bear regular interest, and will mature on November 15, 2026 unless earlier converted, redeemed, or repurchased in accordance with their terms. During the period ended March 31, 2023, we entered into a series of privately negotiated transactions with certain holders of our 2026 Notes, pursuant to which we paid an aggregate amount of $206.6 million in cash for the repurchase of $299.1 million aggregate principal amount of our 2026 Notes. Refer to Note 10. Debt in the notes to the interim condensed consolidated financial statements for further details on our convertible debt note.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8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February 2022, we entered into a revolving credit agreement for a $165.0 million unsecured revolving credit facility, maturing on February 4, 2025, which was subsequently amended to increase the unsecured revolving commitments to $205.0 million. The facility contains certain covenants and restrictions, including certain financial maintenance covenants. As of March 31, 2023, we were in compliance with all applicable covenants in the agreements. To date, there are no borrowings outstanding under the facility. Refer to Note 10. Debt in the notes to the interim condensed consolidated financial statements for further details on our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 Refer to Note 11. Securitization and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Impacting Liquidity</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our current levels of cash, cash equivalents, marketable debt securities, available borrowing capacity under our revolving credit facilities and other liquidity actions currently available to us are sufficient to meet our liquidity requirements for at least the next 12 months. However, we cannot provide assurance that our business will generate sufficient cash flows from operations or that future borrowings will be available to us in an amount sufficient to enable us to fund our liquidity needs in the long-term. Our ability to do so depends on prevailing economic conditions and other factors, many of which are beyond our control.</w:t>
      </w:r>
    </w:p>
    <w:p>
      <w:pPr>
        <w:spacing w:after="0" w:line="16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principal factors that could impact our liquidity and capital needs are customer delinquencies and defaults, a prolonged inability to adequately access capital market funding, declines in loan purchases and therefore revenue, fluctuations in our financial performance and instability of certain financial institutions. If our available cash balances are insufficient to satisfy our liquidity requirements, we will seek additional equity or debt financing. In a rising interest rate environment, our ability to issue additional equity or incur debt may be impaired and our borrowing costs may increase. Additionally, we may be subject to restrictions and covenants in the agreements governing these transactions that may place limitations on us, and we may be required to pledge additional collateral as security. If we are unable to raise additional capital or generate the necessary cash flows, our results of operations and financial condition could be materially and adversely impacted.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cash flow data during the periods indicated:</w:t>
      </w:r>
    </w:p>
    <w:p>
      <w:pPr>
        <w:spacing w:after="0" w:line="158"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Nine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20" w:type="dxa"/>
            <w:vAlign w:val="bottom"/>
            <w:gridSpan w:val="2"/>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2022</w:t>
            </w:r>
          </w:p>
        </w:tc>
      </w:tr>
      <w:tr>
        <w:trPr>
          <w:trHeight w:val="190"/>
        </w:trPr>
        <w:tc>
          <w:tcPr>
            <w:tcW w:w="22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r>
      <w:tr>
        <w:trPr>
          <w:trHeight w:val="238"/>
        </w:trPr>
        <w:tc>
          <w:tcPr>
            <w:tcW w:w="8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40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rPr>
              <w:t>(31,608)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(103,085)</w:t>
            </w:r>
          </w:p>
        </w:tc>
      </w:tr>
      <w:tr>
        <w:trPr>
          <w:trHeight w:val="229"/>
        </w:trPr>
        <w:tc>
          <w:tcPr>
            <w:tcW w:w="8600" w:type="dxa"/>
            <w:vAlign w:val="bottom"/>
            <w:gridSpan w:val="3"/>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0" w:type="dxa"/>
            <w:vAlign w:val="bottom"/>
          </w:tcPr>
          <w:p>
            <w:pPr>
              <w:jc w:val="right"/>
              <w:ind w:right="615"/>
              <w:spacing w:after="0"/>
              <w:rPr>
                <w:sz w:val="20"/>
                <w:szCs w:val="20"/>
                <w:color w:val="auto"/>
              </w:rPr>
            </w:pPr>
            <w:r>
              <w:rPr>
                <w:rFonts w:ascii="Arial" w:cs="Arial" w:eastAsia="Arial" w:hAnsi="Arial"/>
                <w:sz w:val="18"/>
                <w:szCs w:val="18"/>
                <w:color w:val="auto"/>
                <w:w w:val="88"/>
              </w:rPr>
              <w:t>(875,896)</w:t>
            </w:r>
          </w:p>
        </w:tc>
        <w:tc>
          <w:tcPr>
            <w:tcW w:w="1240" w:type="dxa"/>
            <w:vAlign w:val="bottom"/>
          </w:tcPr>
          <w:p>
            <w:pPr>
              <w:jc w:val="right"/>
              <w:spacing w:after="0"/>
              <w:rPr>
                <w:sz w:val="20"/>
                <w:szCs w:val="20"/>
                <w:color w:val="auto"/>
              </w:rPr>
            </w:pPr>
            <w:r>
              <w:rPr>
                <w:rFonts w:ascii="Arial" w:cs="Arial" w:eastAsia="Arial" w:hAnsi="Arial"/>
                <w:sz w:val="18"/>
                <w:szCs w:val="18"/>
                <w:color w:val="auto"/>
              </w:rPr>
              <w:t>(985,621)</w:t>
            </w:r>
          </w:p>
        </w:tc>
      </w:tr>
      <w:tr>
        <w:trPr>
          <w:trHeight w:val="243"/>
        </w:trPr>
        <w:tc>
          <w:tcPr>
            <w:tcW w:w="7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Cash Provided by Financing Activities</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8"/>
              </w:rPr>
              <w:t>740,396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2,066,000</w:t>
            </w:r>
          </w:p>
        </w:tc>
      </w:tr>
      <w:tr>
        <w:trPr>
          <w:trHeight w:val="270"/>
        </w:trPr>
        <w:tc>
          <w:tcPr>
            <w:tcW w:w="2240" w:type="dxa"/>
            <w:vAlign w:val="bottom"/>
            <w:tcBorders>
              <w:bottom w:val="single" w:sz="8" w:color="auto"/>
            </w:tcBorders>
          </w:tcPr>
          <w:p>
            <w:pPr>
              <w:spacing w:after="0"/>
              <w:rPr>
                <w:sz w:val="23"/>
                <w:szCs w:val="23"/>
                <w:color w:val="auto"/>
              </w:rPr>
            </w:pPr>
          </w:p>
        </w:tc>
        <w:tc>
          <w:tcPr>
            <w:tcW w:w="5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15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Amounts include net cash provided by the issuance of convertible debt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6"/>
                <w:szCs w:val="16"/>
                <w:b w:val="1"/>
                <w:bCs w:val="1"/>
                <w:color w:val="auto"/>
              </w:rPr>
              <w:t>Nine Months Ended March 31,</w:t>
            </w:r>
          </w:p>
        </w:tc>
      </w:tr>
      <w:tr>
        <w:trPr>
          <w:trHeight w:val="207"/>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2022</w:t>
            </w:r>
          </w:p>
        </w:tc>
      </w:tr>
      <w:tr>
        <w:trPr>
          <w:trHeight w:val="191"/>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6"/>
                <w:szCs w:val="16"/>
                <w:color w:val="auto"/>
              </w:rPr>
            </w:pPr>
          </w:p>
        </w:tc>
      </w:tr>
      <w:tr>
        <w:trPr>
          <w:trHeight w:val="238"/>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 of convertible debt</w:t>
            </w: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(206,567)</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convertible debt, net</w:t>
            </w:r>
          </w:p>
        </w:tc>
        <w:tc>
          <w:tcPr>
            <w:tcW w:w="4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1,704,300</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net of repurchases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67,656</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equity-related financing activities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(197,767)</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1,771,956</w:t>
            </w: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debt-related financing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1,001,652</w:t>
            </w: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460,986</w:t>
            </w: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of tax withholding for stock-based compensation</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(63,489)</w:t>
            </w:r>
          </w:p>
        </w:tc>
        <w:tc>
          <w:tcPr>
            <w:tcW w:w="1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(166,942)</w:t>
            </w:r>
          </w:p>
        </w:tc>
      </w:tr>
      <w:tr>
        <w:trPr>
          <w:trHeight w:val="248"/>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740,396</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2,066,000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the nine months ended March 31, 2023, net cash used in operating activities of $31.6 million stemmed from a net loss of $779.4 million, partially offset by a positive adjustment for non-cash items of $702.5 million, favorable change in our operating assets net of operating liabilities of $45.3 million, including net proceeds from sale and purchase of loans of $118.5 million. The change in operating assets net of operating liabilities was primarily a result of our purchase and sale of loans held for sale activities. We purchased loans of $4.7 billion, which was offset by proceeds from loan sales of $4.8 billion. The positive adjustment for non-cash items was primarily driven by commercial agreement assets of $330.7 million which increased compared to the third quarter of the prior year as a result of amortization on our commercial agreements with Amazon, provision for credit losses of $237.4 million which increased by $54.8 million compared to the third quarter of the prior year, and stock-based compensation of $348.4 million which increased by $68.3 million compared to the third quarter of the prior year resulting from year over year increased headcount.</w:t>
      </w:r>
    </w:p>
    <w:p>
      <w:pPr>
        <w:spacing w:after="0" w:line="138"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For the nine months ended March 31, 2022, net cash used in operating activities was $103.1 million. This reflects a net loss of $521.0 million, adjusted for non-cash charges of $426.9 million, and net cash outflows of $9.0 million provided by changes in our operating assets and liabilities.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8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For the nine months ended March 31, 2023, net cash used in investing activities of $875.9 million was primarily attributable to purchases and origination of loans held for investment of $9.6 billion, partially offset by repayments of loans and proceeds from sale of loans of $8.3 billion. During the period we originated loans of $2.7 billion and purchased loans of $7.0 billion, representing a combined increase of $2.2 billion compared to the same period in 2022, due partly to continued growth in GMV. Loan repayments and sale of loans of $8.3 billion during the period, represented an increase of $1.1 billion, compared to the same period in 2022, due in part to shifting of the length of loan terms on our balance sheet netted of by higher average balance of loans held for investment compared to the same period in 2022. The additional offset during the nine months ended March 31, 2023 related to the net proceeds from maturities of securities available for sale of $0.6 billion, representing an increase of $1.1 billion compared to the same period in 2022.</w:t>
      </w:r>
    </w:p>
    <w:p>
      <w:pPr>
        <w:spacing w:after="0" w:line="15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For the nine months ended March 31, 2022, net cash used in investing activities of $985.6 million was primarily attributable to $7.5 billion of purchases and originations of loans, due partly to continued growth in GMV. We recorded cash outflows of approximately $770.0 million related to purchases of available for sale securities in the current period. These cash outflows were partially offset by repayments of loans of $5.9 billion, due to a higher average balance of loans held for investment and generally increasing credit quality of the portfolio. Additionally, we obtained $1.3 billion in cash from selling loans to whole loan buyers and securitization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8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For the nine months ended March 31, 2023, net cash provided by financing activities of $740.4 million, was primarily attributable to net cash inflows from funding debt of $853.7 million, and the issuance and repayment of notes and certificates issued by securitization trust of $165.4 million, partially offset by net cash outflows related to the repayment of a portion of our convertible senior notes of $206.6 million. Our payments of debt issuance costs were in the normal course of business and reflective of our recurring debt warehouse facility activity, which involves securing new warehouse facilities and extending existing warehouse facilities. Finally, we paid taxes related to RSU vesting of $63.5 million.</w:t>
      </w:r>
    </w:p>
    <w:p>
      <w:pPr>
        <w:spacing w:after="0" w:line="13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For the nine months ended March 31, 2022, net cash provided by financing activities of $2.1 billion, was primarily driven by the issuance of convertible debt which resulted in net cash inflows of $1.7 billion, net of debt issuance costs. Additionally, the issuance of notes by securitization trusts resulted in net cash inflows of $265.8 million, net of in-period principal repayments, and our funding debt resulted in $203.4 million of net cash inflows as draws on our revolving credit facilities exceeded principal repayments on the debt. These cash inflows were partially offset by tax payments related to RSU vesting of $166.9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There were no material changes outside of the ordinary course of business in our commitments and contractual obligations for the three and nine months ended March 31, 2023 from the commitments and contractual obligations disclosed in the section titled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 — Contractual Obligations</w:t>
      </w:r>
      <w:r>
        <w:rPr>
          <w:rFonts w:ascii="Arial" w:cs="Arial" w:eastAsia="Arial" w:hAnsi="Arial"/>
          <w:sz w:val="18"/>
          <w:szCs w:val="18"/>
          <w:color w:val="auto"/>
        </w:rPr>
        <w:t>,” set forth in our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 which was filed with the SEC on August 29,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the ordinary course of business, we engage in activities that are not reflected on our condensed consolidated balance sheets, generally referred to as off-balance sheet arrangements. These activities involve transactions with unconsolidated VIEs, including our sponsored securitization transactions, which we contractually service.</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off-balance sheet loan sales where servicing is the only form of continuing involvement, we would only experience a loss if we were required to repurchase such a loan due to a breach in representations and warranties associated with our loan sale or servicing contracts. For unconsolidated securitization transactions where Affirm is the sponsor and risk retention holder, Affirm could experience a loss of up to 5% of both the senior notes and residual certificates. As of March 31, 2023, the aggregate outstanding balance of loans held by third-party investors for off-balance sheet VIEs was $4.2 billion. In the unlikely event principal payments on the loans backing any off-balance sheet securitization are insufficient to pay note holders, including any retained interest, then any amounts the Company contributed to the securitization reserve accounts may be depleted. Refer to Note 11. Securitization and Variable Interest Entities of the accompanying notes to our interim condensed consolidated financial statements included elsewhere in this Form 10-Q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condensed consolidated financial statements have been prepared in accordance with accounting principles generally accepted in the United States. In preparing our condensed consolidated financial statements, we make judgments, estimates and assumptions that affect reported amounts of assets and liabilities, as well as revenues and expenses. We base our assumptions, judgments and estimates on historical experience and various other factors that we believe to be reasonable under the circumstances. The results involve judgments about the carrying values of assets and liabilities not readily apparent from other sources. Actual results could differ materially from these estimates under different assumptions or conditions. We regularly evaluate our estimates, assumptions and judgments, particularly those that include the most difficult, subjective or complex judgments and are often about matters that are inherently uncertain.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and nine months ended March 31, 2023.</w:t>
      </w:r>
    </w:p>
    <w:p>
      <w:pPr>
        <w:spacing w:after="0" w:line="140"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For a complete discussion of our significant accounting policies and critical accounting estimates, refer to our Annual Report on Form 10-K for the year ended June 30, 2022 within Note 2 to the Notes to Consolidated Financial Statements and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Critical Accounting Policies and Estimates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 Issued, But Not Yet Adopted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 to Note 2. Summary of Significant Accounting Policies within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have operations within the United States, Canada, and the United Kingdom,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securities available for sale at fair value as of March 31, 2023 included $1.1 billion of marketable debt securities with maturities greater than three months. A rise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Continued volatility in interest rates and potentially inflation, which may persist longer than previously expected, may adversely impact our customers’ spending levels and ability and willingness to pay outstanding amounts owed to us. Higher interest rates may lead to higher payment obligations on our future credit products, or to their lenders under mortgage, credit card, and other loans. Therefore, higher interest rates may lead to increased delinquencies, charge-offs, and allowances for loans and interest receivable, which could have an adverse effect on our operating results.</w:t>
      </w:r>
    </w:p>
    <w:p>
      <w:pPr>
        <w:spacing w:after="0" w:line="14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Increases in interest rates may result in higher coupons and therefore lower interest income received on securitizations where we retain the residual interest and a lower gain on sale for securitizations in which we sell the equity interest.</w:t>
      </w:r>
    </w:p>
    <w:p>
      <w:pPr>
        <w:spacing w:after="0" w:line="15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as of March 31, 2023, we estimate that a hypothetical instantaneous 100 basis point upward parallel shock to interest rates would have a less than $30.0 million adverse impact on our annual financial results over the next 12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9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ITACs models to underwrite, score, and price loans in a manner that we believe is reflective of the credit risk. Other credit levers such as user limits and/or down payment requirements are used to determine the likelihood of a consumer being able to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80" w:firstLine="648"/>
        <w:spacing w:after="0" w:line="259" w:lineRule="auto"/>
        <w:rPr>
          <w:sz w:val="20"/>
          <w:szCs w:val="20"/>
          <w:color w:val="auto"/>
        </w:rPr>
      </w:pPr>
      <w:r>
        <w:rPr>
          <w:rFonts w:ascii="Arial" w:cs="Arial" w:eastAsia="Arial" w:hAnsi="Arial"/>
          <w:sz w:val="18"/>
          <w:szCs w:val="18"/>
          <w:color w:val="auto"/>
        </w:rPr>
        <w:t>To monitor portfolio performance, we utilize a wide range of internal and external metrics to review user and loan populations. Each week management reviews performance for each customer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14"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As of March 31, 2023 and June 30, 2022, we were exposed to credit risk on $3.8 billion and $2.5 billion, respectively, of loans held on our interim condensed consolidated balance sheet. Loan receivables are diversified geographically. As of March 31, 2023 and June 30, 2022, approximately 11% and 12% of loan receivables related to customers residing in the state of California, respectively. No other states or provinces exceeded 10%.</w:t>
      </w:r>
    </w:p>
    <w:p>
      <w:pPr>
        <w:spacing w:after="0" w:line="17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 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since the beginning of March 2023, there have been public reports of instability at certain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March 31, 2023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refer to Note 8. “Commitments and Contingencies” of the accompanying notes to our interim condensed consolidated financial statements.</w:t>
      </w:r>
    </w:p>
    <w:p>
      <w:pPr>
        <w:spacing w:after="0" w:line="27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firstLine="648"/>
        <w:spacing w:after="0" w:line="249" w:lineRule="auto"/>
        <w:rPr>
          <w:sz w:val="20"/>
          <w:szCs w:val="20"/>
          <w:color w:val="auto"/>
        </w:rPr>
      </w:pPr>
      <w:r>
        <w:rPr>
          <w:rFonts w:ascii="Arial" w:cs="Arial" w:eastAsia="Arial" w:hAnsi="Arial"/>
          <w:sz w:val="18"/>
          <w:szCs w:val="18"/>
          <w:color w:val="auto"/>
        </w:rPr>
        <w:t>The risks described under the heading “Risk Factors” in our Annual Report on Form 10-K for the fiscal year ended June 30, 2022 and in our Quarterly Report on Form 10-Q for the fiscal quarter ended December 31, 2022 could materially and adversely affect our business, financial condition, and results of operations, future prospects, and the trading price of our Class A common stock could decline. The risks and uncertainties described therein are not the only ones we face. Additional risks and uncertainties that we are unaware of or that we currently deem immaterial may also become important factors that adversely affect our business.</w:t>
      </w:r>
    </w:p>
    <w:p>
      <w:pPr>
        <w:spacing w:after="0" w:line="195"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You should carefully read and consider such risks, together with all of the other information in our Annual Report on Form 10-K for the fiscal year ended June 30, 2022,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2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Except as may be reflected in the updated risk factors included below, there have been no material changes from the risk factors previously disclosed under the heading “Risk Factors” in our Annual Report on Form 10-K for the fiscal year ended June 30, 2022 and in our Quarterly Report on Form 10-Q for the fiscal quarter ended December 31, 2022.</w:t>
      </w:r>
    </w:p>
    <w:p>
      <w:pPr>
        <w:spacing w:after="0" w:line="21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The success of our business depends on our ability to work with our originating bank partners to enable effective underwriting of loans facilitated through our platform and accurately price credit risk. We currently rely on Celtic Bank to originate a majority of the loans facilitated through our platform. If our relationship with Celtic Bank terminates, or if Celtic Bank were to suspend, limit, or cease its operations or loan origination activities for any reason, and we are unable to engage another originating partner on a timely basis or at all, our business, results of operations, financial condition, and future prospects would be materially and adversely affected.</w:t>
      </w:r>
    </w:p>
    <w:p>
      <w:pPr>
        <w:spacing w:after="0" w:line="20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believe that one of our core competitive advantages, and a core tenet of our platform, is our ability to work with originating bank partners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each bank’s credit policy. Additionally, incremental charge-offs may affect future credit decisioning, growth of transaction volume, and the amount of provisions for underperforming loans we will need to take.</w:t>
      </w:r>
    </w:p>
    <w:p>
      <w:pPr>
        <w:spacing w:after="0" w:line="222"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As of the end of the second quarter of fiscal 2023, we relied on Cross River Bank and Celtic Bank to originate a majority of the loans facilitated through our platform and to comply with various federal, state, and other laws, with the balance of the loans facilitated on our platform being originated directly under our lending,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and brokering licenses in Canada and across various states in the United States through our consolidated subsidiaries. During the first half of fiscal 2023, we began accelerating the execution of an existing strategy of identifying and engaging new originating bank partners in order to diversify our sources of loan originations. In January 2023, we made the strategic decision to begin reducing the volume of loans originated by Cross River Bank on our platform while at the same time continuing our ongoing work to identify and engage new originating bank partners. Consequently, as of March 31, 2023, Celtic Bank originates substantially all partner bank originated loans facilitated through our platform. As a result, the risks discussed in the paragraphs below relating to our reliance on Celtic Bank have increased and will remain as such unless and until we complete the process of engaging and onboarding one or more new originating bank partners. The process of engaging and onboarding new originating bank partners is inherently uncertain, and there can be no assurances as to when we will be able to complete that process.</w:t>
      </w:r>
    </w:p>
    <w:p>
      <w:pPr>
        <w:spacing w:after="0" w:line="20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Celtic Bank handles a variety of consumer and commercial financing programs. The Celtic Bank loan program agreement has an initial three-year term, which is scheduled to expire in calendar year 2023. In addition, upon the occurrence of certain early termination events, either we or Celtic Bank may terminate the loan program agreement immediately upon written notice to the other party. Our Celtic Bank loan program agreement does not prohibit Celtic Bank from working with our competitors or from offering competing services, and Celtic Bank currently offers loan programs through other competing platforms. Celtic Bank could decide not to work with us for any reason, could make working with us cost-prohibitive, or could decide to enter into an exclusive or more favorable relationship with one or more of our competitors. In addition, Celtic Bank may not perform as expected under our loan program agreement. We could in the future have disagreements or disputes with Celtic Bank, which could negatively impact or threaten our relationship with other originating banks with whom we may seek to partner. For a further discussion of our relationship with Celtic Bank, particularly the regulations applicable to this relationship, see “Business — Regulatory Environment” in the Annual Report on Form 10-K we filed with the SEC on August 29, 2022.</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If Celtic Bank were to suspend, limit, or cease its operations or loan origination activities for any reason, or if our relationship with Celtic Bank were to otherwise terminate for any reason (including, but not limited to, its failure to comply with regulatory actions), we may need to implement an additional substantially similar arrangement with another bank, obtain additional state licenses, or curtail our operations. If we need to enter into alternative arrangements with a different bank to replace our existing arrangement, we may not be able to negotiate a comparable alternative arrangement in a timely manner or at all. In addition, transitioning loan originations to a new bank is untested and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Celtic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w:t>
      </w:r>
    </w:p>
    <w:p>
      <w:pPr>
        <w:spacing w:after="0" w:line="2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rely on a variety of funding sources to support our business model.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1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Our high-velocity, capital efficient funding model is integral to the success of our commerce platform. To support this model and the growth of our business, we must maintain a variety of funding arrangements, including warehouse facilities, securities repurchase agreements, securitization trusts, and forward flow arrangements with a diverse set of funding sources. If we are unable to maintain access to, or to expand, our network and diversity of funding arrangements, our business, results of operations, financial condition, and future prospects could be materially and adversely affected.</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cannot guarantee that these funding arrangements will continue to be available on favorable terms or at all, and our funding strategy may change over time and depends on the availability of such funding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Disruptions in the credit markets or other factors, such as the current inflationary environment and rising interest rates, could adversely affect the availability, diversity, cost, and terms of our funding arrangements.</w:t>
      </w:r>
    </w:p>
    <w:p>
      <w:pPr>
        <w:spacing w:after="0" w:line="19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Since the beginning of March 2023, there have been public reports of instability at certain financial institutions. Despite the steps taken to date by U.S. and foreign agencies and institutions, the follow-on effects of this instability are unknown and may lead to disruptions to the businesses and operations of our funding sources. Although we are not substantially dependent on a single financing source, if multiple financing sources were to be unable to fulfill their funding obligations to us, it could have a material adverse effect on our financial condition, results of operations and cash flows.</w:t>
      </w:r>
    </w:p>
    <w:p>
      <w:pPr>
        <w:spacing w:after="0" w:line="1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our funding sources may reassess their exposure to our industry and either curtail access to uncommitted financing capacity, fail to renew or extend facilities, or impose higher costs to access our funding. Further, our debt financing and loan sale forward flow facilities are generally fixed term in nature, with term lengths ranging between one to three years, during which we have access to committed capital pursuant to such facilities. If our existing funding arrangements are not renewed or replaced or our existing funding sources are unwilling or unable to provide funding to us on terms acceptable to us, or at all, we would need to secure additional sources of funding or reduce our operations significantly. The availability and diversity of our funding arrangements depends on various factors and are subject to numerous risks, many of which are outside of our control.</w:t>
      </w:r>
    </w:p>
    <w:p>
      <w:pPr>
        <w:spacing w:after="0" w:line="19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the loans prior to their scheduled maturity. Certain of these covenants are tied to our consumer default rates, which may be significantly affected by factors, such as economic downturns or general economic conditions, that are beyond our control and beyond the control of individual consumers. In addition, our revolving credit facility contains (a) certain covenants and restrictions that limit our and our subsidiaries’ ability to, among other things: incur additional debt; create liens on certain assets; pay dividends on or make distributions in respect of their capital stock or make other restricted payments; consolidate, merge, sell, or otherwise dispose of all or substantially all of their assets; and enter into certain transactions with their affiliates, and (b) certain financial maintenance covenants that require us and our subsidiaries to not exceed a specified leverage ratio, to maintain a minimum tangible net worth, and to maintain a minimum level of unrestricted cash while any borrowings under the revolving credit facility are outstanding.</w:t>
      </w:r>
    </w:p>
    <w:p>
      <w:pPr>
        <w:spacing w:after="0" w:line="21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 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third-parties with whom we do business may incur increased costs or business disruption and this could adversely affect our business relationships with such third-parties, which in turn could have a material adverse effect on our business, results of operations, financial condition, cash flows, and future prospects.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8" w:lineRule="exact"/>
        <w:rPr>
          <w:sz w:val="20"/>
          <w:szCs w:val="20"/>
          <w:color w:val="auto"/>
        </w:rPr>
      </w:pPr>
    </w:p>
    <w:tbl>
      <w:tblPr>
        <w:tblLayout w:type="fixed"/>
        <w:tblInd w:w="16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gridSpan w:val="2"/>
          </w:tcPr>
          <w:p>
            <w:pPr>
              <w:ind w:left="680"/>
              <w:spacing w:after="0"/>
              <w:rPr>
                <w:sz w:val="20"/>
                <w:szCs w:val="20"/>
                <w:color w:val="auto"/>
              </w:rPr>
            </w:pPr>
            <w:r>
              <w:rPr>
                <w:rFonts w:ascii="Arial" w:cs="Arial" w:eastAsia="Arial" w:hAnsi="Arial"/>
                <w:sz w:val="14"/>
                <w:szCs w:val="14"/>
                <w:b w:val="1"/>
                <w:bCs w:val="1"/>
                <w:color w:val="auto"/>
                <w:w w:val="99"/>
              </w:rPr>
              <w:t>Incorporated by Reference</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2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w w:val="98"/>
              </w:rPr>
              <w:t>Exhibit</w:t>
            </w:r>
          </w:p>
        </w:tc>
        <w:tc>
          <w:tcPr>
            <w:tcW w:w="1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8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left="308"/>
              <w:spacing w:after="0" w:line="147"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00"/>
        </w:trPr>
        <w:tc>
          <w:tcPr>
            <w:tcW w:w="8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Number</w:t>
            </w:r>
          </w:p>
        </w:tc>
        <w:tc>
          <w:tcPr>
            <w:tcW w:w="1640" w:type="dxa"/>
            <w:vAlign w:val="bottom"/>
          </w:tcPr>
          <w:p>
            <w:pPr>
              <w:spacing w:after="0"/>
              <w:rPr>
                <w:sz w:val="17"/>
                <w:szCs w:val="17"/>
                <w:color w:val="auto"/>
              </w:rPr>
            </w:pPr>
          </w:p>
        </w:tc>
        <w:tc>
          <w:tcPr>
            <w:tcW w:w="3080" w:type="dxa"/>
            <w:vAlign w:val="bottom"/>
            <w:gridSpan w:val="10"/>
          </w:tcPr>
          <w:p>
            <w:pPr>
              <w:ind w:left="300"/>
              <w:spacing w:after="0"/>
              <w:rPr>
                <w:sz w:val="20"/>
                <w:szCs w:val="20"/>
                <w:color w:val="auto"/>
              </w:rPr>
            </w:pPr>
            <w:r>
              <w:rPr>
                <w:rFonts w:ascii="Arial" w:cs="Arial" w:eastAsia="Arial" w:hAnsi="Arial"/>
                <w:sz w:val="14"/>
                <w:szCs w:val="14"/>
                <w:b w:val="1"/>
                <w:bCs w:val="1"/>
                <w:color w:val="auto"/>
              </w:rPr>
              <w:t>Description</w:t>
            </w: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Form</w:t>
            </w:r>
          </w:p>
        </w:tc>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File No.</w:t>
            </w:r>
          </w:p>
        </w:tc>
        <w:tc>
          <w:tcPr>
            <w:tcW w:w="136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180" w:type="dxa"/>
            <w:vAlign w:val="bottom"/>
          </w:tcPr>
          <w:p>
            <w:pPr>
              <w:ind w:left="120"/>
              <w:spacing w:after="0"/>
              <w:rPr>
                <w:sz w:val="20"/>
                <w:szCs w:val="20"/>
                <w:color w:val="auto"/>
              </w:rPr>
            </w:pPr>
            <w:r>
              <w:rPr>
                <w:rFonts w:ascii="Arial" w:cs="Arial" w:eastAsia="Arial" w:hAnsi="Arial"/>
                <w:sz w:val="14"/>
                <w:szCs w:val="14"/>
                <w:b w:val="1"/>
                <w:bCs w:val="1"/>
                <w:color w:val="auto"/>
              </w:rPr>
              <w:t>Filing Date</w:t>
            </w:r>
          </w:p>
        </w:tc>
        <w:tc>
          <w:tcPr>
            <w:tcW w:w="96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8"/>
        </w:trPr>
        <w:tc>
          <w:tcPr>
            <w:tcW w:w="820" w:type="dxa"/>
            <w:vAlign w:val="bottom"/>
          </w:tcPr>
          <w:p>
            <w:pPr>
              <w:jc w:val="center"/>
              <w:ind w:right="208"/>
              <w:spacing w:after="0"/>
              <w:rPr>
                <w:sz w:val="20"/>
                <w:szCs w:val="20"/>
                <w:color w:val="auto"/>
              </w:rPr>
            </w:pPr>
            <w:r>
              <w:rPr>
                <w:rFonts w:ascii="Arial" w:cs="Arial" w:eastAsia="Arial" w:hAnsi="Arial"/>
                <w:sz w:val="14"/>
                <w:szCs w:val="14"/>
                <w:color w:val="auto"/>
                <w:w w:val="95"/>
              </w:rPr>
              <w:t>10.1</w:t>
            </w:r>
          </w:p>
        </w:tc>
        <w:tc>
          <w:tcPr>
            <w:tcW w:w="4720" w:type="dxa"/>
            <w:vAlign w:val="bottom"/>
            <w:gridSpan w:val="11"/>
          </w:tcPr>
          <w:p>
            <w:pPr>
              <w:spacing w:after="0"/>
              <w:rPr>
                <w:sz w:val="20"/>
                <w:szCs w:val="20"/>
                <w:color w:val="auto"/>
              </w:rPr>
            </w:pPr>
            <w:r>
              <w:rPr>
                <w:rFonts w:ascii="Arial" w:cs="Arial" w:eastAsia="Arial" w:hAnsi="Arial"/>
                <w:sz w:val="14"/>
                <w:szCs w:val="14"/>
                <w:color w:val="0000FF"/>
                <w:w w:val="99"/>
              </w:rPr>
              <w:t>Amendment No. 5 to Customer Installment Program Agreement, dated as of</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6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4"/>
                <w:szCs w:val="14"/>
                <w:color w:val="0000FF"/>
                <w:w w:val="94"/>
              </w:rPr>
              <w:t>March 31, 2023, by and between Shopify Inc. and Affirm, Inc.</w:t>
            </w:r>
          </w:p>
        </w:tc>
        <w:tc>
          <w:tcPr>
            <w:tcW w:w="800" w:type="dxa"/>
            <w:vAlign w:val="bottom"/>
            <w:tcBorders>
              <w:top w:val="single" w:sz="8" w:color="0000FF"/>
            </w:tcBorders>
            <w:gridSpan w:val="5"/>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208"/>
              <w:spacing w:after="0"/>
              <w:rPr>
                <w:sz w:val="20"/>
                <w:szCs w:val="20"/>
                <w:color w:val="auto"/>
              </w:rPr>
            </w:pPr>
            <w:r>
              <w:rPr>
                <w:rFonts w:ascii="Arial" w:cs="Arial" w:eastAsia="Arial" w:hAnsi="Arial"/>
                <w:sz w:val="14"/>
                <w:szCs w:val="14"/>
                <w:color w:val="auto"/>
                <w:w w:val="95"/>
              </w:rPr>
              <w:t>31.1</w:t>
            </w:r>
          </w:p>
        </w:tc>
        <w:tc>
          <w:tcPr>
            <w:tcW w:w="438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4"/>
              </w:rPr>
              <w:t>Certification of Principal Executive Officer Pursuant to Rules 13a-14(a) and</w:t>
            </w:r>
          </w:p>
        </w:tc>
        <w:tc>
          <w:tcPr>
            <w:tcW w:w="340" w:type="dxa"/>
            <w:vAlign w:val="bottom"/>
            <w:gridSpan w:val="5"/>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80" w:type="dxa"/>
            <w:vAlign w:val="bottom"/>
            <w:tcBorders>
              <w:bottom w:val="single" w:sz="8" w:color="0000FF"/>
            </w:tcBorders>
            <w:gridSpan w:val="9"/>
          </w:tcPr>
          <w:p>
            <w:pPr>
              <w:spacing w:after="0" w:line="142" w:lineRule="exact"/>
              <w:rPr>
                <w:sz w:val="20"/>
                <w:szCs w:val="20"/>
                <w:color w:val="auto"/>
              </w:rPr>
            </w:pPr>
            <w:r>
              <w:rPr>
                <w:rFonts w:ascii="Arial" w:cs="Arial" w:eastAsia="Arial" w:hAnsi="Arial"/>
                <w:sz w:val="14"/>
                <w:szCs w:val="14"/>
                <w:color w:val="0000FF"/>
                <w:w w:val="91"/>
              </w:rPr>
              <w:t>15d-14(a) under the Exchange Act, as Adopted Pursuant to Section 302 of the</w:t>
            </w:r>
          </w:p>
        </w:tc>
        <w:tc>
          <w:tcPr>
            <w:tcW w:w="2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Arial" w:cs="Arial" w:eastAsia="Arial" w:hAnsi="Arial"/>
                <w:sz w:val="14"/>
                <w:szCs w:val="14"/>
                <w:color w:val="0000FF"/>
                <w:w w:val="92"/>
              </w:rPr>
              <w:t>Sarbanes-Oxley Act of 2002</w:t>
            </w:r>
          </w:p>
        </w:tc>
        <w:tc>
          <w:tcPr>
            <w:tcW w:w="308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Arial" w:cs="Arial" w:eastAsia="Arial" w:hAnsi="Arial"/>
                <w:sz w:val="14"/>
                <w:szCs w:val="14"/>
                <w:color w:val="auto"/>
                <w:w w:val="95"/>
              </w:rPr>
              <w:t>31.2</w:t>
            </w:r>
          </w:p>
        </w:tc>
        <w:tc>
          <w:tcPr>
            <w:tcW w:w="4720" w:type="dxa"/>
            <w:vAlign w:val="bottom"/>
            <w:gridSpan w:val="11"/>
          </w:tcPr>
          <w:p>
            <w:pPr>
              <w:spacing w:after="0"/>
              <w:rPr>
                <w:sz w:val="20"/>
                <w:szCs w:val="20"/>
                <w:color w:val="auto"/>
              </w:rPr>
            </w:pPr>
            <w:r>
              <w:rPr>
                <w:rFonts w:ascii="Arial" w:cs="Arial" w:eastAsia="Arial" w:hAnsi="Arial"/>
                <w:sz w:val="14"/>
                <w:szCs w:val="14"/>
                <w:color w:val="0000FF"/>
              </w:rPr>
              <w:t>Certification of Principal Financial Officer Pursuant to Rules 13a-14(a) and</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4"/>
                <w:szCs w:val="14"/>
                <w:color w:val="0000FF"/>
                <w:w w:val="93"/>
              </w:rPr>
              <w:t>15d-14(a) under the Exchange Act, as Adopted Pursuant to Section 302 of</w:t>
            </w:r>
          </w:p>
        </w:tc>
        <w:tc>
          <w:tcPr>
            <w:tcW w:w="140" w:type="dxa"/>
            <w:vAlign w:val="bottom"/>
            <w:tcBorders>
              <w:bottom w:val="single" w:sz="8" w:color="0000FF"/>
            </w:tcBorders>
            <w:gridSpan w:val="4"/>
          </w:tcPr>
          <w:p>
            <w:pPr>
              <w:spacing w:after="0"/>
              <w:rPr>
                <w:sz w:val="20"/>
                <w:szCs w:val="20"/>
                <w:color w:val="auto"/>
              </w:rPr>
            </w:pPr>
            <w:r>
              <w:rPr>
                <w:rFonts w:ascii="Arial" w:cs="Arial" w:eastAsia="Arial" w:hAnsi="Arial"/>
                <w:sz w:val="12"/>
                <w:szCs w:val="12"/>
                <w:color w:val="0000FF"/>
                <w:w w:val="71"/>
              </w:rPr>
              <w:t>the</w:t>
            </w:r>
          </w:p>
        </w:tc>
        <w:tc>
          <w:tcPr>
            <w:tcW w:w="2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Arial" w:cs="Arial" w:eastAsia="Arial" w:hAnsi="Arial"/>
                <w:sz w:val="14"/>
                <w:szCs w:val="14"/>
                <w:color w:val="0000FF"/>
                <w:w w:val="92"/>
              </w:rPr>
              <w:t>Sarbanes-Oxley Act of 2002</w:t>
            </w:r>
          </w:p>
        </w:tc>
        <w:tc>
          <w:tcPr>
            <w:tcW w:w="3080" w:type="dxa"/>
            <w:vAlign w:val="bottom"/>
            <w:gridSpan w:val="10"/>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Arial" w:cs="Arial" w:eastAsia="Arial" w:hAnsi="Arial"/>
                <w:sz w:val="14"/>
                <w:szCs w:val="14"/>
                <w:color w:val="auto"/>
                <w:w w:val="95"/>
              </w:rPr>
              <w:t>32.1</w:t>
            </w:r>
          </w:p>
        </w:tc>
        <w:tc>
          <w:tcPr>
            <w:tcW w:w="4720" w:type="dxa"/>
            <w:vAlign w:val="bottom"/>
            <w:gridSpan w:val="11"/>
          </w:tcPr>
          <w:p>
            <w:pPr>
              <w:spacing w:after="0"/>
              <w:rPr>
                <w:sz w:val="20"/>
                <w:szCs w:val="20"/>
                <w:color w:val="auto"/>
              </w:rPr>
            </w:pPr>
            <w:r>
              <w:rPr>
                <w:rFonts w:ascii="Arial" w:cs="Arial" w:eastAsia="Arial" w:hAnsi="Arial"/>
                <w:sz w:val="14"/>
                <w:szCs w:val="14"/>
                <w:color w:val="0000FF"/>
              </w:rPr>
              <w:t>Certification of Principal Executive Officer Pursuant to 18 U.S.C. Section</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bottom w:val="single" w:sz="8" w:color="0000FF"/>
            </w:tcBorders>
            <w:gridSpan w:val="8"/>
          </w:tcPr>
          <w:p>
            <w:pPr>
              <w:spacing w:after="0" w:line="142" w:lineRule="exact"/>
              <w:rPr>
                <w:sz w:val="20"/>
                <w:szCs w:val="20"/>
                <w:color w:val="auto"/>
              </w:rPr>
            </w:pPr>
            <w:r>
              <w:rPr>
                <w:rFonts w:ascii="Arial" w:cs="Arial" w:eastAsia="Arial" w:hAnsi="Arial"/>
                <w:sz w:val="14"/>
                <w:szCs w:val="14"/>
                <w:color w:val="0000FF"/>
                <w:w w:val="92"/>
              </w:rPr>
              <w:t>1350, as Adopted Pursuant to Section 906 of the Sarbanes-Oxley Act of 2002</w:t>
            </w:r>
          </w:p>
        </w:tc>
        <w:tc>
          <w:tcPr>
            <w:tcW w:w="26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208"/>
              <w:spacing w:after="0"/>
              <w:rPr>
                <w:sz w:val="20"/>
                <w:szCs w:val="20"/>
                <w:color w:val="auto"/>
              </w:rPr>
            </w:pPr>
            <w:r>
              <w:rPr>
                <w:rFonts w:ascii="Arial" w:cs="Arial" w:eastAsia="Arial" w:hAnsi="Arial"/>
                <w:sz w:val="14"/>
                <w:szCs w:val="14"/>
                <w:color w:val="auto"/>
                <w:w w:val="95"/>
              </w:rPr>
              <w:t>32.2</w:t>
            </w:r>
          </w:p>
        </w:tc>
        <w:tc>
          <w:tcPr>
            <w:tcW w:w="4720" w:type="dxa"/>
            <w:vAlign w:val="bottom"/>
            <w:gridSpan w:val="11"/>
          </w:tcPr>
          <w:p>
            <w:pPr>
              <w:spacing w:after="0"/>
              <w:rPr>
                <w:sz w:val="20"/>
                <w:szCs w:val="20"/>
                <w:color w:val="auto"/>
              </w:rPr>
            </w:pPr>
            <w:r>
              <w:rPr>
                <w:rFonts w:ascii="Arial" w:cs="Arial" w:eastAsia="Arial" w:hAnsi="Arial"/>
                <w:sz w:val="14"/>
                <w:szCs w:val="14"/>
                <w:color w:val="0000FF"/>
                <w:w w:val="97"/>
              </w:rPr>
              <w:t>Certification of Principal Financial Officer Pursuant to 18 U.S.C. Section 1350,</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3"/>
          </w:tcPr>
          <w:p>
            <w:pPr>
              <w:spacing w:after="0" w:line="142" w:lineRule="exact"/>
              <w:rPr>
                <w:sz w:val="20"/>
                <w:szCs w:val="20"/>
                <w:color w:val="auto"/>
              </w:rPr>
            </w:pPr>
            <w:r>
              <w:rPr>
                <w:rFonts w:ascii="Arial" w:cs="Arial" w:eastAsia="Arial" w:hAnsi="Arial"/>
                <w:sz w:val="14"/>
                <w:szCs w:val="14"/>
                <w:color w:val="0000FF"/>
                <w:w w:val="92"/>
              </w:rPr>
              <w:t>as Adopted Pursuant to Section 906 of the Sarbanes-Oxley Act of 2002</w:t>
            </w:r>
          </w:p>
        </w:tc>
        <w:tc>
          <w:tcPr>
            <w:tcW w:w="460" w:type="dxa"/>
            <w:vAlign w:val="bottom"/>
            <w:tcBorders>
              <w:top w:val="single" w:sz="8" w:color="0000FF"/>
            </w:tcBorders>
            <w:gridSpan w:val="7"/>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820" w:type="dxa"/>
            <w:vAlign w:val="bottom"/>
          </w:tcPr>
          <w:p>
            <w:pPr>
              <w:jc w:val="center"/>
              <w:ind w:right="188"/>
              <w:spacing w:after="0"/>
              <w:rPr>
                <w:sz w:val="20"/>
                <w:szCs w:val="20"/>
                <w:color w:val="auto"/>
              </w:rPr>
            </w:pPr>
            <w:r>
              <w:rPr>
                <w:rFonts w:ascii="Arial" w:cs="Arial" w:eastAsia="Arial" w:hAnsi="Arial"/>
                <w:sz w:val="14"/>
                <w:szCs w:val="14"/>
                <w:color w:val="auto"/>
                <w:w w:val="94"/>
              </w:rPr>
              <w:t>101.INS</w:t>
            </w:r>
          </w:p>
        </w:tc>
        <w:tc>
          <w:tcPr>
            <w:tcW w:w="4720" w:type="dxa"/>
            <w:vAlign w:val="bottom"/>
            <w:gridSpan w:val="11"/>
          </w:tcPr>
          <w:p>
            <w:pPr>
              <w:spacing w:after="0"/>
              <w:rPr>
                <w:sz w:val="20"/>
                <w:szCs w:val="20"/>
                <w:color w:val="auto"/>
              </w:rPr>
            </w:pPr>
            <w:r>
              <w:rPr>
                <w:rFonts w:ascii="Arial" w:cs="Arial" w:eastAsia="Arial" w:hAnsi="Arial"/>
                <w:sz w:val="14"/>
                <w:szCs w:val="14"/>
                <w:color w:val="auto"/>
              </w:rPr>
              <w:t>XBRL Instance Document – the instance document does not appear in the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4720" w:type="dxa"/>
            <w:vAlign w:val="bottom"/>
            <w:gridSpan w:val="11"/>
          </w:tcPr>
          <w:p>
            <w:pPr>
              <w:spacing w:after="0"/>
              <w:rPr>
                <w:sz w:val="20"/>
                <w:szCs w:val="20"/>
                <w:color w:val="auto"/>
              </w:rPr>
            </w:pPr>
            <w:r>
              <w:rPr>
                <w:rFonts w:ascii="Arial" w:cs="Arial" w:eastAsia="Arial" w:hAnsi="Arial"/>
                <w:sz w:val="14"/>
                <w:szCs w:val="14"/>
                <w:color w:val="auto"/>
              </w:rPr>
              <w:t>Interactive Data File because its XBRL tags are embedded within the Inline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4720" w:type="dxa"/>
            <w:vAlign w:val="bottom"/>
            <w:gridSpan w:val="11"/>
          </w:tcPr>
          <w:p>
            <w:pPr>
              <w:spacing w:after="0"/>
              <w:rPr>
                <w:sz w:val="20"/>
                <w:szCs w:val="20"/>
                <w:color w:val="auto"/>
              </w:rPr>
            </w:pPr>
            <w:r>
              <w:rPr>
                <w:rFonts w:ascii="Arial" w:cs="Arial" w:eastAsia="Arial" w:hAnsi="Arial"/>
                <w:sz w:val="14"/>
                <w:szCs w:val="14"/>
                <w:color w:val="auto"/>
              </w:rPr>
              <w:t>XBRL document</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Arial" w:cs="Arial" w:eastAsia="Arial" w:hAnsi="Arial"/>
                <w:sz w:val="14"/>
                <w:szCs w:val="14"/>
                <w:color w:val="auto"/>
                <w:w w:val="94"/>
              </w:rPr>
              <w:t>101.SCH</w:t>
            </w:r>
          </w:p>
        </w:tc>
        <w:tc>
          <w:tcPr>
            <w:tcW w:w="472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Arial" w:cs="Arial" w:eastAsia="Arial" w:hAnsi="Arial"/>
                <w:sz w:val="14"/>
                <w:szCs w:val="14"/>
                <w:color w:val="auto"/>
                <w:w w:val="99"/>
              </w:rPr>
              <w:t>101.CAL</w:t>
            </w:r>
          </w:p>
        </w:tc>
        <w:tc>
          <w:tcPr>
            <w:tcW w:w="4720" w:type="dxa"/>
            <w:vAlign w:val="bottom"/>
            <w:gridSpan w:val="11"/>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Arial" w:cs="Arial" w:eastAsia="Arial" w:hAnsi="Arial"/>
                <w:sz w:val="14"/>
                <w:szCs w:val="14"/>
                <w:color w:val="auto"/>
                <w:w w:val="94"/>
              </w:rPr>
              <w:t>101.DEF</w:t>
            </w:r>
          </w:p>
        </w:tc>
        <w:tc>
          <w:tcPr>
            <w:tcW w:w="472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Arial" w:cs="Arial" w:eastAsia="Arial" w:hAnsi="Arial"/>
                <w:sz w:val="14"/>
                <w:szCs w:val="14"/>
                <w:color w:val="auto"/>
              </w:rPr>
              <w:t>101.LAB</w:t>
            </w:r>
          </w:p>
        </w:tc>
        <w:tc>
          <w:tcPr>
            <w:tcW w:w="4720" w:type="dxa"/>
            <w:vAlign w:val="bottom"/>
            <w:gridSpan w:val="11"/>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Arial" w:cs="Arial" w:eastAsia="Arial" w:hAnsi="Arial"/>
                <w:sz w:val="14"/>
                <w:szCs w:val="14"/>
                <w:color w:val="auto"/>
                <w:w w:val="92"/>
              </w:rPr>
              <w:t>101.PRE</w:t>
            </w:r>
          </w:p>
        </w:tc>
        <w:tc>
          <w:tcPr>
            <w:tcW w:w="4720" w:type="dxa"/>
            <w:vAlign w:val="bottom"/>
            <w:gridSpan w:val="11"/>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Arial" w:cs="Arial" w:eastAsia="Arial" w:hAnsi="Arial"/>
                <w:sz w:val="14"/>
                <w:szCs w:val="14"/>
                <w:color w:val="auto"/>
                <w:w w:val="94"/>
              </w:rPr>
              <w:t>104</w:t>
            </w:r>
          </w:p>
        </w:tc>
        <w:tc>
          <w:tcPr>
            <w:tcW w:w="4720" w:type="dxa"/>
            <w:vAlign w:val="bottom"/>
            <w:gridSpan w:val="11"/>
          </w:tcPr>
          <w:p>
            <w:pPr>
              <w:spacing w:after="0"/>
              <w:rPr>
                <w:sz w:val="20"/>
                <w:szCs w:val="20"/>
                <w:color w:val="auto"/>
              </w:rPr>
            </w:pPr>
            <w:r>
              <w:rPr>
                <w:rFonts w:ascii="Arial" w:cs="Arial" w:eastAsia="Arial" w:hAnsi="Arial"/>
                <w:sz w:val="14"/>
                <w:szCs w:val="14"/>
                <w:color w:val="auto"/>
                <w:w w:val="99"/>
              </w:rPr>
              <w:t>Cover Page Interactive Data File (formatted as inline XBRL and contained in</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4720" w:type="dxa"/>
            <w:vAlign w:val="bottom"/>
            <w:gridSpan w:val="11"/>
          </w:tcPr>
          <w:p>
            <w:pPr>
              <w:spacing w:after="0"/>
              <w:rPr>
                <w:sz w:val="20"/>
                <w:szCs w:val="20"/>
                <w:color w:val="auto"/>
              </w:rPr>
            </w:pPr>
            <w:r>
              <w:rPr>
                <w:rFonts w:ascii="Arial" w:cs="Arial" w:eastAsia="Arial" w:hAnsi="Arial"/>
                <w:sz w:val="14"/>
                <w:szCs w:val="14"/>
                <w:color w:val="auto"/>
              </w:rPr>
              <w:t>Exhibit 101)</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980" w:right="100" w:hanging="583"/>
        <w:spacing w:after="0" w:line="273" w:lineRule="auto"/>
        <w:tabs>
          <w:tab w:leader="none" w:pos="9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Portions of the exhibit have been omitted as the Company has determined that: (i) the omitted information is not material; and (ii) the omitted information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5540" w:type="dxa"/>
            <w:vAlign w:val="bottom"/>
            <w:gridSpan w:val="2"/>
          </w:tcPr>
          <w:p>
            <w:pPr>
              <w:ind w:left="1540"/>
              <w:spacing w:after="0"/>
              <w:rPr>
                <w:sz w:val="20"/>
                <w:szCs w:val="20"/>
                <w:color w:val="auto"/>
              </w:rPr>
            </w:pPr>
            <w:r>
              <w:rPr>
                <w:rFonts w:ascii="Arial" w:cs="Arial" w:eastAsia="Arial" w:hAnsi="Arial"/>
                <w:sz w:val="18"/>
                <w:szCs w:val="18"/>
                <w:b w:val="1"/>
                <w:bCs w:val="1"/>
                <w:color w:val="auto"/>
              </w:rPr>
              <w:t>AFFIRM HOLDINGS, INC.</w:t>
            </w:r>
          </w:p>
        </w:tc>
      </w:tr>
      <w:tr>
        <w:trPr>
          <w:trHeight w:val="540"/>
        </w:trPr>
        <w:tc>
          <w:tcPr>
            <w:tcW w:w="2860" w:type="dxa"/>
            <w:vAlign w:val="bottom"/>
          </w:tcPr>
          <w:p>
            <w:pPr>
              <w:spacing w:after="0"/>
              <w:rPr>
                <w:sz w:val="20"/>
                <w:szCs w:val="20"/>
                <w:color w:val="auto"/>
              </w:rPr>
            </w:pPr>
            <w:r>
              <w:rPr>
                <w:rFonts w:ascii="Arial" w:cs="Arial" w:eastAsia="Arial" w:hAnsi="Arial"/>
                <w:sz w:val="18"/>
                <w:szCs w:val="18"/>
                <w:color w:val="auto"/>
              </w:rPr>
              <w:t>Date: May 9, 2023</w:t>
            </w:r>
          </w:p>
        </w:tc>
        <w:tc>
          <w:tcPr>
            <w:tcW w:w="2120" w:type="dxa"/>
            <w:vAlign w:val="bottom"/>
          </w:tcPr>
          <w:p>
            <w:pPr>
              <w:ind w:left="15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Max Levchin</w:t>
            </w:r>
          </w:p>
        </w:tc>
      </w:tr>
      <w:tr>
        <w:trPr>
          <w:trHeight w:val="250"/>
        </w:trPr>
        <w:tc>
          <w:tcPr>
            <w:tcW w:w="28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Max Levchin</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2860" w:type="dxa"/>
            <w:vAlign w:val="bottom"/>
          </w:tcPr>
          <w:p>
            <w:pPr>
              <w:spacing w:after="0"/>
              <w:rPr>
                <w:sz w:val="24"/>
                <w:szCs w:val="24"/>
                <w:color w:val="auto"/>
              </w:rPr>
            </w:pPr>
          </w:p>
        </w:tc>
        <w:tc>
          <w:tcPr>
            <w:tcW w:w="2120" w:type="dxa"/>
            <w:vAlign w:val="bottom"/>
          </w:tcPr>
          <w:p>
            <w:pPr>
              <w:ind w:left="154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Linford</w:t>
            </w:r>
          </w:p>
        </w:tc>
      </w:tr>
      <w:tr>
        <w:trPr>
          <w:trHeight w:val="250"/>
        </w:trPr>
        <w:tc>
          <w:tcPr>
            <w:tcW w:w="28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Michael Linford</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28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125" w:right="4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line="303" w:lineRule="auto"/>
        <w:rPr>
          <w:sz w:val="20"/>
          <w:szCs w:val="20"/>
          <w:color w:val="auto"/>
        </w:rPr>
      </w:pPr>
      <w:r>
        <w:rPr>
          <w:rFonts w:ascii="Arial" w:cs="Arial" w:eastAsia="Arial" w:hAnsi="Arial"/>
          <w:sz w:val="20"/>
          <w:szCs w:val="20"/>
          <w:color w:val="auto"/>
        </w:rPr>
        <w:t>Certain identified information in this document has been excluded because it is both (i) not material and (ii) would be competitively harmful if publicly disclosed, and has been marked with “[***]” to indicate where omissions have been made.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5 TO CUSTOMER INSTALLMENT PROGRAM AGREEMENT</w:t>
      </w:r>
    </w:p>
    <w:p>
      <w:pPr>
        <w:spacing w:after="0" w:line="25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AMENDMENT NO. 5 to CUSTOMER INSTALLMENT PROGRAM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and made effective as of March 31, 2023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and amends the Customer Installment Program Agreement, dated July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16, 2020, as amended (together with any exhibits, schedules, amendments or addendums, the “</w:t>
      </w:r>
      <w:r>
        <w:rPr>
          <w:rFonts w:ascii="Arial" w:cs="Arial" w:eastAsia="Arial" w:hAnsi="Arial"/>
          <w:sz w:val="18"/>
          <w:szCs w:val="18"/>
          <w:b w:val="1"/>
          <w:bCs w:val="1"/>
          <w:color w:val="auto"/>
        </w:rPr>
        <w:t>Agreement</w:t>
      </w:r>
      <w:r>
        <w:rPr>
          <w:rFonts w:ascii="Arial" w:cs="Arial" w:eastAsia="Arial" w:hAnsi="Arial"/>
          <w:sz w:val="18"/>
          <w:szCs w:val="18"/>
          <w:color w:val="auto"/>
        </w:rPr>
        <w:t>”), by and between Shopify Inc., a Canadian corporation (“</w:t>
      </w:r>
      <w:r>
        <w:rPr>
          <w:rFonts w:ascii="Arial" w:cs="Arial" w:eastAsia="Arial" w:hAnsi="Arial"/>
          <w:sz w:val="18"/>
          <w:szCs w:val="18"/>
          <w:b w:val="1"/>
          <w:bCs w:val="1"/>
          <w:color w:val="auto"/>
        </w:rPr>
        <w:t>Shopify</w:t>
      </w:r>
      <w:r>
        <w:rPr>
          <w:rFonts w:ascii="Arial" w:cs="Arial" w:eastAsia="Arial" w:hAnsi="Arial"/>
          <w:sz w:val="18"/>
          <w:szCs w:val="18"/>
          <w:color w:val="auto"/>
        </w:rPr>
        <w:t>”), and Affirm, Inc., a Delaware corporation (“</w:t>
      </w:r>
      <w:r>
        <w:rPr>
          <w:rFonts w:ascii="Arial" w:cs="Arial" w:eastAsia="Arial" w:hAnsi="Arial"/>
          <w:sz w:val="18"/>
          <w:szCs w:val="18"/>
          <w:b w:val="1"/>
          <w:bCs w:val="1"/>
          <w:color w:val="auto"/>
        </w:rPr>
        <w:t>Affirm</w:t>
      </w:r>
      <w:r>
        <w:rPr>
          <w:rFonts w:ascii="Arial" w:cs="Arial" w:eastAsia="Arial" w:hAnsi="Arial"/>
          <w:sz w:val="18"/>
          <w:szCs w:val="18"/>
          <w:color w:val="auto"/>
        </w:rPr>
        <w:t>”). Capitalized terms used but not defined herein shall</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have the same meaning as those in the Agreement.</w:t>
      </w:r>
    </w:p>
    <w:p>
      <w:pPr>
        <w:spacing w:after="0" w:line="200"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WHEREAS, Section 30 of the Agreement provides that no modification of the Agreement shall be effective unless made in writing and duly signed by the Parties referring specifically to the Agreement; and</w:t>
      </w:r>
    </w:p>
    <w:p>
      <w:pPr>
        <w:spacing w:after="0" w:line="196"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WHEREAS, pursuant to Section 30 of the Agreement, Shopify and Affirm desire to amend the Agreement to the extent set forth in this Amendment.</w:t>
      </w:r>
    </w:p>
    <w:p>
      <w:pPr>
        <w:spacing w:after="0" w:line="18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NOW, THEREFORE, in consideration of the premises set forth above and other good and valuable consideration, the receipt and sufficiency of which are hereby acknowledged, the Parties hereby agree as follows:</w:t>
      </w:r>
    </w:p>
    <w:p>
      <w:pPr>
        <w:spacing w:after="0" w:line="196" w:lineRule="exact"/>
        <w:rPr>
          <w:sz w:val="20"/>
          <w:szCs w:val="20"/>
          <w:color w:val="auto"/>
        </w:rPr>
      </w:pPr>
    </w:p>
    <w:p>
      <w:pPr>
        <w:ind w:left="660" w:hanging="328"/>
        <w:spacing w:after="0" w:line="229"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Effective as of the Amendment Effective Date, the Agreement shall be amended as set forth in the attached revised provisions of the “Exhibit A-2 Second Program Outline” as set forth in Exhibit A to this Amendment.</w:t>
      </w:r>
    </w:p>
    <w:p>
      <w:pPr>
        <w:spacing w:after="0" w:line="195" w:lineRule="exact"/>
        <w:rPr>
          <w:rFonts w:ascii="Arial" w:cs="Arial" w:eastAsia="Arial" w:hAnsi="Arial"/>
          <w:sz w:val="20"/>
          <w:szCs w:val="20"/>
          <w:color w:val="auto"/>
        </w:rPr>
      </w:pPr>
    </w:p>
    <w:p>
      <w:pPr>
        <w:jc w:val="both"/>
        <w:ind w:left="660" w:hanging="328"/>
        <w:spacing w:after="0" w:line="225"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Effect of Amendment</w:t>
      </w:r>
      <w:r>
        <w:rPr>
          <w:rFonts w:ascii="Arial" w:cs="Arial" w:eastAsia="Arial" w:hAnsi="Arial"/>
          <w:sz w:val="19"/>
          <w:szCs w:val="19"/>
          <w:color w:val="auto"/>
        </w:rPr>
        <w:t>. This Amendment shall not constitute an amendment or waiver of any provision of the Agreement not expressly amended or waived herein and shall not be construed as an amendment, waiver or consent to any action that would require an amendment, waiver or consent except as expressly stated herein. The provisions and agreements set forth herein shall not establish a custom or course of dealing or conduct among the Parties. The Agreement, as amended by this Amendment, is and shall continue to be in full force and effect and is in all respects ratified and confirmed hereby. In the event of any inconsistency, conflict or ambiguity as to the rights and obligations of the Parties under this Amendment, the terms of this Amendment shall control and supersede any such inconsistency, conflict or ambiguity.</w:t>
      </w:r>
    </w:p>
    <w:p>
      <w:pPr>
        <w:spacing w:after="0" w:line="199" w:lineRule="exact"/>
        <w:rPr>
          <w:rFonts w:ascii="Arial" w:cs="Arial" w:eastAsia="Arial" w:hAnsi="Arial"/>
          <w:sz w:val="19"/>
          <w:szCs w:val="19"/>
          <w:color w:val="auto"/>
        </w:rPr>
      </w:pPr>
    </w:p>
    <w:p>
      <w:pPr>
        <w:jc w:val="both"/>
        <w:ind w:left="660" w:hanging="328"/>
        <w:spacing w:after="0" w:line="231" w:lineRule="auto"/>
        <w:tabs>
          <w:tab w:leader="none" w:pos="660"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Reference to the Agreement</w:t>
      </w:r>
      <w:r>
        <w:rPr>
          <w:rFonts w:ascii="Arial" w:cs="Arial" w:eastAsia="Arial" w:hAnsi="Arial"/>
          <w:sz w:val="19"/>
          <w:szCs w:val="19"/>
          <w:color w:val="auto"/>
        </w:rPr>
        <w:t xml:space="preserve">. After giving effect to this Amendment, unless the context otherwise requires, each reference in the Agreement to “this Agreement”, “hereof”, “hereunder”, “herein”, or words of like import referring to the Agreement shall refer to the Agreement as amended by this Amendment;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references in the Agreement to “as of the date hereof” or “as of the date of this Agreement” or words of like import shall continue to refer to July 16, 2020.</w:t>
      </w:r>
    </w:p>
    <w:p>
      <w:pPr>
        <w:spacing w:after="0" w:line="184" w:lineRule="exact"/>
        <w:rPr>
          <w:rFonts w:ascii="Arial" w:cs="Arial" w:eastAsia="Arial" w:hAnsi="Arial"/>
          <w:sz w:val="19"/>
          <w:szCs w:val="19"/>
          <w:color w:val="auto"/>
        </w:rPr>
      </w:pPr>
    </w:p>
    <w:p>
      <w:pPr>
        <w:ind w:left="660" w:hanging="328"/>
        <w:spacing w:after="0" w:line="219" w:lineRule="auto"/>
        <w:tabs>
          <w:tab w:leader="none" w:pos="66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The provisions of Sections 23 (</w:t>
      </w:r>
      <w:r>
        <w:rPr>
          <w:rFonts w:ascii="Arial" w:cs="Arial" w:eastAsia="Arial" w:hAnsi="Arial"/>
          <w:sz w:val="20"/>
          <w:szCs w:val="20"/>
          <w:i w:val="1"/>
          <w:iCs w:val="1"/>
          <w:color w:val="auto"/>
        </w:rPr>
        <w:t>Notices</w:t>
      </w:r>
      <w:r>
        <w:rPr>
          <w:rFonts w:ascii="Arial" w:cs="Arial" w:eastAsia="Arial" w:hAnsi="Arial"/>
          <w:sz w:val="20"/>
          <w:szCs w:val="20"/>
          <w:color w:val="auto"/>
        </w:rPr>
        <w:t xml:space="preserve">), and Sections 28-31, and 33 of the Agreement shall apply to this Amendment </w:t>
      </w:r>
      <w:r>
        <w:rPr>
          <w:rFonts w:ascii="Arial" w:cs="Arial" w:eastAsia="Arial" w:hAnsi="Arial"/>
          <w:sz w:val="20"/>
          <w:szCs w:val="20"/>
          <w:i w:val="1"/>
          <w:iCs w:val="1"/>
          <w:color w:val="auto"/>
        </w:rPr>
        <w:t xml:space="preserve">mutatis mutandis </w:t>
      </w:r>
      <w:r>
        <w:rPr>
          <w:rFonts w:ascii="Arial" w:cs="Arial" w:eastAsia="Arial" w:hAnsi="Arial"/>
          <w:sz w:val="20"/>
          <w:szCs w:val="20"/>
          <w:color w:val="auto"/>
        </w:rPr>
        <w:t>as if set forth herein to the extent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18" w:right="339" w:bottom="1440" w:gutter="0" w:footer="0" w:header="0"/>
        </w:sectPr>
      </w:pPr>
    </w:p>
    <w:bookmarkStart w:id="84" w:name="page85"/>
    <w:bookmarkEnd w:id="84"/>
    <w:p>
      <w:pPr>
        <w:jc w:val="right"/>
        <w:ind w:right="20"/>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caused this Amendment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0575" cy="32829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0575" cy="32829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Shopify Inc.</w:t>
            </w:r>
          </w:p>
        </w:tc>
        <w:tc>
          <w:tcPr>
            <w:tcW w:w="5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0"/>
                <w:szCs w:val="20"/>
                <w:color w:val="auto"/>
              </w:rPr>
              <w:t>Affirm, Inc.</w:t>
            </w:r>
          </w:p>
        </w:tc>
      </w:tr>
      <w:tr>
        <w:trPr>
          <w:trHeight w:val="250"/>
        </w:trPr>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Signature: /s/ Jason Kilpela</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Signature: /s/ Rebecca Z. Stone</w:t>
            </w:r>
          </w:p>
        </w:tc>
      </w:tr>
      <w:tr>
        <w:trPr>
          <w:trHeight w:val="250"/>
        </w:trPr>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Name: Jason Kilpela</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Name: Rebecca Z. Stone</w:t>
            </w:r>
          </w:p>
        </w:tc>
      </w:tr>
      <w:tr>
        <w:trPr>
          <w:trHeight w:val="250"/>
        </w:trPr>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Title: Director Corporate Finance</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Title: VP, Strategic Partnerships</w:t>
            </w:r>
          </w:p>
        </w:tc>
      </w:tr>
      <w:tr>
        <w:trPr>
          <w:trHeight w:val="250"/>
        </w:trPr>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Date: April 3, 2023</w:t>
            </w:r>
          </w:p>
        </w:tc>
        <w:tc>
          <w:tcPr>
            <w:tcW w:w="56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Date: April 3, 2023</w:t>
            </w:r>
          </w:p>
        </w:tc>
      </w:tr>
    </w:tbl>
    <w:p>
      <w:pPr>
        <w:ind w:left="8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under this Agreement shall be delivered pursuant to Section 23 (</w:t>
      </w:r>
      <w:r>
        <w:rPr>
          <w:rFonts w:ascii="Arial" w:cs="Arial" w:eastAsia="Arial" w:hAnsi="Arial"/>
          <w:sz w:val="18"/>
          <w:szCs w:val="18"/>
          <w:i w:val="1"/>
          <w:iCs w:val="1"/>
          <w:color w:val="auto"/>
        </w:rPr>
        <w:t>Notices</w:t>
      </w:r>
      <w:r>
        <w:rPr>
          <w:rFonts w:ascii="Arial" w:cs="Arial" w:eastAsia="Arial" w:hAnsi="Arial"/>
          <w:sz w:val="18"/>
          <w:szCs w:val="18"/>
          <w:color w:val="auto"/>
        </w:rPr>
        <w:t>) and addressed as set forth below:</w:t>
      </w:r>
    </w:p>
    <w:p>
      <w:pPr>
        <w:spacing w:after="0" w:line="222" w:lineRule="exact"/>
        <w:rPr>
          <w:sz w:val="20"/>
          <w:szCs w:val="20"/>
          <w:color w:val="auto"/>
        </w:rPr>
      </w:pPr>
    </w:p>
    <w:p>
      <w:pPr>
        <w:ind w:left="80"/>
        <w:spacing w:after="0"/>
        <w:rPr>
          <w:sz w:val="20"/>
          <w:szCs w:val="20"/>
          <w:color w:val="auto"/>
        </w:rPr>
      </w:pPr>
      <w:r>
        <w:rPr>
          <w:rFonts w:ascii="Arial" w:cs="Arial" w:eastAsia="Arial" w:hAnsi="Arial"/>
          <w:sz w:val="20"/>
          <w:szCs w:val="20"/>
          <w:color w:val="auto"/>
        </w:rPr>
        <w:t>If to Shopify:</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20"/>
          <w:szCs w:val="20"/>
          <w:color w:val="auto"/>
        </w:rPr>
        <w:t>Shopify Inc.</w:t>
      </w:r>
    </w:p>
    <w:p>
      <w:pPr>
        <w:ind w:left="80"/>
        <w:spacing w:after="0" w:line="197" w:lineRule="auto"/>
        <w:rPr>
          <w:sz w:val="20"/>
          <w:szCs w:val="20"/>
          <w:color w:val="auto"/>
        </w:rPr>
      </w:pPr>
      <w:r>
        <w:rPr>
          <w:rFonts w:ascii="Arial" w:cs="Arial" w:eastAsia="Arial" w:hAnsi="Arial"/>
          <w:sz w:val="20"/>
          <w:szCs w:val="20"/>
          <w:color w:val="auto"/>
        </w:rPr>
        <w:t>151 O’Connor Street, Ground Floor</w:t>
      </w:r>
    </w:p>
    <w:p>
      <w:pPr>
        <w:ind w:left="80"/>
        <w:spacing w:after="0" w:line="211" w:lineRule="auto"/>
        <w:rPr>
          <w:sz w:val="20"/>
          <w:szCs w:val="20"/>
          <w:color w:val="auto"/>
        </w:rPr>
      </w:pPr>
      <w:r>
        <w:rPr>
          <w:rFonts w:ascii="Arial" w:cs="Arial" w:eastAsia="Arial" w:hAnsi="Arial"/>
          <w:sz w:val="20"/>
          <w:szCs w:val="20"/>
          <w:color w:val="auto"/>
        </w:rPr>
        <w:t>Ottawa, ON</w:t>
      </w:r>
    </w:p>
    <w:p>
      <w:pPr>
        <w:ind w:left="80"/>
        <w:spacing w:after="0" w:line="211" w:lineRule="auto"/>
        <w:rPr>
          <w:sz w:val="20"/>
          <w:szCs w:val="20"/>
          <w:color w:val="auto"/>
        </w:rPr>
      </w:pPr>
      <w:r>
        <w:rPr>
          <w:rFonts w:ascii="Arial" w:cs="Arial" w:eastAsia="Arial" w:hAnsi="Arial"/>
          <w:sz w:val="20"/>
          <w:szCs w:val="20"/>
          <w:color w:val="auto"/>
        </w:rPr>
        <w:t>K2P 2L8</w:t>
      </w:r>
    </w:p>
    <w:p>
      <w:pPr>
        <w:ind w:left="80"/>
        <w:spacing w:after="0" w:line="198" w:lineRule="auto"/>
        <w:rPr>
          <w:sz w:val="20"/>
          <w:szCs w:val="20"/>
          <w:color w:val="auto"/>
        </w:rPr>
      </w:pPr>
      <w:r>
        <w:rPr>
          <w:rFonts w:ascii="Arial" w:cs="Arial" w:eastAsia="Arial" w:hAnsi="Arial"/>
          <w:sz w:val="20"/>
          <w:szCs w:val="20"/>
          <w:color w:val="auto"/>
        </w:rPr>
        <w:t>Canada</w:t>
      </w:r>
    </w:p>
    <w:p>
      <w:pPr>
        <w:ind w:left="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0"/>
          <w:szCs w:val="20"/>
          <w:color w:val="auto"/>
        </w:rPr>
        <w:t>If to Affirm:</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20"/>
          <w:szCs w:val="20"/>
          <w:color w:val="auto"/>
        </w:rPr>
        <w:t>Affirm, Inc.</w:t>
      </w:r>
    </w:p>
    <w:p>
      <w:pPr>
        <w:ind w:left="80"/>
        <w:spacing w:after="0" w:line="211" w:lineRule="auto"/>
        <w:rPr>
          <w:sz w:val="20"/>
          <w:szCs w:val="20"/>
          <w:color w:val="auto"/>
        </w:rPr>
      </w:pPr>
      <w:r>
        <w:rPr>
          <w:rFonts w:ascii="Arial" w:cs="Arial" w:eastAsia="Arial" w:hAnsi="Arial"/>
          <w:sz w:val="20"/>
          <w:szCs w:val="20"/>
          <w:color w:val="auto"/>
        </w:rPr>
        <w:t>650 California Street, 12th</w:t>
      </w:r>
    </w:p>
    <w:p>
      <w:pPr>
        <w:ind w:left="80"/>
        <w:spacing w:after="0" w:line="211" w:lineRule="auto"/>
        <w:rPr>
          <w:sz w:val="20"/>
          <w:szCs w:val="20"/>
          <w:color w:val="auto"/>
        </w:rPr>
      </w:pPr>
      <w:r>
        <w:rPr>
          <w:rFonts w:ascii="Arial" w:cs="Arial" w:eastAsia="Arial" w:hAnsi="Arial"/>
          <w:sz w:val="20"/>
          <w:szCs w:val="20"/>
          <w:color w:val="auto"/>
        </w:rPr>
        <w:t>San Francisco, CA 94108</w:t>
      </w:r>
    </w:p>
    <w:p>
      <w:pPr>
        <w:ind w:left="80"/>
        <w:spacing w:after="0" w:line="197" w:lineRule="auto"/>
        <w:rPr>
          <w:sz w:val="20"/>
          <w:szCs w:val="20"/>
          <w:color w:val="auto"/>
        </w:rPr>
      </w:pPr>
      <w:r>
        <w:rPr>
          <w:rFonts w:ascii="Arial" w:cs="Arial" w:eastAsia="Arial" w:hAnsi="Arial"/>
          <w:sz w:val="20"/>
          <w:szCs w:val="20"/>
          <w:color w:val="auto"/>
        </w:rPr>
        <w:t>Attention: Chief Legal Officer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18" w:right="319"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EXHIBIT A-2 (SECOND PROGRAM OUTLINE)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terms and conditions are intended to be incorporated into the Second Program Outline, which forms a part of the Agreement as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Exhibit A-2 to the Agreement, and, where such terms conflict with an existing section in Exhibit A-2, they will entirely replace such sections of Exhibit A-2.</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amended sections below shall entirely replace those same sections in the Agreement. All other sections that are not amended or replaced herein shall remain unmodified as expressly stated in the Agreement.</w:t>
      </w:r>
    </w:p>
    <w:p>
      <w:pPr>
        <w:spacing w:after="0" w:line="18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Section 1 of the Second Program Outline is hereby replaced in its entirety as follows:</w:t>
      </w:r>
    </w:p>
    <w:p>
      <w:pPr>
        <w:spacing w:after="0" w:line="148" w:lineRule="exact"/>
        <w:rPr>
          <w:rFonts w:ascii="Arial" w:cs="Arial" w:eastAsia="Arial" w:hAnsi="Arial"/>
          <w:sz w:val="20"/>
          <w:szCs w:val="20"/>
          <w:color w:val="auto"/>
        </w:rPr>
      </w:pPr>
    </w:p>
    <w:p>
      <w:pPr>
        <w:jc w:val="both"/>
        <w:ind w:left="660" w:hanging="4"/>
        <w:spacing w:after="0" w:line="235" w:lineRule="auto"/>
        <w:tabs>
          <w:tab w:leader="none" w:pos="8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Program Description. The Program will be offered only in the United States, and (at the option of Affirm with Shopify consent) its territories. The Financial Product associated with the Program (“</w:t>
      </w:r>
      <w:r>
        <w:rPr>
          <w:rFonts w:ascii="Arial" w:cs="Arial" w:eastAsia="Arial" w:hAnsi="Arial"/>
          <w:sz w:val="18"/>
          <w:szCs w:val="18"/>
          <w:u w:val="single" w:color="auto"/>
          <w:color w:val="auto"/>
        </w:rPr>
        <w:t>High-AOV Product</w:t>
      </w:r>
      <w:r>
        <w:rPr>
          <w:rFonts w:ascii="Arial" w:cs="Arial" w:eastAsia="Arial" w:hAnsi="Arial"/>
          <w:sz w:val="18"/>
          <w:szCs w:val="18"/>
          <w:color w:val="auto"/>
        </w:rPr>
        <w:t>”) shall be a closed-end installment loan product that will bear a [***] or [***] APR, will have no late fees, and will have a repayment term of [***], or as otherwise mutually agreed upon by the Parties. The High-AOV Product may be utilized only for orders that are not less than $[***] USD and not greater than $[***] USD, unless otherwise mutually agreed upon by the Parties. Customers may be dynamically offered personalized payment options for each transaction, which may include [***] First Product payments every two weeks, [***] High-AOV Product payments, or both. Affirm will use one or more state-chartered banks or other FDIC insured institutions (each, a “</w:t>
      </w:r>
      <w:r>
        <w:rPr>
          <w:rFonts w:ascii="Arial" w:cs="Arial" w:eastAsia="Arial" w:hAnsi="Arial"/>
          <w:sz w:val="18"/>
          <w:szCs w:val="18"/>
          <w:u w:val="single" w:color="auto"/>
          <w:color w:val="auto"/>
        </w:rPr>
        <w:t>Bank</w:t>
      </w:r>
      <w:r>
        <w:rPr>
          <w:rFonts w:ascii="Arial" w:cs="Arial" w:eastAsia="Arial" w:hAnsi="Arial"/>
          <w:sz w:val="18"/>
          <w:szCs w:val="18"/>
          <w:color w:val="auto"/>
        </w:rPr>
        <w:t>”) to originate the High-AOV Product for Customers except in Iowa. Solely with respect to Customers in Iowa, Affirm Loan Services, LLC will be the creditor at origination for any Successful Transaction resulting from a Customer’s use of the High-AOV Product, and Affirm Loan Services, LLC will cause payment to be made directly to Eligible Merchant. Notwithstanding Section 5.1 of the Agreement, for purposes of this Second Program Outline, Affirm or its bank partner(s) is responsible for determining and modifying underwriting criteria in its sole discretion in compliance with Applicable Laws.</w:t>
      </w:r>
    </w:p>
    <w:p>
      <w:pPr>
        <w:spacing w:after="0" w:line="132" w:lineRule="exact"/>
        <w:rPr>
          <w:rFonts w:ascii="Arial" w:cs="Arial" w:eastAsia="Arial" w:hAnsi="Arial"/>
          <w:sz w:val="18"/>
          <w:szCs w:val="18"/>
          <w:color w:val="auto"/>
        </w:rPr>
      </w:pPr>
    </w:p>
    <w:p>
      <w:pPr>
        <w:ind w:left="340" w:hanging="332"/>
        <w:spacing w:after="0" w:line="229" w:lineRule="auto"/>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Section 1 of Addendum A-1 to Exhibit A-2 (Program Pricing, Fees and Revenue for Program) is hereby amended and restated in its entirety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500" w:right="180" w:firstLine="156"/>
        <w:spacing w:after="0" w:line="248" w:lineRule="auto"/>
        <w:tabs>
          <w:tab w:leader="none" w:pos="13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220" w:firstLine="166"/>
        <w:spacing w:after="0" w:line="263" w:lineRule="auto"/>
        <w:tabs>
          <w:tab w:leader="none" w:pos="19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right="300" w:firstLine="166"/>
        <w:spacing w:after="0" w:line="263" w:lineRule="auto"/>
        <w:tabs>
          <w:tab w:leader="none" w:pos="1938"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20" w:firstLine="166"/>
        <w:spacing w:after="0" w:line="259" w:lineRule="auto"/>
        <w:tabs>
          <w:tab w:leader="none" w:pos="194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9" w:right="339" w:bottom="1440" w:gutter="0" w:footer="0" w:header="0"/>
        </w:sectPr>
      </w:pPr>
    </w:p>
    <w:bookmarkStart w:id="87" w:name="page88"/>
    <w:bookmarkEnd w:id="87"/>
    <w:p>
      <w:pPr>
        <w:ind w:left="1280" w:firstLine="166"/>
        <w:spacing w:after="0" w:line="277" w:lineRule="auto"/>
        <w:tabs>
          <w:tab w:leader="none" w:pos="19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31750</wp:posOffset>
            </wp:positionV>
            <wp:extent cx="25114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140"/>
          </w:cols>
          <w:pgMar w:left="340" w:top="1016" w:right="4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500" w:right="180" w:firstLine="156"/>
        <w:spacing w:after="0" w:line="271" w:lineRule="auto"/>
        <w:tabs>
          <w:tab w:leader="none" w:pos="13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220" w:firstLine="166"/>
        <w:spacing w:after="0" w:line="263" w:lineRule="auto"/>
        <w:tabs>
          <w:tab w:leader="none" w:pos="19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right="300" w:firstLine="166"/>
        <w:spacing w:after="0" w:line="263" w:lineRule="auto"/>
        <w:tabs>
          <w:tab w:leader="none" w:pos="1938"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20" w:firstLine="166"/>
        <w:spacing w:after="0" w:line="259" w:lineRule="auto"/>
        <w:tabs>
          <w:tab w:leader="none" w:pos="19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9" w:right="339" w:bottom="1440" w:gutter="0" w:footer="0" w:header="0"/>
        </w:sectPr>
      </w:pPr>
    </w:p>
    <w:bookmarkStart w:id="89" w:name="page90"/>
    <w:bookmarkEnd w:id="89"/>
    <w:p>
      <w:pPr>
        <w:ind w:left="1280" w:firstLine="166"/>
        <w:spacing w:after="0" w:line="277" w:lineRule="auto"/>
        <w:tabs>
          <w:tab w:leader="none" w:pos="19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25114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140"/>
          </w:cols>
          <w:pgMar w:left="340" w:top="1016" w:right="41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9, 2023</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9, 2023</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lvl w:ilvl="1">
      <w:lvlJc w:val="left"/>
      <w:lvlText w:val="%2)"/>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lowerLetter"/>
      <w:start w:val="2"/>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2023-05-09T16:37:59Z</dcterms:created>
  <dcterms:modified xsi:type="dcterms:W3CDTF">2023-05-09T16:37:59Z</dcterms:modified>
</cp:coreProperties>
</file>