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2"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PROSPECTUS SUPPLEMENT</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Arial" w:cs="Arial" w:eastAsia="Arial" w:hAnsi="Arial"/>
          <w:sz w:val="16"/>
          <w:szCs w:val="16"/>
          <w:color w:val="auto"/>
        </w:rPr>
        <w:t>Filed pursuant to Rule 424(b)(7)</w:t>
      </w:r>
    </w:p>
    <w:p>
      <w:pPr>
        <w:spacing w:after="0" w:line="46" w:lineRule="exact"/>
        <w:rPr>
          <w:sz w:val="24"/>
          <w:szCs w:val="24"/>
          <w:color w:val="auto"/>
        </w:rPr>
      </w:pPr>
    </w:p>
    <w:p>
      <w:pPr>
        <w:sectPr>
          <w:pgSz w:w="11900" w:h="16838" w:orient="portrait"/>
          <w:cols w:equalWidth="0" w:num="2">
            <w:col w:w="8080" w:space="720"/>
            <w:col w:w="2360"/>
          </w:cols>
          <w:pgMar w:left="320" w:top="1440" w:right="41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(to Prospectus dated March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534670</wp:posOffset>
            </wp:positionV>
            <wp:extent cx="159448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6172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Registration No. 333-263264</w:t>
      </w:r>
    </w:p>
    <w:p>
      <w:pPr>
        <w:spacing w:after="0" w:line="200" w:lineRule="exact"/>
        <w:rPr>
          <w:sz w:val="24"/>
          <w:szCs w:val="24"/>
          <w:color w:val="auto"/>
        </w:rPr>
      </w:pPr>
    </w:p>
    <w:p>
      <w:pPr>
        <w:sectPr>
          <w:pgSz w:w="11900" w:h="16838" w:orient="portrait"/>
          <w:cols w:equalWidth="0" w:num="2">
            <w:col w:w="8320" w:space="720"/>
            <w:col w:w="2120"/>
          </w:cols>
          <w:pgMar w:left="320" w:top="1440" w:right="4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AFFIRM HOLDINGS, INC.</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22,000,000 Shares of Class A Common Stock Offered by the Selling Securityholder</w:t>
      </w:r>
    </w:p>
    <w:p>
      <w:pPr>
        <w:ind w:left="4540"/>
        <w:spacing w:after="0"/>
        <w:rPr>
          <w:sz w:val="20"/>
          <w:szCs w:val="20"/>
          <w:color w:val="auto"/>
        </w:rPr>
      </w:pPr>
      <w:r>
        <w:rPr>
          <w:rFonts w:ascii="Arial" w:cs="Arial" w:eastAsia="Arial" w:hAnsi="Arial"/>
          <w:sz w:val="18"/>
          <w:szCs w:val="18"/>
          <w:color w:val="auto"/>
        </w:rPr>
        <w:t>________________________</w:t>
      </w:r>
    </w:p>
    <w:p>
      <w:pPr>
        <w:spacing w:after="0" w:line="169" w:lineRule="exact"/>
        <w:rPr>
          <w:sz w:val="24"/>
          <w:szCs w:val="24"/>
          <w:color w:val="auto"/>
        </w:rPr>
      </w:pPr>
    </w:p>
    <w:p>
      <w:pPr>
        <w:ind w:right="40" w:firstLine="324"/>
        <w:spacing w:after="0" w:line="232" w:lineRule="auto"/>
        <w:rPr>
          <w:sz w:val="20"/>
          <w:szCs w:val="20"/>
          <w:color w:val="auto"/>
        </w:rPr>
      </w:pPr>
      <w:r>
        <w:rPr>
          <w:rFonts w:ascii="Arial" w:cs="Arial" w:eastAsia="Arial" w:hAnsi="Arial"/>
          <w:sz w:val="17"/>
          <w:szCs w:val="17"/>
          <w:color w:val="auto"/>
        </w:rPr>
        <w:t>The selling securityholder of Affirm Holdings, Inc. (“Affirm,” “we,” “us” or the “Company”) listed under the heading “Selling Securityholder” may offer and resell up to 22,000,000 shares of our Class A common stock, par value $0.00001 per share (“Class A common stock”) under this prospectus supplement. The shares of Class A common stock being offered by the selling securityholder are those that may be acquired upon exercise of the Warrants (as defined below) issued to the selling securityholder pursuant to the Transaction Agreement (as defined below).</w:t>
      </w:r>
    </w:p>
    <w:p>
      <w:pPr>
        <w:spacing w:after="0" w:line="13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We will not receive any proceeds from the sale of the shares by the selling securityholder.</w:t>
      </w:r>
    </w:p>
    <w:p>
      <w:pPr>
        <w:spacing w:after="0" w:line="144" w:lineRule="exact"/>
        <w:rPr>
          <w:sz w:val="24"/>
          <w:szCs w:val="24"/>
          <w:color w:val="auto"/>
        </w:rPr>
      </w:pPr>
    </w:p>
    <w:p>
      <w:pPr>
        <w:ind w:right="80" w:firstLine="324"/>
        <w:spacing w:after="0" w:line="235" w:lineRule="auto"/>
        <w:rPr>
          <w:sz w:val="20"/>
          <w:szCs w:val="20"/>
          <w:color w:val="auto"/>
        </w:rPr>
      </w:pPr>
      <w:r>
        <w:rPr>
          <w:rFonts w:ascii="Arial" w:cs="Arial" w:eastAsia="Arial" w:hAnsi="Arial"/>
          <w:sz w:val="18"/>
          <w:szCs w:val="18"/>
          <w:color w:val="auto"/>
        </w:rPr>
        <w:t>Our Class A common stock is listed on The Nasdaq Global Select Market (“Nasdaq”) under the trading symbol “AFRM.” On March 2, 2022, the last reported sale price for our Class A common stock on Nasdaq was $41.80 per share.</w:t>
      </w:r>
    </w:p>
    <w:p>
      <w:pPr>
        <w:spacing w:after="0" w:line="117" w:lineRule="exact"/>
        <w:rPr>
          <w:sz w:val="24"/>
          <w:szCs w:val="24"/>
          <w:color w:val="auto"/>
        </w:rPr>
      </w:pPr>
    </w:p>
    <w:p>
      <w:pPr>
        <w:ind w:right="60" w:firstLine="324"/>
        <w:spacing w:after="0" w:line="226" w:lineRule="auto"/>
        <w:rPr>
          <w:sz w:val="20"/>
          <w:szCs w:val="20"/>
          <w:color w:val="auto"/>
        </w:rPr>
      </w:pPr>
      <w:r>
        <w:rPr>
          <w:rFonts w:ascii="Arial" w:cs="Arial" w:eastAsia="Arial" w:hAnsi="Arial"/>
          <w:sz w:val="18"/>
          <w:szCs w:val="18"/>
          <w:b w:val="1"/>
          <w:bCs w:val="1"/>
          <w:color w:val="auto"/>
        </w:rPr>
        <w:t>Investing in our securities involves a number of risks. See “Risk Factors” on page 8 of the accompanying prospectus, as well as the other information contained or incorporated by reference in this prospectus supplement, the accompanying prospectus and any applicable free writing prospectus, before you make your investment decision.</w:t>
      </w:r>
    </w:p>
    <w:p>
      <w:pPr>
        <w:spacing w:after="0" w:line="135" w:lineRule="exact"/>
        <w:rPr>
          <w:sz w:val="24"/>
          <w:szCs w:val="24"/>
          <w:color w:val="auto"/>
        </w:rPr>
      </w:pPr>
    </w:p>
    <w:p>
      <w:pPr>
        <w:jc w:val="both"/>
        <w:ind w:right="400" w:firstLine="324"/>
        <w:spacing w:after="0" w:line="224" w:lineRule="auto"/>
        <w:rPr>
          <w:sz w:val="20"/>
          <w:szCs w:val="20"/>
          <w:color w:val="auto"/>
        </w:rPr>
      </w:pPr>
      <w:r>
        <w:rPr>
          <w:rFonts w:ascii="Arial" w:cs="Arial" w:eastAsia="Arial" w:hAnsi="Arial"/>
          <w:sz w:val="18"/>
          <w:szCs w:val="18"/>
          <w:color w:val="auto"/>
        </w:rPr>
        <w:t>The selling securityholder may offer securities through underwriting syndicates managed or co-managed by one or more underwriters or dealers, through agents or directly to purchasers. For general information about the distribution of securities offered, please see “Plan of Distribution” in this prospectus supplement.</w:t>
      </w:r>
    </w:p>
    <w:p>
      <w:pPr>
        <w:spacing w:after="0" w:line="122" w:lineRule="exact"/>
        <w:rPr>
          <w:sz w:val="24"/>
          <w:szCs w:val="24"/>
          <w:color w:val="auto"/>
        </w:rPr>
      </w:pPr>
    </w:p>
    <w:p>
      <w:pPr>
        <w:ind w:firstLine="324"/>
        <w:spacing w:after="0" w:line="235"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21"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__________________</w:t>
      </w:r>
    </w:p>
    <w:p>
      <w:pPr>
        <w:spacing w:after="0" w:line="181"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This prospectus supplement is dated March 3, 2022</w:t>
      </w:r>
    </w:p>
    <w:p>
      <w:pPr>
        <w:sectPr>
          <w:pgSz w:w="11900" w:h="16838" w:orient="portrait"/>
          <w:cols w:equalWidth="0" w:num="1">
            <w:col w:w="11160"/>
          </w:cols>
          <w:pgMar w:left="320" w:top="1440" w:right="419" w:bottom="1440" w:gutter="0" w:footer="0" w:header="0"/>
          <w:type w:val="continuous"/>
        </w:sectPr>
      </w:pPr>
    </w:p>
    <w:bookmarkStart w:id="1" w:name="page2"/>
    <w:bookmarkEnd w:id="1"/>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760" w:type="dxa"/>
            <w:vAlign w:val="bottom"/>
          </w:tcPr>
          <w:p>
            <w:pPr>
              <w:jc w:val="center"/>
              <w:ind w:right="3210"/>
              <w:spacing w:after="0"/>
              <w:rPr>
                <w:sz w:val="20"/>
                <w:szCs w:val="20"/>
                <w:color w:val="auto"/>
              </w:rPr>
            </w:pPr>
            <w:r>
              <w:rPr>
                <w:rFonts w:ascii="Arial" w:cs="Arial" w:eastAsia="Arial" w:hAnsi="Arial"/>
                <w:sz w:val="18"/>
                <w:szCs w:val="18"/>
                <w:color w:val="auto"/>
                <w:w w:val="89"/>
              </w:rPr>
              <w:t>___________________</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0" w:type="dxa"/>
            <w:vAlign w:val="bottom"/>
            <w:gridSpan w:val="2"/>
          </w:tcPr>
          <w:p>
            <w:pPr>
              <w:jc w:val="center"/>
              <w:ind w:right="3450"/>
              <w:spacing w:after="0"/>
              <w:rPr>
                <w:sz w:val="20"/>
                <w:szCs w:val="20"/>
                <w:color w:val="auto"/>
              </w:rPr>
            </w:pPr>
            <w:r>
              <w:rPr>
                <w:rFonts w:ascii="Arial" w:cs="Arial" w:eastAsia="Arial" w:hAnsi="Arial"/>
                <w:sz w:val="18"/>
                <w:szCs w:val="18"/>
                <w:b w:val="1"/>
                <w:bCs w:val="1"/>
                <w:color w:val="auto"/>
                <w:w w:val="99"/>
              </w:rPr>
              <w:t>TABLE OF CONTENTS</w:t>
            </w:r>
          </w:p>
        </w:tc>
        <w:tc>
          <w:tcPr>
            <w:tcW w:w="0" w:type="dxa"/>
            <w:vAlign w:val="bottom"/>
          </w:tcPr>
          <w:p>
            <w:pPr>
              <w:spacing w:after="0"/>
              <w:rPr>
                <w:sz w:val="1"/>
                <w:szCs w:val="1"/>
                <w:color w:val="auto"/>
              </w:rPr>
            </w:pPr>
          </w:p>
        </w:tc>
      </w:tr>
      <w:tr>
        <w:trPr>
          <w:trHeight w:val="387"/>
        </w:trPr>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0" w:type="dxa"/>
            <w:vAlign w:val="bottom"/>
            <w:gridSpan w:val="2"/>
          </w:tcPr>
          <w:p>
            <w:pPr>
              <w:jc w:val="center"/>
              <w:ind w:right="3470"/>
              <w:spacing w:after="0"/>
              <w:rPr>
                <w:sz w:val="20"/>
                <w:szCs w:val="20"/>
                <w:color w:val="auto"/>
              </w:rPr>
            </w:pPr>
            <w:r>
              <w:rPr>
                <w:rFonts w:ascii="Arial" w:cs="Arial" w:eastAsia="Arial" w:hAnsi="Arial"/>
                <w:sz w:val="18"/>
                <w:szCs w:val="18"/>
                <w:b w:val="1"/>
                <w:bCs w:val="1"/>
                <w:color w:val="auto"/>
                <w:w w:val="87"/>
              </w:rPr>
              <w:t>Prospectus Supplement</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3"/>
        </w:trPr>
        <w:tc>
          <w:tcPr>
            <w:tcW w:w="344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2">
              <w:r>
                <w:rPr>
                  <w:rFonts w:ascii="Arial" w:cs="Arial" w:eastAsia="Arial" w:hAnsi="Arial"/>
                  <w:sz w:val="18"/>
                  <w:szCs w:val="18"/>
                  <w:color w:val="0000FF"/>
                  <w:w w:val="93"/>
                </w:rPr>
                <w:t>ABOUT THIS PROSPECTUS SUPPLEMENT</w:t>
              </w:r>
            </w:hyperlink>
          </w:p>
        </w:tc>
        <w:tc>
          <w:tcPr>
            <w:tcW w:w="760" w:type="dxa"/>
            <w:vAlign w:val="bottom"/>
          </w:tcPr>
          <w:p>
            <w:pPr>
              <w:spacing w:after="0"/>
              <w:rPr>
                <w:sz w:val="21"/>
                <w:szCs w:val="21"/>
                <w:color w:val="auto"/>
              </w:rPr>
            </w:pPr>
          </w:p>
        </w:tc>
        <w:tc>
          <w:tcPr>
            <w:tcW w:w="6760" w:type="dxa"/>
            <w:vAlign w:val="bottom"/>
          </w:tcPr>
          <w:p>
            <w:pPr>
              <w:spacing w:after="0"/>
              <w:rPr>
                <w:sz w:val="21"/>
                <w:szCs w:val="21"/>
                <w:color w:val="auto"/>
              </w:rPr>
            </w:pPr>
          </w:p>
        </w:tc>
        <w:tc>
          <w:tcPr>
            <w:tcW w:w="240" w:type="dxa"/>
            <w:vAlign w:val="bottom"/>
          </w:tcPr>
          <w:p>
            <w:pPr>
              <w:jc w:val="right"/>
              <w:spacing w:after="0"/>
              <w:rPr>
                <w:rFonts w:ascii="Arial" w:cs="Arial" w:eastAsia="Arial" w:hAnsi="Arial"/>
                <w:sz w:val="18"/>
                <w:szCs w:val="18"/>
                <w:color w:val="0000FF"/>
                <w:w w:val="78"/>
              </w:rPr>
            </w:pPr>
            <w:r>
              <w:rPr>
                <w:rFonts w:ascii="Arial" w:cs="Arial" w:eastAsia="Arial" w:hAnsi="Arial"/>
                <w:sz w:val="18"/>
                <w:szCs w:val="18"/>
                <w:color w:val="0000FF"/>
                <w:w w:val="78"/>
              </w:rPr>
              <w:t>S-</w:t>
            </w:r>
            <w:hyperlink w:anchor="page2">
              <w:r>
                <w:rPr>
                  <w:rFonts w:ascii="Arial" w:cs="Arial" w:eastAsia="Arial" w:hAnsi="Arial"/>
                  <w:sz w:val="18"/>
                  <w:szCs w:val="18"/>
                  <w:color w:val="0000FF"/>
                  <w:w w:val="78"/>
                </w:rPr>
                <w:t>2</w:t>
              </w:r>
            </w:hyperlink>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USE OF PROCEEDS</w:t>
              </w:r>
            </w:hyperlink>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580" w:type="dxa"/>
            <w:vAlign w:val="bottom"/>
            <w:tcBorders>
              <w:bottom w:val="single" w:sz="8" w:color="0000FF"/>
            </w:tcBorders>
            <w:vMerge w:val="continue"/>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2"/>
          </w:tcPr>
          <w:p>
            <w:pPr>
              <w:spacing w:after="0"/>
              <w:rPr>
                <w:sz w:val="21"/>
                <w:szCs w:val="21"/>
                <w:color w:val="auto"/>
              </w:rPr>
            </w:pPr>
          </w:p>
        </w:tc>
        <w:tc>
          <w:tcPr>
            <w:tcW w:w="6760" w:type="dxa"/>
            <w:vAlign w:val="bottom"/>
          </w:tcPr>
          <w:p>
            <w:pPr>
              <w:spacing w:after="0"/>
              <w:rPr>
                <w:sz w:val="21"/>
                <w:szCs w:val="21"/>
                <w:color w:val="auto"/>
              </w:rPr>
            </w:pPr>
          </w:p>
        </w:tc>
        <w:tc>
          <w:tcPr>
            <w:tcW w:w="240" w:type="dxa"/>
            <w:vAlign w:val="bottom"/>
          </w:tcPr>
          <w:p>
            <w:pPr>
              <w:jc w:val="right"/>
              <w:spacing w:after="0"/>
              <w:rPr>
                <w:rFonts w:ascii="Arial" w:cs="Arial" w:eastAsia="Arial" w:hAnsi="Arial"/>
                <w:sz w:val="18"/>
                <w:szCs w:val="18"/>
                <w:color w:val="0000FF"/>
                <w:w w:val="78"/>
              </w:rPr>
            </w:pPr>
            <w:r>
              <w:rPr>
                <w:rFonts w:ascii="Arial" w:cs="Arial" w:eastAsia="Arial" w:hAnsi="Arial"/>
                <w:sz w:val="18"/>
                <w:szCs w:val="18"/>
                <w:color w:val="0000FF"/>
                <w:w w:val="78"/>
              </w:rPr>
              <w:t>S-</w:t>
            </w:r>
            <w:hyperlink w:anchor="page3">
              <w:r>
                <w:rPr>
                  <w:rFonts w:ascii="Arial" w:cs="Arial" w:eastAsia="Arial" w:hAnsi="Arial"/>
                  <w:sz w:val="18"/>
                  <w:szCs w:val="18"/>
                  <w:color w:val="0000FF"/>
                  <w:w w:val="78"/>
                </w:rPr>
                <w:t>2</w:t>
              </w:r>
            </w:hyperlink>
          </w:p>
        </w:tc>
        <w:tc>
          <w:tcPr>
            <w:tcW w:w="0" w:type="dxa"/>
            <w:vAlign w:val="bottom"/>
          </w:tcPr>
          <w:p>
            <w:pPr>
              <w:spacing w:after="0"/>
              <w:rPr>
                <w:sz w:val="1"/>
                <w:szCs w:val="1"/>
                <w:color w:val="auto"/>
              </w:rPr>
            </w:pPr>
          </w:p>
        </w:tc>
      </w:tr>
      <w:tr>
        <w:trPr>
          <w:trHeight w:val="20"/>
        </w:trPr>
        <w:tc>
          <w:tcPr>
            <w:tcW w:w="2400" w:type="dxa"/>
            <w:vAlign w:val="bottom"/>
            <w:gridSpan w:val="3"/>
            <w:vMerge w:val="restart"/>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SELLING SECURITYHOLDER</w:t>
              </w:r>
            </w:hyperlink>
          </w:p>
        </w:tc>
        <w:tc>
          <w:tcPr>
            <w:tcW w:w="180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400" w:type="dxa"/>
            <w:vAlign w:val="bottom"/>
            <w:tcBorders>
              <w:bottom w:val="single" w:sz="8" w:color="0000FF"/>
            </w:tcBorders>
            <w:gridSpan w:val="3"/>
            <w:vMerge w:val="continue"/>
          </w:tcPr>
          <w:p>
            <w:pPr>
              <w:spacing w:after="0"/>
              <w:rPr>
                <w:sz w:val="21"/>
                <w:szCs w:val="21"/>
                <w:color w:val="auto"/>
              </w:rPr>
            </w:pPr>
          </w:p>
        </w:tc>
        <w:tc>
          <w:tcPr>
            <w:tcW w:w="1800" w:type="dxa"/>
            <w:vAlign w:val="bottom"/>
            <w:gridSpan w:val="2"/>
          </w:tcPr>
          <w:p>
            <w:pPr>
              <w:spacing w:after="0"/>
              <w:rPr>
                <w:sz w:val="21"/>
                <w:szCs w:val="21"/>
                <w:color w:val="auto"/>
              </w:rPr>
            </w:pPr>
          </w:p>
        </w:tc>
        <w:tc>
          <w:tcPr>
            <w:tcW w:w="6760" w:type="dxa"/>
            <w:vAlign w:val="bottom"/>
          </w:tcPr>
          <w:p>
            <w:pPr>
              <w:spacing w:after="0"/>
              <w:rPr>
                <w:sz w:val="21"/>
                <w:szCs w:val="21"/>
                <w:color w:val="auto"/>
              </w:rPr>
            </w:pPr>
          </w:p>
        </w:tc>
        <w:tc>
          <w:tcPr>
            <w:tcW w:w="240" w:type="dxa"/>
            <w:vAlign w:val="bottom"/>
          </w:tcPr>
          <w:p>
            <w:pPr>
              <w:jc w:val="right"/>
              <w:spacing w:after="0"/>
              <w:rPr>
                <w:rFonts w:ascii="Arial" w:cs="Arial" w:eastAsia="Arial" w:hAnsi="Arial"/>
                <w:sz w:val="18"/>
                <w:szCs w:val="18"/>
                <w:color w:val="0000FF"/>
                <w:w w:val="78"/>
              </w:rPr>
            </w:pPr>
            <w:r>
              <w:rPr>
                <w:rFonts w:ascii="Arial" w:cs="Arial" w:eastAsia="Arial" w:hAnsi="Arial"/>
                <w:sz w:val="18"/>
                <w:szCs w:val="18"/>
                <w:color w:val="0000FF"/>
                <w:w w:val="78"/>
              </w:rPr>
              <w:t>S-</w:t>
            </w:r>
            <w:hyperlink w:anchor="page3">
              <w:r>
                <w:rPr>
                  <w:rFonts w:ascii="Arial" w:cs="Arial" w:eastAsia="Arial" w:hAnsi="Arial"/>
                  <w:sz w:val="18"/>
                  <w:szCs w:val="18"/>
                  <w:color w:val="0000FF"/>
                  <w:w w:val="78"/>
                </w:rPr>
                <w:t>2</w:t>
              </w:r>
            </w:hyperlink>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rFonts w:ascii="Arial" w:cs="Arial" w:eastAsia="Arial" w:hAnsi="Arial"/>
                <w:sz w:val="18"/>
                <w:szCs w:val="18"/>
                <w:color w:val="0000FF"/>
                <w:w w:val="97"/>
              </w:rPr>
            </w:pPr>
            <w:hyperlink w:anchor="page5">
              <w:r>
                <w:rPr>
                  <w:rFonts w:ascii="Arial" w:cs="Arial" w:eastAsia="Arial" w:hAnsi="Arial"/>
                  <w:sz w:val="18"/>
                  <w:szCs w:val="18"/>
                  <w:color w:val="0000FF"/>
                  <w:w w:val="97"/>
                </w:rPr>
                <w:t>PLAN OF DISTRIBUTION</w:t>
              </w:r>
            </w:hyperlink>
          </w:p>
        </w:tc>
        <w:tc>
          <w:tcPr>
            <w:tcW w:w="2140" w:type="dxa"/>
            <w:vAlign w:val="bottom"/>
            <w:gridSpan w:val="3"/>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60" w:type="dxa"/>
            <w:vAlign w:val="bottom"/>
            <w:tcBorders>
              <w:bottom w:val="single" w:sz="8" w:color="0000FF"/>
            </w:tcBorders>
            <w:gridSpan w:val="2"/>
            <w:vMerge w:val="continue"/>
          </w:tcPr>
          <w:p>
            <w:pPr>
              <w:spacing w:after="0"/>
              <w:rPr>
                <w:sz w:val="21"/>
                <w:szCs w:val="21"/>
                <w:color w:val="auto"/>
              </w:rPr>
            </w:pPr>
          </w:p>
        </w:tc>
        <w:tc>
          <w:tcPr>
            <w:tcW w:w="2140" w:type="dxa"/>
            <w:vAlign w:val="bottom"/>
            <w:gridSpan w:val="3"/>
          </w:tcPr>
          <w:p>
            <w:pPr>
              <w:spacing w:after="0"/>
              <w:rPr>
                <w:sz w:val="21"/>
                <w:szCs w:val="21"/>
                <w:color w:val="auto"/>
              </w:rPr>
            </w:pPr>
          </w:p>
        </w:tc>
        <w:tc>
          <w:tcPr>
            <w:tcW w:w="6760" w:type="dxa"/>
            <w:vAlign w:val="bottom"/>
          </w:tcPr>
          <w:p>
            <w:pPr>
              <w:spacing w:after="0"/>
              <w:rPr>
                <w:sz w:val="21"/>
                <w:szCs w:val="21"/>
                <w:color w:val="auto"/>
              </w:rPr>
            </w:pPr>
          </w:p>
        </w:tc>
        <w:tc>
          <w:tcPr>
            <w:tcW w:w="240" w:type="dxa"/>
            <w:vAlign w:val="bottom"/>
          </w:tcPr>
          <w:p>
            <w:pPr>
              <w:jc w:val="right"/>
              <w:spacing w:after="0"/>
              <w:rPr>
                <w:rFonts w:ascii="Arial" w:cs="Arial" w:eastAsia="Arial" w:hAnsi="Arial"/>
                <w:sz w:val="18"/>
                <w:szCs w:val="18"/>
                <w:color w:val="0000FF"/>
                <w:w w:val="78"/>
              </w:rPr>
            </w:pPr>
            <w:r>
              <w:rPr>
                <w:rFonts w:ascii="Arial" w:cs="Arial" w:eastAsia="Arial" w:hAnsi="Arial"/>
                <w:sz w:val="18"/>
                <w:szCs w:val="18"/>
                <w:color w:val="0000FF"/>
                <w:w w:val="78"/>
              </w:rPr>
              <w:t>S-</w:t>
            </w:r>
            <w:hyperlink w:anchor="page5">
              <w:r>
                <w:rPr>
                  <w:rFonts w:ascii="Arial" w:cs="Arial" w:eastAsia="Arial" w:hAnsi="Arial"/>
                  <w:sz w:val="18"/>
                  <w:szCs w:val="18"/>
                  <w:color w:val="0000FF"/>
                  <w:w w:val="78"/>
                </w:rPr>
                <w:t>4</w:t>
              </w:r>
            </w:hyperlink>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60" w:type="dxa"/>
            <w:vAlign w:val="bottom"/>
            <w:gridSpan w:val="2"/>
          </w:tcPr>
          <w:p>
            <w:pPr>
              <w:ind w:left="1700"/>
              <w:spacing w:after="0"/>
              <w:rPr>
                <w:sz w:val="20"/>
                <w:szCs w:val="20"/>
                <w:color w:val="auto"/>
              </w:rPr>
            </w:pPr>
            <w:r>
              <w:rPr>
                <w:rFonts w:ascii="Arial" w:cs="Arial" w:eastAsia="Arial" w:hAnsi="Arial"/>
                <w:sz w:val="18"/>
                <w:szCs w:val="18"/>
                <w:b w:val="1"/>
                <w:bCs w:val="1"/>
                <w:color w:val="auto"/>
              </w:rPr>
              <w:t>Prospectus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88"/>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2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2240" w:type="dxa"/>
            <w:vAlign w:val="bottom"/>
            <w:gridSpan w:val="6"/>
          </w:tcPr>
          <w:p>
            <w:pPr>
              <w:spacing w:after="0"/>
              <w:rPr>
                <w:rFonts w:ascii="Arial" w:cs="Arial" w:eastAsia="Arial" w:hAnsi="Arial"/>
                <w:sz w:val="18"/>
                <w:szCs w:val="18"/>
                <w:color w:val="0000FF"/>
                <w:w w:val="93"/>
              </w:rPr>
            </w:pPr>
            <w:hyperlink w:anchor="page8">
              <w:r>
                <w:rPr>
                  <w:rFonts w:ascii="Arial" w:cs="Arial" w:eastAsia="Arial" w:hAnsi="Arial"/>
                  <w:sz w:val="18"/>
                  <w:szCs w:val="18"/>
                  <w:color w:val="0000FF"/>
                  <w:w w:val="93"/>
                </w:rPr>
                <w:t>ABOUT THIS PROSPECTUS</w:t>
              </w:r>
            </w:hyperlink>
          </w:p>
        </w:tc>
        <w:tc>
          <w:tcPr>
            <w:tcW w:w="6340" w:type="dxa"/>
            <w:vAlign w:val="bottom"/>
            <w:gridSpan w:val="7"/>
          </w:tcPr>
          <w:p>
            <w:pPr>
              <w:spacing w:after="0"/>
              <w:rPr>
                <w:sz w:val="19"/>
                <w:szCs w:val="19"/>
                <w:color w:val="auto"/>
              </w:rPr>
            </w:pPr>
          </w:p>
        </w:tc>
        <w:tc>
          <w:tcPr>
            <w:tcW w:w="262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3</w:t>
              </w:r>
            </w:hyperlink>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0"/>
        </w:trPr>
        <w:tc>
          <w:tcPr>
            <w:tcW w:w="3820" w:type="dxa"/>
            <w:vAlign w:val="bottom"/>
            <w:gridSpan w:val="11"/>
          </w:tcPr>
          <w:p>
            <w:pPr>
              <w:spacing w:after="0"/>
              <w:rPr>
                <w:rFonts w:ascii="Arial" w:cs="Arial" w:eastAsia="Arial" w:hAnsi="Arial"/>
                <w:sz w:val="18"/>
                <w:szCs w:val="18"/>
                <w:color w:val="0000FF"/>
                <w:w w:val="97"/>
              </w:rPr>
            </w:pPr>
            <w:hyperlink w:anchor="page9">
              <w:r>
                <w:rPr>
                  <w:rFonts w:ascii="Arial" w:cs="Arial" w:eastAsia="Arial" w:hAnsi="Arial"/>
                  <w:sz w:val="18"/>
                  <w:szCs w:val="18"/>
                  <w:color w:val="0000FF"/>
                  <w:w w:val="97"/>
                </w:rPr>
                <w:t>WHERE YOU CAN FIND MORE INFORMATION</w:t>
              </w:r>
            </w:hyperlink>
          </w:p>
        </w:tc>
        <w:tc>
          <w:tcPr>
            <w:tcW w:w="4760" w:type="dxa"/>
            <w:vAlign w:val="bottom"/>
            <w:gridSpan w:val="2"/>
          </w:tcPr>
          <w:p>
            <w:pPr>
              <w:spacing w:after="0"/>
              <w:rPr>
                <w:sz w:val="24"/>
                <w:szCs w:val="24"/>
                <w:color w:val="auto"/>
              </w:rPr>
            </w:pPr>
          </w:p>
        </w:tc>
        <w:tc>
          <w:tcPr>
            <w:tcW w:w="2620" w:type="dxa"/>
            <w:vAlign w:val="bottom"/>
            <w:gridSpan w:val="4"/>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4</w:t>
              </w:r>
            </w:hyperlink>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1"/>
        </w:trPr>
        <w:tc>
          <w:tcPr>
            <w:tcW w:w="8580" w:type="dxa"/>
            <w:vAlign w:val="bottom"/>
            <w:gridSpan w:val="13"/>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CAUTIONARY NOTE REGARDING FORWARD-LOOKING STATEMENTS</w:t>
              </w:r>
            </w:hyperlink>
          </w:p>
        </w:tc>
        <w:tc>
          <w:tcPr>
            <w:tcW w:w="2620" w:type="dxa"/>
            <w:vAlign w:val="bottom"/>
            <w:gridSpan w:val="4"/>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0"/>
        </w:trPr>
        <w:tc>
          <w:tcPr>
            <w:tcW w:w="5780" w:type="dxa"/>
            <w:vAlign w:val="bottom"/>
            <w:gridSpan w:val="12"/>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THE COMPANY</w:t>
              </w:r>
            </w:hyperlink>
          </w:p>
        </w:tc>
        <w:tc>
          <w:tcPr>
            <w:tcW w:w="2800" w:type="dxa"/>
            <w:vAlign w:val="bottom"/>
          </w:tcPr>
          <w:p>
            <w:pPr>
              <w:spacing w:after="0"/>
              <w:rPr>
                <w:sz w:val="24"/>
                <w:szCs w:val="24"/>
                <w:color w:val="auto"/>
              </w:rPr>
            </w:pPr>
          </w:p>
        </w:tc>
        <w:tc>
          <w:tcPr>
            <w:tcW w:w="2620" w:type="dxa"/>
            <w:vAlign w:val="bottom"/>
            <w:gridSpan w:val="4"/>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7</w:t>
              </w:r>
            </w:hyperlink>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0"/>
        </w:trPr>
        <w:tc>
          <w:tcPr>
            <w:tcW w:w="1260" w:type="dxa"/>
            <w:vAlign w:val="bottom"/>
            <w:gridSpan w:val="2"/>
          </w:tcPr>
          <w:p>
            <w:pPr>
              <w:spacing w:after="0"/>
              <w:rPr>
                <w:rFonts w:ascii="Arial" w:cs="Arial" w:eastAsia="Arial" w:hAnsi="Arial"/>
                <w:sz w:val="18"/>
                <w:szCs w:val="18"/>
                <w:color w:val="0000FF"/>
                <w:w w:val="91"/>
              </w:rPr>
            </w:pPr>
            <w:hyperlink w:anchor="page13">
              <w:r>
                <w:rPr>
                  <w:rFonts w:ascii="Arial" w:cs="Arial" w:eastAsia="Arial" w:hAnsi="Arial"/>
                  <w:sz w:val="18"/>
                  <w:szCs w:val="18"/>
                  <w:color w:val="0000FF"/>
                  <w:w w:val="91"/>
                </w:rPr>
                <w:t>RISK FACTORS</w:t>
              </w:r>
            </w:hyperlink>
          </w:p>
        </w:tc>
        <w:tc>
          <w:tcPr>
            <w:tcW w:w="7320" w:type="dxa"/>
            <w:vAlign w:val="bottom"/>
            <w:gridSpan w:val="11"/>
          </w:tcPr>
          <w:p>
            <w:pPr>
              <w:spacing w:after="0"/>
              <w:rPr>
                <w:sz w:val="24"/>
                <w:szCs w:val="24"/>
                <w:color w:val="auto"/>
              </w:rPr>
            </w:pPr>
          </w:p>
        </w:tc>
        <w:tc>
          <w:tcPr>
            <w:tcW w:w="2620" w:type="dxa"/>
            <w:vAlign w:val="bottom"/>
            <w:gridSpan w:val="4"/>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0"/>
        </w:trPr>
        <w:tc>
          <w:tcPr>
            <w:tcW w:w="8580" w:type="dxa"/>
            <w:vAlign w:val="bottom"/>
            <w:gridSpan w:val="13"/>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USE OF PROCEEDS</w:t>
              </w:r>
            </w:hyperlink>
          </w:p>
        </w:tc>
        <w:tc>
          <w:tcPr>
            <w:tcW w:w="2620" w:type="dxa"/>
            <w:vAlign w:val="bottom"/>
            <w:gridSpan w:val="4"/>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9</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0"/>
        </w:trPr>
        <w:tc>
          <w:tcPr>
            <w:tcW w:w="8580" w:type="dxa"/>
            <w:vAlign w:val="bottom"/>
            <w:gridSpan w:val="13"/>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DESCRIPTION OF DEBT SECURITIES</w:t>
              </w:r>
            </w:hyperlink>
          </w:p>
        </w:tc>
        <w:tc>
          <w:tcPr>
            <w:tcW w:w="2620" w:type="dxa"/>
            <w:vAlign w:val="bottom"/>
            <w:gridSpan w:val="4"/>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10</w:t>
              </w:r>
            </w:hyperlink>
          </w:p>
        </w:tc>
      </w:tr>
      <w:tr>
        <w:trPr>
          <w:trHeight w:val="290"/>
        </w:trPr>
        <w:tc>
          <w:tcPr>
            <w:tcW w:w="2880" w:type="dxa"/>
            <w:vAlign w:val="bottom"/>
            <w:tcBorders>
              <w:top w:val="single" w:sz="8" w:color="0000FF"/>
            </w:tcBorders>
            <w:gridSpan w:val="8"/>
          </w:tcPr>
          <w:p>
            <w:pPr>
              <w:spacing w:after="0"/>
              <w:rPr>
                <w:rFonts w:ascii="Arial" w:cs="Arial" w:eastAsia="Arial" w:hAnsi="Arial"/>
                <w:sz w:val="18"/>
                <w:szCs w:val="18"/>
                <w:color w:val="0000FF"/>
                <w:w w:val="95"/>
              </w:rPr>
            </w:pPr>
            <w:hyperlink w:anchor="page16">
              <w:r>
                <w:rPr>
                  <w:rFonts w:ascii="Arial" w:cs="Arial" w:eastAsia="Arial" w:hAnsi="Arial"/>
                  <w:sz w:val="18"/>
                  <w:szCs w:val="18"/>
                  <w:color w:val="0000FF"/>
                  <w:w w:val="95"/>
                </w:rPr>
                <w:t>DESCRIPTION OF CAPITAL STOCK</w:t>
              </w:r>
            </w:hyperlink>
          </w:p>
        </w:tc>
        <w:tc>
          <w:tcPr>
            <w:tcW w:w="140" w:type="dxa"/>
            <w:vAlign w:val="bottom"/>
            <w:tcBorders>
              <w:top w:val="single" w:sz="8" w:color="0000FF"/>
            </w:tcBorders>
          </w:tcPr>
          <w:p>
            <w:pPr>
              <w:spacing w:after="0"/>
              <w:rPr>
                <w:sz w:val="24"/>
                <w:szCs w:val="24"/>
                <w:color w:val="auto"/>
              </w:rPr>
            </w:pPr>
          </w:p>
        </w:tc>
        <w:tc>
          <w:tcPr>
            <w:tcW w:w="5560" w:type="dxa"/>
            <w:vAlign w:val="bottom"/>
            <w:gridSpan w:val="4"/>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90"/>
        </w:trPr>
        <w:tc>
          <w:tcPr>
            <w:tcW w:w="3160" w:type="dxa"/>
            <w:vAlign w:val="bottom"/>
            <w:tcBorders>
              <w:bottom w:val="single" w:sz="8" w:color="0000FF"/>
            </w:tcBorders>
            <w:gridSpan w:val="10"/>
          </w:tcPr>
          <w:p>
            <w:pPr>
              <w:spacing w:after="0"/>
              <w:rPr>
                <w:rFonts w:ascii="Arial" w:cs="Arial" w:eastAsia="Arial" w:hAnsi="Arial"/>
                <w:sz w:val="18"/>
                <w:szCs w:val="18"/>
                <w:color w:val="0000FF"/>
                <w:w w:val="93"/>
              </w:rPr>
            </w:pPr>
            <w:hyperlink w:anchor="page23">
              <w:r>
                <w:rPr>
                  <w:rFonts w:ascii="Arial" w:cs="Arial" w:eastAsia="Arial" w:hAnsi="Arial"/>
                  <w:sz w:val="18"/>
                  <w:szCs w:val="18"/>
                  <w:color w:val="0000FF"/>
                  <w:w w:val="93"/>
                </w:rPr>
                <w:t>DESCRIPTION OF OTHER SECURITIES</w:t>
              </w:r>
            </w:hyperlink>
          </w:p>
        </w:tc>
        <w:tc>
          <w:tcPr>
            <w:tcW w:w="5420" w:type="dxa"/>
            <w:vAlign w:val="bottom"/>
            <w:gridSpan w:val="3"/>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18</w:t>
              </w:r>
            </w:hyperlink>
          </w:p>
        </w:tc>
      </w:tr>
      <w:tr>
        <w:trPr>
          <w:trHeight w:val="291"/>
        </w:trPr>
        <w:tc>
          <w:tcPr>
            <w:tcW w:w="8580" w:type="dxa"/>
            <w:vAlign w:val="bottom"/>
            <w:gridSpan w:val="1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SELLING SECURITYHOLDERS</w:t>
              </w:r>
            </w:hyperlink>
          </w:p>
        </w:tc>
        <w:tc>
          <w:tcPr>
            <w:tcW w:w="2620" w:type="dxa"/>
            <w:vAlign w:val="bottom"/>
            <w:gridSpan w:val="4"/>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19</w:t>
              </w:r>
            </w:hyperlink>
          </w:p>
        </w:tc>
      </w:tr>
      <w:tr>
        <w:trPr>
          <w:trHeight w:val="290"/>
        </w:trPr>
        <w:tc>
          <w:tcPr>
            <w:tcW w:w="20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7"/>
              </w:rPr>
            </w:pPr>
            <w:hyperlink w:anchor="page25">
              <w:r>
                <w:rPr>
                  <w:rFonts w:ascii="Arial" w:cs="Arial" w:eastAsia="Arial" w:hAnsi="Arial"/>
                  <w:sz w:val="18"/>
                  <w:szCs w:val="18"/>
                  <w:color w:val="0000FF"/>
                  <w:w w:val="97"/>
                </w:rPr>
                <w:t>PLAN OF DISTRIBUTION</w:t>
              </w:r>
            </w:hyperlink>
          </w:p>
        </w:tc>
        <w:tc>
          <w:tcPr>
            <w:tcW w:w="440" w:type="dxa"/>
            <w:vAlign w:val="bottom"/>
            <w:tcBorders>
              <w:top w:val="single" w:sz="8" w:color="0000FF"/>
            </w:tcBorders>
            <w:gridSpan w:val="2"/>
          </w:tcPr>
          <w:p>
            <w:pPr>
              <w:spacing w:after="0"/>
              <w:rPr>
                <w:sz w:val="24"/>
                <w:szCs w:val="24"/>
                <w:color w:val="auto"/>
              </w:rPr>
            </w:pPr>
          </w:p>
        </w:tc>
        <w:tc>
          <w:tcPr>
            <w:tcW w:w="6080" w:type="dxa"/>
            <w:vAlign w:val="bottom"/>
            <w:gridSpan w:val="6"/>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20</w:t>
              </w:r>
            </w:hyperlink>
          </w:p>
        </w:tc>
      </w:tr>
      <w:tr>
        <w:trPr>
          <w:trHeight w:val="290"/>
        </w:trPr>
        <w:tc>
          <w:tcPr>
            <w:tcW w:w="8580" w:type="dxa"/>
            <w:vAlign w:val="bottom"/>
            <w:gridSpan w:val="13"/>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MATTERS</w:t>
              </w:r>
            </w:hyperlink>
          </w:p>
        </w:tc>
        <w:tc>
          <w:tcPr>
            <w:tcW w:w="262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23</w:t>
              </w:r>
            </w:hyperlink>
          </w:p>
        </w:tc>
      </w:tr>
      <w:tr>
        <w:trPr>
          <w:trHeight w:val="290"/>
        </w:trPr>
        <w:tc>
          <w:tcPr>
            <w:tcW w:w="7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EXPERTS</w:t>
              </w:r>
            </w:hyperlink>
          </w:p>
        </w:tc>
        <w:tc>
          <w:tcPr>
            <w:tcW w:w="680" w:type="dxa"/>
            <w:vAlign w:val="bottom"/>
            <w:tcBorders>
              <w:top w:val="single" w:sz="8" w:color="0000FF"/>
            </w:tcBorders>
            <w:gridSpan w:val="2"/>
          </w:tcPr>
          <w:p>
            <w:pPr>
              <w:spacing w:after="0"/>
              <w:rPr>
                <w:sz w:val="24"/>
                <w:szCs w:val="24"/>
                <w:color w:val="auto"/>
              </w:rPr>
            </w:pPr>
          </w:p>
        </w:tc>
        <w:tc>
          <w:tcPr>
            <w:tcW w:w="7120" w:type="dxa"/>
            <w:vAlign w:val="bottom"/>
            <w:gridSpan w:val="10"/>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89" w:lineRule="exact"/>
        <w:rPr>
          <w:sz w:val="20"/>
          <w:szCs w:val="20"/>
          <w:color w:val="auto"/>
        </w:rPr>
      </w:pPr>
    </w:p>
    <w:p>
      <w:pPr>
        <w:ind w:right="280" w:firstLine="324"/>
        <w:spacing w:after="0" w:line="219"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The second part, the accompanying prospectus, gives more general information, some of which may not apply to this offering. You should read the entire prospectus supplement, as well as the accompanying prospectus and the documents incorporated by reference that are described in the section entitled “Where You Can Find More Information” in the accompany prospectus.</w:t>
      </w:r>
    </w:p>
    <w:p>
      <w:pPr>
        <w:spacing w:after="0" w:line="190" w:lineRule="exact"/>
        <w:rPr>
          <w:sz w:val="20"/>
          <w:szCs w:val="20"/>
          <w:color w:val="auto"/>
        </w:rPr>
      </w:pPr>
    </w:p>
    <w:p>
      <w:pPr>
        <w:ind w:firstLine="324"/>
        <w:spacing w:after="0" w:line="214" w:lineRule="auto"/>
        <w:rPr>
          <w:sz w:val="20"/>
          <w:szCs w:val="20"/>
          <w:color w:val="auto"/>
        </w:rPr>
      </w:pPr>
      <w:r>
        <w:rPr>
          <w:rFonts w:ascii="Arial" w:cs="Arial" w:eastAsia="Arial" w:hAnsi="Arial"/>
          <w:sz w:val="18"/>
          <w:szCs w:val="18"/>
          <w:color w:val="auto"/>
        </w:rPr>
        <w:t>Neither we nor the selling securityholder has authorized anyone to provide you with any information other than that contained in or incorporated by reference into this prospectus supplement, the accompanying prospectus and any applicable free writing prospectus prepared by or on behalf of us. Neither we nor the selling securityholder takes responsibility for, and neither we nor the selling securityholder provides assurance as to the reliability of, any other information that others may give you. Neither we nor the selling securityholder is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89" w:lineRule="exact"/>
        <w:rPr>
          <w:sz w:val="20"/>
          <w:szCs w:val="20"/>
          <w:color w:val="auto"/>
        </w:rPr>
      </w:pPr>
    </w:p>
    <w:p>
      <w:pPr>
        <w:ind w:right="240" w:firstLine="324"/>
        <w:spacing w:after="0" w:line="235" w:lineRule="auto"/>
        <w:rPr>
          <w:sz w:val="20"/>
          <w:szCs w:val="20"/>
          <w:color w:val="auto"/>
        </w:rPr>
      </w:pPr>
      <w:r>
        <w:rPr>
          <w:rFonts w:ascii="Arial" w:cs="Arial" w:eastAsia="Arial" w:hAnsi="Arial"/>
          <w:sz w:val="18"/>
          <w:szCs w:val="18"/>
          <w:color w:val="auto"/>
        </w:rPr>
        <w:t>The information in this prospectus supplement is accurate as of the date on the front cover. You should not assume that the information contained in this prospectus supplement is accurate as of any other date.</w:t>
      </w:r>
    </w:p>
    <w:p>
      <w:pPr>
        <w:spacing w:after="0" w:line="200" w:lineRule="exact"/>
        <w:rPr>
          <w:sz w:val="20"/>
          <w:szCs w:val="20"/>
          <w:color w:val="auto"/>
        </w:rPr>
      </w:pPr>
    </w:p>
    <w:p>
      <w:pPr>
        <w:spacing w:after="0" w:line="20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not receive any proceeds from the sale of the Class A common stock by the selling securityholder.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w:t>
      </w:r>
    </w:p>
    <w:p>
      <w:pPr>
        <w:spacing w:after="0" w:line="148" w:lineRule="exact"/>
        <w:rPr>
          <w:sz w:val="20"/>
          <w:szCs w:val="20"/>
          <w:color w:val="auto"/>
        </w:rPr>
      </w:pPr>
    </w:p>
    <w:p>
      <w:pPr>
        <w:ind w:right="20" w:firstLine="324"/>
        <w:spacing w:after="0" w:line="211" w:lineRule="auto"/>
        <w:rPr>
          <w:sz w:val="20"/>
          <w:szCs w:val="20"/>
          <w:color w:val="auto"/>
        </w:rPr>
      </w:pPr>
      <w:r>
        <w:rPr>
          <w:rFonts w:ascii="Arial" w:cs="Arial" w:eastAsia="Arial" w:hAnsi="Arial"/>
          <w:sz w:val="18"/>
          <w:szCs w:val="18"/>
          <w:color w:val="auto"/>
        </w:rPr>
        <w:t>This prospectus supplement relates to the offer and sale from time to time of up to 22,000,000 shares of Class A common stock by the selling securityholder identified in the table below (the “selling securityholder”). The shares of Class A common stock being offered by the selling securityholder are those that may be acquired upon exercise of the Warrants (as defined below) issued to the selling securityholder pursuant to the Transaction Agreement, dated as of November 10, 2021 (the “Transaction Agreement”), by and among the Company, Amazon Payments, Inc. and the selling securityholder. Pursuant to the Transaction Agreement, we issued to the selling securityholder (i) a warrant (the “First Warrant”) to purchase up to an aggregate of 7,000,000 shares of Class A common stock (the “First Warrant Shares”) and (ii) a warrant (the “Second Warrant” and, together with the First Warrant, the “Warrants”) to purchase up to an aggregate of 15,000,000 shares of Class A common stock (the “Second Warrant Shares” and, together with the First Warrant Shares, the “Warrant Shares”).</w:t>
      </w:r>
    </w:p>
    <w:p>
      <w:pPr>
        <w:spacing w:after="0" w:line="137" w:lineRule="exact"/>
        <w:rPr>
          <w:sz w:val="20"/>
          <w:szCs w:val="20"/>
          <w:color w:val="auto"/>
        </w:rPr>
      </w:pPr>
    </w:p>
    <w:p>
      <w:pPr>
        <w:ind w:right="180" w:firstLine="324"/>
        <w:spacing w:after="0" w:line="211" w:lineRule="auto"/>
        <w:rPr>
          <w:sz w:val="20"/>
          <w:szCs w:val="20"/>
          <w:color w:val="auto"/>
        </w:rPr>
      </w:pPr>
      <w:r>
        <w:rPr>
          <w:rFonts w:ascii="Arial" w:cs="Arial" w:eastAsia="Arial" w:hAnsi="Arial"/>
          <w:sz w:val="18"/>
          <w:szCs w:val="18"/>
          <w:color w:val="auto"/>
        </w:rPr>
        <w:t>The Warrant Shares vest in multiple tranches. The First Warrant vested and became exercisable with respect to 1,000,000 First Warrant Shares in connection with the execution of the Commercial Agreement (as defined below). The First Warrant vests and becomes exercisable with respect to the remaining First Warrant Shares in increments of 500,000 First Warrant Shares per calendar quarter during calendar years 2022, 2023 and 2024, subject to certain adjustments and conditions as set forth in the First Warrant. The First Warrant expires on May 9, 2025. The Second Warrant vests and becomes exercisable quarterly during its term based on the number of unique Amazon customers that use Affirm products for the first time on Amazon.com (and any additional websites determined by the Company and Amazon) during such calendar quarter, subject to certain adjustments as set forth in the Second Warrant. The Second Warrant expires on May 9, 2029. As of the date of this prospectus supplement, the selling securityholder has not exercised the Warrants.</w:t>
      </w:r>
    </w:p>
    <w:p>
      <w:pPr>
        <w:spacing w:after="0" w:line="124" w:lineRule="exact"/>
        <w:rPr>
          <w:sz w:val="20"/>
          <w:szCs w:val="20"/>
          <w:color w:val="auto"/>
        </w:rPr>
      </w:pPr>
    </w:p>
    <w:p>
      <w:pPr>
        <w:ind w:firstLine="324"/>
        <w:spacing w:after="0" w:line="212" w:lineRule="auto"/>
        <w:rPr>
          <w:sz w:val="20"/>
          <w:szCs w:val="20"/>
          <w:color w:val="auto"/>
        </w:rPr>
      </w:pPr>
      <w:r>
        <w:rPr>
          <w:rFonts w:ascii="Arial" w:cs="Arial" w:eastAsia="Arial" w:hAnsi="Arial"/>
          <w:sz w:val="18"/>
          <w:szCs w:val="18"/>
          <w:color w:val="auto"/>
        </w:rPr>
        <w:t>The selling securityholder may not exercise the Warrants to the extent such exercise would cause it to beneficially own more than 4.999% of the number of shares of Class A common stock outstanding immediately after giving effect to such exercise (excluding any unvested portion of the Warrants) (the “Beneficial Ownership Limitation”). The selling securityholder may, however, waive or modify the Beneficial Ownership Limitation by providing written notice to the Company sixty-one days before such waiver or modification becomes effective (or immediately upon written notice to the Company to the extent the Company is subject to certain acquisition transactions pursuant to a tender or exchange offer). Except as described herein and as set forth under “—Commercial Relationship with the Selling Securityholder,” the selling securityholder has not had any material relationship with us within the past three years.</w:t>
      </w:r>
    </w:p>
    <w:p>
      <w:pPr>
        <w:spacing w:after="0" w:line="124" w:lineRule="exact"/>
        <w:rPr>
          <w:sz w:val="20"/>
          <w:szCs w:val="20"/>
          <w:color w:val="auto"/>
        </w:rPr>
      </w:pPr>
    </w:p>
    <w:p>
      <w:pPr>
        <w:ind w:right="120" w:firstLine="324"/>
        <w:spacing w:after="0" w:line="237" w:lineRule="auto"/>
        <w:rPr>
          <w:sz w:val="20"/>
          <w:szCs w:val="20"/>
          <w:color w:val="auto"/>
        </w:rPr>
      </w:pPr>
      <w:r>
        <w:rPr>
          <w:rFonts w:ascii="Arial" w:cs="Arial" w:eastAsia="Arial" w:hAnsi="Arial"/>
          <w:sz w:val="17"/>
          <w:szCs w:val="17"/>
          <w:color w:val="auto"/>
        </w:rPr>
        <w:t>The information in the below table (other than the percentages of our outstanding Class A common stock beneficially owned) in respect of the selling securityholder was furnished by or on behalf of the selling securityholder and is as of January 28, 2022. In computing the number of shares of Class A common stock beneficially owned by the selling securityholder and the percentage ownership of the selling securityholder,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320" w:top="1404" w:right="359" w:bottom="1440" w:gutter="0" w:footer="0" w:header="0"/>
        </w:sectPr>
      </w:pPr>
    </w:p>
    <w:bookmarkStart w:id="3" w:name="page4"/>
    <w:bookmarkEnd w:id="3"/>
    <w:p>
      <w:pPr>
        <w:ind w:right="220"/>
        <w:spacing w:after="0" w:line="235" w:lineRule="auto"/>
        <w:rPr>
          <w:sz w:val="20"/>
          <w:szCs w:val="20"/>
          <w:color w:val="auto"/>
        </w:rPr>
      </w:pPr>
      <w:r>
        <w:rPr>
          <w:rFonts w:ascii="Arial" w:cs="Arial" w:eastAsia="Arial" w:hAnsi="Arial"/>
          <w:sz w:val="18"/>
          <w:szCs w:val="18"/>
          <w:color w:val="auto"/>
        </w:rPr>
        <w:t>included outstanding shares of Class A common stock subject to the Warrants that are currently exercisable or exercisable within 60 days of January 28, 2022.</w:t>
      </w:r>
    </w:p>
    <w:p>
      <w:pPr>
        <w:spacing w:after="0" w:line="121" w:lineRule="exact"/>
        <w:rPr>
          <w:sz w:val="20"/>
          <w:szCs w:val="20"/>
          <w:color w:val="auto"/>
        </w:rPr>
      </w:pPr>
    </w:p>
    <w:p>
      <w:pPr>
        <w:ind w:right="20" w:firstLine="324"/>
        <w:spacing w:after="0" w:line="226" w:lineRule="auto"/>
        <w:rPr>
          <w:sz w:val="20"/>
          <w:szCs w:val="20"/>
          <w:color w:val="auto"/>
        </w:rPr>
      </w:pPr>
      <w:r>
        <w:rPr>
          <w:rFonts w:ascii="Arial" w:cs="Arial" w:eastAsia="Arial" w:hAnsi="Arial"/>
          <w:sz w:val="17"/>
          <w:szCs w:val="17"/>
          <w:color w:val="auto"/>
        </w:rPr>
        <w:t>The selling securityholder is not obligated to sell any of the Class A common stock offered by this prospectus supplement. Because the selling securityholder may sell some or all of the Class A common stock owned by it that are included in this prospectus supplement, and because there are currently no agreements, arrangements or understandings with respect to the sale of any such Class A common stock, no estimate can be given as to the number of shares covered by this prospectus supplement that will be held by the selling securityholder upon termination of this offering. Therefore, for the purposes of the following table, we have assumed that the selling securityholder will sell all of the Class A common stock beneficially owned by it that are covered by this prospectus supplement, but will not sell any other Class A common stock that it may currently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5349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3360" w:type="dxa"/>
            <w:vAlign w:val="bottom"/>
            <w:gridSpan w:val="4"/>
            <w:vMerge w:val="restart"/>
          </w:tcPr>
          <w:p>
            <w:pPr>
              <w:jc w:val="center"/>
              <w:ind w:right="420"/>
              <w:spacing w:after="0"/>
              <w:rPr>
                <w:sz w:val="20"/>
                <w:szCs w:val="20"/>
                <w:color w:val="auto"/>
              </w:rPr>
            </w:pPr>
            <w:r>
              <w:rPr>
                <w:rFonts w:ascii="Arial" w:cs="Arial" w:eastAsia="Arial" w:hAnsi="Arial"/>
                <w:sz w:val="18"/>
                <w:szCs w:val="18"/>
                <w:b w:val="1"/>
                <w:bCs w:val="1"/>
                <w:color w:val="auto"/>
                <w:w w:val="89"/>
              </w:rPr>
              <w:t>Class A Common Stock</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Class A Common</w:t>
            </w:r>
          </w:p>
        </w:tc>
        <w:tc>
          <w:tcPr>
            <w:tcW w:w="420" w:type="dxa"/>
            <w:vAlign w:val="bottom"/>
          </w:tcPr>
          <w:p>
            <w:pPr>
              <w:spacing w:after="0"/>
              <w:rPr>
                <w:sz w:val="17"/>
                <w:szCs w:val="17"/>
                <w:color w:val="auto"/>
              </w:rPr>
            </w:pPr>
          </w:p>
        </w:tc>
        <w:tc>
          <w:tcPr>
            <w:tcW w:w="274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89"/>
              </w:rPr>
              <w:t>Class A Common Stock</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3360" w:type="dxa"/>
            <w:vAlign w:val="bottom"/>
            <w:gridSpan w:val="4"/>
            <w:vMerge w:val="continue"/>
          </w:tcPr>
          <w:p>
            <w:pPr>
              <w:spacing w:after="0"/>
              <w:rPr>
                <w:sz w:val="15"/>
                <w:szCs w:val="15"/>
                <w:color w:val="auto"/>
              </w:rPr>
            </w:pPr>
          </w:p>
        </w:tc>
        <w:tc>
          <w:tcPr>
            <w:tcW w:w="192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89"/>
              </w:rPr>
              <w:t>Stock</w:t>
            </w:r>
          </w:p>
        </w:tc>
        <w:tc>
          <w:tcPr>
            <w:tcW w:w="420" w:type="dxa"/>
            <w:vAlign w:val="bottom"/>
          </w:tcPr>
          <w:p>
            <w:pPr>
              <w:spacing w:after="0"/>
              <w:rPr>
                <w:sz w:val="15"/>
                <w:szCs w:val="15"/>
                <w:color w:val="auto"/>
              </w:rPr>
            </w:pPr>
          </w:p>
        </w:tc>
        <w:tc>
          <w:tcPr>
            <w:tcW w:w="2740" w:type="dxa"/>
            <w:vAlign w:val="bottom"/>
            <w:gridSpan w:val="4"/>
          </w:tcPr>
          <w:p>
            <w:pPr>
              <w:jc w:val="center"/>
              <w:ind w:right="680"/>
              <w:spacing w:after="0" w:line="176" w:lineRule="exact"/>
              <w:rPr>
                <w:sz w:val="20"/>
                <w:szCs w:val="20"/>
                <w:color w:val="auto"/>
              </w:rPr>
            </w:pPr>
            <w:r>
              <w:rPr>
                <w:rFonts w:ascii="Arial" w:cs="Arial" w:eastAsia="Arial" w:hAnsi="Arial"/>
                <w:sz w:val="18"/>
                <w:szCs w:val="18"/>
                <w:b w:val="1"/>
                <w:bCs w:val="1"/>
                <w:color w:val="auto"/>
                <w:w w:val="90"/>
              </w:rPr>
              <w:t>Beneficially Owned</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3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Beneficially Owned</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Offered Hereby</w:t>
            </w:r>
          </w:p>
        </w:tc>
        <w:tc>
          <w:tcPr>
            <w:tcW w:w="420" w:type="dxa"/>
            <w:vAlign w:val="bottom"/>
          </w:tcPr>
          <w:p>
            <w:pPr>
              <w:spacing w:after="0"/>
              <w:rPr>
                <w:sz w:val="20"/>
                <w:szCs w:val="20"/>
                <w:color w:val="auto"/>
              </w:rPr>
            </w:pPr>
          </w:p>
        </w:tc>
        <w:tc>
          <w:tcPr>
            <w:tcW w:w="274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93"/>
              </w:rPr>
              <w:t>After the Offering</w:t>
            </w:r>
          </w:p>
        </w:tc>
        <w:tc>
          <w:tcPr>
            <w:tcW w:w="0" w:type="dxa"/>
            <w:vAlign w:val="bottom"/>
          </w:tcPr>
          <w:p>
            <w:pPr>
              <w:spacing w:after="0"/>
              <w:rPr>
                <w:sz w:val="1"/>
                <w:szCs w:val="1"/>
                <w:color w:val="auto"/>
              </w:rPr>
            </w:pPr>
          </w:p>
        </w:tc>
      </w:tr>
      <w:tr>
        <w:trPr>
          <w:trHeight w:val="29"/>
        </w:trPr>
        <w:tc>
          <w:tcPr>
            <w:tcW w:w="274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1660" w:type="dxa"/>
            <w:vAlign w:val="bottom"/>
            <w:gridSpan w:val="2"/>
          </w:tcPr>
          <w:p>
            <w:pPr>
              <w:ind w:left="340"/>
              <w:spacing w:after="0"/>
              <w:rPr>
                <w:sz w:val="20"/>
                <w:szCs w:val="20"/>
                <w:color w:val="auto"/>
              </w:rPr>
            </w:pPr>
            <w:r>
              <w:rPr>
                <w:rFonts w:ascii="Arial" w:cs="Arial" w:eastAsia="Arial" w:hAnsi="Arial"/>
                <w:sz w:val="18"/>
                <w:szCs w:val="18"/>
                <w:b w:val="1"/>
                <w:bCs w:val="1"/>
                <w:color w:val="auto"/>
              </w:rPr>
              <w:t>Number</w:t>
            </w:r>
          </w:p>
        </w:tc>
        <w:tc>
          <w:tcPr>
            <w:tcW w:w="1260" w:type="dxa"/>
            <w:vAlign w:val="bottom"/>
          </w:tcPr>
          <w:p>
            <w:pPr>
              <w:jc w:val="right"/>
              <w:ind w:right="411"/>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(1)</w:t>
            </w: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3"/>
          </w:tcPr>
          <w:p>
            <w:pPr>
              <w:ind w:left="320"/>
              <w:spacing w:after="0"/>
              <w:rPr>
                <w:sz w:val="20"/>
                <w:szCs w:val="20"/>
                <w:color w:val="auto"/>
              </w:rPr>
            </w:pPr>
            <w:r>
              <w:rPr>
                <w:rFonts w:ascii="Arial" w:cs="Arial" w:eastAsia="Arial" w:hAnsi="Arial"/>
                <w:sz w:val="18"/>
                <w:szCs w:val="18"/>
                <w:b w:val="1"/>
                <w:bCs w:val="1"/>
                <w:color w:val="auto"/>
              </w:rPr>
              <w:t>Number</w:t>
            </w:r>
          </w:p>
        </w:tc>
        <w:tc>
          <w:tcPr>
            <w:tcW w:w="1240" w:type="dxa"/>
            <w:vAlign w:val="bottom"/>
          </w:tcPr>
          <w:p>
            <w:pPr>
              <w:jc w:val="right"/>
              <w:ind w:right="411"/>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Selling Securityholder</w:t>
            </w:r>
          </w:p>
        </w:tc>
        <w:tc>
          <w:tcPr>
            <w:tcW w:w="13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Amazon.com Services LLC</w:t>
            </w:r>
            <w:r>
              <w:rPr>
                <w:rFonts w:ascii="Arial" w:cs="Arial" w:eastAsia="Arial" w:hAnsi="Arial"/>
                <w:sz w:val="9"/>
                <w:szCs w:val="9"/>
                <w:b w:val="1"/>
                <w:bCs w:val="1"/>
                <w:color w:val="auto"/>
              </w:rPr>
              <w:t>(2)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1,640,221</w:t>
            </w:r>
            <w:r>
              <w:rPr>
                <w:rFonts w:ascii="Arial" w:cs="Arial" w:eastAsia="Arial" w:hAnsi="Arial"/>
                <w:sz w:val="23"/>
                <w:szCs w:val="23"/>
                <w:color w:val="auto"/>
                <w:vertAlign w:val="superscript"/>
              </w:rPr>
              <w:t>(3)</w:t>
            </w:r>
          </w:p>
        </w:tc>
        <w:tc>
          <w:tcPr>
            <w:tcW w:w="36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0.7 %</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94"/>
        </w:trPr>
        <w:tc>
          <w:tcPr>
            <w:tcW w:w="27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of January 28, 2022, we had 223,102,377 shares of Class A common stock outstanding.</w:t>
      </w:r>
    </w:p>
    <w:p>
      <w:pPr>
        <w:ind w:left="400" w:hanging="392"/>
        <w:spacing w:after="0" w:line="219"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address for Amazon.com Services LLC is c/o Amazon.com, Inc., 410 Terry Avenue North, Seattle, Washington 98109.</w:t>
      </w: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amount represents warrant shares exercisable within 60 days of January 28,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Relationship with the Selling Securityholder</w:t>
      </w:r>
    </w:p>
    <w:p>
      <w:pPr>
        <w:spacing w:after="0" w:line="148" w:lineRule="exact"/>
        <w:rPr>
          <w:sz w:val="20"/>
          <w:szCs w:val="20"/>
          <w:color w:val="auto"/>
        </w:rPr>
      </w:pPr>
    </w:p>
    <w:p>
      <w:pPr>
        <w:ind w:right="40" w:firstLine="324"/>
        <w:spacing w:after="0" w:line="241" w:lineRule="auto"/>
        <w:rPr>
          <w:sz w:val="20"/>
          <w:szCs w:val="20"/>
          <w:color w:val="auto"/>
        </w:rPr>
      </w:pPr>
      <w:r>
        <w:rPr>
          <w:rFonts w:ascii="Arial" w:cs="Arial" w:eastAsia="Arial" w:hAnsi="Arial"/>
          <w:sz w:val="16"/>
          <w:szCs w:val="16"/>
          <w:color w:val="auto"/>
        </w:rPr>
        <w:t>On November 10, 2021 (the “Effective Date”), Affirm, Inc., a wholly owned subsidiary of the Company, entered into an Amended and Restated Installment Financing Services Agreement with the selling securityholder and Amazon Payments (the “Commercial Agreement”). Pursuant to the terms of the Commercial Agreement, Affirm, Inc. will make its closed-end installment loan products available to eligible consumers on Amazon.com, and through the Amazon Pay widget on certain third-party retailer online channels. Until January 31, 2023 (unless otherwise extended pursuant to the terms of the Commercial Agreement), Amazon has agreed not to make available on Amazon.com other closed-end installment loan products and services by certain competitors of Affirm, Inc. Installment products and services offered to customers as a feature of a credit card will not be covered under this restriction.</w:t>
      </w:r>
    </w:p>
    <w:p>
      <w:pPr>
        <w:spacing w:after="0" w:line="120" w:lineRule="exact"/>
        <w:rPr>
          <w:sz w:val="20"/>
          <w:szCs w:val="20"/>
          <w:color w:val="auto"/>
        </w:rPr>
      </w:pPr>
    </w:p>
    <w:p>
      <w:pPr>
        <w:ind w:right="40" w:firstLine="324"/>
        <w:spacing w:after="0" w:line="241" w:lineRule="auto"/>
        <w:rPr>
          <w:sz w:val="20"/>
          <w:szCs w:val="20"/>
          <w:color w:val="auto"/>
        </w:rPr>
      </w:pPr>
      <w:r>
        <w:rPr>
          <w:rFonts w:ascii="Arial" w:cs="Arial" w:eastAsia="Arial" w:hAnsi="Arial"/>
          <w:sz w:val="16"/>
          <w:szCs w:val="16"/>
          <w:color w:val="auto"/>
        </w:rPr>
        <w:t>Pursuant to the terms of the Commercial Agreement, eligible merchants that make Affirm, Inc.’s products and services available to their consumers through the Amazon Pay widget will be charged certain fees on certain transactions, as set forth in the Commercial Agreement. The amount of such fees generally will be equal to a percentage of the amount of each transaction financed through Affirm, Inc.’s products and services through the Amazon Pay widget on a third-party merchant online channel. In addition, with respect to certain transactions on Amazon.com financed through Affirm, Inc.’s products and services, the selling securityholder will pay Affirm, Inc. a fee that will be generally equal to a percentage of the amount of each transaction financed through Affirm, Inc.’s products and services on Amazon.com plus, in certain instances, a fixed amount as set forth in the Commercial Agreement.</w:t>
      </w:r>
    </w:p>
    <w:p>
      <w:pPr>
        <w:spacing w:after="0" w:line="133" w:lineRule="exact"/>
        <w:rPr>
          <w:sz w:val="20"/>
          <w:szCs w:val="20"/>
          <w:color w:val="auto"/>
        </w:rPr>
      </w:pPr>
    </w:p>
    <w:p>
      <w:pPr>
        <w:ind w:right="40" w:firstLine="324"/>
        <w:spacing w:after="0" w:line="244" w:lineRule="auto"/>
        <w:rPr>
          <w:sz w:val="20"/>
          <w:szCs w:val="20"/>
          <w:color w:val="auto"/>
        </w:rPr>
      </w:pPr>
      <w:r>
        <w:rPr>
          <w:rFonts w:ascii="Arial" w:cs="Arial" w:eastAsia="Arial" w:hAnsi="Arial"/>
          <w:sz w:val="16"/>
          <w:szCs w:val="16"/>
          <w:color w:val="auto"/>
        </w:rPr>
        <w:t>Subject to certain limited exceptions, until the earlier of (i) the end of the Term (as defined below) and (ii) the third anniversary of the Effective Date, Amazon is required to: (i) ensure Affirm, Inc.’s installment products and services are included at all times in the selection mechanism that determines which financing offers or payment products and services are displayed to consumers on the product detail page on Amazon.com, which may or may not select Affirm, Inc.’s installment products and services for display; and (ii) make available to each consumer with an eligible purchase amount the option to apply for or use Affirm, Inc.’s installment products and services to finance the purchase of eligible products on the payment method selection interface.</w:t>
      </w:r>
    </w:p>
    <w:p>
      <w:pPr>
        <w:spacing w:after="0" w:line="118" w:lineRule="exact"/>
        <w:rPr>
          <w:sz w:val="20"/>
          <w:szCs w:val="20"/>
          <w:color w:val="auto"/>
        </w:rPr>
      </w:pPr>
    </w:p>
    <w:p>
      <w:pPr>
        <w:ind w:right="120" w:firstLine="324"/>
        <w:spacing w:after="0" w:line="219" w:lineRule="auto"/>
        <w:rPr>
          <w:sz w:val="20"/>
          <w:szCs w:val="20"/>
          <w:color w:val="auto"/>
        </w:rPr>
      </w:pPr>
      <w:r>
        <w:rPr>
          <w:rFonts w:ascii="Arial" w:cs="Arial" w:eastAsia="Arial" w:hAnsi="Arial"/>
          <w:sz w:val="18"/>
          <w:szCs w:val="18"/>
          <w:color w:val="auto"/>
        </w:rPr>
        <w:t>The Commercial Agreement has an initial term ending on January 31, 2025 (the “Initial Term”), and will be extended for successive one-year terms unless either party provides notice not to extend (each, an “Extension Term” and all such Extension Terms collectively with the Initial Term, the “Term”). In addition, upon the occurrence of certain early termination events, either Affirm, Inc. or the selling securityholder may terminate the Commercial Agreement immediately upon notice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80"/>
          </w:cols>
          <w:pgMar w:left="320" w:top="1408" w:right="399" w:bottom="1440" w:gutter="0" w:footer="0" w:header="0"/>
        </w:sectPr>
      </w:pPr>
    </w:p>
    <w:bookmarkStart w:id="4" w:name="page5"/>
    <w:bookmarkEnd w:id="4"/>
    <w:p>
      <w:pPr>
        <w:ind w:right="120" w:firstLine="324"/>
        <w:spacing w:after="0" w:line="224" w:lineRule="auto"/>
        <w:rPr>
          <w:sz w:val="20"/>
          <w:szCs w:val="20"/>
          <w:color w:val="auto"/>
        </w:rPr>
      </w:pPr>
      <w:r>
        <w:rPr>
          <w:rFonts w:ascii="Arial" w:cs="Arial" w:eastAsia="Arial" w:hAnsi="Arial"/>
          <w:sz w:val="18"/>
          <w:szCs w:val="18"/>
          <w:color w:val="auto"/>
        </w:rPr>
        <w:t>The foregoing includes only a brief description of the material terms of the Commercial Agreement and does not purport to be a complete description of the rights and obligations of the parties thereunder, and such descriptions are qualified in their entirety by reference to the full text of the Commercial Agreement, which is attached as Exhibit 10.1 to the Company’s Form 8-K dated November 10, 2021.</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selling securityholder may, from time to time, sell any or all of the shares of Class A common stock beneficially owned by it and offered hereby.</w:t>
      </w:r>
    </w:p>
    <w:p>
      <w:pPr>
        <w:spacing w:after="0" w:line="156" w:lineRule="exact"/>
        <w:rPr>
          <w:sz w:val="20"/>
          <w:szCs w:val="20"/>
          <w:color w:val="auto"/>
        </w:rPr>
      </w:pPr>
    </w:p>
    <w:p>
      <w:pPr>
        <w:ind w:right="320" w:firstLine="324"/>
        <w:spacing w:after="0" w:line="235" w:lineRule="auto"/>
        <w:rPr>
          <w:sz w:val="20"/>
          <w:szCs w:val="20"/>
          <w:color w:val="auto"/>
        </w:rPr>
      </w:pPr>
      <w:r>
        <w:rPr>
          <w:rFonts w:ascii="Arial" w:cs="Arial" w:eastAsia="Arial" w:hAnsi="Arial"/>
          <w:sz w:val="18"/>
          <w:szCs w:val="18"/>
          <w:color w:val="auto"/>
        </w:rPr>
        <w:t>The sales may be made on one or more exchanges or in the over-the-counter market or otherwise, at prices and at terms then prevailing or at prices related to the then current market price, or in negotiated transactions.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selling securityholder may effect such transactions by selling the shares of Class A common stock to or through broker-dealers. The shares of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may be sold through broker-dealers by one or more of, or a combination of, the following:</w:t>
      </w:r>
    </w:p>
    <w:p>
      <w:pPr>
        <w:spacing w:after="0" w:line="142" w:lineRule="exact"/>
        <w:rPr>
          <w:sz w:val="20"/>
          <w:szCs w:val="20"/>
          <w:color w:val="auto"/>
        </w:rPr>
      </w:pPr>
    </w:p>
    <w:p>
      <w:pPr>
        <w:ind w:left="660" w:right="40" w:hanging="328"/>
        <w:spacing w:after="0" w:line="23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block trade in which the broker-dealer so engaged will attempt to sell the shares of Class A common stock as agent but may position and resell a portion of the block as principal to facilitate the transaction;</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account;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44" w:lineRule="exact"/>
        <w:rPr>
          <w:sz w:val="20"/>
          <w:szCs w:val="20"/>
          <w:color w:val="auto"/>
        </w:rPr>
      </w:pPr>
    </w:p>
    <w:p>
      <w:pPr>
        <w:ind w:right="60" w:firstLine="324"/>
        <w:spacing w:after="0" w:line="235" w:lineRule="auto"/>
        <w:rPr>
          <w:sz w:val="20"/>
          <w:szCs w:val="20"/>
          <w:color w:val="auto"/>
        </w:rPr>
      </w:pPr>
      <w:r>
        <w:rPr>
          <w:rFonts w:ascii="Arial" w:cs="Arial" w:eastAsia="Arial" w:hAnsi="Arial"/>
          <w:sz w:val="18"/>
          <w:szCs w:val="18"/>
          <w:color w:val="auto"/>
        </w:rPr>
        <w:t>The selling securityholder may also sell shares under Rule 144 under the Securities Act of 1933, as amended (the “Securities Act”), if available, rather than under this prospectus supplement.</w:t>
      </w:r>
    </w:p>
    <w:p>
      <w:pPr>
        <w:spacing w:after="0" w:line="121" w:lineRule="exact"/>
        <w:rPr>
          <w:sz w:val="20"/>
          <w:szCs w:val="20"/>
          <w:color w:val="auto"/>
        </w:rPr>
      </w:pPr>
    </w:p>
    <w:p>
      <w:pPr>
        <w:ind w:right="640" w:firstLine="324"/>
        <w:spacing w:after="0" w:line="235" w:lineRule="auto"/>
        <w:rPr>
          <w:sz w:val="20"/>
          <w:szCs w:val="20"/>
          <w:color w:val="auto"/>
        </w:rPr>
      </w:pPr>
      <w:r>
        <w:rPr>
          <w:rFonts w:ascii="Arial" w:cs="Arial" w:eastAsia="Arial" w:hAnsi="Arial"/>
          <w:sz w:val="18"/>
          <w:szCs w:val="18"/>
          <w:color w:val="auto"/>
        </w:rPr>
        <w:t>The selling securityholder also may transfer the shares of Class A common stock in other circumstances, in which case the transferees or other successors in interest will be the selling beneficial owners for purposes of this prospectus.</w:t>
      </w:r>
    </w:p>
    <w:p>
      <w:pPr>
        <w:spacing w:after="0" w:line="135" w:lineRule="exact"/>
        <w:rPr>
          <w:sz w:val="20"/>
          <w:szCs w:val="20"/>
          <w:color w:val="auto"/>
        </w:rPr>
      </w:pPr>
    </w:p>
    <w:p>
      <w:pPr>
        <w:ind w:right="260" w:firstLine="324"/>
        <w:spacing w:after="0" w:line="235" w:lineRule="auto"/>
        <w:rPr>
          <w:sz w:val="20"/>
          <w:szCs w:val="20"/>
          <w:color w:val="auto"/>
        </w:rPr>
      </w:pPr>
      <w:r>
        <w:rPr>
          <w:rFonts w:ascii="Arial" w:cs="Arial" w:eastAsia="Arial" w:hAnsi="Arial"/>
          <w:sz w:val="18"/>
          <w:szCs w:val="18"/>
          <w:color w:val="auto"/>
        </w:rPr>
        <w:t>The selling securityholder may enter into derivative or hedging transactions with respect to the shares or pledge the shares to secure debts and other obligations (including obligations associated with derivatives transactions).</w:t>
      </w:r>
    </w:p>
    <w:p>
      <w:pPr>
        <w:spacing w:after="0" w:line="121" w:lineRule="exact"/>
        <w:rPr>
          <w:sz w:val="20"/>
          <w:szCs w:val="20"/>
          <w:color w:val="auto"/>
        </w:rPr>
      </w:pPr>
    </w:p>
    <w:p>
      <w:pPr>
        <w:ind w:right="280" w:firstLine="324"/>
        <w:spacing w:after="0" w:line="219" w:lineRule="auto"/>
        <w:rPr>
          <w:sz w:val="20"/>
          <w:szCs w:val="20"/>
          <w:color w:val="auto"/>
        </w:rPr>
      </w:pPr>
      <w:r>
        <w:rPr>
          <w:rFonts w:ascii="Arial" w:cs="Arial" w:eastAsia="Arial" w:hAnsi="Arial"/>
          <w:sz w:val="18"/>
          <w:szCs w:val="18"/>
          <w:color w:val="auto"/>
        </w:rPr>
        <w:t>The selling securityholder and any broker-dealers, agents or derivatives or hedging counterparties that are involved in selling the shares may be deemed to be “underwriters” within the meaning of the Securities Act in connection with such sales. In such event, any commissions received by such broker-dealers, agents or counterparties and any profit on the resale of the shares purchased by them may be deemed to be underwriting commissions or discounts under the Securities Act.</w:t>
      </w:r>
    </w:p>
    <w:p>
      <w:pPr>
        <w:spacing w:after="0" w:line="122" w:lineRule="exact"/>
        <w:rPr>
          <w:sz w:val="20"/>
          <w:szCs w:val="20"/>
          <w:color w:val="auto"/>
        </w:rPr>
      </w:pPr>
    </w:p>
    <w:p>
      <w:pPr>
        <w:ind w:firstLine="324"/>
        <w:spacing w:after="0" w:line="216" w:lineRule="auto"/>
        <w:rPr>
          <w:sz w:val="20"/>
          <w:szCs w:val="20"/>
          <w:color w:val="auto"/>
        </w:rPr>
      </w:pPr>
      <w:r>
        <w:rPr>
          <w:rFonts w:ascii="Arial" w:cs="Arial" w:eastAsia="Arial" w:hAnsi="Arial"/>
          <w:sz w:val="18"/>
          <w:szCs w:val="18"/>
          <w:color w:val="auto"/>
        </w:rPr>
        <w:t>The selling securityholder has informed us that it does not have any agreement or understanding, directly or indirectly, with any person to distribute the Class A common stock. If the selling securityholder notifies us that a material arrangement has been entered into with a broker-dealer or other person deemed an “underwriter” for the sale of shares through a block trade, special offering or secondary distribution, a purchase by a broker or dealer or certain derivative or hedging transactions, we may be required to file a prospectus supplement pursuant to the applicable rules promulgated under the Securities Act.</w:t>
      </w:r>
    </w:p>
    <w:p>
      <w:pPr>
        <w:spacing w:after="0" w:line="135" w:lineRule="exact"/>
        <w:rPr>
          <w:sz w:val="20"/>
          <w:szCs w:val="20"/>
          <w:color w:val="auto"/>
        </w:rPr>
      </w:pPr>
    </w:p>
    <w:p>
      <w:pPr>
        <w:ind w:right="700" w:firstLine="324"/>
        <w:spacing w:after="0" w:line="235" w:lineRule="auto"/>
        <w:rPr>
          <w:sz w:val="20"/>
          <w:szCs w:val="20"/>
          <w:color w:val="auto"/>
        </w:rPr>
      </w:pPr>
      <w:r>
        <w:rPr>
          <w:rFonts w:ascii="Arial" w:cs="Arial" w:eastAsia="Arial" w:hAnsi="Arial"/>
          <w:sz w:val="18"/>
          <w:szCs w:val="18"/>
          <w:color w:val="auto"/>
        </w:rPr>
        <w:t>There can be no assurance that the selling securityholder will sell any or all of the shares of Class A common stock registered pursuant to this prospectus supplement and the shelf registration statement of which the accompanying prospectus forms a part.</w:t>
      </w:r>
    </w:p>
    <w:p>
      <w:pPr>
        <w:spacing w:after="0" w:line="121" w:lineRule="exact"/>
        <w:rPr>
          <w:sz w:val="20"/>
          <w:szCs w:val="20"/>
          <w:color w:val="auto"/>
        </w:rPr>
      </w:pPr>
    </w:p>
    <w:p>
      <w:pPr>
        <w:ind w:right="40" w:firstLine="324"/>
        <w:spacing w:after="0" w:line="216" w:lineRule="auto"/>
        <w:rPr>
          <w:sz w:val="20"/>
          <w:szCs w:val="20"/>
          <w:color w:val="auto"/>
        </w:rPr>
      </w:pPr>
      <w:r>
        <w:rPr>
          <w:rFonts w:ascii="Arial" w:cs="Arial" w:eastAsia="Arial" w:hAnsi="Arial"/>
          <w:sz w:val="18"/>
          <w:szCs w:val="18"/>
          <w:color w:val="auto"/>
        </w:rPr>
        <w:t>We are required to pay registration expenses relating to the registration of the shares of Class A common stock covered by this prospectus supplement, other than underwriting discounts and selling commissions. We have agreed to indemnify the selling securityholder against certain losses, claims, damages and liabilities, including liabilities under the Securities Act, or the selling securityholder may be entitled to contribution. We may be indemnified by the selling securityholder against civil liabilities, including liabilities under the Securities Act that may arise from written information furnished to us by the selling securityholder specifically for use in this prospectus supplement.</w:t>
      </w:r>
    </w:p>
    <w:p>
      <w:pPr>
        <w:spacing w:after="0" w:line="122" w:lineRule="exact"/>
        <w:rPr>
          <w:sz w:val="20"/>
          <w:szCs w:val="20"/>
          <w:color w:val="auto"/>
        </w:rPr>
      </w:pPr>
    </w:p>
    <w:p>
      <w:pPr>
        <w:ind w:right="200" w:firstLine="324"/>
        <w:spacing w:after="0" w:line="235" w:lineRule="auto"/>
        <w:rPr>
          <w:sz w:val="20"/>
          <w:szCs w:val="20"/>
          <w:color w:val="auto"/>
        </w:rPr>
      </w:pPr>
      <w:r>
        <w:rPr>
          <w:rFonts w:ascii="Arial" w:cs="Arial" w:eastAsia="Arial" w:hAnsi="Arial"/>
          <w:sz w:val="18"/>
          <w:szCs w:val="18"/>
          <w:color w:val="auto"/>
        </w:rPr>
        <w:t>We may restrict or suspend offers and sales or other dispositions of the shares under this prospectus supplement, at any time from and after the filing date of this prospectus supplement, subject to certain terms and conditions.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320" w:top="1408" w:right="359" w:bottom="1440" w:gutter="0" w:footer="0" w:header="0"/>
        </w:sectPr>
      </w:pPr>
    </w:p>
    <w:bookmarkStart w:id="5" w:name="page6"/>
    <w:bookmarkEnd w:id="5"/>
    <w:p>
      <w:pPr>
        <w:spacing w:after="0" w:line="235" w:lineRule="auto"/>
        <w:rPr>
          <w:sz w:val="20"/>
          <w:szCs w:val="20"/>
          <w:color w:val="auto"/>
        </w:rPr>
      </w:pPr>
      <w:r>
        <w:rPr>
          <w:rFonts w:ascii="Arial" w:cs="Arial" w:eastAsia="Arial" w:hAnsi="Arial"/>
          <w:sz w:val="18"/>
          <w:szCs w:val="18"/>
          <w:color w:val="auto"/>
        </w:rPr>
        <w:t>the event of such restriction or suspension, the selling securityholder will not be able to offer or sell or otherwise dispose of the shares of Class A common stock under this prospectus supplement.</w:t>
      </w:r>
    </w:p>
    <w:p>
      <w:pPr>
        <w:spacing w:after="0" w:line="121" w:lineRule="exact"/>
        <w:rPr>
          <w:sz w:val="20"/>
          <w:szCs w:val="20"/>
          <w:color w:val="auto"/>
        </w:rPr>
      </w:pPr>
    </w:p>
    <w:p>
      <w:pPr>
        <w:ind w:right="440" w:firstLine="324"/>
        <w:spacing w:after="0" w:line="235" w:lineRule="auto"/>
        <w:rPr>
          <w:sz w:val="20"/>
          <w:szCs w:val="20"/>
          <w:color w:val="auto"/>
        </w:rPr>
      </w:pPr>
      <w:r>
        <w:rPr>
          <w:rFonts w:ascii="Arial" w:cs="Arial" w:eastAsia="Arial" w:hAnsi="Arial"/>
          <w:sz w:val="18"/>
          <w:szCs w:val="18"/>
          <w:color w:val="auto"/>
        </w:rPr>
        <w:t>Once sold under this prospectus supplement, the shares of Class A common stock will be freely tradeable in the hands of persons other than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1408"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154305</wp:posOffset>
            </wp:positionV>
            <wp:extent cx="158559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55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AFFIRM HOLDINGS, INC.</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Debt Securities</w:t>
      </w:r>
    </w:p>
    <w:p>
      <w:pPr>
        <w:jc w:val="center"/>
        <w:ind w:right="-39"/>
        <w:spacing w:after="0" w:line="203" w:lineRule="auto"/>
        <w:rPr>
          <w:sz w:val="20"/>
          <w:szCs w:val="20"/>
          <w:color w:val="auto"/>
        </w:rPr>
      </w:pPr>
      <w:r>
        <w:rPr>
          <w:rFonts w:ascii="Arial" w:cs="Arial" w:eastAsia="Arial" w:hAnsi="Arial"/>
          <w:sz w:val="18"/>
          <w:szCs w:val="18"/>
          <w:b w:val="1"/>
          <w:bCs w:val="1"/>
          <w:color w:val="auto"/>
        </w:rPr>
        <w:t>Class A Common Stock</w:t>
      </w:r>
    </w:p>
    <w:p>
      <w:pPr>
        <w:jc w:val="center"/>
        <w:ind w:right="-39"/>
        <w:spacing w:after="0" w:line="203" w:lineRule="auto"/>
        <w:rPr>
          <w:sz w:val="20"/>
          <w:szCs w:val="20"/>
          <w:color w:val="auto"/>
        </w:rPr>
      </w:pPr>
      <w:r>
        <w:rPr>
          <w:rFonts w:ascii="Arial" w:cs="Arial" w:eastAsia="Arial" w:hAnsi="Arial"/>
          <w:sz w:val="18"/>
          <w:szCs w:val="18"/>
          <w:b w:val="1"/>
          <w:bCs w:val="1"/>
          <w:color w:val="auto"/>
        </w:rPr>
        <w:t>Preferred Stock</w:t>
      </w:r>
    </w:p>
    <w:p>
      <w:pPr>
        <w:jc w:val="center"/>
        <w:ind w:right="-39"/>
        <w:spacing w:after="0" w:line="204" w:lineRule="auto"/>
        <w:rPr>
          <w:sz w:val="20"/>
          <w:szCs w:val="20"/>
          <w:color w:val="auto"/>
        </w:rPr>
      </w:pPr>
      <w:r>
        <w:rPr>
          <w:rFonts w:ascii="Arial" w:cs="Arial" w:eastAsia="Arial" w:hAnsi="Arial"/>
          <w:sz w:val="18"/>
          <w:szCs w:val="18"/>
          <w:b w:val="1"/>
          <w:bCs w:val="1"/>
          <w:color w:val="auto"/>
        </w:rPr>
        <w:t>Warrants</w:t>
      </w:r>
    </w:p>
    <w:p>
      <w:pPr>
        <w:jc w:val="center"/>
        <w:ind w:right="-39"/>
        <w:spacing w:after="0" w:line="203" w:lineRule="auto"/>
        <w:rPr>
          <w:sz w:val="20"/>
          <w:szCs w:val="20"/>
          <w:color w:val="auto"/>
        </w:rPr>
      </w:pPr>
      <w:r>
        <w:rPr>
          <w:rFonts w:ascii="Arial" w:cs="Arial" w:eastAsia="Arial" w:hAnsi="Arial"/>
          <w:sz w:val="18"/>
          <w:szCs w:val="18"/>
          <w:b w:val="1"/>
          <w:bCs w:val="1"/>
          <w:color w:val="auto"/>
        </w:rPr>
        <w:t>Depositary Shares</w:t>
      </w:r>
    </w:p>
    <w:p>
      <w:pPr>
        <w:jc w:val="center"/>
        <w:ind w:right="-39"/>
        <w:spacing w:after="0" w:line="204" w:lineRule="auto"/>
        <w:rPr>
          <w:sz w:val="20"/>
          <w:szCs w:val="20"/>
          <w:color w:val="auto"/>
        </w:rPr>
      </w:pPr>
      <w:r>
        <w:rPr>
          <w:rFonts w:ascii="Arial" w:cs="Arial" w:eastAsia="Arial" w:hAnsi="Arial"/>
          <w:sz w:val="18"/>
          <w:szCs w:val="18"/>
          <w:b w:val="1"/>
          <w:bCs w:val="1"/>
          <w:color w:val="auto"/>
        </w:rPr>
        <w:t>Purchase Contracts</w:t>
      </w:r>
    </w:p>
    <w:p>
      <w:pPr>
        <w:jc w:val="center"/>
        <w:ind w:right="-39"/>
        <w:spacing w:after="0" w:line="203" w:lineRule="auto"/>
        <w:rPr>
          <w:sz w:val="20"/>
          <w:szCs w:val="20"/>
          <w:color w:val="auto"/>
        </w:rPr>
      </w:pPr>
      <w:r>
        <w:rPr>
          <w:rFonts w:ascii="Arial" w:cs="Arial" w:eastAsia="Arial" w:hAnsi="Arial"/>
          <w:sz w:val="18"/>
          <w:szCs w:val="18"/>
          <w:b w:val="1"/>
          <w:bCs w:val="1"/>
          <w:color w:val="auto"/>
        </w:rPr>
        <w:t>Guarantees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Units</w:t>
      </w:r>
    </w:p>
    <w:p>
      <w:pPr>
        <w:spacing w:after="0" w:line="200" w:lineRule="exact"/>
        <w:rPr>
          <w:sz w:val="20"/>
          <w:szCs w:val="20"/>
          <w:color w:val="auto"/>
        </w:rPr>
      </w:pPr>
    </w:p>
    <w:p>
      <w:pPr>
        <w:spacing w:after="0" w:line="239" w:lineRule="exact"/>
        <w:rPr>
          <w:sz w:val="20"/>
          <w:szCs w:val="20"/>
          <w:color w:val="auto"/>
        </w:rPr>
      </w:pPr>
    </w:p>
    <w:p>
      <w:pPr>
        <w:jc w:val="both"/>
        <w:ind w:right="40" w:firstLine="324"/>
        <w:spacing w:after="0" w:line="249" w:lineRule="auto"/>
        <w:rPr>
          <w:sz w:val="20"/>
          <w:szCs w:val="20"/>
          <w:color w:val="auto"/>
        </w:rPr>
      </w:pPr>
      <w:r>
        <w:rPr>
          <w:rFonts w:ascii="Arial" w:cs="Arial" w:eastAsia="Arial" w:hAnsi="Arial"/>
          <w:sz w:val="16"/>
          <w:szCs w:val="16"/>
          <w:color w:val="auto"/>
        </w:rPr>
        <w:t>This prospectus relates to debt securities, shares of our Class A common stock, par value $0.00001 per share (“Class A common stock”), shares of our preferred stock, par value $0.00001 per share (“preferred stock”), warrants, depositary shares, purchase contracts, guarantees and units which we may offer and sell from time to time in one or more offerings. In addition, one or more selling securityholders named in any supplement to this prospectus may offer and sell such securities from time to time. We will not receive any of the proceeds from the sale of securities by any selling securityholder.</w:t>
      </w:r>
    </w:p>
    <w:p>
      <w:pPr>
        <w:spacing w:after="0" w:line="114" w:lineRule="exact"/>
        <w:rPr>
          <w:sz w:val="20"/>
          <w:szCs w:val="20"/>
          <w:color w:val="auto"/>
        </w:rPr>
      </w:pPr>
    </w:p>
    <w:p>
      <w:pPr>
        <w:jc w:val="both"/>
        <w:ind w:right="120" w:firstLine="324"/>
        <w:spacing w:after="0" w:line="224" w:lineRule="auto"/>
        <w:rPr>
          <w:sz w:val="20"/>
          <w:szCs w:val="20"/>
          <w:color w:val="auto"/>
        </w:rPr>
      </w:pPr>
      <w:r>
        <w:rPr>
          <w:rFonts w:ascii="Arial" w:cs="Arial" w:eastAsia="Arial" w:hAnsi="Arial"/>
          <w:sz w:val="18"/>
          <w:szCs w:val="18"/>
          <w:color w:val="auto"/>
        </w:rPr>
        <w:t>If required, we will provide the specific prices and terms of these securities in one or more supplements to this prospectus at the time of offering. You should read this prospectus, any applicable prospectus supplement and any applicable free writing prospectus carefully before you make your investment decision.</w:t>
      </w:r>
    </w:p>
    <w:p>
      <w:pPr>
        <w:spacing w:after="0" w:line="118" w:lineRule="exact"/>
        <w:rPr>
          <w:sz w:val="20"/>
          <w:szCs w:val="20"/>
          <w:color w:val="auto"/>
        </w:rPr>
      </w:pPr>
    </w:p>
    <w:p>
      <w:pPr>
        <w:ind w:right="140" w:firstLine="324"/>
        <w:spacing w:after="0" w:line="226" w:lineRule="auto"/>
        <w:rPr>
          <w:sz w:val="20"/>
          <w:szCs w:val="20"/>
          <w:color w:val="auto"/>
        </w:rPr>
      </w:pPr>
      <w:r>
        <w:rPr>
          <w:rFonts w:ascii="Arial" w:cs="Arial" w:eastAsia="Arial" w:hAnsi="Arial"/>
          <w:sz w:val="18"/>
          <w:szCs w:val="18"/>
          <w:b w:val="1"/>
          <w:bCs w:val="1"/>
          <w:color w:val="auto"/>
        </w:rPr>
        <w:t>Investing in our securities involves a number of risks. See “Risk Factors” on page 8, as well as the other information contained or incorporated by reference in this prospectus, any applicable prospectus supplement and any applicable free writing prospectus, before you make your investment decision.</w:t>
      </w:r>
    </w:p>
    <w:p>
      <w:pPr>
        <w:spacing w:after="0" w:line="135" w:lineRule="exact"/>
        <w:rPr>
          <w:sz w:val="20"/>
          <w:szCs w:val="20"/>
          <w:color w:val="auto"/>
        </w:rPr>
      </w:pPr>
    </w:p>
    <w:p>
      <w:pPr>
        <w:ind w:firstLine="324"/>
        <w:spacing w:after="0" w:line="237" w:lineRule="auto"/>
        <w:rPr>
          <w:sz w:val="20"/>
          <w:szCs w:val="20"/>
          <w:color w:val="auto"/>
        </w:rPr>
      </w:pPr>
      <w:r>
        <w:rPr>
          <w:rFonts w:ascii="Arial" w:cs="Arial" w:eastAsia="Arial" w:hAnsi="Arial"/>
          <w:sz w:val="17"/>
          <w:szCs w:val="17"/>
          <w:color w:val="auto"/>
        </w:rPr>
        <w:t>We or any selling securityholder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123" w:lineRule="exact"/>
        <w:rPr>
          <w:sz w:val="20"/>
          <w:szCs w:val="20"/>
          <w:color w:val="auto"/>
        </w:rPr>
      </w:pPr>
    </w:p>
    <w:p>
      <w:pPr>
        <w:ind w:right="20" w:firstLine="324"/>
        <w:spacing w:after="0" w:line="235" w:lineRule="auto"/>
        <w:rPr>
          <w:sz w:val="20"/>
          <w:szCs w:val="20"/>
          <w:color w:val="auto"/>
        </w:rPr>
      </w:pPr>
      <w:r>
        <w:rPr>
          <w:rFonts w:ascii="Arial" w:cs="Arial" w:eastAsia="Arial" w:hAnsi="Arial"/>
          <w:sz w:val="18"/>
          <w:szCs w:val="18"/>
          <w:color w:val="auto"/>
        </w:rPr>
        <w:t>Our Class A common stock is listed on The Nasdaq Global Select Market (“Nasdaq”) under the trading symbol “AFRM.” Each prospectus supplement will indicate whether the securities offered thereby will be listed on any securities exchange.</w:t>
      </w:r>
    </w:p>
    <w:p>
      <w:pPr>
        <w:spacing w:after="0" w:line="117" w:lineRule="exact"/>
        <w:rPr>
          <w:sz w:val="20"/>
          <w:szCs w:val="20"/>
          <w:color w:val="auto"/>
        </w:rPr>
      </w:pPr>
    </w:p>
    <w:p>
      <w:pPr>
        <w:ind w:right="280" w:firstLine="324"/>
        <w:spacing w:after="0" w:line="22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applicable prospectus supplement is truthful or complete. Any representation to the contrary is a criminal offense.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March 3, 2022</w:t>
      </w:r>
    </w:p>
    <w:p>
      <w:pPr>
        <w:sectPr>
          <w:pgSz w:w="11900" w:h="16838" w:orient="portrait"/>
          <w:cols w:equalWidth="0" w:num="1">
            <w:col w:w="11220"/>
          </w:cols>
          <w:pgMar w:left="320" w:top="1404"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80" w:type="dxa"/>
            <w:vAlign w:val="bottom"/>
            <w:gridSpan w:val="2"/>
          </w:tcPr>
          <w:p>
            <w:pPr>
              <w:ind w:left="82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43"/>
        </w:trPr>
        <w:tc>
          <w:tcPr>
            <w:tcW w:w="2240" w:type="dxa"/>
            <w:vAlign w:val="bottom"/>
            <w:gridSpan w:val="6"/>
          </w:tcPr>
          <w:p>
            <w:pPr>
              <w:spacing w:after="0"/>
              <w:rPr>
                <w:rFonts w:ascii="Arial" w:cs="Arial" w:eastAsia="Arial" w:hAnsi="Arial"/>
                <w:sz w:val="18"/>
                <w:szCs w:val="18"/>
                <w:color w:val="0000FF"/>
                <w:w w:val="93"/>
              </w:rPr>
            </w:pPr>
            <w:hyperlink w:anchor="page8">
              <w:r>
                <w:rPr>
                  <w:rFonts w:ascii="Arial" w:cs="Arial" w:eastAsia="Arial" w:hAnsi="Arial"/>
                  <w:sz w:val="18"/>
                  <w:szCs w:val="18"/>
                  <w:color w:val="0000FF"/>
                  <w:w w:val="93"/>
                </w:rPr>
                <w:t>ABOUT THIS PROSPECTUS</w:t>
              </w:r>
            </w:hyperlink>
          </w:p>
        </w:tc>
        <w:tc>
          <w:tcPr>
            <w:tcW w:w="6460" w:type="dxa"/>
            <w:vAlign w:val="bottom"/>
            <w:gridSpan w:val="7"/>
          </w:tcPr>
          <w:p>
            <w:pPr>
              <w:spacing w:after="0"/>
              <w:rPr>
                <w:sz w:val="21"/>
                <w:szCs w:val="21"/>
                <w:color w:val="auto"/>
              </w:rPr>
            </w:pPr>
          </w:p>
        </w:tc>
        <w:tc>
          <w:tcPr>
            <w:tcW w:w="250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3</w:t>
              </w:r>
            </w:hyperlink>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1"/>
        </w:trPr>
        <w:tc>
          <w:tcPr>
            <w:tcW w:w="3820" w:type="dxa"/>
            <w:vAlign w:val="bottom"/>
            <w:gridSpan w:val="11"/>
          </w:tcPr>
          <w:p>
            <w:pPr>
              <w:spacing w:after="0"/>
              <w:rPr>
                <w:rFonts w:ascii="Arial" w:cs="Arial" w:eastAsia="Arial" w:hAnsi="Arial"/>
                <w:sz w:val="18"/>
                <w:szCs w:val="18"/>
                <w:color w:val="0000FF"/>
                <w:w w:val="97"/>
              </w:rPr>
            </w:pPr>
            <w:hyperlink w:anchor="page9">
              <w:r>
                <w:rPr>
                  <w:rFonts w:ascii="Arial" w:cs="Arial" w:eastAsia="Arial" w:hAnsi="Arial"/>
                  <w:sz w:val="18"/>
                  <w:szCs w:val="18"/>
                  <w:color w:val="0000FF"/>
                  <w:w w:val="97"/>
                </w:rPr>
                <w:t>WHERE YOU CAN FIND MORE INFORMATION</w:t>
              </w:r>
            </w:hyperlink>
          </w:p>
        </w:tc>
        <w:tc>
          <w:tcPr>
            <w:tcW w:w="4880" w:type="dxa"/>
            <w:vAlign w:val="bottom"/>
            <w:gridSpan w:val="2"/>
          </w:tcPr>
          <w:p>
            <w:pPr>
              <w:spacing w:after="0"/>
              <w:rPr>
                <w:sz w:val="24"/>
                <w:szCs w:val="24"/>
                <w:color w:val="auto"/>
              </w:rPr>
            </w:pPr>
          </w:p>
        </w:tc>
        <w:tc>
          <w:tcPr>
            <w:tcW w:w="2500" w:type="dxa"/>
            <w:vAlign w:val="bottom"/>
            <w:gridSpan w:val="4"/>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4</w:t>
              </w:r>
            </w:hyperlink>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0"/>
        </w:trPr>
        <w:tc>
          <w:tcPr>
            <w:tcW w:w="8700" w:type="dxa"/>
            <w:vAlign w:val="bottom"/>
            <w:gridSpan w:val="13"/>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CAUTIONARY NOTE REGARDING FORWARD-LOOKING STATEMENTS</w:t>
              </w:r>
            </w:hyperlink>
          </w:p>
        </w:tc>
        <w:tc>
          <w:tcPr>
            <w:tcW w:w="2500" w:type="dxa"/>
            <w:vAlign w:val="bottom"/>
            <w:gridSpan w:val="4"/>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1"/>
        </w:trPr>
        <w:tc>
          <w:tcPr>
            <w:tcW w:w="5780" w:type="dxa"/>
            <w:vAlign w:val="bottom"/>
            <w:gridSpan w:val="12"/>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THE COMPANY</w:t>
              </w:r>
            </w:hyperlink>
          </w:p>
        </w:tc>
        <w:tc>
          <w:tcPr>
            <w:tcW w:w="2920" w:type="dxa"/>
            <w:vAlign w:val="bottom"/>
          </w:tcPr>
          <w:p>
            <w:pPr>
              <w:spacing w:after="0"/>
              <w:rPr>
                <w:sz w:val="24"/>
                <w:szCs w:val="24"/>
                <w:color w:val="auto"/>
              </w:rPr>
            </w:pPr>
          </w:p>
        </w:tc>
        <w:tc>
          <w:tcPr>
            <w:tcW w:w="2500" w:type="dxa"/>
            <w:vAlign w:val="bottom"/>
            <w:gridSpan w:val="4"/>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7</w:t>
              </w:r>
            </w:hyperlink>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0"/>
        </w:trPr>
        <w:tc>
          <w:tcPr>
            <w:tcW w:w="1260" w:type="dxa"/>
            <w:vAlign w:val="bottom"/>
            <w:gridSpan w:val="2"/>
          </w:tcPr>
          <w:p>
            <w:pPr>
              <w:spacing w:after="0"/>
              <w:rPr>
                <w:rFonts w:ascii="Arial" w:cs="Arial" w:eastAsia="Arial" w:hAnsi="Arial"/>
                <w:sz w:val="18"/>
                <w:szCs w:val="18"/>
                <w:color w:val="0000FF"/>
                <w:w w:val="91"/>
              </w:rPr>
            </w:pPr>
            <w:hyperlink w:anchor="page13">
              <w:r>
                <w:rPr>
                  <w:rFonts w:ascii="Arial" w:cs="Arial" w:eastAsia="Arial" w:hAnsi="Arial"/>
                  <w:sz w:val="18"/>
                  <w:szCs w:val="18"/>
                  <w:color w:val="0000FF"/>
                  <w:w w:val="91"/>
                </w:rPr>
                <w:t>RISK FACTORS</w:t>
              </w:r>
            </w:hyperlink>
          </w:p>
        </w:tc>
        <w:tc>
          <w:tcPr>
            <w:tcW w:w="7440" w:type="dxa"/>
            <w:vAlign w:val="bottom"/>
            <w:gridSpan w:val="11"/>
          </w:tcPr>
          <w:p>
            <w:pPr>
              <w:spacing w:after="0"/>
              <w:rPr>
                <w:sz w:val="24"/>
                <w:szCs w:val="24"/>
                <w:color w:val="auto"/>
              </w:rPr>
            </w:pPr>
          </w:p>
        </w:tc>
        <w:tc>
          <w:tcPr>
            <w:tcW w:w="2500" w:type="dxa"/>
            <w:vAlign w:val="bottom"/>
            <w:gridSpan w:val="4"/>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1"/>
        </w:trPr>
        <w:tc>
          <w:tcPr>
            <w:tcW w:w="8700" w:type="dxa"/>
            <w:vAlign w:val="bottom"/>
            <w:gridSpan w:val="13"/>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USE OF PROCEEDS</w:t>
              </w:r>
            </w:hyperlink>
          </w:p>
        </w:tc>
        <w:tc>
          <w:tcPr>
            <w:tcW w:w="2500" w:type="dxa"/>
            <w:vAlign w:val="bottom"/>
            <w:gridSpan w:val="4"/>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9</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1"/>
        </w:trPr>
        <w:tc>
          <w:tcPr>
            <w:tcW w:w="8700" w:type="dxa"/>
            <w:vAlign w:val="bottom"/>
            <w:gridSpan w:val="13"/>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DESCRIPTION OF DEBT SECURITIES</w:t>
              </w:r>
            </w:hyperlink>
          </w:p>
        </w:tc>
        <w:tc>
          <w:tcPr>
            <w:tcW w:w="2500" w:type="dxa"/>
            <w:vAlign w:val="bottom"/>
            <w:gridSpan w:val="4"/>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10</w:t>
              </w:r>
            </w:hyperlink>
          </w:p>
        </w:tc>
      </w:tr>
      <w:tr>
        <w:trPr>
          <w:trHeight w:val="290"/>
        </w:trPr>
        <w:tc>
          <w:tcPr>
            <w:tcW w:w="2880" w:type="dxa"/>
            <w:vAlign w:val="bottom"/>
            <w:tcBorders>
              <w:top w:val="single" w:sz="8" w:color="0000FF"/>
            </w:tcBorders>
            <w:gridSpan w:val="8"/>
          </w:tcPr>
          <w:p>
            <w:pPr>
              <w:spacing w:after="0"/>
              <w:rPr>
                <w:rFonts w:ascii="Arial" w:cs="Arial" w:eastAsia="Arial" w:hAnsi="Arial"/>
                <w:sz w:val="18"/>
                <w:szCs w:val="18"/>
                <w:color w:val="0000FF"/>
                <w:w w:val="95"/>
              </w:rPr>
            </w:pPr>
            <w:hyperlink w:anchor="page16">
              <w:r>
                <w:rPr>
                  <w:rFonts w:ascii="Arial" w:cs="Arial" w:eastAsia="Arial" w:hAnsi="Arial"/>
                  <w:sz w:val="18"/>
                  <w:szCs w:val="18"/>
                  <w:color w:val="0000FF"/>
                  <w:w w:val="95"/>
                </w:rPr>
                <w:t>DESCRIPTION OF CAPITAL STOCK</w:t>
              </w:r>
            </w:hyperlink>
          </w:p>
        </w:tc>
        <w:tc>
          <w:tcPr>
            <w:tcW w:w="140" w:type="dxa"/>
            <w:vAlign w:val="bottom"/>
            <w:tcBorders>
              <w:top w:val="single" w:sz="8" w:color="0000FF"/>
            </w:tcBorders>
          </w:tcPr>
          <w:p>
            <w:pPr>
              <w:spacing w:after="0"/>
              <w:rPr>
                <w:sz w:val="24"/>
                <w:szCs w:val="24"/>
                <w:color w:val="auto"/>
              </w:rPr>
            </w:pPr>
          </w:p>
        </w:tc>
        <w:tc>
          <w:tcPr>
            <w:tcW w:w="5680" w:type="dxa"/>
            <w:vAlign w:val="bottom"/>
            <w:gridSpan w:val="4"/>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91"/>
        </w:trPr>
        <w:tc>
          <w:tcPr>
            <w:tcW w:w="3160" w:type="dxa"/>
            <w:vAlign w:val="bottom"/>
            <w:tcBorders>
              <w:bottom w:val="single" w:sz="8" w:color="0000FF"/>
            </w:tcBorders>
            <w:gridSpan w:val="10"/>
          </w:tcPr>
          <w:p>
            <w:pPr>
              <w:spacing w:after="0"/>
              <w:rPr>
                <w:rFonts w:ascii="Arial" w:cs="Arial" w:eastAsia="Arial" w:hAnsi="Arial"/>
                <w:sz w:val="18"/>
                <w:szCs w:val="18"/>
                <w:color w:val="0000FF"/>
                <w:w w:val="93"/>
              </w:rPr>
            </w:pPr>
            <w:hyperlink w:anchor="page23">
              <w:r>
                <w:rPr>
                  <w:rFonts w:ascii="Arial" w:cs="Arial" w:eastAsia="Arial" w:hAnsi="Arial"/>
                  <w:sz w:val="18"/>
                  <w:szCs w:val="18"/>
                  <w:color w:val="0000FF"/>
                  <w:w w:val="93"/>
                </w:rPr>
                <w:t>DESCRIPTION OF OTHER SECURITIES</w:t>
              </w:r>
            </w:hyperlink>
          </w:p>
        </w:tc>
        <w:tc>
          <w:tcPr>
            <w:tcW w:w="5540" w:type="dxa"/>
            <w:vAlign w:val="bottom"/>
            <w:gridSpan w:val="3"/>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18</w:t>
              </w:r>
            </w:hyperlink>
          </w:p>
        </w:tc>
      </w:tr>
      <w:tr>
        <w:trPr>
          <w:trHeight w:val="290"/>
        </w:trPr>
        <w:tc>
          <w:tcPr>
            <w:tcW w:w="8700" w:type="dxa"/>
            <w:vAlign w:val="bottom"/>
            <w:gridSpan w:val="1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SELLING SECURITYHOLDERS</w:t>
              </w:r>
            </w:hyperlink>
          </w:p>
        </w:tc>
        <w:tc>
          <w:tcPr>
            <w:tcW w:w="2500" w:type="dxa"/>
            <w:vAlign w:val="bottom"/>
            <w:gridSpan w:val="4"/>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19</w:t>
              </w:r>
            </w:hyperlink>
          </w:p>
        </w:tc>
      </w:tr>
      <w:tr>
        <w:trPr>
          <w:trHeight w:val="291"/>
        </w:trPr>
        <w:tc>
          <w:tcPr>
            <w:tcW w:w="20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7"/>
              </w:rPr>
            </w:pPr>
            <w:hyperlink w:anchor="page25">
              <w:r>
                <w:rPr>
                  <w:rFonts w:ascii="Arial" w:cs="Arial" w:eastAsia="Arial" w:hAnsi="Arial"/>
                  <w:sz w:val="18"/>
                  <w:szCs w:val="18"/>
                  <w:color w:val="0000FF"/>
                  <w:w w:val="97"/>
                </w:rPr>
                <w:t>PLAN OF DISTRIBUTION</w:t>
              </w:r>
            </w:hyperlink>
          </w:p>
        </w:tc>
        <w:tc>
          <w:tcPr>
            <w:tcW w:w="440" w:type="dxa"/>
            <w:vAlign w:val="bottom"/>
            <w:tcBorders>
              <w:top w:val="single" w:sz="8" w:color="0000FF"/>
            </w:tcBorders>
            <w:gridSpan w:val="2"/>
          </w:tcPr>
          <w:p>
            <w:pPr>
              <w:spacing w:after="0"/>
              <w:rPr>
                <w:sz w:val="24"/>
                <w:szCs w:val="24"/>
                <w:color w:val="auto"/>
              </w:rPr>
            </w:pPr>
          </w:p>
        </w:tc>
        <w:tc>
          <w:tcPr>
            <w:tcW w:w="6200" w:type="dxa"/>
            <w:vAlign w:val="bottom"/>
            <w:gridSpan w:val="6"/>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20</w:t>
              </w:r>
            </w:hyperlink>
          </w:p>
        </w:tc>
      </w:tr>
      <w:tr>
        <w:trPr>
          <w:trHeight w:val="290"/>
        </w:trPr>
        <w:tc>
          <w:tcPr>
            <w:tcW w:w="8700" w:type="dxa"/>
            <w:vAlign w:val="bottom"/>
            <w:gridSpan w:val="13"/>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MATTERS</w:t>
              </w:r>
            </w:hyperlink>
          </w:p>
        </w:tc>
        <w:tc>
          <w:tcPr>
            <w:tcW w:w="250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23</w:t>
              </w:r>
            </w:hyperlink>
          </w:p>
        </w:tc>
      </w:tr>
      <w:tr>
        <w:trPr>
          <w:trHeight w:val="291"/>
        </w:trPr>
        <w:tc>
          <w:tcPr>
            <w:tcW w:w="7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EXPERTS</w:t>
              </w:r>
            </w:hyperlink>
          </w:p>
        </w:tc>
        <w:tc>
          <w:tcPr>
            <w:tcW w:w="680" w:type="dxa"/>
            <w:vAlign w:val="bottom"/>
            <w:tcBorders>
              <w:top w:val="single" w:sz="8" w:color="0000FF"/>
            </w:tcBorders>
            <w:gridSpan w:val="2"/>
          </w:tcPr>
          <w:p>
            <w:pPr>
              <w:spacing w:after="0"/>
              <w:rPr>
                <w:sz w:val="24"/>
                <w:szCs w:val="24"/>
                <w:color w:val="auto"/>
              </w:rPr>
            </w:pPr>
          </w:p>
        </w:tc>
        <w:tc>
          <w:tcPr>
            <w:tcW w:w="7240" w:type="dxa"/>
            <w:vAlign w:val="bottom"/>
            <w:gridSpan w:val="10"/>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40" w:top="1404" w:right="359" w:bottom="1440" w:gutter="0" w:footer="0" w:header="0"/>
        </w:sectPr>
      </w:pPr>
    </w:p>
    <w:bookmarkStart w:id="8" w:name="page9"/>
    <w:bookmarkEnd w:id="8"/>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right="40" w:firstLine="324"/>
        <w:spacing w:after="0" w:line="236" w:lineRule="auto"/>
        <w:rPr>
          <w:sz w:val="20"/>
          <w:szCs w:val="20"/>
          <w:color w:val="auto"/>
        </w:rPr>
      </w:pPr>
      <w:r>
        <w:rPr>
          <w:rFonts w:ascii="Arial" w:cs="Arial" w:eastAsia="Arial" w:hAnsi="Arial"/>
          <w:sz w:val="16"/>
          <w:szCs w:val="16"/>
          <w:color w:val="auto"/>
        </w:rPr>
        <w:t>This prospectus is part of an “automatic shelf” registration statement on Form S-3 that we filed with the Securities and Exchange Commission (the “SEC”) as a “well-known seasoned issuer” (“WKSI”) as defined in Rule 405 under the Securities Act of 1933, as amended (the “Securities Act”). Under this shelf registration process, we may sell from time to time any combination of the securities described in this prospectus. In addition, one or more selling securityholders may sell from time to time any combination of the securities described in this prospectus in one or more offerings. This prospectus only provides you with a general description of the securities that we or any selling securityholder may offer. Each time we or any selling securityholder offers, issues or sells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and any applicable prospectus supplement and/or free writing prospectus prepared by or on behalf of us, together with the additional information described under the heading “Where You Can Find More Information.”</w:t>
      </w:r>
    </w:p>
    <w:p>
      <w:pPr>
        <w:spacing w:after="0" w:line="127" w:lineRule="exact"/>
        <w:rPr>
          <w:sz w:val="20"/>
          <w:szCs w:val="20"/>
          <w:color w:val="auto"/>
        </w:rPr>
      </w:pPr>
    </w:p>
    <w:p>
      <w:pPr>
        <w:ind w:firstLine="324"/>
        <w:spacing w:after="0" w:line="214" w:lineRule="auto"/>
        <w:rPr>
          <w:sz w:val="20"/>
          <w:szCs w:val="20"/>
          <w:color w:val="auto"/>
        </w:rPr>
      </w:pPr>
      <w:r>
        <w:rPr>
          <w:rFonts w:ascii="Arial" w:cs="Arial" w:eastAsia="Arial" w:hAnsi="Arial"/>
          <w:sz w:val="18"/>
          <w:szCs w:val="18"/>
          <w:color w:val="auto"/>
        </w:rPr>
        <w:t>Neither we nor any selling securityholder has authorized anyone to provide you with any information other than that contained in or incorporated by reference into this prospectus and any applicable prospectus supplement and/or free writing prospectus prepared by or on behalf of us. Neither we nor any selling securityholder takes responsibility for, and neither we nor any selling securityholder provides assurance as to the reliability of, any other information that others may give you. Neither we nor any selling securityholder is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21" w:lineRule="exact"/>
        <w:rPr>
          <w:sz w:val="20"/>
          <w:szCs w:val="20"/>
          <w:color w:val="auto"/>
        </w:rPr>
      </w:pPr>
    </w:p>
    <w:p>
      <w:pPr>
        <w:ind w:right="20" w:firstLine="324"/>
        <w:spacing w:after="0" w:line="235" w:lineRule="auto"/>
        <w:rPr>
          <w:sz w:val="20"/>
          <w:szCs w:val="20"/>
          <w:color w:val="auto"/>
        </w:rPr>
      </w:pPr>
      <w:r>
        <w:rPr>
          <w:rFonts w:ascii="Arial" w:cs="Arial" w:eastAsia="Arial" w:hAnsi="Arial"/>
          <w:sz w:val="18"/>
          <w:szCs w:val="18"/>
          <w:color w:val="auto"/>
        </w:rPr>
        <w:t>The information in this prospectus is accurate as of the date on the front cover. You should not assume that the information contained in this prospectus is accurate as of any other date.</w:t>
      </w:r>
    </w:p>
    <w:p>
      <w:pPr>
        <w:spacing w:after="0" w:line="121" w:lineRule="exact"/>
        <w:rPr>
          <w:sz w:val="20"/>
          <w:szCs w:val="20"/>
          <w:color w:val="auto"/>
        </w:rPr>
      </w:pPr>
    </w:p>
    <w:p>
      <w:pPr>
        <w:ind w:right="640" w:firstLine="324"/>
        <w:spacing w:after="0" w:line="235" w:lineRule="auto"/>
        <w:rPr>
          <w:sz w:val="20"/>
          <w:szCs w:val="20"/>
          <w:color w:val="auto"/>
        </w:rPr>
      </w:pPr>
      <w:r>
        <w:rPr>
          <w:rFonts w:ascii="Arial" w:cs="Arial" w:eastAsia="Arial" w:hAnsi="Arial"/>
          <w:sz w:val="18"/>
          <w:szCs w:val="18"/>
          <w:color w:val="auto"/>
        </w:rPr>
        <w:t>When used in this prospectus, the terms “Affirm,” “we,” “our” and “us” refer to Affirm Holdings, Inc. and its consolidated subsidiaries, unless otherwise specified or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right="420" w:firstLine="324"/>
        <w:spacing w:after="0" w:line="235" w:lineRule="auto"/>
        <w:rPr>
          <w:sz w:val="20"/>
          <w:szCs w:val="20"/>
          <w:color w:val="auto"/>
        </w:rPr>
      </w:pPr>
      <w:r>
        <w:rPr>
          <w:rFonts w:ascii="Arial" w:cs="Arial" w:eastAsia="Arial" w:hAnsi="Arial"/>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135" w:lineRule="exact"/>
        <w:rPr>
          <w:sz w:val="20"/>
          <w:szCs w:val="20"/>
          <w:color w:val="auto"/>
        </w:rPr>
      </w:pPr>
    </w:p>
    <w:p>
      <w:pPr>
        <w:ind w:firstLine="324"/>
        <w:spacing w:after="0" w:line="212" w:lineRule="auto"/>
        <w:rPr>
          <w:sz w:val="20"/>
          <w:szCs w:val="20"/>
          <w:color w:val="auto"/>
        </w:rPr>
      </w:pPr>
      <w:r>
        <w:rPr>
          <w:rFonts w:ascii="Arial" w:cs="Arial" w:eastAsia="Arial" w:hAnsi="Arial"/>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12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June 30, 2021, filed with the SEC on September 17, 2021;</w:t>
      </w:r>
    </w:p>
    <w:p>
      <w:pPr>
        <w:spacing w:after="0" w:line="144" w:lineRule="exact"/>
        <w:rPr>
          <w:rFonts w:ascii="Arial" w:cs="Arial" w:eastAsia="Arial" w:hAnsi="Arial"/>
          <w:sz w:val="18"/>
          <w:szCs w:val="18"/>
          <w:color w:val="auto"/>
        </w:rPr>
      </w:pPr>
    </w:p>
    <w:p>
      <w:pPr>
        <w:ind w:left="660" w:right="180" w:hanging="328"/>
        <w:spacing w:after="0" w:line="23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September 30, 2021 and December 31, 2021, filed with the SEC on November 15, 2021 and February 14, 2022, respectively;</w:t>
      </w:r>
    </w:p>
    <w:p>
      <w:pPr>
        <w:spacing w:after="0" w:line="134" w:lineRule="exact"/>
        <w:rPr>
          <w:rFonts w:ascii="Arial" w:cs="Arial" w:eastAsia="Arial" w:hAnsi="Arial"/>
          <w:sz w:val="18"/>
          <w:szCs w:val="18"/>
          <w:color w:val="auto"/>
        </w:rPr>
      </w:pPr>
    </w:p>
    <w:p>
      <w:pPr>
        <w:jc w:val="both"/>
        <w:ind w:left="660" w:right="260" w:hanging="328"/>
        <w:spacing w:after="0" w:line="22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October 20, 2021, November 10, 2021 (solely with respect to Items 1.01 and 3.02 and Exhibits 4.1, 4.2, 10.1 and 10.2 of Item 9.01), November 18, 2021, November 19, 2021, November 23, 2021, December 7, 2021, December 13, 2021 and February 10, 2022;</w:t>
      </w:r>
    </w:p>
    <w:p>
      <w:pPr>
        <w:spacing w:after="0" w:line="122"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Registration Statement on Form 8-A for registration of Class A common stock pursuant to Section 12(b) of the Exchange Act, filed on January 13, 2021 (SEC File No. 001-39888), as updated by Exhibit 4.1 to our Annual Report on Form 10-K for the fiscal year ended June 30, 2021, filed with the SEC on September 17, 2021, together with any amendment or report filed for the purpose of updating such description; and</w:t>
      </w:r>
    </w:p>
    <w:p>
      <w:pPr>
        <w:spacing w:after="0" w:line="106" w:lineRule="exact"/>
        <w:rPr>
          <w:rFonts w:ascii="Arial" w:cs="Arial" w:eastAsia="Arial" w:hAnsi="Arial"/>
          <w:sz w:val="16"/>
          <w:szCs w:val="16"/>
          <w:color w:val="auto"/>
        </w:rPr>
      </w:pPr>
    </w:p>
    <w:p>
      <w:pPr>
        <w:ind w:left="660" w:right="60" w:hanging="328"/>
        <w:spacing w:after="0" w:line="23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portions of our Definitive Proxy Statement on Schedule 14A for our 2021 Annual Meeting of Shareholders, filed with the SEC on October 20, 2021, that are incorporated by reference into our Annual Report on Form 10-K for the fiscal year ended June 30, 2021.</w:t>
      </w:r>
    </w:p>
    <w:p>
      <w:pPr>
        <w:spacing w:after="0" w:line="135" w:lineRule="exact"/>
        <w:rPr>
          <w:sz w:val="20"/>
          <w:szCs w:val="20"/>
          <w:color w:val="auto"/>
        </w:rPr>
      </w:pPr>
    </w:p>
    <w:p>
      <w:pPr>
        <w:ind w:right="100" w:firstLine="324"/>
        <w:spacing w:after="0" w:line="249" w:lineRule="auto"/>
        <w:rPr>
          <w:sz w:val="20"/>
          <w:szCs w:val="20"/>
          <w:color w:val="auto"/>
        </w:rPr>
      </w:pPr>
      <w:r>
        <w:rPr>
          <w:rFonts w:ascii="Arial" w:cs="Arial" w:eastAsia="Arial" w:hAnsi="Arial"/>
          <w:sz w:val="16"/>
          <w:szCs w:val="16"/>
          <w:color w:val="auto"/>
        </w:rPr>
        <w:t>All documents filed by us pursuant to Sections 13(a), 13(c), 14 or 15(d) of the Exchange Act (i) after the date of the initial filing of the registration statement of which this prospectus is a part and prior to effectiveness of the registration statement and (ii)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114" w:lineRule="exact"/>
        <w:rPr>
          <w:sz w:val="20"/>
          <w:szCs w:val="20"/>
          <w:color w:val="auto"/>
        </w:rPr>
      </w:pPr>
    </w:p>
    <w:p>
      <w:pPr>
        <w:ind w:right="60" w:firstLine="324"/>
        <w:spacing w:after="0" w:line="219" w:lineRule="auto"/>
        <w:rPr>
          <w:sz w:val="20"/>
          <w:szCs w:val="20"/>
          <w:color w:val="auto"/>
        </w:rPr>
      </w:pPr>
      <w:r>
        <w:rPr>
          <w:rFonts w:ascii="Arial" w:cs="Arial" w:eastAsia="Arial" w:hAnsi="Arial"/>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 Holdings, Inc.</w:t>
      </w:r>
    </w:p>
    <w:p>
      <w:pPr>
        <w:jc w:val="center"/>
        <w:ind w:right="-19"/>
        <w:spacing w:after="0" w:line="203" w:lineRule="auto"/>
        <w:rPr>
          <w:sz w:val="20"/>
          <w:szCs w:val="20"/>
          <w:color w:val="auto"/>
        </w:rPr>
      </w:pPr>
      <w:r>
        <w:rPr>
          <w:rFonts w:ascii="Arial" w:cs="Arial" w:eastAsia="Arial" w:hAnsi="Arial"/>
          <w:sz w:val="18"/>
          <w:szCs w:val="18"/>
          <w:color w:val="auto"/>
        </w:rPr>
        <w:t>Investor Relations</w:t>
      </w:r>
    </w:p>
    <w:p>
      <w:pPr>
        <w:jc w:val="center"/>
        <w:ind w:right="-19"/>
        <w:spacing w:after="0" w:line="203" w:lineRule="auto"/>
        <w:rPr>
          <w:sz w:val="20"/>
          <w:szCs w:val="20"/>
          <w:color w:val="auto"/>
        </w:rPr>
      </w:pPr>
      <w:r>
        <w:rPr>
          <w:rFonts w:ascii="Arial" w:cs="Arial" w:eastAsia="Arial" w:hAnsi="Arial"/>
          <w:sz w:val="18"/>
          <w:szCs w:val="18"/>
          <w:color w:val="auto"/>
        </w:rPr>
        <w:t>650 California Street</w:t>
      </w:r>
    </w:p>
    <w:p>
      <w:pPr>
        <w:jc w:val="center"/>
        <w:ind w:right="-19"/>
        <w:spacing w:after="0" w:line="204" w:lineRule="auto"/>
        <w:rPr>
          <w:sz w:val="20"/>
          <w:szCs w:val="20"/>
          <w:color w:val="auto"/>
        </w:rPr>
      </w:pPr>
      <w:r>
        <w:rPr>
          <w:rFonts w:ascii="Arial" w:cs="Arial" w:eastAsia="Arial" w:hAnsi="Arial"/>
          <w:sz w:val="18"/>
          <w:szCs w:val="18"/>
          <w:color w:val="auto"/>
        </w:rPr>
        <w:t>San Francisco, California 94108</w:t>
      </w:r>
    </w:p>
    <w:p>
      <w:pPr>
        <w:jc w:val="center"/>
        <w:ind w:right="-19"/>
        <w:spacing w:after="0"/>
        <w:rPr>
          <w:sz w:val="20"/>
          <w:szCs w:val="20"/>
          <w:color w:val="auto"/>
        </w:rPr>
      </w:pPr>
      <w:r>
        <w:rPr>
          <w:rFonts w:ascii="Arial" w:cs="Arial" w:eastAsia="Arial" w:hAnsi="Arial"/>
          <w:sz w:val="18"/>
          <w:szCs w:val="18"/>
          <w:color w:val="auto"/>
        </w:rPr>
        <w:t>Telephone: (415) 984-0490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4" w:right="3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right="20" w:firstLine="324"/>
        <w:spacing w:after="0" w:line="226" w:lineRule="auto"/>
        <w:rPr>
          <w:sz w:val="20"/>
          <w:szCs w:val="20"/>
          <w:color w:val="auto"/>
        </w:rPr>
      </w:pPr>
      <w:r>
        <w:rPr>
          <w:rFonts w:ascii="Arial" w:cs="Arial" w:eastAsia="Arial" w:hAnsi="Arial"/>
          <w:sz w:val="17"/>
          <w:szCs w:val="17"/>
          <w:color w:val="auto"/>
        </w:rPr>
        <w:t>This prospectus, any prospectus supplement, any applicable free writing prospectus and the documents incorporated by reference herein or therein contain statements that are “forward-looking” within the meaning of the Private Securities Litigation Reform Act of 1995. Forward-looking statements include information regarding our future results of operations and financial condition, business strategy, and plans and objectives of management for future operations.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13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future revenue, expenses, and other operating results and key operating metrics;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additional merchants and retain and grow our relationships with our existing merchant partners;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successfully in a highly competitive industry;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new consumers and retain and grow our relationships with our existing consumers;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product launches;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engage new originating bank partners;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funding sources to support our business model;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price and score credit risk using our proprietary risk model;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loans facilitated through our platform;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growth rate of our revenue and related key operating metrics;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or sustain profitability in the future;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remain in compliance with laws and regulations that currently apply or become applicable to our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confidential, proprietary, or sensitive information;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past and future acquisitions, investments, and other strategic investments;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brand and intellectual property;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investigations, regulatory inquiries, and proceedings;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macroeconomic conditions on our business, including the impact of the COVID-19 pandemic;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rates of the markets in which we compete.</w:t>
      </w:r>
    </w:p>
    <w:p>
      <w:pPr>
        <w:spacing w:after="0" w:line="158" w:lineRule="exact"/>
        <w:rPr>
          <w:sz w:val="20"/>
          <w:szCs w:val="20"/>
          <w:color w:val="auto"/>
        </w:rPr>
      </w:pPr>
    </w:p>
    <w:p>
      <w:pPr>
        <w:ind w:right="40" w:firstLine="324"/>
        <w:spacing w:after="0" w:line="228" w:lineRule="auto"/>
        <w:rPr>
          <w:sz w:val="20"/>
          <w:szCs w:val="20"/>
          <w:color w:val="auto"/>
        </w:rPr>
      </w:pPr>
      <w:r>
        <w:rPr>
          <w:rFonts w:ascii="Arial" w:cs="Arial" w:eastAsia="Arial" w:hAnsi="Arial"/>
          <w:sz w:val="17"/>
          <w:szCs w:val="17"/>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under “Risk Factors.”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25" w:lineRule="exact"/>
        <w:rPr>
          <w:sz w:val="20"/>
          <w:szCs w:val="20"/>
          <w:color w:val="auto"/>
        </w:rPr>
      </w:pPr>
    </w:p>
    <w:p>
      <w:pPr>
        <w:ind w:firstLine="324"/>
        <w:spacing w:after="0" w:line="232"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future results, performance, or achievements. Except as required by law, we undertake no obligation to update any of these forward-looking statements for any reason after the date of this prospectus or to conform these statements to actual results or to changes in our expectations. You should read this prospectus with the understanding that our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404" w:right="379" w:bottom="1440" w:gutter="0" w:footer="0" w:header="0"/>
        </w:sectPr>
      </w:pPr>
    </w:p>
    <w:bookmarkStart w:id="11" w:name="page12"/>
    <w:bookmarkEnd w:id="11"/>
    <w:p>
      <w:pPr>
        <w:ind w:right="220"/>
        <w:spacing w:after="0" w:line="235" w:lineRule="auto"/>
        <w:rPr>
          <w:sz w:val="20"/>
          <w:szCs w:val="20"/>
          <w:color w:val="auto"/>
        </w:rPr>
      </w:pPr>
      <w:r>
        <w:rPr>
          <w:rFonts w:ascii="Arial" w:cs="Arial" w:eastAsia="Arial" w:hAnsi="Arial"/>
          <w:sz w:val="18"/>
          <w:szCs w:val="18"/>
          <w:color w:val="auto"/>
        </w:rPr>
        <w:t>future results, levels of activity, performance, and achievements may be materially different from what we expect. We qualify all of our forward-looking statements by these cautionary statements.</w:t>
      </w:r>
    </w:p>
    <w:p>
      <w:pPr>
        <w:spacing w:after="0" w:line="121" w:lineRule="exact"/>
        <w:rPr>
          <w:sz w:val="20"/>
          <w:szCs w:val="20"/>
          <w:color w:val="auto"/>
        </w:rPr>
      </w:pPr>
    </w:p>
    <w:p>
      <w:pPr>
        <w:ind w:firstLine="360"/>
        <w:spacing w:after="0" w:line="21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1408" w:right="37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80" w:firstLine="324"/>
        <w:spacing w:after="0" w:line="228" w:lineRule="auto"/>
        <w:rPr>
          <w:sz w:val="20"/>
          <w:szCs w:val="20"/>
          <w:color w:val="auto"/>
        </w:rPr>
      </w:pPr>
      <w:r>
        <w:rPr>
          <w:rFonts w:ascii="Arial" w:cs="Arial" w:eastAsia="Arial" w:hAnsi="Arial"/>
          <w:sz w:val="17"/>
          <w:szCs w:val="17"/>
          <w:color w:val="auto"/>
        </w:rPr>
        <w:t>Affirm, headquartered in San Francisco, California, provides consumers with a simpler, more transparent, and flexible alternative to traditional payment options. Our mission is to deliver honest financial products that improve lives. Through our next-generation commerce platform and partnerships with originating banks, we enable consumers to confidently pay for a purchase over time, with terms ranging from one to sixty months. When a consumer applies for a loan through our platform, the loan is underwritten using our proprietary risk model, and once approved, the consumer selects their preferred repayment option. The majority of loans are funded and issued by our originating bank partners.</w:t>
      </w:r>
    </w:p>
    <w:p>
      <w:pPr>
        <w:spacing w:after="0" w:line="125" w:lineRule="exact"/>
        <w:rPr>
          <w:sz w:val="20"/>
          <w:szCs w:val="20"/>
          <w:color w:val="auto"/>
        </w:rPr>
      </w:pPr>
    </w:p>
    <w:p>
      <w:pPr>
        <w:ind w:firstLine="324"/>
        <w:spacing w:after="0" w:line="216" w:lineRule="auto"/>
        <w:rPr>
          <w:sz w:val="20"/>
          <w:szCs w:val="20"/>
          <w:color w:val="auto"/>
        </w:rPr>
      </w:pPr>
      <w:r>
        <w:rPr>
          <w:rFonts w:ascii="Arial" w:cs="Arial" w:eastAsia="Arial" w:hAnsi="Arial"/>
          <w:sz w:val="18"/>
          <w:szCs w:val="18"/>
          <w:color w:val="auto"/>
        </w:rPr>
        <w:t>Merchants partner with us to transform the consumer shopping experience and to acquire and convert customers more effectively through our frictionless point-of-sale payment solution. Consumers get the flexibility to buy now and make simple monthly or biweekly payments for their purchases and merchants see increased average order value, repeat purchase rate, and an overall more satisfied customer base. Unlike legacy payment options and our competitors’ product offerings, which charge deferred or compounding interest and unexpected costs, we disclose up-front to consumers exactly what they will owe — no hidden fees, no penalties.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162" w:lineRule="exact"/>
        <w:rPr>
          <w:sz w:val="20"/>
          <w:szCs w:val="20"/>
          <w:color w:val="auto"/>
        </w:rPr>
      </w:pPr>
    </w:p>
    <w:p>
      <w:pPr>
        <w:ind w:right="180" w:firstLine="324"/>
        <w:spacing w:after="0" w:line="228" w:lineRule="auto"/>
        <w:rPr>
          <w:sz w:val="20"/>
          <w:szCs w:val="20"/>
          <w:color w:val="auto"/>
        </w:rPr>
      </w:pPr>
      <w:r>
        <w:rPr>
          <w:rFonts w:ascii="Arial" w:cs="Arial" w:eastAsia="Arial" w:hAnsi="Arial"/>
          <w:sz w:val="17"/>
          <w:szCs w:val="17"/>
          <w:color w:val="auto"/>
        </w:rPr>
        <w:t>We were incorporated in Delaware on June 12, 2019. Prior to our incorporation, we operated under the name Affirm, Inc., our wholly owned subsidiary, which was formed in 2012. Our principal executive offices are located at 650 California Street, San Francisco, CA 94108. Our telephone number is (415) 984-0490. Our website address is www.affirm.com. We do not incorporate the information contained on, or accessible through, our corporate website into this prospectus, and you should not consider it part of this prospectus. We have included our website address as an inactive textual reference and for convenience only, and do not intend it to be an active link to our website.</w:t>
      </w:r>
    </w:p>
    <w:p>
      <w:pPr>
        <w:spacing w:after="0" w:line="125"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The Affirm name, our logo, and other trademarks mentioned in this prospectus are the property of Affirm. Trade names, trademarks, and service marks of other companies appearing in this prospectus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404" w:right="3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firstLine="324"/>
        <w:spacing w:after="0" w:line="225" w:lineRule="auto"/>
        <w:rPr>
          <w:sz w:val="20"/>
          <w:szCs w:val="20"/>
          <w:color w:val="auto"/>
        </w:rPr>
      </w:pPr>
      <w:r>
        <w:rPr>
          <w:rFonts w:ascii="Arial" w:cs="Arial" w:eastAsia="Arial" w:hAnsi="Arial"/>
          <w:sz w:val="17"/>
          <w:szCs w:val="17"/>
          <w:color w:val="auto"/>
        </w:rPr>
        <w:t>Investing in our securities involves various risks. You are urged to carefully read and consider the risk factors set forth or incorporated by reference in any applicable prospectus supplement and any applicable free writing prospectus and in our filings with the SEC, including our Annual Report on Form 10-K for the fiscal year ended June 30, 2021 and our Quarterly Reports on Form 10-Q for the fiscal quarters ended September 30, 2021 and December 31, 2021, which are incorporated by reference into this prospectus. Before making an investment decision, you should carefully consider these risks as well as other information contained or incorporated by reference in this prospectus, any applicable prospectus supplement and any applicable free writing prospectus. The risks and uncertainties described below are not the only ones we face. Additional risks and uncertainties that we are unaware of or that we deem immaterial may also become important factors that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4" w:right="339" w:bottom="1440" w:gutter="0" w:footer="0" w:header="0"/>
        </w:sectPr>
      </w:pPr>
    </w:p>
    <w:bookmarkStart w:id="14" w:name="page15"/>
    <w:bookmarkEnd w:id="14"/>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intend to use the net proceeds we receive from the sale of securities by us as set forth in the applicable prospectus supplement. Unless otherwise specified in the applicable prospectus supplement, we will not receive any proceeds from the sale of securities by any selling securityholder.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320" w:top="1404" w:right="59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48"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We may issue from time to time, in one or more offerings, debt securities, which may be senior or subordinated, and which may be convertible into our common stock or be non-convertible.</w:t>
      </w:r>
    </w:p>
    <w:p>
      <w:pPr>
        <w:spacing w:after="0" w:line="135" w:lineRule="exact"/>
        <w:rPr>
          <w:sz w:val="20"/>
          <w:szCs w:val="20"/>
          <w:color w:val="auto"/>
        </w:rPr>
      </w:pPr>
    </w:p>
    <w:p>
      <w:pPr>
        <w:jc w:val="both"/>
        <w:ind w:right="160" w:firstLine="324"/>
        <w:spacing w:after="0" w:line="224"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the debt securities that may be offered under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4"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48" w:lineRule="exact"/>
        <w:rPr>
          <w:sz w:val="20"/>
          <w:szCs w:val="20"/>
          <w:color w:val="auto"/>
        </w:rPr>
      </w:pPr>
    </w:p>
    <w:p>
      <w:pPr>
        <w:jc w:val="both"/>
        <w:ind w:firstLine="558"/>
        <w:spacing w:after="0" w:line="244" w:lineRule="auto"/>
        <w:rPr>
          <w:sz w:val="20"/>
          <w:szCs w:val="20"/>
          <w:color w:val="auto"/>
        </w:rPr>
      </w:pPr>
      <w:r>
        <w:rPr>
          <w:rFonts w:ascii="Arial" w:cs="Arial" w:eastAsia="Arial" w:hAnsi="Arial"/>
          <w:sz w:val="16"/>
          <w:szCs w:val="16"/>
          <w:i w:val="1"/>
          <w:iCs w:val="1"/>
          <w:color w:val="auto"/>
        </w:rPr>
        <w:t>The following description summarizes certain important terms of our capital stock. Because it is only a summary, it does not contain all the information that may be important to you. For a complete description of the matters set forth herein, you should refer to our amended and restated certificate of incorporation, to our amended and restated bylaws, as each may be amended from time to time and filed as exhibits to our Annual Reports on Form 10-K and Quarterly Reports on Form 10-Q, and to the applicable provisions of Delaware law. As used in this section, unless otherwise expressly stated or the context otherwise requires, the terms “Company,” “we,” “our” and “us” refer to Affirm Holdings, Inc. and not to any of its subsidiaries.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authorized capital stock consists of 3,200,000,000 shares of capital stock, $0.00001 par value per share, of which:</w:t>
      </w:r>
    </w:p>
    <w:p>
      <w:pPr>
        <w:spacing w:after="0" w:line="14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3,030,000,000 shares are designated as Class A common stock;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140,000,000 shares are designated as Class B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30,000,000 shares are designated as preferred stock.</w:t>
      </w:r>
    </w:p>
    <w:p>
      <w:pPr>
        <w:spacing w:after="0" w:line="144" w:lineRule="exact"/>
        <w:rPr>
          <w:sz w:val="20"/>
          <w:szCs w:val="20"/>
          <w:color w:val="auto"/>
        </w:rPr>
      </w:pPr>
    </w:p>
    <w:p>
      <w:pPr>
        <w:ind w:right="340" w:firstLine="324"/>
        <w:spacing w:after="0" w:line="235" w:lineRule="auto"/>
        <w:rPr>
          <w:sz w:val="20"/>
          <w:szCs w:val="20"/>
          <w:color w:val="auto"/>
        </w:rPr>
      </w:pPr>
      <w:r>
        <w:rPr>
          <w:rFonts w:ascii="Arial" w:cs="Arial" w:eastAsia="Arial" w:hAnsi="Arial"/>
          <w:sz w:val="18"/>
          <w:szCs w:val="18"/>
          <w:color w:val="auto"/>
        </w:rPr>
        <w:t>Pursuant to our amended and restated certificate of incorporation, our board of directors have the authority, without stockholder approval except as required by the listing standards of Nasdaq, to issue additional shares of our Class A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right="220" w:firstLine="324"/>
        <w:spacing w:after="0" w:line="235"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conversion and transfer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ind w:right="20" w:firstLine="324"/>
        <w:spacing w:after="0" w:line="228" w:lineRule="auto"/>
        <w:rPr>
          <w:sz w:val="20"/>
          <w:szCs w:val="20"/>
          <w:color w:val="auto"/>
        </w:rPr>
      </w:pPr>
      <w:r>
        <w:rPr>
          <w:rFonts w:ascii="Arial" w:cs="Arial" w:eastAsia="Arial" w:hAnsi="Arial"/>
          <w:sz w:val="17"/>
          <w:szCs w:val="17"/>
          <w:color w:val="auto"/>
        </w:rPr>
        <w:t>Holders of Class A common stock are entitled to one vote for each share held on all matters submitted to a vote of stockholders. Holders of Class B common stock are entitled to 15 votes for each share held on all matters submitted to a vote of stockholders. The holders of our Class A common stock and the holders of our Class B common stock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w:t>
      </w:r>
    </w:p>
    <w:p>
      <w:pPr>
        <w:spacing w:after="0" w:line="125" w:lineRule="exact"/>
        <w:rPr>
          <w:sz w:val="20"/>
          <w:szCs w:val="20"/>
          <w:color w:val="auto"/>
        </w:rPr>
      </w:pPr>
    </w:p>
    <w:p>
      <w:pPr>
        <w:ind w:left="660" w:right="340" w:hanging="328"/>
        <w:spacing w:after="0" w:line="23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21" w:lineRule="exact"/>
        <w:rPr>
          <w:rFonts w:ascii="Arial" w:cs="Arial" w:eastAsia="Arial" w:hAnsi="Arial"/>
          <w:sz w:val="18"/>
          <w:szCs w:val="18"/>
          <w:color w:val="auto"/>
        </w:rPr>
      </w:pPr>
    </w:p>
    <w:p>
      <w:pPr>
        <w:ind w:left="660" w:right="180" w:hanging="328"/>
        <w:spacing w:after="0" w:line="22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36" w:lineRule="exact"/>
        <w:rPr>
          <w:sz w:val="20"/>
          <w:szCs w:val="20"/>
          <w:color w:val="auto"/>
        </w:rPr>
      </w:pPr>
    </w:p>
    <w:p>
      <w:pPr>
        <w:ind w:right="120" w:firstLine="324"/>
        <w:spacing w:after="0" w:line="249" w:lineRule="auto"/>
        <w:rPr>
          <w:sz w:val="20"/>
          <w:szCs w:val="20"/>
          <w:color w:val="auto"/>
        </w:rPr>
      </w:pPr>
      <w:r>
        <w:rPr>
          <w:rFonts w:ascii="Arial" w:cs="Arial" w:eastAsia="Arial" w:hAnsi="Arial"/>
          <w:sz w:val="16"/>
          <w:szCs w:val="16"/>
          <w:color w:val="auto"/>
        </w:rPr>
        <w:t>Our amended and restated articles of incorporation provides that stockholders are not entitled to cumulative voting for the election of directors. As a result, the holders of a majority of our voting shares can elect all of the directors then standing for election. Our amended and restated articles of incorporation provides for a classified board of directors, which is divided into three classes with staggered three-year terms. Only one class of directors is elected at each annual meeting of our stockholders, with the other classes continuing for the remainder of their respective three-year terms.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44" w:lineRule="exact"/>
        <w:rPr>
          <w:sz w:val="20"/>
          <w:szCs w:val="20"/>
          <w:color w:val="auto"/>
        </w:rPr>
      </w:pPr>
    </w:p>
    <w:p>
      <w:pPr>
        <w:ind w:right="120" w:firstLine="324"/>
        <w:spacing w:after="0" w:line="216" w:lineRule="auto"/>
        <w:rPr>
          <w:sz w:val="20"/>
          <w:szCs w:val="20"/>
          <w:color w:val="auto"/>
        </w:rPr>
      </w:pPr>
      <w:r>
        <w:rPr>
          <w:rFonts w:ascii="Arial" w:cs="Arial" w:eastAsia="Arial" w:hAnsi="Arial"/>
          <w:sz w:val="18"/>
          <w:szCs w:val="18"/>
          <w:color w:val="auto"/>
        </w:rPr>
        <w:t>Each outstanding share of Class B common stock is convertible at any time at the option of the holder into one share of Class A common stock. All shares of Class B common stock will automatically convert into shares of Class A common stock upon the earliest to occur of (i) the seven-year anniversary of the closing our initial public offering (“IPO”), (ii) the date immediately following an annual meeting of our stockholders if neither Max Levchin, our Founder, Chairman and Chief Executive Officer, nor Nellie Levchin, Mr. Levchin’s spouse, is then serving as one of our officers, employees, directors or consultants, and neither Mr. Levchin or Mrs. Levchin has served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04" w:right="339" w:bottom="1440" w:gutter="0" w:footer="0" w:header="0"/>
        </w:sectPr>
      </w:pPr>
    </w:p>
    <w:bookmarkStart w:id="17" w:name="page18"/>
    <w:bookmarkEnd w:id="17"/>
    <w:p>
      <w:pPr>
        <w:ind w:right="180"/>
        <w:spacing w:after="0" w:line="249" w:lineRule="auto"/>
        <w:rPr>
          <w:sz w:val="20"/>
          <w:szCs w:val="20"/>
          <w:color w:val="auto"/>
        </w:rPr>
      </w:pPr>
      <w:r>
        <w:rPr>
          <w:rFonts w:ascii="Arial" w:cs="Arial" w:eastAsia="Arial" w:hAnsi="Arial"/>
          <w:sz w:val="16"/>
          <w:szCs w:val="16"/>
          <w:color w:val="auto"/>
        </w:rPr>
        <w:t>capacities in the six months prior to such date, (iii) the date on which Mr. Levchin and Mrs. Levchin, together with their permitted transferees, cease to beneficially own in the aggregate at least 50% of the number of shares of capital stock beneficially owned by such holders in the aggregate on the closing date of our IPO, or (iv) the death or incapacity of the last to die or become incapacitated of Mr. Levchin or Mrs. Levchin, subject to extension for a total period of no longer than nine months from such incapacitation or death if approved by a majority of the independent directors then in office.</w:t>
      </w:r>
    </w:p>
    <w:p>
      <w:pPr>
        <w:spacing w:after="0" w:line="114" w:lineRule="exact"/>
        <w:rPr>
          <w:sz w:val="20"/>
          <w:szCs w:val="20"/>
          <w:color w:val="auto"/>
        </w:rPr>
      </w:pPr>
    </w:p>
    <w:p>
      <w:pPr>
        <w:ind w:right="20" w:firstLine="324"/>
        <w:spacing w:after="0" w:line="249" w:lineRule="auto"/>
        <w:rPr>
          <w:sz w:val="20"/>
          <w:szCs w:val="20"/>
          <w:color w:val="auto"/>
        </w:rPr>
      </w:pPr>
      <w:r>
        <w:rPr>
          <w:rFonts w:ascii="Arial" w:cs="Arial" w:eastAsia="Arial" w:hAnsi="Arial"/>
          <w:sz w:val="16"/>
          <w:szCs w:val="16"/>
          <w:color w:val="auto"/>
        </w:rPr>
        <w:t>In addition, each share of Class B common stock will convert automatically into one share of Class A common stock upon (i) any transfer, whether or not for value, except for certain permitted transfers, described in the paragraph that immediately follows this paragraph and further described in our amended and restated certificate of incorporation, or (ii) in the case of a stockholder who is a natural person (other than Mr. Levchin and Mrs. Levchin), the death or incapacity of such stockholder. Once converted into Class A common stock, the Class B common stock will not be reissued.</w:t>
      </w:r>
    </w:p>
    <w:p>
      <w:pPr>
        <w:spacing w:after="0" w:line="127" w:lineRule="exact"/>
        <w:rPr>
          <w:sz w:val="20"/>
          <w:szCs w:val="20"/>
          <w:color w:val="auto"/>
        </w:rPr>
      </w:pPr>
    </w:p>
    <w:p>
      <w:pPr>
        <w:ind w:firstLine="324"/>
        <w:spacing w:after="0"/>
        <w:rPr>
          <w:sz w:val="20"/>
          <w:szCs w:val="20"/>
          <w:color w:val="auto"/>
        </w:rPr>
      </w:pPr>
      <w:r>
        <w:rPr>
          <w:rFonts w:ascii="Arial" w:cs="Arial" w:eastAsia="Arial" w:hAnsi="Arial"/>
          <w:sz w:val="16"/>
          <w:szCs w:val="16"/>
          <w:color w:val="auto"/>
        </w:rPr>
        <w:t>A transfer by a holder of Class B common stock to any of the persons or entities listed in clauses (A) through (F) below (each, a “Permitted Transferee”) and from any such Permitted Transferee back to such holder of Class B common stock and/or any other Permitted Transferee established by or for such holder of Class B common stock will not trigger an automatic conversion of such stock to Class A common stock: (A) to a trust for the benefit of the holder of Class B common stock or persons other than such holder of Class B common stock, so long as such holder of Class B common stock (or in the case of Mr. Levchin and Mrs. Levchin, one or both of such holders) retains sole dispositive power and voting control, provided the holder of Class B common stock does not receive consideration in exchange for the transfer (other than as a settlor or beneficiary of such trust); (B) to a trust under the terms of which such holder of Class B common stock has retained a “qualified interest” within the meaning of §2702(b)(1) of the Internal Revenue Code (or successor provision) and/or a reversionary interest so long as the holder of Class B common stock (or in the case of Mr. Levchin and Mrs. Levchin, one or both of such holders) retains sole dispositive power and exclusive voting control with respect to the shares of Class B common stock held by such trust; (C) to an Individual Retirement Account, as defined in Section 408(a) of the Internal Revenue Code (or successor provision), or a pension, profit sharing, stock bonus or other type of plan or trust of which such holder of Class B common stock (or in the case of Mr. Levchin and Mrs. Levchin, one or both of such holders) is a participant or beneficiary and which satisfies the requirements for qualification under Section 401 of the Internal Revenue Code (or successor provision), so long as such holder of Class B common stock (or in the case of Mr. Levchin and Mrs. Levchin, one or both of such holders) retains sole dispositive power and exclusive voting control with respect to the shares of Class B common stock held in such account, plan or trust; (D) to a corporation, partnership or limited liability company in which such holder of Class B common stock directly, or indirectly through one or more Permitted Transferees, owns shares, partnership interests or membership interests, as applicable, with sufficient voting control or otherwise has legally enforceable rights, such that such holder of Class B common stock (or in the case of Mr. Levchin and Mrs. Levchin, one or both of such holders) retains sole dispositive power and exclusive voting control with respect to the shares of Class B common stock held by such corporation, partnership or limited liability company; (E) to an affiliate of a holder of Class B common stock, so long as the person or entity holding sole dispositive power and exclusive voting control with respect to the shares of Class B common stock being transferred retains, directly or indirectly, sole dispositive power and exclusive voting control with respect to such shares following such transfer; and (F) in the case of Mr. Levchin or Mrs. Levchin, to Mrs. Levchin or Mr. Levchin, as applicable, or to such other holder’s Permitted Transferees, or any other entity in which the other holder has, directly or indirectly, sole dispositive power and exclusive voting control with respect to the shares of Class B common stock held by such entity.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ratably those dividends, if any, as may be declared by the board of directors out of legally available funds.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44" w:lineRule="exact"/>
        <w:rPr>
          <w:sz w:val="20"/>
          <w:szCs w:val="20"/>
          <w:color w:val="auto"/>
        </w:rPr>
      </w:pPr>
    </w:p>
    <w:p>
      <w:pPr>
        <w:ind w:right="180" w:firstLine="324"/>
        <w:spacing w:after="0" w:line="224"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our preferred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58" w:lineRule="exact"/>
        <w:rPr>
          <w:sz w:val="20"/>
          <w:szCs w:val="20"/>
          <w:color w:val="auto"/>
        </w:rPr>
      </w:pPr>
    </w:p>
    <w:p>
      <w:pPr>
        <w:ind w:right="260" w:firstLine="324"/>
        <w:spacing w:after="0" w:line="224" w:lineRule="auto"/>
        <w:rPr>
          <w:sz w:val="20"/>
          <w:szCs w:val="20"/>
          <w:color w:val="auto"/>
        </w:rPr>
      </w:pPr>
      <w:r>
        <w:rPr>
          <w:rFonts w:ascii="Arial" w:cs="Arial" w:eastAsia="Arial" w:hAnsi="Arial"/>
          <w:sz w:val="18"/>
          <w:szCs w:val="18"/>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rights, preferences, and privileges of the holders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08" w:right="339" w:bottom="1440" w:gutter="0" w:footer="0" w:header="0"/>
        </w:sectPr>
      </w:pPr>
    </w:p>
    <w:bookmarkStart w:id="18" w:name="page19"/>
    <w:bookmarkEnd w:id="18"/>
    <w:p>
      <w:pPr>
        <w:ind w:right="720"/>
        <w:spacing w:after="0" w:line="414" w:lineRule="auto"/>
        <w:rPr>
          <w:sz w:val="20"/>
          <w:szCs w:val="20"/>
          <w:color w:val="auto"/>
        </w:rPr>
      </w:pPr>
      <w:r>
        <w:rPr>
          <w:rFonts w:ascii="Arial" w:cs="Arial" w:eastAsia="Arial" w:hAnsi="Arial"/>
          <w:sz w:val="18"/>
          <w:szCs w:val="18"/>
          <w:color w:val="auto"/>
        </w:rPr>
        <w:t xml:space="preserve">are subject to, and may be adversely affected by, the rights of the holders of shares of any series of preferred stock that we may issue in the future. </w:t>
      </w:r>
      <w:r>
        <w:rPr>
          <w:rFonts w:ascii="Arial" w:cs="Arial" w:eastAsia="Arial" w:hAnsi="Arial"/>
          <w:sz w:val="18"/>
          <w:szCs w:val="18"/>
          <w:b w:val="1"/>
          <w:bCs w:val="1"/>
          <w:color w:val="auto"/>
        </w:rPr>
        <w:t>Preferred Stock</w:t>
      </w:r>
    </w:p>
    <w:p>
      <w:pPr>
        <w:spacing w:after="0" w:line="1" w:lineRule="exact"/>
        <w:rPr>
          <w:sz w:val="20"/>
          <w:szCs w:val="20"/>
          <w:color w:val="auto"/>
        </w:rPr>
      </w:pPr>
    </w:p>
    <w:p>
      <w:pPr>
        <w:ind w:firstLine="324"/>
        <w:spacing w:after="0" w:line="212" w:lineRule="auto"/>
        <w:rPr>
          <w:sz w:val="20"/>
          <w:szCs w:val="20"/>
          <w:color w:val="auto"/>
        </w:rPr>
      </w:pPr>
      <w:r>
        <w:rPr>
          <w:rFonts w:ascii="Arial" w:cs="Arial" w:eastAsia="Arial" w:hAnsi="Arial"/>
          <w:sz w:val="18"/>
          <w:szCs w:val="18"/>
          <w:color w:val="auto"/>
        </w:rPr>
        <w:t>Our board of directors may, without further action by our stockholders, fix the rights, preferences, privileges, and restrictions of up to an aggregate of 30,000,000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deterring or preventing a change of control or other corporate 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Registration Rights</w:t>
      </w:r>
    </w:p>
    <w:p>
      <w:pPr>
        <w:spacing w:after="0" w:line="148" w:lineRule="exact"/>
        <w:rPr>
          <w:sz w:val="20"/>
          <w:szCs w:val="20"/>
          <w:color w:val="auto"/>
        </w:rPr>
      </w:pPr>
    </w:p>
    <w:p>
      <w:pPr>
        <w:ind w:right="140" w:firstLine="324"/>
        <w:spacing w:after="0" w:line="216" w:lineRule="auto"/>
        <w:rPr>
          <w:sz w:val="20"/>
          <w:szCs w:val="20"/>
          <w:color w:val="auto"/>
        </w:rPr>
      </w:pPr>
      <w:r>
        <w:rPr>
          <w:rFonts w:ascii="Arial" w:cs="Arial" w:eastAsia="Arial" w:hAnsi="Arial"/>
          <w:sz w:val="18"/>
          <w:szCs w:val="18"/>
          <w:color w:val="auto"/>
        </w:rPr>
        <w:t>Certain holders of shares of our common stock, including substantially all of our former redeemable convertible preferred stockholders, including certain holders of greater than five percent of our capital stock and entities affiliated with certain of our directors, are parties to an amended and restated investors’ rights agreement, dated as of September 11, 2020 (the “Investors’ Rights Agreement”), pursuant to which they are entitled to certain rights with respect to registration of the Class A common stock held by or issued upon conversion of such shares under the Securities Act (such shares, the “IRA Shares”).</w:t>
      </w:r>
    </w:p>
    <w:p>
      <w:pPr>
        <w:spacing w:after="0" w:line="135" w:lineRule="exact"/>
        <w:rPr>
          <w:sz w:val="20"/>
          <w:szCs w:val="20"/>
          <w:color w:val="auto"/>
        </w:rPr>
      </w:pPr>
    </w:p>
    <w:p>
      <w:pPr>
        <w:ind w:right="100" w:firstLine="324"/>
        <w:spacing w:after="0" w:line="219" w:lineRule="auto"/>
        <w:rPr>
          <w:sz w:val="20"/>
          <w:szCs w:val="20"/>
          <w:color w:val="auto"/>
        </w:rPr>
      </w:pPr>
      <w:r>
        <w:rPr>
          <w:rFonts w:ascii="Arial" w:cs="Arial" w:eastAsia="Arial" w:hAnsi="Arial"/>
          <w:sz w:val="18"/>
          <w:szCs w:val="18"/>
          <w:color w:val="auto"/>
        </w:rPr>
        <w:t>In addition, under the terms of the Transaction Agreement, dated as of November 10, 2021 (the “Transaction Agreement”), by and among the Company, Amazon Payments, Inc. and the selling securityholder (together with Amazon Payments, Inc., “Amazon”), we granted Amazon Services certain registration rights with respect to the Warrant Shares (as defined below) (together with the IRA Shares, the “registrable shares”). The holders of these registrable securities possess registration rights described in additional detail below.</w:t>
      </w:r>
    </w:p>
    <w:p>
      <w:pPr>
        <w:spacing w:after="0" w:line="122" w:lineRule="exact"/>
        <w:rPr>
          <w:sz w:val="20"/>
          <w:szCs w:val="20"/>
          <w:color w:val="auto"/>
        </w:rPr>
      </w:pPr>
    </w:p>
    <w:p>
      <w:pPr>
        <w:ind w:right="100" w:firstLine="324"/>
        <w:spacing w:after="0" w:line="219" w:lineRule="auto"/>
        <w:rPr>
          <w:sz w:val="20"/>
          <w:szCs w:val="20"/>
          <w:color w:val="auto"/>
        </w:rPr>
      </w:pPr>
      <w:r>
        <w:rPr>
          <w:rFonts w:ascii="Arial" w:cs="Arial" w:eastAsia="Arial" w:hAnsi="Arial"/>
          <w:sz w:val="18"/>
          <w:szCs w:val="18"/>
          <w:color w:val="auto"/>
        </w:rPr>
        <w:t>The registration of shares of our Class A common stock pursuant to the exercise of the registration rights described below would enable the holders to resell these shares without restriction under the Securities Act when the applicable registration statement is declared effective. We will pay the registration expenses, other than underwriting discounts and selling commissions in a demand or piggyback registration, of the shares registered pursuant to the demand, piggyback, and Form S-3 registrations described below.</w:t>
      </w:r>
    </w:p>
    <w:p>
      <w:pPr>
        <w:spacing w:after="0" w:line="122" w:lineRule="exact"/>
        <w:rPr>
          <w:sz w:val="20"/>
          <w:szCs w:val="20"/>
          <w:color w:val="auto"/>
        </w:rPr>
      </w:pPr>
    </w:p>
    <w:p>
      <w:pPr>
        <w:ind w:right="60" w:firstLine="324"/>
        <w:spacing w:after="0" w:line="212"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the holders may include. With respect to the IRA Shares, the demand, piggyback, and Form S-3 registration rights described below will expire (i) five years after the consummation of the initial public offering of our Class A common stock, (ii) with respect to any particular holder, at such time that such holder can sell all its shares under Rule 144 of the Securities Act without limitation during any three-month period without registration, or (iii) upon consummation of certain liquidation transactions. With respect to the Warrant Shares, the piggyback and Form S-3 registration rights described below will expire, with respect to any particular holder, on the date on which all Warrant Shares held by such holder have been disposed, including all shares issued or issuable upon exercise of the Warrants.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44" w:lineRule="exact"/>
        <w:rPr>
          <w:sz w:val="20"/>
          <w:szCs w:val="20"/>
          <w:color w:val="auto"/>
        </w:rPr>
      </w:pPr>
    </w:p>
    <w:p>
      <w:pPr>
        <w:ind w:right="60" w:firstLine="324"/>
        <w:spacing w:after="0" w:line="216" w:lineRule="auto"/>
        <w:rPr>
          <w:sz w:val="20"/>
          <w:szCs w:val="20"/>
          <w:color w:val="auto"/>
        </w:rPr>
      </w:pPr>
      <w:r>
        <w:rPr>
          <w:rFonts w:ascii="Arial" w:cs="Arial" w:eastAsia="Arial" w:hAnsi="Arial"/>
          <w:sz w:val="18"/>
          <w:szCs w:val="18"/>
          <w:color w:val="auto"/>
        </w:rPr>
        <w:t>Pursuant to the Investors’ Rights Agreement, the holders of the IRA Shares are entitled to certain demand registration rights. The holders of more than a majority of the IRA Shares then outstanding (or a lesser percent if the anticipated aggregate offering price, net of underwriting discounts and commissions, would exceed $5 million), may make a written request that we register all or a portion of their shares, subject to certain specified exceptions. In addition, we must notify all of the other holders of IRA shares of such registration and allow them to include all or a portion of their shares on the applicable registration statement, subject to customary cutbacks.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58" w:lineRule="exact"/>
        <w:rPr>
          <w:sz w:val="20"/>
          <w:szCs w:val="20"/>
          <w:color w:val="auto"/>
        </w:rPr>
      </w:pPr>
    </w:p>
    <w:p>
      <w:pPr>
        <w:ind w:right="40" w:firstLine="324"/>
        <w:spacing w:after="0" w:line="216" w:lineRule="auto"/>
        <w:rPr>
          <w:sz w:val="20"/>
          <w:szCs w:val="20"/>
          <w:color w:val="auto"/>
        </w:rPr>
      </w:pPr>
      <w:r>
        <w:rPr>
          <w:rFonts w:ascii="Arial" w:cs="Arial" w:eastAsia="Arial" w:hAnsi="Arial"/>
          <w:sz w:val="18"/>
          <w:szCs w:val="18"/>
          <w:color w:val="auto"/>
        </w:rPr>
        <w:t>If we propose to register for offer and sale any of our securities under the Securities Act, either for our own account or for the account of other security holders that are not party to the Investors’ Rights Agreement (other than pursuant to specified exceptions) or the Transaction Agreement, as applicable, certain major holders for which Rule 144 of the Securities Act is not available, in the case of the Investors’ Rights Agreement, or Amazon, in the case of the Transaction Agreement, will be entitled to certain “piggyback” registration rights allowing them to include their registrable securities in such registration, subject to customary cutbacks and other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44" w:lineRule="exact"/>
        <w:rPr>
          <w:sz w:val="20"/>
          <w:szCs w:val="20"/>
          <w:color w:val="auto"/>
        </w:rPr>
      </w:pPr>
    </w:p>
    <w:p>
      <w:pPr>
        <w:ind w:right="80" w:firstLine="324"/>
        <w:spacing w:after="0" w:line="241" w:lineRule="auto"/>
        <w:rPr>
          <w:sz w:val="20"/>
          <w:szCs w:val="20"/>
          <w:color w:val="auto"/>
        </w:rPr>
      </w:pPr>
      <w:r>
        <w:rPr>
          <w:rFonts w:ascii="Arial" w:cs="Arial" w:eastAsia="Arial" w:hAnsi="Arial"/>
          <w:sz w:val="16"/>
          <w:szCs w:val="16"/>
          <w:color w:val="auto"/>
        </w:rPr>
        <w:t>Pursuant to the Investors’ Rights Agreement, the holders of the IRA Shares are entitled to certain Form S-3 registration rights. Any holder of IRA Shares can make a request that we register for offer and sale their shares on Form S-3 if we are qualified to file a registration statement on Form S-3, subject to certain specified exceptions. In addition, we must notify all of the other holders of IRA Shares of such registration and allow them to include all or a portion of their shares on the applicable registration statement. Such request for registration on Form S-3 with respect to IRA Shares must cover securities the aggregate offering price of which, after payment of the underwriting discounts and commissions, equals or exceeds $1,000,000. We will not be required to effect more than two registrations on Form S-3 with respect to IRA Shares within the 12-month period preceding the date of such request.</w:t>
      </w:r>
    </w:p>
    <w:p>
      <w:pPr>
        <w:spacing w:after="0" w:line="133" w:lineRule="exact"/>
        <w:rPr>
          <w:sz w:val="20"/>
          <w:szCs w:val="20"/>
          <w:color w:val="auto"/>
        </w:rPr>
      </w:pPr>
    </w:p>
    <w:p>
      <w:pPr>
        <w:ind w:right="120" w:firstLine="324"/>
        <w:spacing w:after="0" w:line="224" w:lineRule="auto"/>
        <w:rPr>
          <w:sz w:val="20"/>
          <w:szCs w:val="20"/>
          <w:color w:val="auto"/>
        </w:rPr>
      </w:pPr>
      <w:r>
        <w:rPr>
          <w:rFonts w:ascii="Arial" w:cs="Arial" w:eastAsia="Arial" w:hAnsi="Arial"/>
          <w:sz w:val="18"/>
          <w:szCs w:val="18"/>
          <w:color w:val="auto"/>
        </w:rPr>
        <w:t>Pursuant to the Transaction Agreement, as a well-known seasoned issuer, we are required to file a registration statement with respect to all of the Warrant Shares in the form of an automatic shelf registration statement. This registration statement of which this prospectus is a part was filed pursuant to our obligations under the Transaction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44" w:lineRule="exact"/>
        <w:rPr>
          <w:sz w:val="20"/>
          <w:szCs w:val="20"/>
          <w:color w:val="auto"/>
        </w:rPr>
      </w:pPr>
    </w:p>
    <w:p>
      <w:pPr>
        <w:jc w:val="both"/>
        <w:ind w:right="420" w:firstLine="324"/>
        <w:spacing w:after="0" w:line="224"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36" w:lineRule="exact"/>
        <w:rPr>
          <w:sz w:val="20"/>
          <w:szCs w:val="20"/>
          <w:color w:val="auto"/>
        </w:rPr>
      </w:pPr>
    </w:p>
    <w:p>
      <w:pPr>
        <w:ind w:left="660" w:right="700" w:hanging="328"/>
        <w:spacing w:after="0" w:line="23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21" w:lineRule="exact"/>
        <w:rPr>
          <w:rFonts w:ascii="Arial" w:cs="Arial" w:eastAsia="Arial" w:hAnsi="Arial"/>
          <w:sz w:val="18"/>
          <w:szCs w:val="18"/>
          <w:color w:val="auto"/>
        </w:rPr>
      </w:pPr>
    </w:p>
    <w:p>
      <w:pPr>
        <w:jc w:val="both"/>
        <w:ind w:left="660" w:right="180" w:hanging="328"/>
        <w:spacing w:after="0" w:line="21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21" w:lineRule="exact"/>
        <w:rPr>
          <w:rFonts w:ascii="Arial" w:cs="Arial" w:eastAsia="Arial" w:hAnsi="Arial"/>
          <w:sz w:val="18"/>
          <w:szCs w:val="18"/>
          <w:color w:val="auto"/>
        </w:rPr>
      </w:pPr>
    </w:p>
    <w:p>
      <w:pPr>
        <w:jc w:val="both"/>
        <w:ind w:left="660" w:right="580" w:hanging="328"/>
        <w:spacing w:after="0" w:line="22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outstanding voting stock that is not owned by the interested stockholder.</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4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57" w:lineRule="exact"/>
        <w:rPr>
          <w:rFonts w:ascii="Arial" w:cs="Arial" w:eastAsia="Arial" w:hAnsi="Arial"/>
          <w:sz w:val="18"/>
          <w:szCs w:val="18"/>
          <w:color w:val="auto"/>
        </w:rPr>
      </w:pPr>
    </w:p>
    <w:p>
      <w:pPr>
        <w:ind w:left="660" w:right="520" w:hanging="328"/>
        <w:spacing w:after="0" w:line="23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21" w:lineRule="exact"/>
        <w:rPr>
          <w:rFonts w:ascii="Arial" w:cs="Arial" w:eastAsia="Arial" w:hAnsi="Arial"/>
          <w:sz w:val="18"/>
          <w:szCs w:val="18"/>
          <w:color w:val="auto"/>
        </w:rPr>
      </w:pPr>
    </w:p>
    <w:p>
      <w:pPr>
        <w:ind w:left="660" w:right="700" w:hanging="328"/>
        <w:spacing w:after="0" w:line="23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21" w:lineRule="exact"/>
        <w:rPr>
          <w:rFonts w:ascii="Arial" w:cs="Arial" w:eastAsia="Arial" w:hAnsi="Arial"/>
          <w:sz w:val="18"/>
          <w:szCs w:val="18"/>
          <w:color w:val="auto"/>
        </w:rPr>
      </w:pPr>
    </w:p>
    <w:p>
      <w:pPr>
        <w:ind w:left="660" w:right="320" w:hanging="328"/>
        <w:spacing w:after="0" w:line="23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35" w:lineRule="exact"/>
        <w:rPr>
          <w:sz w:val="20"/>
          <w:szCs w:val="20"/>
          <w:color w:val="auto"/>
        </w:rPr>
      </w:pPr>
    </w:p>
    <w:p>
      <w:pPr>
        <w:jc w:val="both"/>
        <w:ind w:right="60" w:firstLine="324"/>
        <w:spacing w:after="0" w:line="22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22" w:lineRule="exact"/>
        <w:rPr>
          <w:sz w:val="20"/>
          <w:szCs w:val="20"/>
          <w:color w:val="auto"/>
        </w:rPr>
      </w:pPr>
    </w:p>
    <w:p>
      <w:pPr>
        <w:ind w:firstLine="324"/>
        <w:spacing w:after="0" w:line="21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408"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44" w:lineRule="exact"/>
        <w:rPr>
          <w:sz w:val="20"/>
          <w:szCs w:val="20"/>
          <w:color w:val="auto"/>
        </w:rPr>
      </w:pPr>
    </w:p>
    <w:p>
      <w:pPr>
        <w:ind w:right="340" w:firstLine="324"/>
        <w:spacing w:after="0" w:line="235"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could deter hostile takeovers or delay or prevent changes in control of our management team, including the following: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Dual Class Stock</w:t>
      </w:r>
    </w:p>
    <w:p>
      <w:pPr>
        <w:spacing w:after="0" w:line="144" w:lineRule="exact"/>
        <w:rPr>
          <w:sz w:val="20"/>
          <w:szCs w:val="20"/>
          <w:color w:val="auto"/>
        </w:rPr>
      </w:pPr>
    </w:p>
    <w:p>
      <w:pPr>
        <w:ind w:right="140" w:firstLine="324"/>
        <w:spacing w:after="0" w:line="219" w:lineRule="auto"/>
        <w:rPr>
          <w:sz w:val="20"/>
          <w:szCs w:val="20"/>
          <w:color w:val="auto"/>
        </w:rPr>
      </w:pPr>
      <w:r>
        <w:rPr>
          <w:rFonts w:ascii="Arial" w:cs="Arial" w:eastAsia="Arial" w:hAnsi="Arial"/>
          <w:sz w:val="18"/>
          <w:szCs w:val="18"/>
          <w:color w:val="auto"/>
        </w:rPr>
        <w:t>As described above in “</w:t>
      </w:r>
      <w:r>
        <w:rPr>
          <w:rFonts w:ascii="Arial" w:cs="Arial" w:eastAsia="Arial" w:hAnsi="Arial"/>
          <w:sz w:val="18"/>
          <w:szCs w:val="18"/>
          <w:i w:val="1"/>
          <w:iCs w:val="1"/>
          <w:color w:val="auto"/>
        </w:rPr>
        <w:t>— Common Stock — Voting Rights</w:t>
      </w:r>
      <w:r>
        <w:rPr>
          <w:rFonts w:ascii="Arial" w:cs="Arial" w:eastAsia="Arial" w:hAnsi="Arial"/>
          <w:sz w:val="18"/>
          <w:szCs w:val="18"/>
          <w:color w:val="auto"/>
        </w:rPr>
        <w:t>,” our amended and restated certificate of incorporation provides for a dual class common stock structure, which provides our current stockholders, executives, employees, directors and their affiliates with significant influence over all matters requiring stockholder approval, including the election of directors and significant corporate transactions, such as a merger or other sale of the Company or our assets.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Vacancies</w:t>
      </w:r>
    </w:p>
    <w:p>
      <w:pPr>
        <w:spacing w:after="0" w:line="158" w:lineRule="exact"/>
        <w:rPr>
          <w:sz w:val="20"/>
          <w:szCs w:val="20"/>
          <w:color w:val="auto"/>
        </w:rPr>
      </w:pPr>
    </w:p>
    <w:p>
      <w:pPr>
        <w:ind w:right="180" w:firstLine="324"/>
        <w:spacing w:after="0" w:line="216" w:lineRule="auto"/>
        <w:rPr>
          <w:sz w:val="20"/>
          <w:szCs w:val="20"/>
          <w:color w:val="auto"/>
        </w:rPr>
      </w:pPr>
      <w:r>
        <w:rPr>
          <w:rFonts w:ascii="Arial" w:cs="Arial" w:eastAsia="Arial" w:hAnsi="Arial"/>
          <w:sz w:val="18"/>
          <w:szCs w:val="18"/>
          <w:color w:val="auto"/>
        </w:rPr>
        <w:t>Our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44" w:lineRule="exact"/>
        <w:rPr>
          <w:sz w:val="20"/>
          <w:szCs w:val="20"/>
          <w:color w:val="auto"/>
        </w:rPr>
      </w:pPr>
    </w:p>
    <w:p>
      <w:pPr>
        <w:ind w:right="100" w:firstLine="324"/>
        <w:spacing w:after="0" w:line="237" w:lineRule="auto"/>
        <w:rPr>
          <w:sz w:val="20"/>
          <w:szCs w:val="20"/>
          <w:color w:val="auto"/>
        </w:rPr>
      </w:pPr>
      <w:r>
        <w:rPr>
          <w:rFonts w:ascii="Arial" w:cs="Arial" w:eastAsia="Arial" w:hAnsi="Arial"/>
          <w:sz w:val="17"/>
          <w:szCs w:val="17"/>
          <w:color w:val="auto"/>
        </w:rPr>
        <w:t>Our amended and restated certificate of incorporation provides that our board of directors be classified into three classes of directors. The existence of a classified board of directors could discourage a third-party from making a tender offer or otherwise attempting to obtain control of us, as it is more difficult and time consuming for stockholders to replace a majority of the directors on a classified board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Special Meeting of Stockholders</w:t>
      </w:r>
    </w:p>
    <w:p>
      <w:pPr>
        <w:spacing w:after="0" w:line="144" w:lineRule="exact"/>
        <w:rPr>
          <w:sz w:val="20"/>
          <w:szCs w:val="20"/>
          <w:color w:val="auto"/>
        </w:rPr>
      </w:pPr>
    </w:p>
    <w:p>
      <w:pPr>
        <w:ind w:firstLine="324"/>
        <w:spacing w:after="0" w:line="214" w:lineRule="auto"/>
        <w:rPr>
          <w:sz w:val="20"/>
          <w:szCs w:val="20"/>
          <w:color w:val="auto"/>
        </w:rPr>
      </w:pPr>
      <w:r>
        <w:rPr>
          <w:rFonts w:ascii="Arial" w:cs="Arial" w:eastAsia="Arial" w:hAnsi="Arial"/>
          <w:sz w:val="18"/>
          <w:szCs w:val="18"/>
          <w:color w:val="auto"/>
        </w:rPr>
        <w:t>Our amended and restated certificate of incorporation provides that any action required or permitted to be taken by our stockholders must be effected at a duly called annual or special meeting of our stockholders and may not be effected by any consent in writing by our stockholders. Our amended and restated certificate of incorporation further provides that special meetings of our stockholders may be called only by a majority of our board of directors, the chairperson of our board of directors, our lead independent director,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58" w:lineRule="exact"/>
        <w:rPr>
          <w:sz w:val="20"/>
          <w:szCs w:val="20"/>
          <w:color w:val="auto"/>
        </w:rPr>
      </w:pPr>
    </w:p>
    <w:p>
      <w:pPr>
        <w:ind w:right="80" w:firstLine="324"/>
        <w:spacing w:after="0" w:line="226" w:lineRule="auto"/>
        <w:rPr>
          <w:sz w:val="20"/>
          <w:szCs w:val="20"/>
          <w:color w:val="auto"/>
        </w:rPr>
      </w:pPr>
      <w:r>
        <w:rPr>
          <w:rFonts w:ascii="Arial" w:cs="Arial" w:eastAsia="Arial" w:hAnsi="Arial"/>
          <w:sz w:val="17"/>
          <w:szCs w:val="17"/>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Removed Only for Cause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amended and restated certificate of incorporation provides that stockholders may remove directors only for cause.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Supermajority Requirements for Amendments of Our Amended and Restated Certificate of Incorporation and Amended and Restated Bylaws</w:t>
      </w:r>
    </w:p>
    <w:p>
      <w:pPr>
        <w:spacing w:after="0" w:line="167" w:lineRule="exact"/>
        <w:rPr>
          <w:sz w:val="20"/>
          <w:szCs w:val="20"/>
          <w:color w:val="auto"/>
        </w:rPr>
      </w:pPr>
    </w:p>
    <w:p>
      <w:pPr>
        <w:ind w:right="160" w:firstLine="324"/>
        <w:spacing w:after="0" w:line="232" w:lineRule="auto"/>
        <w:rPr>
          <w:sz w:val="20"/>
          <w:szCs w:val="20"/>
          <w:color w:val="auto"/>
        </w:rPr>
      </w:pPr>
      <w:r>
        <w:rPr>
          <w:rFonts w:ascii="Arial" w:cs="Arial" w:eastAsia="Arial" w:hAnsi="Arial"/>
          <w:sz w:val="17"/>
          <w:szCs w:val="17"/>
          <w:color w:val="auto"/>
        </w:rPr>
        <w:t>Our amended and restated certificate of incorporation further provides that the affirmative vote of 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the then outstanding shares of capital stock is required to amend certain provisions of our amended and restated certificate of incorporation, including provisions relating to the classified board, the size of the board, removal of directors, filling vacancies on the board, special meetings of the stockholders, actions by written consent of the stockholders, and cumulative voting. The affirmative vote of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08" w:right="339" w:bottom="1440" w:gutter="0" w:footer="0" w:header="0"/>
        </w:sectPr>
      </w:pPr>
    </w:p>
    <w:bookmarkStart w:id="21" w:name="page22"/>
    <w:bookmarkEnd w:id="21"/>
    <w:p>
      <w:pPr>
        <w:ind w:right="240"/>
        <w:spacing w:after="0" w:line="235" w:lineRule="auto"/>
        <w:rPr>
          <w:sz w:val="20"/>
          <w:szCs w:val="20"/>
          <w:color w:val="auto"/>
        </w:rPr>
      </w:pPr>
      <w:r>
        <w:rPr>
          <w:rFonts w:ascii="Arial" w:cs="Arial" w:eastAsia="Arial" w:hAnsi="Arial"/>
          <w:sz w:val="18"/>
          <w:szCs w:val="18"/>
          <w:color w:val="auto"/>
        </w:rPr>
        <w:t>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of the voting power of all of the then outstanding shares of capital stock is required to amend or repeal our amended and restated bylaws, although our amended and restated bylaws may be amended by a simple majority vote of 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58" w:lineRule="exact"/>
        <w:rPr>
          <w:sz w:val="20"/>
          <w:szCs w:val="20"/>
          <w:color w:val="auto"/>
        </w:rPr>
      </w:pPr>
    </w:p>
    <w:p>
      <w:pPr>
        <w:ind w:right="200" w:firstLine="324"/>
        <w:spacing w:after="0" w:line="235" w:lineRule="auto"/>
        <w:rPr>
          <w:sz w:val="20"/>
          <w:szCs w:val="20"/>
          <w:color w:val="auto"/>
        </w:rPr>
      </w:pPr>
      <w:r>
        <w:rPr>
          <w:rFonts w:ascii="Arial" w:cs="Arial" w:eastAsia="Arial" w:hAnsi="Arial"/>
          <w:sz w:val="18"/>
          <w:szCs w:val="18"/>
          <w:color w:val="auto"/>
        </w:rPr>
        <w:t>The DGCL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and Bylaws Provisions</w:t>
      </w:r>
    </w:p>
    <w:p>
      <w:pPr>
        <w:spacing w:after="0" w:line="144" w:lineRule="exact"/>
        <w:rPr>
          <w:sz w:val="20"/>
          <w:szCs w:val="20"/>
          <w:color w:val="auto"/>
        </w:rPr>
      </w:pPr>
    </w:p>
    <w:p>
      <w:pPr>
        <w:ind w:right="340" w:firstLine="324"/>
        <w:spacing w:after="0" w:line="224" w:lineRule="auto"/>
        <w:rPr>
          <w:sz w:val="20"/>
          <w:szCs w:val="20"/>
          <w:color w:val="auto"/>
        </w:rPr>
      </w:pPr>
      <w:r>
        <w:rPr>
          <w:rFonts w:ascii="Arial" w:cs="Arial" w:eastAsia="Arial" w:hAnsi="Arial"/>
          <w:sz w:val="18"/>
          <w:szCs w:val="18"/>
          <w:color w:val="auto"/>
        </w:rPr>
        <w:t>Certain amendments to our amended and restated certificate of incorporation require the approval of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outstanding voting power of our capital stock. Our amended and restated bylaws provide that approval of stockholders holding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capital stock is required for stockholders to amend or adopt any provision of our bylaws.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Undesignated Preferred Stock</w:t>
      </w:r>
    </w:p>
    <w:p>
      <w:pPr>
        <w:spacing w:after="0" w:line="144" w:lineRule="exact"/>
        <w:rPr>
          <w:sz w:val="20"/>
          <w:szCs w:val="20"/>
          <w:color w:val="auto"/>
        </w:rPr>
      </w:pPr>
    </w:p>
    <w:p>
      <w:pPr>
        <w:ind w:right="20" w:firstLine="324"/>
        <w:spacing w:after="0" w:line="219"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30,000,000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158" w:lineRule="exact"/>
        <w:rPr>
          <w:sz w:val="20"/>
          <w:szCs w:val="20"/>
          <w:color w:val="auto"/>
        </w:rPr>
      </w:pPr>
    </w:p>
    <w:p>
      <w:pPr>
        <w:ind w:firstLine="324"/>
        <w:spacing w:after="0" w:line="239" w:lineRule="auto"/>
        <w:rPr>
          <w:sz w:val="20"/>
          <w:szCs w:val="20"/>
          <w:color w:val="auto"/>
        </w:rPr>
      </w:pPr>
      <w:r>
        <w:rPr>
          <w:rFonts w:ascii="Arial" w:cs="Arial" w:eastAsia="Arial" w:hAnsi="Arial"/>
          <w:sz w:val="16"/>
          <w:szCs w:val="16"/>
          <w:color w:val="auto"/>
        </w:rPr>
        <w:t>Our amended and restated bylaws provide that the Court of Chancery of the State of Delaware is the sole and exclusive forum for: (i) any derivative action or proceeding brought on behalf of us;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or (iv) any action asserting a claim against us or any of our current or former directors, officers, stockholders, employees or agents governed by the internal affairs doctrine of the State of Delaware. This provision does not apply to suits brought to enforce any duty or liability created by the Securities Act or the Exchange Act, or the rules and regulations thereunder.</w:t>
      </w:r>
    </w:p>
    <w:p>
      <w:pPr>
        <w:spacing w:after="0" w:line="121" w:lineRule="exact"/>
        <w:rPr>
          <w:sz w:val="20"/>
          <w:szCs w:val="20"/>
          <w:color w:val="auto"/>
        </w:rPr>
      </w:pPr>
    </w:p>
    <w:p>
      <w:pPr>
        <w:ind w:right="40" w:firstLine="324"/>
        <w:spacing w:after="0" w:line="236" w:lineRule="auto"/>
        <w:rPr>
          <w:sz w:val="20"/>
          <w:szCs w:val="20"/>
          <w:color w:val="auto"/>
        </w:rPr>
      </w:pPr>
      <w:r>
        <w:rPr>
          <w:rFonts w:ascii="Arial" w:cs="Arial" w:eastAsia="Arial" w:hAnsi="Arial"/>
          <w:sz w:val="16"/>
          <w:szCs w:val="16"/>
          <w:color w:val="auto"/>
        </w:rPr>
        <w:t xml:space="preserve">Our amended and restated bylaws also provide that any person or entity purchasing or otherwise acquiring any interest in shares of our capital stock will be deemed to have notice of and to have consented to the foregoing provision;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stockholders will not be deemed to have waived our compliance with the federal securities laws and the rules and regulations thereunder. We recognize that the forum selection clause in our amended and restated bylaws may impose additional litigation costs on stockholders in pursuing any such claims, particularly if the stockholders do not reside in or near the State of Delaware. Additionally, the forum selection clause in our amended and restated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7" w:lineRule="exact"/>
        <w:rPr>
          <w:sz w:val="20"/>
          <w:szCs w:val="20"/>
          <w:color w:val="auto"/>
        </w:rPr>
      </w:pPr>
    </w:p>
    <w:p>
      <w:pPr>
        <w:ind w:right="60" w:firstLine="324"/>
        <w:spacing w:after="0" w:line="219" w:lineRule="auto"/>
        <w:rPr>
          <w:sz w:val="20"/>
          <w:szCs w:val="20"/>
          <w:color w:val="auto"/>
        </w:rPr>
      </w:pPr>
      <w:r>
        <w:rPr>
          <w:rFonts w:ascii="Arial" w:cs="Arial" w:eastAsia="Arial" w:hAnsi="Arial"/>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sole and exclusive forum for resolving any complaint asserting a cause of action arising under the Securities Act.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48" w:lineRule="exact"/>
        <w:rPr>
          <w:sz w:val="20"/>
          <w:szCs w:val="20"/>
          <w:color w:val="auto"/>
        </w:rPr>
      </w:pPr>
    </w:p>
    <w:p>
      <w:pPr>
        <w:ind w:right="80" w:firstLine="324"/>
        <w:spacing w:after="0" w:line="232"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such provision is to eliminate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08" w:right="339" w:bottom="1440" w:gutter="0" w:footer="0" w:header="0"/>
        </w:sectPr>
      </w:pPr>
    </w:p>
    <w:bookmarkStart w:id="22" w:name="page23"/>
    <w:bookmarkEnd w:id="22"/>
    <w:p>
      <w:pPr>
        <w:ind w:right="60"/>
        <w:spacing w:after="0" w:line="235" w:lineRule="auto"/>
        <w:rPr>
          <w:sz w:val="20"/>
          <w:szCs w:val="20"/>
          <w:color w:val="auto"/>
        </w:rPr>
      </w:pPr>
      <w:r>
        <w:rPr>
          <w:rFonts w:ascii="Arial" w:cs="Arial" w:eastAsia="Arial" w:hAnsi="Arial"/>
          <w:sz w:val="18"/>
          <w:szCs w:val="18"/>
          <w:color w:val="auto"/>
        </w:rPr>
        <w:t>rights of us and our stockholders, through stockholders’ derivative suits on our behalf, to recover monetary damages from a director for breach of fiduciary duty as a director, including breaches resulting from grossly negligent behavior.</w:t>
      </w:r>
    </w:p>
    <w:p>
      <w:pPr>
        <w:spacing w:after="0" w:line="121" w:lineRule="exact"/>
        <w:rPr>
          <w:sz w:val="20"/>
          <w:szCs w:val="20"/>
          <w:color w:val="auto"/>
        </w:rPr>
      </w:pPr>
    </w:p>
    <w:p>
      <w:pPr>
        <w:ind w:firstLine="324"/>
        <w:spacing w:after="0" w:line="224" w:lineRule="auto"/>
        <w:rPr>
          <w:sz w:val="20"/>
          <w:szCs w:val="20"/>
          <w:color w:val="auto"/>
        </w:rPr>
      </w:pPr>
      <w:r>
        <w:rPr>
          <w:rFonts w:ascii="Arial" w:cs="Arial" w:eastAsia="Arial" w:hAnsi="Arial"/>
          <w:sz w:val="18"/>
          <w:szCs w:val="18"/>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or her actions as a director.</w:t>
      </w:r>
    </w:p>
    <w:p>
      <w:pPr>
        <w:spacing w:after="0" w:line="136" w:lineRule="exact"/>
        <w:rPr>
          <w:sz w:val="20"/>
          <w:szCs w:val="20"/>
          <w:color w:val="auto"/>
        </w:rPr>
      </w:pPr>
    </w:p>
    <w:p>
      <w:pPr>
        <w:ind w:right="400" w:firstLine="324"/>
        <w:spacing w:after="0" w:line="249" w:lineRule="auto"/>
        <w:rPr>
          <w:sz w:val="20"/>
          <w:szCs w:val="20"/>
          <w:color w:val="auto"/>
        </w:rPr>
      </w:pPr>
      <w:r>
        <w:rPr>
          <w:rFonts w:ascii="Arial" w:cs="Arial" w:eastAsia="Arial" w:hAnsi="Arial"/>
          <w:sz w:val="16"/>
          <w:szCs w:val="16"/>
          <w:color w:val="auto"/>
        </w:rPr>
        <w:t>Our amended and restated bylaws provide that we must generally indemnify, and advance expenses to, our directors and officers appointed by our board of directors to the fullest extent authorized by the DGCL. We also are expressly authorized to carry directors’ and officers’ liability insurance providing indemnification for our directors, officers, employees and agents for some liabilities. We believe that these limitations of liability, indemnification, and advancement provisions and insurance are useful to attract and retain qualified directors and executive officers.</w:t>
      </w:r>
    </w:p>
    <w:p>
      <w:pPr>
        <w:spacing w:after="0" w:line="114" w:lineRule="exact"/>
        <w:rPr>
          <w:sz w:val="20"/>
          <w:szCs w:val="20"/>
          <w:color w:val="auto"/>
        </w:rPr>
      </w:pPr>
    </w:p>
    <w:p>
      <w:pPr>
        <w:ind w:right="40" w:firstLine="324"/>
        <w:spacing w:after="0" w:line="216"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in us may be adversely affected to the extent we pay the costs of settlement and damage awards against directors and officers pursuant to these indemnification provisions.</w:t>
      </w:r>
    </w:p>
    <w:p>
      <w:pPr>
        <w:spacing w:after="0" w:line="122" w:lineRule="exact"/>
        <w:rPr>
          <w:sz w:val="20"/>
          <w:szCs w:val="20"/>
          <w:color w:val="auto"/>
        </w:rPr>
      </w:pPr>
    </w:p>
    <w:p>
      <w:pPr>
        <w:ind w:right="140" w:firstLine="324"/>
        <w:spacing w:after="0" w:line="235" w:lineRule="auto"/>
        <w:rPr>
          <w:sz w:val="20"/>
          <w:szCs w:val="20"/>
          <w:color w:val="auto"/>
        </w:rPr>
      </w:pPr>
      <w:r>
        <w:rPr>
          <w:rFonts w:ascii="Arial" w:cs="Arial" w:eastAsia="Arial" w:hAnsi="Arial"/>
          <w:sz w:val="18"/>
          <w:szCs w:val="18"/>
          <w:color w:val="auto"/>
        </w:rPr>
        <w:t>We have entered into indemnification agreements with each of our directors and executive officers pursuant to which we agreed to indemnify them to the fullest extent permitted by Delaware law.</w:t>
      </w:r>
    </w:p>
    <w:p>
      <w:pPr>
        <w:spacing w:after="0" w:line="135" w:lineRule="exact"/>
        <w:rPr>
          <w:sz w:val="20"/>
          <w:szCs w:val="20"/>
          <w:color w:val="auto"/>
        </w:rPr>
      </w:pPr>
    </w:p>
    <w:p>
      <w:pPr>
        <w:ind w:right="40" w:firstLine="324"/>
        <w:spacing w:after="0" w:line="22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The transfer agent and registrar for our Class A common stock is Computershare Trust Company, N.A. The transfer agent and registrar’s address is 150 Royall Street, Canton, MA 02021.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is listed on Nasdaq under the symbol “AFRM”.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08" w:right="339" w:bottom="1440" w:gutter="0" w:footer="0" w:header="0"/>
        </w:sectPr>
      </w:pPr>
    </w:p>
    <w:bookmarkStart w:id="23" w:name="page24"/>
    <w:bookmarkEnd w:id="23"/>
    <w:p>
      <w:pPr>
        <w:jc w:val="center"/>
        <w:ind w:right="-139"/>
        <w:spacing w:after="0"/>
        <w:rPr>
          <w:sz w:val="20"/>
          <w:szCs w:val="20"/>
          <w:color w:val="auto"/>
        </w:rPr>
      </w:pPr>
      <w:r>
        <w:rPr>
          <w:rFonts w:ascii="Arial" w:cs="Arial" w:eastAsia="Arial" w:hAnsi="Arial"/>
          <w:sz w:val="18"/>
          <w:szCs w:val="18"/>
          <w:b w:val="1"/>
          <w:bCs w:val="1"/>
          <w:color w:val="auto"/>
        </w:rPr>
        <w:t>DESCRIPTION OF OTHER SECURITIES</w:t>
      </w:r>
    </w:p>
    <w:p>
      <w:pPr>
        <w:spacing w:after="0" w:line="148"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We will set forth in the applicable prospectus supplement a description of any warrants, depositary shares, purchase contracts, guarantees or units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1404" w:right="459" w:bottom="1440" w:gutter="0" w:footer="0" w:header="0"/>
        </w:sectPr>
      </w:pPr>
    </w:p>
    <w:bookmarkStart w:id="24" w:name="page25"/>
    <w:bookmarkEnd w:id="24"/>
    <w:p>
      <w:pPr>
        <w:jc w:val="center"/>
        <w:ind w:right="-539"/>
        <w:spacing w:after="0"/>
        <w:rPr>
          <w:sz w:val="20"/>
          <w:szCs w:val="20"/>
          <w:color w:val="auto"/>
        </w:rPr>
      </w:pPr>
      <w:r>
        <w:rPr>
          <w:rFonts w:ascii="Arial" w:cs="Arial" w:eastAsia="Arial" w:hAnsi="Arial"/>
          <w:sz w:val="18"/>
          <w:szCs w:val="18"/>
          <w:b w:val="1"/>
          <w:bCs w:val="1"/>
          <w:color w:val="auto"/>
        </w:rPr>
        <w:t>SELLING SECURITYHOLDERS</w:t>
      </w:r>
    </w:p>
    <w:p>
      <w:pPr>
        <w:spacing w:after="0" w:line="148"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1404" w:right="539" w:bottom="1440" w:gutter="0" w:footer="0" w:header="0"/>
        </w:sectPr>
      </w:pPr>
    </w:p>
    <w:bookmarkStart w:id="25" w:name="page26"/>
    <w:bookmarkEnd w:id="25"/>
    <w:p>
      <w:pPr>
        <w:spacing w:after="0" w:line="5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or any selling securityholder may sell the securities being offered hereby in one or more of the following ways from time to time:</w:t>
      </w:r>
    </w:p>
    <w:p>
      <w:pPr>
        <w:spacing w:after="0" w:line="14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“at-the market” offerings (as defined in Rule 415 under the Securities Act of 1933);</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directly by us or by selling securityholders to purchasers, through a specific bidding or auction process or otherwise;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 combination of any such methods of sale; 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described in a prospectus supplement.</w:t>
      </w:r>
    </w:p>
    <w:p>
      <w:pPr>
        <w:spacing w:after="0" w:line="158" w:lineRule="exact"/>
        <w:rPr>
          <w:sz w:val="20"/>
          <w:szCs w:val="20"/>
          <w:color w:val="auto"/>
        </w:rPr>
      </w:pPr>
    </w:p>
    <w:p>
      <w:pPr>
        <w:ind w:right="20" w:firstLine="324"/>
        <w:spacing w:after="0" w:line="241" w:lineRule="auto"/>
        <w:rPr>
          <w:sz w:val="20"/>
          <w:szCs w:val="20"/>
          <w:color w:val="auto"/>
        </w:rPr>
      </w:pPr>
      <w:r>
        <w:rPr>
          <w:rFonts w:ascii="Arial" w:cs="Arial" w:eastAsia="Arial" w:hAnsi="Arial"/>
          <w:sz w:val="16"/>
          <w:szCs w:val="16"/>
          <w:color w:val="auto"/>
        </w:rPr>
        <w:t>In addition, we or any selling securityholder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or any selling securityholder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required, we will identify the specific plan of distribution in a prospectus supplement, including:</w:t>
      </w:r>
    </w:p>
    <w:p>
      <w:pPr>
        <w:spacing w:after="0" w:line="14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names of the underwriters, dealers, agents or direct purchasers and their compensation;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price of the securities and the net proceeds we will receive from the sale;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delayed delivery obligations to take the securities;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nature of the underwriters’ obligations to take the securities;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of any selling securityholder, if applicable;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dealers and agents</w:t>
      </w:r>
    </w:p>
    <w:p>
      <w:pPr>
        <w:spacing w:after="0" w:line="148" w:lineRule="exact"/>
        <w:rPr>
          <w:sz w:val="20"/>
          <w:szCs w:val="20"/>
          <w:color w:val="auto"/>
        </w:rPr>
      </w:pPr>
    </w:p>
    <w:p>
      <w:pPr>
        <w:ind w:firstLine="324"/>
        <w:spacing w:after="0" w:line="222" w:lineRule="auto"/>
        <w:rPr>
          <w:sz w:val="20"/>
          <w:szCs w:val="20"/>
          <w:color w:val="auto"/>
        </w:rPr>
      </w:pPr>
      <w:r>
        <w:rPr>
          <w:rFonts w:ascii="Arial" w:cs="Arial" w:eastAsia="Arial" w:hAnsi="Arial"/>
          <w:sz w:val="17"/>
          <w:szCs w:val="17"/>
          <w:color w:val="auto"/>
        </w:rPr>
        <w:t>If we or any selling securityholder use underwriters in an offering, we or any selling securityholder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or any selling securityholder use an underwriting syndicate, the managing underwriter(s) will be specified on the cover of the prospectus supplement. If we or any selling securityholder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6" w:name="page27"/>
    <w:bookmarkEnd w:id="26"/>
    <w:p>
      <w:pPr>
        <w:ind w:right="180" w:firstLine="324"/>
        <w:spacing w:after="0" w:line="224" w:lineRule="auto"/>
        <w:rPr>
          <w:sz w:val="20"/>
          <w:szCs w:val="20"/>
          <w:color w:val="auto"/>
        </w:rPr>
      </w:pPr>
      <w:r>
        <w:rPr>
          <w:rFonts w:ascii="Arial" w:cs="Arial" w:eastAsia="Arial" w:hAnsi="Arial"/>
          <w:sz w:val="18"/>
          <w:szCs w:val="18"/>
          <w:color w:val="auto"/>
        </w:rPr>
        <w:t>If dealers are used in an offering, we or any selling securityholder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122" w:lineRule="exact"/>
        <w:rPr>
          <w:sz w:val="20"/>
          <w:szCs w:val="20"/>
          <w:color w:val="auto"/>
        </w:rPr>
      </w:pPr>
    </w:p>
    <w:p>
      <w:pPr>
        <w:ind w:right="200" w:firstLine="324"/>
        <w:spacing w:after="0" w:line="235" w:lineRule="auto"/>
        <w:rPr>
          <w:sz w:val="20"/>
          <w:szCs w:val="20"/>
          <w:color w:val="auto"/>
        </w:rPr>
      </w:pPr>
      <w:r>
        <w:rPr>
          <w:rFonts w:ascii="Arial" w:cs="Arial" w:eastAsia="Arial" w:hAnsi="Arial"/>
          <w:sz w:val="18"/>
          <w:szCs w:val="18"/>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135" w:lineRule="exact"/>
        <w:rPr>
          <w:sz w:val="20"/>
          <w:szCs w:val="20"/>
          <w:color w:val="auto"/>
        </w:rPr>
      </w:pPr>
    </w:p>
    <w:p>
      <w:pPr>
        <w:ind w:right="40" w:firstLine="324"/>
        <w:spacing w:after="0" w:line="216" w:lineRule="auto"/>
        <w:rPr>
          <w:sz w:val="20"/>
          <w:szCs w:val="20"/>
          <w:color w:val="auto"/>
        </w:rPr>
      </w:pPr>
      <w:r>
        <w:rPr>
          <w:rFonts w:ascii="Arial" w:cs="Arial" w:eastAsia="Arial" w:hAnsi="Arial"/>
          <w:sz w:val="18"/>
          <w:szCs w:val="18"/>
          <w:color w:val="auto"/>
        </w:rPr>
        <w:t>Dealers and agents named in a prospectus supplement may be underwriters as defined in the Securities Act of 1933 and any discounts or commissions they receive from us and any profit on their resale of the securities may be treated as underwriting discounts and commissions under the Securities Act of 1933. We or any selling securityholder will identify in the applicable prospectus supplement any underwriters, dealers or agents and will describe their compensation. We or any selling securityholder may have agreements with the underwriters, dealers and agents to indemnify them against specified civil liabilities, including liabilities under the Securities Act of 1933.</w:t>
      </w:r>
    </w:p>
    <w:p>
      <w:pPr>
        <w:spacing w:after="0" w:line="122" w:lineRule="exact"/>
        <w:rPr>
          <w:sz w:val="20"/>
          <w:szCs w:val="20"/>
          <w:color w:val="auto"/>
        </w:rPr>
      </w:pPr>
    </w:p>
    <w:p>
      <w:pPr>
        <w:ind w:right="920" w:firstLine="324"/>
        <w:spacing w:after="0" w:line="235" w:lineRule="auto"/>
        <w:rPr>
          <w:sz w:val="20"/>
          <w:szCs w:val="20"/>
          <w:color w:val="auto"/>
        </w:rPr>
      </w:pPr>
      <w:r>
        <w:rPr>
          <w:rFonts w:ascii="Arial" w:cs="Arial" w:eastAsia="Arial" w:hAnsi="Arial"/>
          <w:sz w:val="18"/>
          <w:szCs w:val="18"/>
          <w:color w:val="auto"/>
        </w:rPr>
        <w:t>Underwriters, dealers or agents and their associates may engage in other transactions with and perform other services for us or any selling securityholder in the ordinary course of business.</w:t>
      </w:r>
    </w:p>
    <w:p>
      <w:pPr>
        <w:spacing w:after="0" w:line="121" w:lineRule="exact"/>
        <w:rPr>
          <w:sz w:val="20"/>
          <w:szCs w:val="20"/>
          <w:color w:val="auto"/>
        </w:rPr>
      </w:pPr>
    </w:p>
    <w:p>
      <w:pPr>
        <w:ind w:firstLine="324"/>
        <w:spacing w:after="0" w:line="214" w:lineRule="auto"/>
        <w:rPr>
          <w:sz w:val="20"/>
          <w:szCs w:val="20"/>
          <w:color w:val="auto"/>
        </w:rPr>
      </w:pPr>
      <w:r>
        <w:rPr>
          <w:rFonts w:ascii="Arial" w:cs="Arial" w:eastAsia="Arial" w:hAnsi="Arial"/>
          <w:sz w:val="18"/>
          <w:szCs w:val="18"/>
          <w:color w:val="auto"/>
        </w:rPr>
        <w:t>If so indicated in a prospectus supplement, we or any selling securityholder will authorize underwriters or other persons acting as our or their agents to solicit offers by institutional investors to purchase securities pursuant to contracts providing for payment and delivery on a future date. We or any selling securityholder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offerings</w:t>
      </w:r>
    </w:p>
    <w:p>
      <w:pPr>
        <w:spacing w:after="0" w:line="148"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We or any selling securityholder may also sell the securities offered by any applicable prospectus supplement in “at-the-market offerings” within the meaning of Rule 415 of the Securities Act of 1933, to or through a market maker or into an existing trading market, on an exchange or otherwise.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or any selling securityholder may sell securities directly to one or more purchasers without using underwriters or agents.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148" w:lineRule="exact"/>
        <w:rPr>
          <w:sz w:val="20"/>
          <w:szCs w:val="20"/>
          <w:color w:val="auto"/>
        </w:rPr>
      </w:pPr>
    </w:p>
    <w:p>
      <w:pPr>
        <w:ind w:right="40" w:firstLine="324"/>
        <w:spacing w:after="0" w:line="216"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established trading market, other than our Class A common stock, which is listed on Nasdaq.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activities</w:t>
      </w:r>
    </w:p>
    <w:p>
      <w:pPr>
        <w:spacing w:after="0" w:line="148" w:lineRule="exact"/>
        <w:rPr>
          <w:sz w:val="20"/>
          <w:szCs w:val="20"/>
          <w:color w:val="auto"/>
        </w:rPr>
      </w:pPr>
    </w:p>
    <w:p>
      <w:pPr>
        <w:ind w:firstLine="324"/>
        <w:spacing w:after="0" w:line="236" w:lineRule="auto"/>
        <w:rPr>
          <w:sz w:val="20"/>
          <w:szCs w:val="20"/>
          <w:color w:val="auto"/>
        </w:rPr>
      </w:pPr>
      <w:r>
        <w:rPr>
          <w:rFonts w:ascii="Arial" w:cs="Arial" w:eastAsia="Arial" w:hAnsi="Arial"/>
          <w:sz w:val="16"/>
          <w:szCs w:val="16"/>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1408" w:right="399" w:bottom="1440" w:gutter="0" w:footer="0" w:header="0"/>
        </w:sectPr>
      </w:pPr>
    </w:p>
    <w:bookmarkStart w:id="27" w:name="page28"/>
    <w:bookmarkEnd w:id="27"/>
    <w:p>
      <w:pPr>
        <w:ind w:firstLine="324"/>
        <w:spacing w:after="0" w:line="225" w:lineRule="auto"/>
        <w:rPr>
          <w:sz w:val="20"/>
          <w:szCs w:val="20"/>
          <w:color w:val="auto"/>
        </w:rPr>
      </w:pPr>
      <w:r>
        <w:rPr>
          <w:rFonts w:ascii="Arial" w:cs="Arial" w:eastAsia="Arial" w:hAnsi="Arial"/>
          <w:sz w:val="17"/>
          <w:szCs w:val="17"/>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Nasdaq or otherwise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1408" w:right="37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right="160" w:firstLine="324"/>
        <w:spacing w:after="0" w:line="224" w:lineRule="auto"/>
        <w:rPr>
          <w:sz w:val="20"/>
          <w:szCs w:val="20"/>
          <w:color w:val="auto"/>
        </w:rPr>
      </w:pPr>
      <w:r>
        <w:rPr>
          <w:rFonts w:ascii="Arial" w:cs="Arial" w:eastAsia="Arial" w:hAnsi="Arial"/>
          <w:sz w:val="18"/>
          <w:szCs w:val="18"/>
          <w:color w:val="auto"/>
        </w:rPr>
        <w:t>Unless otherwise indicated in any accompanying prospectus supplement, Gibson, Dunn &amp; Crutcher LLP will provide opinions regarding the validity of the securities. Any underwriters will be advised about legal matters by their own counsel, which will be named in an accompanying prospectus supplement.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firstLine="324"/>
        <w:spacing w:after="0" w:line="219" w:lineRule="auto"/>
        <w:rPr>
          <w:sz w:val="20"/>
          <w:szCs w:val="20"/>
          <w:color w:val="auto"/>
        </w:rPr>
      </w:pPr>
      <w:r>
        <w:rPr>
          <w:rFonts w:ascii="Arial" w:cs="Arial" w:eastAsia="Arial" w:hAnsi="Arial"/>
          <w:sz w:val="18"/>
          <w:szCs w:val="18"/>
          <w:color w:val="auto"/>
        </w:rPr>
        <w:t>The consolidated financial statements of Affirm Holdings, Inc. as of and for the years then ended June 30, 2021 and 2020, incorporated by reference in this prospectus by reference to Affirm Holdings, Inc.’s annual report on Form 10-K for the year ended June 30, 2021,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90" w:lineRule="exact"/>
        <w:rPr>
          <w:sz w:val="20"/>
          <w:szCs w:val="20"/>
          <w:color w:val="auto"/>
        </w:rPr>
      </w:pPr>
    </w:p>
    <w:p>
      <w:pPr>
        <w:ind w:right="220" w:firstLine="324"/>
        <w:spacing w:after="0" w:line="249" w:lineRule="auto"/>
        <w:rPr>
          <w:sz w:val="20"/>
          <w:szCs w:val="20"/>
          <w:color w:val="auto"/>
        </w:rPr>
      </w:pPr>
      <w:r>
        <w:rPr>
          <w:rFonts w:ascii="Arial" w:cs="Arial" w:eastAsia="Arial" w:hAnsi="Arial"/>
          <w:sz w:val="16"/>
          <w:szCs w:val="16"/>
          <w:color w:val="auto"/>
        </w:rPr>
        <w:t>The consolidated financial statements of Affirm Holdings, Inc. as of and for the fiscal year ended June 30, 2019, incorporated in this prospectus by reference to our Annual Report on Form 10-K for the fiscal year ended June 30, 2021,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404" w:right="379" w:bottom="1440" w:gutter="0" w:footer="0" w:header="0"/>
        </w:sectPr>
      </w:pPr>
    </w:p>
    <w:bookmarkStart w:id="29" w:name="page30"/>
    <w:bookmarkEnd w:id="29"/>
    <w:p>
      <w:pPr>
        <w:ind w:left="9700"/>
        <w:spacing w:after="0"/>
        <w:rPr>
          <w:sz w:val="20"/>
          <w:szCs w:val="20"/>
          <w:color w:val="auto"/>
        </w:rPr>
      </w:pPr>
      <w:r>
        <w:rPr>
          <w:rFonts w:ascii="Arial" w:cs="Arial" w:eastAsia="Arial" w:hAnsi="Arial"/>
          <w:sz w:val="18"/>
          <w:szCs w:val="18"/>
          <w:b w:val="1"/>
          <w:bCs w:val="1"/>
          <w:color w:val="auto"/>
        </w:rPr>
        <w:t>EX-FILING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Calculation of Filing Fee Tables</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424(b)(7)</w:t>
      </w:r>
    </w:p>
    <w:p>
      <w:pPr>
        <w:ind w:left="5160"/>
        <w:spacing w:after="0"/>
        <w:rPr>
          <w:sz w:val="20"/>
          <w:szCs w:val="20"/>
          <w:color w:val="auto"/>
        </w:rPr>
      </w:pPr>
      <w:r>
        <w:rPr>
          <w:rFonts w:ascii="Arial" w:cs="Arial" w:eastAsia="Arial" w:hAnsi="Arial"/>
          <w:sz w:val="14"/>
          <w:szCs w:val="14"/>
          <w:color w:val="auto"/>
        </w:rPr>
        <w:t>(Form Type)</w:t>
      </w:r>
    </w:p>
    <w:p>
      <w:pPr>
        <w:spacing w:after="0" w:line="2" w:lineRule="exact"/>
        <w:rPr>
          <w:sz w:val="20"/>
          <w:szCs w:val="20"/>
          <w:color w:val="auto"/>
        </w:rPr>
      </w:pPr>
    </w:p>
    <w:p>
      <w:pPr>
        <w:ind w:left="4640"/>
        <w:spacing w:after="0"/>
        <w:rPr>
          <w:sz w:val="20"/>
          <w:szCs w:val="20"/>
          <w:color w:val="auto"/>
        </w:rPr>
      </w:pPr>
      <w:r>
        <w:rPr>
          <w:rFonts w:ascii="Arial" w:cs="Arial" w:eastAsia="Arial" w:hAnsi="Arial"/>
          <w:sz w:val="14"/>
          <w:szCs w:val="14"/>
          <w:b w:val="1"/>
          <w:bCs w:val="1"/>
          <w:color w:val="auto"/>
        </w:rPr>
        <w:t>AFFIRM HOLDINGS, INC.</w:t>
      </w:r>
    </w:p>
    <w:p>
      <w:pPr>
        <w:jc w:val="center"/>
        <w:ind w:right="120"/>
        <w:spacing w:after="0"/>
        <w:rPr>
          <w:sz w:val="20"/>
          <w:szCs w:val="20"/>
          <w:color w:val="auto"/>
        </w:rPr>
      </w:pPr>
      <w:r>
        <w:rPr>
          <w:rFonts w:ascii="Arial" w:cs="Arial" w:eastAsia="Arial" w:hAnsi="Arial"/>
          <w:sz w:val="14"/>
          <w:szCs w:val="14"/>
          <w:color w:val="auto"/>
        </w:rPr>
        <w:t>(Exact Name of Registrant as Specified in its Charter)</w:t>
      </w:r>
    </w:p>
    <w:p>
      <w:pPr>
        <w:spacing w:after="0" w:line="1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Table 1: Newly Registered and Carry Forward Securities</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80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Filing Fee</w:t>
            </w: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Proposed</w:t>
            </w:r>
          </w:p>
        </w:tc>
        <w:tc>
          <w:tcPr>
            <w:tcW w:w="8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9"/>
              </w:rPr>
              <w:t>Carry</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1"/>
              </w:rPr>
              <w:t>Previously</w:t>
            </w: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9"/>
              </w:rPr>
              <w:t>Maximum</w:t>
            </w:r>
          </w:p>
        </w:tc>
        <w:tc>
          <w:tcPr>
            <w:tcW w:w="7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rPr>
              <w:t>Carry</w:t>
            </w:r>
          </w:p>
        </w:tc>
        <w:tc>
          <w:tcPr>
            <w:tcW w:w="6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rPr>
              <w:t>Carry</w:t>
            </w:r>
          </w:p>
        </w:tc>
        <w:tc>
          <w:tcPr>
            <w:tcW w:w="68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rPr>
              <w:t>Paid In</w:t>
            </w: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9"/>
              </w:rPr>
              <w:t>Maximum</w:t>
            </w:r>
          </w:p>
        </w:tc>
        <w:tc>
          <w:tcPr>
            <w:tcW w:w="84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Amount of</w:t>
            </w:r>
          </w:p>
        </w:tc>
        <w:tc>
          <w:tcPr>
            <w:tcW w:w="6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Forward</w:t>
            </w: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tcPr>
          <w:p>
            <w:pPr>
              <w:spacing w:after="0"/>
              <w:rPr>
                <w:sz w:val="5"/>
                <w:szCs w:val="5"/>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Security</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Security Class Title</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Fee Calculation or</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Amount</w:t>
            </w:r>
          </w:p>
        </w:tc>
        <w:tc>
          <w:tcPr>
            <w:tcW w:w="70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Aggregate</w:t>
            </w:r>
          </w:p>
        </w:tc>
        <w:tc>
          <w:tcPr>
            <w:tcW w:w="760" w:type="dxa"/>
            <w:vAlign w:val="bottom"/>
            <w:tcBorders>
              <w:right w:val="single" w:sz="8" w:color="auto"/>
            </w:tcBorders>
            <w:vMerge w:val="restart"/>
          </w:tcPr>
          <w:p>
            <w:pPr>
              <w:jc w:val="right"/>
              <w:ind w:right="73"/>
              <w:spacing w:after="0"/>
              <w:rPr>
                <w:sz w:val="20"/>
                <w:szCs w:val="20"/>
                <w:color w:val="auto"/>
              </w:rPr>
            </w:pPr>
            <w:r>
              <w:rPr>
                <w:rFonts w:ascii="Arial" w:cs="Arial" w:eastAsia="Arial" w:hAnsi="Arial"/>
                <w:sz w:val="13"/>
                <w:szCs w:val="13"/>
                <w:b w:val="1"/>
                <w:bCs w:val="1"/>
                <w:color w:val="auto"/>
              </w:rPr>
              <w:t>Fee Rate</w:t>
            </w:r>
          </w:p>
        </w:tc>
        <w:tc>
          <w:tcPr>
            <w:tcW w:w="84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Forward</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Forward</w:t>
            </w:r>
          </w:p>
        </w:tc>
        <w:tc>
          <w:tcPr>
            <w:tcW w:w="68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2"/>
              </w:rPr>
              <w:t>Connection</w:t>
            </w:r>
          </w:p>
        </w:tc>
        <w:tc>
          <w:tcPr>
            <w:tcW w:w="0" w:type="dxa"/>
            <w:vAlign w:val="bottom"/>
          </w:tcPr>
          <w:p>
            <w:pPr>
              <w:spacing w:after="0"/>
              <w:rPr>
                <w:sz w:val="1"/>
                <w:szCs w:val="1"/>
                <w:color w:val="auto"/>
              </w:rPr>
            </w:pPr>
          </w:p>
        </w:tc>
      </w:tr>
      <w:tr>
        <w:trPr>
          <w:trHeight w:val="134"/>
        </w:trPr>
        <w:tc>
          <w:tcPr>
            <w:tcW w:w="8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4"/>
              </w:rPr>
              <w:t>Offering</w:t>
            </w:r>
          </w:p>
        </w:tc>
        <w:tc>
          <w:tcPr>
            <w:tcW w:w="840" w:type="dxa"/>
            <w:vAlign w:val="bottom"/>
            <w:tcBorders>
              <w:right w:val="single" w:sz="8" w:color="auto"/>
            </w:tcBorders>
            <w:vMerge w:val="continue"/>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4"/>
              </w:rPr>
              <w:t>Registration</w:t>
            </w:r>
          </w:p>
        </w:tc>
        <w:tc>
          <w:tcPr>
            <w:tcW w:w="6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9"/>
              </w:rPr>
              <w:t>Initial</w:t>
            </w:r>
          </w:p>
        </w:tc>
        <w:tc>
          <w:tcPr>
            <w:tcW w:w="9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Type</w:t>
            </w:r>
          </w:p>
        </w:tc>
        <w:tc>
          <w:tcPr>
            <w:tcW w:w="16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Carry Forward Rule</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Registered</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Price Per</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Offering</w:t>
            </w:r>
          </w:p>
        </w:tc>
        <w:tc>
          <w:tcPr>
            <w:tcW w:w="7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Form</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File</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effective</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with Unsold</w:t>
            </w:r>
          </w:p>
        </w:tc>
        <w:tc>
          <w:tcPr>
            <w:tcW w:w="0" w:type="dxa"/>
            <w:vAlign w:val="bottom"/>
          </w:tcPr>
          <w:p>
            <w:pPr>
              <w:spacing w:after="0"/>
              <w:rPr>
                <w:sz w:val="1"/>
                <w:szCs w:val="1"/>
                <w:color w:val="auto"/>
              </w:rPr>
            </w:pPr>
          </w:p>
        </w:tc>
      </w:tr>
      <w:tr>
        <w:trPr>
          <w:trHeight w:val="68"/>
        </w:trPr>
        <w:tc>
          <w:tcPr>
            <w:tcW w:w="800" w:type="dxa"/>
            <w:vAlign w:val="bottom"/>
            <w:tcBorders>
              <w:left w:val="single" w:sz="8" w:color="auto"/>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Unit</w:t>
            </w:r>
          </w:p>
        </w:tc>
        <w:tc>
          <w:tcPr>
            <w:tcW w:w="840" w:type="dxa"/>
            <w:vAlign w:val="bottom"/>
            <w:tcBorders>
              <w:right w:val="single" w:sz="8" w:color="auto"/>
            </w:tcBorders>
          </w:tcPr>
          <w:p>
            <w:pPr>
              <w:jc w:val="center"/>
              <w:spacing w:after="0" w:line="69" w:lineRule="exact"/>
              <w:rPr>
                <w:sz w:val="20"/>
                <w:szCs w:val="20"/>
                <w:color w:val="auto"/>
              </w:rPr>
            </w:pPr>
            <w:r>
              <w:rPr>
                <w:rFonts w:ascii="Arial" w:cs="Arial" w:eastAsia="Arial" w:hAnsi="Arial"/>
                <w:sz w:val="7"/>
                <w:szCs w:val="7"/>
                <w:b w:val="1"/>
                <w:bCs w:val="1"/>
                <w:color w:val="auto"/>
              </w:rPr>
              <w:t>Price</w:t>
            </w:r>
          </w:p>
        </w:tc>
        <w:tc>
          <w:tcPr>
            <w:tcW w:w="7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jc w:val="center"/>
              <w:spacing w:after="0" w:line="69" w:lineRule="exact"/>
              <w:rPr>
                <w:sz w:val="20"/>
                <w:szCs w:val="20"/>
                <w:color w:val="auto"/>
              </w:rPr>
            </w:pPr>
            <w:r>
              <w:rPr>
                <w:rFonts w:ascii="Arial" w:cs="Arial" w:eastAsia="Arial" w:hAnsi="Arial"/>
                <w:sz w:val="7"/>
                <w:szCs w:val="7"/>
                <w:b w:val="1"/>
                <w:bCs w:val="1"/>
                <w:color w:val="auto"/>
              </w:rPr>
              <w:t>Type</w:t>
            </w:r>
          </w:p>
        </w:tc>
        <w:tc>
          <w:tcPr>
            <w:tcW w:w="680" w:type="dxa"/>
            <w:vAlign w:val="bottom"/>
            <w:tcBorders>
              <w:right w:val="single" w:sz="8" w:color="auto"/>
            </w:tcBorders>
          </w:tcPr>
          <w:p>
            <w:pPr>
              <w:jc w:val="center"/>
              <w:spacing w:after="0" w:line="69" w:lineRule="exact"/>
              <w:rPr>
                <w:sz w:val="20"/>
                <w:szCs w:val="20"/>
                <w:color w:val="auto"/>
              </w:rPr>
            </w:pPr>
            <w:r>
              <w:rPr>
                <w:rFonts w:ascii="Arial" w:cs="Arial" w:eastAsia="Arial" w:hAnsi="Arial"/>
                <w:sz w:val="7"/>
                <w:szCs w:val="7"/>
                <w:b w:val="1"/>
                <w:bCs w:val="1"/>
                <w:color w:val="auto"/>
              </w:rPr>
              <w:t>Number</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date</w:t>
            </w:r>
          </w:p>
        </w:tc>
        <w:tc>
          <w:tcPr>
            <w:tcW w:w="900" w:type="dxa"/>
            <w:vAlign w:val="bottom"/>
            <w:tcBorders>
              <w:right w:val="single" w:sz="8" w:color="auto"/>
            </w:tcBorders>
          </w:tcPr>
          <w:p>
            <w:pPr>
              <w:jc w:val="center"/>
              <w:spacing w:after="0" w:line="69" w:lineRule="exact"/>
              <w:rPr>
                <w:sz w:val="20"/>
                <w:szCs w:val="20"/>
                <w:color w:val="auto"/>
              </w:rPr>
            </w:pPr>
            <w:r>
              <w:rPr>
                <w:rFonts w:ascii="Arial" w:cs="Arial" w:eastAsia="Arial" w:hAnsi="Arial"/>
                <w:sz w:val="7"/>
                <w:szCs w:val="7"/>
                <w:b w:val="1"/>
                <w:bCs w:val="1"/>
                <w:color w:val="auto"/>
              </w:rPr>
              <w:t>Securities to</w:t>
            </w:r>
          </w:p>
        </w:tc>
        <w:tc>
          <w:tcPr>
            <w:tcW w:w="0" w:type="dxa"/>
            <w:vAlign w:val="bottom"/>
          </w:tcPr>
          <w:p>
            <w:pPr>
              <w:spacing w:after="0"/>
              <w:rPr>
                <w:sz w:val="1"/>
                <w:szCs w:val="1"/>
                <w:color w:val="auto"/>
              </w:rPr>
            </w:pPr>
          </w:p>
        </w:tc>
      </w:tr>
      <w:tr>
        <w:trPr>
          <w:trHeight w:val="107"/>
        </w:trPr>
        <w:tc>
          <w:tcPr>
            <w:tcW w:w="800" w:type="dxa"/>
            <w:vAlign w:val="bottom"/>
            <w:tcBorders>
              <w:left w:val="single" w:sz="8" w:color="auto"/>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9"/>
              </w:rPr>
              <w:t>be Carried</w:t>
            </w:r>
          </w:p>
        </w:tc>
        <w:tc>
          <w:tcPr>
            <w:tcW w:w="0" w:type="dxa"/>
            <w:vAlign w:val="bottom"/>
          </w:tcPr>
          <w:p>
            <w:pPr>
              <w:spacing w:after="0"/>
              <w:rPr>
                <w:sz w:val="1"/>
                <w:szCs w:val="1"/>
                <w:color w:val="auto"/>
              </w:rPr>
            </w:pPr>
          </w:p>
        </w:tc>
      </w:tr>
      <w:tr>
        <w:trPr>
          <w:trHeight w:val="28"/>
        </w:trPr>
        <w:tc>
          <w:tcPr>
            <w:tcW w:w="800" w:type="dxa"/>
            <w:vAlign w:val="bottom"/>
            <w:tcBorders>
              <w:left w:val="single" w:sz="8" w:color="auto"/>
              <w:right w:val="single" w:sz="8" w:color="auto"/>
            </w:tcBorders>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Forward</w:t>
            </w:r>
          </w:p>
        </w:tc>
        <w:tc>
          <w:tcPr>
            <w:tcW w:w="0" w:type="dxa"/>
            <w:vAlign w:val="bottom"/>
          </w:tcPr>
          <w:p>
            <w:pPr>
              <w:spacing w:after="0"/>
              <w:rPr>
                <w:sz w:val="1"/>
                <w:szCs w:val="1"/>
                <w:color w:val="auto"/>
              </w:rPr>
            </w:pPr>
          </w:p>
        </w:tc>
      </w:tr>
      <w:tr>
        <w:trPr>
          <w:trHeight w:val="183"/>
        </w:trPr>
        <w:tc>
          <w:tcPr>
            <w:tcW w:w="800" w:type="dxa"/>
            <w:vAlign w:val="bottom"/>
            <w:tcBorders>
              <w:left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3"/>
                <w:szCs w:val="13"/>
                <w:b w:val="1"/>
                <w:bCs w:val="1"/>
                <w:color w:val="auto"/>
                <w:w w:val="91"/>
              </w:rPr>
              <w:t>Newly Registered Securities</w:t>
            </w:r>
          </w:p>
        </w:tc>
        <w:tc>
          <w:tcPr>
            <w:tcW w:w="7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Fees to</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Equity</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Class A Common Stock, par</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Rule 457(c)</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22,000,000</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$38.68(1)</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202124"/>
                <w:w w:val="93"/>
              </w:rPr>
              <w:t>850,960,000</w:t>
            </w:r>
          </w:p>
        </w:tc>
        <w:tc>
          <w:tcPr>
            <w:tcW w:w="760" w:type="dxa"/>
            <w:vAlign w:val="bottom"/>
            <w:tcBorders>
              <w:right w:val="single" w:sz="8" w:color="auto"/>
            </w:tcBorders>
            <w:vMerge w:val="restart"/>
          </w:tcPr>
          <w:p>
            <w:pPr>
              <w:jc w:val="right"/>
              <w:ind w:right="113"/>
              <w:spacing w:after="0"/>
              <w:rPr>
                <w:sz w:val="20"/>
                <w:szCs w:val="20"/>
                <w:color w:val="auto"/>
              </w:rPr>
            </w:pPr>
            <w:r>
              <w:rPr>
                <w:rFonts w:ascii="Arial" w:cs="Arial" w:eastAsia="Arial" w:hAnsi="Arial"/>
                <w:sz w:val="13"/>
                <w:szCs w:val="13"/>
                <w:color w:val="auto"/>
                <w:w w:val="91"/>
              </w:rPr>
              <w:t>0.0000927</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$78,883.99</w:t>
            </w: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Be Paid</w:t>
            </w:r>
          </w:p>
        </w:tc>
        <w:tc>
          <w:tcPr>
            <w:tcW w:w="6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value $0.00001 per share</w:t>
            </w:r>
          </w:p>
        </w:tc>
        <w:tc>
          <w:tcPr>
            <w:tcW w:w="136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0" w:type="dxa"/>
            <w:vAlign w:val="bottom"/>
            <w:tcBorders>
              <w:left w:val="single" w:sz="8" w:color="auto"/>
              <w:right w:val="single" w:sz="8" w:color="auto"/>
            </w:tcBorders>
            <w:vMerge w:val="continue"/>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80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Fees</w:t>
            </w:r>
          </w:p>
        </w:tc>
        <w:tc>
          <w:tcPr>
            <w:tcW w:w="6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Previously</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76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Paid</w:t>
            </w:r>
          </w:p>
        </w:tc>
        <w:tc>
          <w:tcPr>
            <w:tcW w:w="6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80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0" w:type="dxa"/>
            <w:vAlign w:val="bottom"/>
            <w:tcBorders>
              <w:left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3"/>
                <w:szCs w:val="13"/>
                <w:b w:val="1"/>
                <w:bCs w:val="1"/>
                <w:color w:val="auto"/>
                <w:w w:val="95"/>
              </w:rPr>
              <w:t>Carry Forward Securities</w:t>
            </w:r>
          </w:p>
        </w:tc>
        <w:tc>
          <w:tcPr>
            <w:tcW w:w="7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Carry</w:t>
            </w:r>
          </w:p>
        </w:tc>
        <w:tc>
          <w:tcPr>
            <w:tcW w:w="62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Forward</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7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76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2"/>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Securities</w:t>
            </w:r>
          </w:p>
        </w:tc>
        <w:tc>
          <w:tcPr>
            <w:tcW w:w="62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0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2980" w:type="dxa"/>
            <w:vAlign w:val="bottom"/>
            <w:gridSpan w:val="2"/>
          </w:tcPr>
          <w:p>
            <w:pPr>
              <w:jc w:val="center"/>
              <w:spacing w:after="0"/>
              <w:rPr>
                <w:sz w:val="20"/>
                <w:szCs w:val="20"/>
                <w:color w:val="auto"/>
              </w:rPr>
            </w:pPr>
            <w:r>
              <w:rPr>
                <w:rFonts w:ascii="Arial" w:cs="Arial" w:eastAsia="Arial" w:hAnsi="Arial"/>
                <w:sz w:val="13"/>
                <w:szCs w:val="13"/>
                <w:color w:val="auto"/>
                <w:w w:val="97"/>
              </w:rPr>
              <w:t>Total Offering Amounts</w:t>
            </w: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202124"/>
                <w:w w:val="93"/>
              </w:rPr>
              <w:t>850,960,000</w:t>
            </w:r>
          </w:p>
        </w:tc>
        <w:tc>
          <w:tcPr>
            <w:tcW w:w="7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$78,883.99</w:t>
            </w: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2980" w:type="dxa"/>
            <w:vAlign w:val="bottom"/>
            <w:gridSpan w:val="2"/>
          </w:tcPr>
          <w:p>
            <w:pPr>
              <w:jc w:val="center"/>
              <w:spacing w:after="0"/>
              <w:rPr>
                <w:sz w:val="20"/>
                <w:szCs w:val="20"/>
                <w:color w:val="auto"/>
              </w:rPr>
            </w:pPr>
            <w:r>
              <w:rPr>
                <w:rFonts w:ascii="Arial" w:cs="Arial" w:eastAsia="Arial" w:hAnsi="Arial"/>
                <w:sz w:val="13"/>
                <w:szCs w:val="13"/>
                <w:color w:val="auto"/>
                <w:w w:val="94"/>
              </w:rPr>
              <w:t>Total Fees Previously Paid</w:t>
            </w: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2980" w:type="dxa"/>
            <w:vAlign w:val="bottom"/>
            <w:gridSpan w:val="2"/>
          </w:tcPr>
          <w:p>
            <w:pPr>
              <w:jc w:val="center"/>
              <w:spacing w:after="0"/>
              <w:rPr>
                <w:sz w:val="20"/>
                <w:szCs w:val="20"/>
                <w:color w:val="auto"/>
              </w:rPr>
            </w:pPr>
            <w:r>
              <w:rPr>
                <w:rFonts w:ascii="Arial" w:cs="Arial" w:eastAsia="Arial" w:hAnsi="Arial"/>
                <w:sz w:val="13"/>
                <w:szCs w:val="13"/>
                <w:color w:val="auto"/>
                <w:w w:val="94"/>
              </w:rPr>
              <w:t>Total Fee Offsets</w:t>
            </w: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0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2980" w:type="dxa"/>
            <w:vAlign w:val="bottom"/>
            <w:gridSpan w:val="2"/>
          </w:tcPr>
          <w:p>
            <w:pPr>
              <w:jc w:val="center"/>
              <w:spacing w:after="0"/>
              <w:rPr>
                <w:sz w:val="20"/>
                <w:szCs w:val="20"/>
                <w:color w:val="auto"/>
              </w:rPr>
            </w:pPr>
            <w:r>
              <w:rPr>
                <w:rFonts w:ascii="Arial" w:cs="Arial" w:eastAsia="Arial" w:hAnsi="Arial"/>
                <w:sz w:val="13"/>
                <w:szCs w:val="13"/>
                <w:color w:val="auto"/>
                <w:w w:val="94"/>
              </w:rPr>
              <w:t>Net Fee Due</w:t>
            </w: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$78,883.99</w:t>
            </w: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213995</wp:posOffset>
            </wp:positionV>
            <wp:extent cx="8655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380" w:lineRule="exact"/>
        <w:rPr>
          <w:sz w:val="20"/>
          <w:szCs w:val="20"/>
          <w:color w:val="auto"/>
        </w:rPr>
      </w:pPr>
    </w:p>
    <w:p>
      <w:pPr>
        <w:ind w:left="880" w:right="20" w:hanging="648"/>
        <w:spacing w:after="0" w:line="236" w:lineRule="auto"/>
        <w:tabs>
          <w:tab w:leader="none" w:pos="872"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Estimated solely to calculate the registration fee in accordance with Rule 457(c) of the Securities Act on the basis of the average of the high and low sales prices of the registrant’s shares of Class A common stock as reported by The Nasdaq Global Select Market on 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93980</wp:posOffset>
            </wp:positionV>
            <wp:extent cx="114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sectPr>
      <w:pgSz w:w="11900" w:h="16838" w:orient="portrait"/>
      <w:cols w:equalWidth="0" w:num="1">
        <w:col w:w="11160"/>
      </w:cols>
      <w:pgMar w:left="420" w:top="10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2022-03-03T16:08:49Z</dcterms:created>
  <dcterms:modified xsi:type="dcterms:W3CDTF">2022-03-03T16:08:49Z</dcterms:modified>
</cp:coreProperties>
</file>