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888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8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Linford Michael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AFFIRM HOLDINGS,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650 CALIFORNIA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Affirm Holdings,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AFRM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3"/>
          <w:szCs w:val="33"/>
          <w:color w:val="0000FF"/>
          <w:vertAlign w:val="superscript"/>
        </w:rPr>
        <w:t>SAN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CA 94108 FRANCISCO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267970</wp:posOffset>
            </wp:positionV>
            <wp:extent cx="6967220" cy="17399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3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8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3,333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1,032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107.61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3,333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1,044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91.44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3,333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3,333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12/31/2027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76,667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3,333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3,333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12/31/2027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73,334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-2414905</wp:posOffset>
            </wp:positionV>
            <wp:extent cx="7033260" cy="2457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 grant started vesting on January 1, 2021, and vests in equal monthly installments for a period of twenty-four months ending January 1, 2023, subject to the Reporting Person's continued employment with the Issuer as of each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David Ritenour,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15913" TargetMode="External"/><Relationship Id="rId14" Type="http://schemas.openxmlformats.org/officeDocument/2006/relationships/hyperlink" Target="http://www.sec.gov/cgi-bin/browse-edgar?action=getcompany&amp;CIK=00018209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2021-03-03T19:33:07Z</dcterms:created>
  <dcterms:modified xsi:type="dcterms:W3CDTF">2021-03-03T19:33:07Z</dcterms:modified>
</cp:coreProperties>
</file>