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0"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1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59" w:lineRule="exact"/>
        <w:rPr>
          <w:sz w:val="24"/>
          <w:szCs w:val="24"/>
          <w:color w:val="auto"/>
        </w:rPr>
      </w:pPr>
    </w:p>
    <w:p>
      <w:pPr>
        <w:ind w:left="40"/>
        <w:spacing w:after="0" w:line="207" w:lineRule="exact"/>
        <w:tabs>
          <w:tab w:leader="none" w:pos="56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480" w:hanging="322"/>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480" w:hanging="324"/>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480" w:hanging="32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480" w:hanging="324"/>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480" w:hanging="324"/>
        <w:spacing w:after="0"/>
        <w:tabs>
          <w:tab w:leader="none" w:pos="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128905</wp:posOffset>
            </wp:positionV>
            <wp:extent cx="158559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alibri" w:cs="Calibri" w:eastAsia="Calibri" w:hAnsi="Calibri"/>
          <w:sz w:val="18"/>
          <w:szCs w:val="18"/>
          <w:color w:val="auto"/>
        </w:rPr>
        <w:t> </w:t>
      </w:r>
    </w:p>
    <w:p>
      <w:pPr>
        <w:spacing w:after="0" w:line="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w:t>
      </w:r>
    </w:p>
    <w:p>
      <w:pPr>
        <w:spacing w:after="0" w:line="2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737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6737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36" w:lineRule="exact"/>
        <w:rPr>
          <w:sz w:val="24"/>
          <w:szCs w:val="24"/>
          <w:color w:val="auto"/>
        </w:rPr>
      </w:pPr>
    </w:p>
    <w:p>
      <w:pPr>
        <w:ind w:left="440" w:hanging="410"/>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40" w:hanging="410"/>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737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333" w:lineRule="exact"/>
        <w:rPr>
          <w:sz w:val="20"/>
          <w:szCs w:val="20"/>
          <w:color w:val="auto"/>
        </w:rPr>
      </w:pPr>
    </w:p>
    <w:p>
      <w:pPr>
        <w:jc w:val="right"/>
        <w:ind w:right="2320"/>
        <w:spacing w:after="0"/>
        <w:rPr>
          <w:sz w:val="20"/>
          <w:szCs w:val="20"/>
          <w:color w:val="auto"/>
        </w:rPr>
      </w:pPr>
      <w:r>
        <w:rPr>
          <w:rFonts w:ascii="Calibri" w:cs="Calibri" w:eastAsia="Calibri" w:hAnsi="Calibri"/>
          <w:sz w:val="36"/>
          <w:szCs w:val="36"/>
          <w:b w:val="1"/>
          <w:bCs w:val="1"/>
          <w:color w:val="auto"/>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154305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617220"/>
                    </a:xfrm>
                    <a:prstGeom prst="rect">
                      <a:avLst/>
                    </a:prstGeom>
                    <a:noFill/>
                  </pic:spPr>
                </pic:pic>
              </a:graphicData>
            </a:graphic>
          </wp:anchor>
        </w:drawing>
      </w:r>
    </w:p>
    <w:p>
      <w:pPr>
        <w:jc w:val="right"/>
        <w:ind w:right="2320"/>
        <w:spacing w:after="0" w:line="235" w:lineRule="auto"/>
        <w:rPr>
          <w:sz w:val="20"/>
          <w:szCs w:val="20"/>
          <w:color w:val="auto"/>
        </w:rPr>
      </w:pPr>
      <w:r>
        <w:rPr>
          <w:rFonts w:ascii="Calibri" w:cs="Calibri" w:eastAsia="Calibri" w:hAnsi="Calibri"/>
          <w:sz w:val="36"/>
          <w:szCs w:val="36"/>
          <w:b w:val="1"/>
          <w:bCs w:val="1"/>
          <w:color w:val="auto"/>
        </w:rPr>
        <w:t>ANNUAL MEETING</w:t>
      </w:r>
    </w:p>
    <w:p>
      <w:pPr>
        <w:jc w:val="right"/>
        <w:ind w:right="2320"/>
        <w:spacing w:after="0" w:line="233" w:lineRule="auto"/>
        <w:rPr>
          <w:sz w:val="20"/>
          <w:szCs w:val="20"/>
          <w:color w:val="auto"/>
        </w:rPr>
      </w:pPr>
      <w:r>
        <w:rPr>
          <w:rFonts w:ascii="Calibri" w:cs="Calibri" w:eastAsia="Calibri" w:hAnsi="Calibri"/>
          <w:sz w:val="36"/>
          <w:szCs w:val="36"/>
          <w:b w:val="1"/>
          <w:bCs w:val="1"/>
          <w:color w:val="auto"/>
        </w:rPr>
        <w:t>OF STOCKHOLDERS</w:t>
      </w:r>
    </w:p>
    <w:p>
      <w:pPr>
        <w:spacing w:after="0" w:line="195" w:lineRule="auto"/>
        <w:rPr>
          <w:sz w:val="20"/>
          <w:szCs w:val="20"/>
          <w:color w:val="auto"/>
        </w:rPr>
      </w:pPr>
      <w:r>
        <w:rPr>
          <w:rFonts w:ascii="Calibri" w:cs="Calibri" w:eastAsia="Calibri" w:hAnsi="Calibri"/>
          <w:sz w:val="18"/>
          <w:szCs w:val="18"/>
          <w:color w:val="auto"/>
        </w:rPr>
        <w:t> </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To our stockholders:</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pleased to invite you to virtually atend the 2022 Annual Meetng of Stockholders (including any adjournments, contnuatons, or postponements thereof, the “Annual Meetng”) of Afrm Holdings, Inc., a Delaware corporaton (“Afrm” or the “Company”). The Annual Meetng will be held exclusively online via live audio webcast at www.proxydocs.com/AFRM on Monday, December 5, 2022, at 9:00 a.m., Pacifc Time. The virtual format of the Annual Meetng allows us to preserve and even increase stockholder access, while also saving tme and money for both us and our stockholders and safeguarding the health of partcipants. Even with a virtual format, you will stll be able to vote and submit questons during the meetng, and we encourage you to atend online and partcipate.</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color w:val="auto"/>
        </w:rPr>
        <w:t>The Annual Meetng will be held for the following purposes:</w:t>
      </w:r>
    </w:p>
    <w:p>
      <w:pPr>
        <w:spacing w:after="0" w:line="190" w:lineRule="exact"/>
        <w:rPr>
          <w:sz w:val="20"/>
          <w:szCs w:val="20"/>
          <w:color w:val="auto"/>
        </w:rPr>
      </w:pPr>
    </w:p>
    <w:p>
      <w:pPr>
        <w:ind w:left="660" w:hanging="652"/>
        <w:spacing w:after="0" w:line="235" w:lineRule="auto"/>
        <w:tabs>
          <w:tab w:leader="none" w:pos="315"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To elect the three Class II nominees for director named in the accompanying proxy statement to hold ofce untl the 2025 Annual Meetng and untl their successors have been duly elected and qualifed or untl such director’s earlier death, resignaton or removal.</w:t>
      </w:r>
    </w:p>
    <w:p>
      <w:pPr>
        <w:spacing w:after="0" w:line="172" w:lineRule="exact"/>
        <w:rPr>
          <w:rFonts w:ascii="Calibri" w:cs="Calibri" w:eastAsia="Calibri" w:hAnsi="Calibri"/>
          <w:sz w:val="18"/>
          <w:szCs w:val="18"/>
          <w:color w:val="auto"/>
        </w:rPr>
      </w:pPr>
    </w:p>
    <w:p>
      <w:pPr>
        <w:ind w:left="300" w:hanging="292"/>
        <w:spacing w:after="0"/>
        <w:tabs>
          <w:tab w:leader="none" w:pos="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To ratfy the selecton of Deloite &amp; Touche LLP as the Company’s independent registered public accountng frm for the fscal year ending June 30, 2023.</w:t>
      </w:r>
    </w:p>
    <w:p>
      <w:pPr>
        <w:spacing w:after="0" w:line="171" w:lineRule="exact"/>
        <w:rPr>
          <w:rFonts w:ascii="Calibri" w:cs="Calibri" w:eastAsia="Calibri" w:hAnsi="Calibri"/>
          <w:sz w:val="18"/>
          <w:szCs w:val="18"/>
          <w:color w:val="auto"/>
        </w:rPr>
      </w:pPr>
    </w:p>
    <w:p>
      <w:pPr>
        <w:ind w:left="300" w:hanging="292"/>
        <w:spacing w:after="0"/>
        <w:tabs>
          <w:tab w:leader="none" w:pos="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To conduct any other business properly brought before the Annual Meetng.</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proposals, as well as instructons for accessing the virtual Annual Meetng, are more fully described in the accompanying proxy statement. The record date for the Annual Meetng is October 6, 2022. Only stockholders of record at the close of business on that date are enttled to notce of, and may vote at, the Annual Meetng.</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143510</wp:posOffset>
            </wp:positionV>
            <wp:extent cx="1071245"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2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Katherine Adkins</w:t>
      </w:r>
    </w:p>
    <w:p>
      <w:pPr>
        <w:ind w:left="20"/>
        <w:spacing w:after="0" w:line="235" w:lineRule="auto"/>
        <w:rPr>
          <w:sz w:val="20"/>
          <w:szCs w:val="20"/>
          <w:color w:val="auto"/>
        </w:rPr>
      </w:pPr>
      <w:r>
        <w:rPr>
          <w:rFonts w:ascii="Calibri" w:cs="Calibri" w:eastAsia="Calibri" w:hAnsi="Calibri"/>
          <w:sz w:val="18"/>
          <w:szCs w:val="18"/>
          <w:color w:val="auto"/>
        </w:rPr>
        <w:t>Chief Legal Ofcer &amp; Secretary</w:t>
      </w:r>
    </w:p>
    <w:p>
      <w:pPr>
        <w:spacing w:after="0" w:line="32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San Francisco, California</w:t>
      </w:r>
    </w:p>
    <w:p>
      <w:pPr>
        <w:ind w:left="20"/>
        <w:spacing w:after="0" w:line="235" w:lineRule="auto"/>
        <w:rPr>
          <w:sz w:val="20"/>
          <w:szCs w:val="20"/>
          <w:color w:val="auto"/>
        </w:rPr>
      </w:pPr>
      <w:r>
        <w:rPr>
          <w:rFonts w:ascii="Calibri" w:cs="Calibri" w:eastAsia="Calibri" w:hAnsi="Calibri"/>
          <w:sz w:val="18"/>
          <w:szCs w:val="18"/>
          <w:color w:val="auto"/>
        </w:rPr>
        <w:t>October 21, 2022</w:t>
      </w:r>
    </w:p>
    <w:p>
      <w:pPr>
        <w:spacing w:after="0" w:line="2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Important notce regarding the availability of proxy materials for Afrm’s 2022 Annual Meetng of Stockholders to be held on December 5, 2022: </w:t>
      </w:r>
      <w:r>
        <w:rPr>
          <w:rFonts w:ascii="Calibri" w:cs="Calibri" w:eastAsia="Calibri" w:hAnsi="Calibri"/>
          <w:sz w:val="18"/>
          <w:szCs w:val="18"/>
          <w:color w:val="auto"/>
        </w:rPr>
        <w:t>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notce, proxy statement and annual report are available at www.proxydocs.com/AFRM.</w:t>
      </w:r>
    </w:p>
    <w:p>
      <w:pPr>
        <w:spacing w:after="0" w:line="177"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WHETHER OR NOT YOU PLAN TO ATTEND THE ANNUAL MEETING, WE ENCOURAGE YOU TO VOTE AND SUBMIT YOUR PROXY THROUGH THE INTERNET OR BY TELEPHONE OR REQUEST AND SUBMIT YOUR PROXY CARD AS SOON AS POSSIBLE, SO THAT YOUR SHARES MAY BE REPRESENTED AT THE MEETING.</w:t>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5"/>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5"/>
          </w:tcPr>
          <w:p>
            <w:pPr>
              <w:ind w:left="80"/>
              <w:spacing w:after="0"/>
              <w:rPr>
                <w:sz w:val="20"/>
                <w:szCs w:val="20"/>
                <w:color w:val="auto"/>
              </w:rPr>
            </w:pPr>
            <w:r>
              <w:rPr>
                <w:rFonts w:ascii="Calibri" w:cs="Calibri" w:eastAsia="Calibri" w:hAnsi="Calibri"/>
                <w:sz w:val="25"/>
                <w:szCs w:val="25"/>
                <w:b w:val="1"/>
                <w:bCs w:val="1"/>
                <w:color w:val="auto"/>
              </w:rPr>
              <w:t>TABLE OF CONTENTS</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gridSpan w:val="4"/>
          </w:tcPr>
          <w:p>
            <w:pPr>
              <w:jc w:val="right"/>
              <w:ind w:right="260"/>
              <w:spacing w:after="0"/>
              <w:rPr>
                <w:sz w:val="20"/>
                <w:szCs w:val="20"/>
                <w:color w:val="auto"/>
              </w:rPr>
            </w:pPr>
            <w:r>
              <w:rPr>
                <w:rFonts w:ascii="Calibri" w:cs="Calibri" w:eastAsia="Calibri" w:hAnsi="Calibri"/>
                <w:sz w:val="18"/>
                <w:szCs w:val="18"/>
                <w:b w:val="1"/>
                <w:bCs w:val="1"/>
                <w:color w:val="auto"/>
              </w:rPr>
              <w:t>Page</w:t>
            </w:r>
          </w:p>
        </w:tc>
      </w:tr>
      <w:tr>
        <w:trPr>
          <w:trHeight w:val="469"/>
        </w:trPr>
        <w:tc>
          <w:tcPr>
            <w:tcW w:w="9220" w:type="dxa"/>
            <w:vAlign w:val="bottom"/>
            <w:gridSpan w:val="26"/>
          </w:tcPr>
          <w:p>
            <w:pPr>
              <w:spacing w:after="0"/>
              <w:rPr>
                <w:sz w:val="20"/>
                <w:szCs w:val="20"/>
                <w:color w:val="auto"/>
              </w:rPr>
            </w:pPr>
            <w:r>
              <w:rPr>
                <w:rFonts w:ascii="Calibri" w:cs="Calibri" w:eastAsia="Calibri" w:hAnsi="Calibri"/>
                <w:sz w:val="18"/>
                <w:szCs w:val="18"/>
                <w:color w:val="0000FF"/>
              </w:rPr>
              <w:t>QUESTIONS AND ANSWERS ABOUT THE ANNUAL MEETING</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60" w:type="dxa"/>
            <w:vAlign w:val="bottom"/>
            <w:gridSpan w:val="18"/>
          </w:tcPr>
          <w:p>
            <w:pPr>
              <w:spacing w:after="0"/>
              <w:rPr>
                <w:sz w:val="20"/>
                <w:szCs w:val="20"/>
                <w:color w:val="auto"/>
              </w:rPr>
            </w:pPr>
            <w:r>
              <w:rPr>
                <w:rFonts w:ascii="Calibri" w:cs="Calibri" w:eastAsia="Calibri" w:hAnsi="Calibri"/>
                <w:sz w:val="18"/>
                <w:szCs w:val="18"/>
                <w:color w:val="0E32E1"/>
                <w:w w:val="94"/>
              </w:rPr>
              <w:t>BOARD OF DIRECTORS AND CORPORATE GOVERNANCE</w:t>
            </w:r>
          </w:p>
        </w:tc>
        <w:tc>
          <w:tcPr>
            <w:tcW w:w="320" w:type="dxa"/>
            <w:vAlign w:val="bottom"/>
          </w:tcPr>
          <w:p>
            <w:pPr>
              <w:spacing w:after="0"/>
              <w:rPr>
                <w:sz w:val="21"/>
                <w:szCs w:val="21"/>
                <w:color w:val="auto"/>
              </w:rPr>
            </w:pPr>
          </w:p>
        </w:tc>
        <w:tc>
          <w:tcPr>
            <w:tcW w:w="5040" w:type="dxa"/>
            <w:vAlign w:val="bottom"/>
            <w:gridSpan w:val="7"/>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Calibri" w:cs="Calibri" w:eastAsia="Calibri" w:hAnsi="Calibri"/>
                <w:sz w:val="18"/>
                <w:szCs w:val="18"/>
                <w:color w:val="auto"/>
                <w:w w:val="87"/>
              </w:rPr>
              <w:t>5</w:t>
            </w:r>
          </w:p>
        </w:tc>
      </w:tr>
      <w:tr>
        <w:trPr>
          <w:trHeight w:val="20"/>
        </w:trPr>
        <w:tc>
          <w:tcPr>
            <w:tcW w:w="34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shd w:val="clear" w:color="auto" w:fill="0E32E1"/>
          </w:tcPr>
          <w:p>
            <w:pPr>
              <w:spacing w:after="0" w:line="20" w:lineRule="exact"/>
              <w:rPr>
                <w:sz w:val="1"/>
                <w:szCs w:val="1"/>
                <w:color w:val="auto"/>
              </w:rPr>
            </w:pPr>
          </w:p>
        </w:tc>
        <w:tc>
          <w:tcPr>
            <w:tcW w:w="200" w:type="dxa"/>
            <w:vAlign w:val="bottom"/>
            <w:tcBorders>
              <w:left w:val="single" w:sz="8" w:color="0E32E1"/>
            </w:tcBorders>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80" w:type="dxa"/>
            <w:vAlign w:val="bottom"/>
            <w:tcBorders>
              <w:left w:val="single" w:sz="8" w:color="0E32E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80" w:type="dxa"/>
            <w:vAlign w:val="bottom"/>
            <w:gridSpan w:val="5"/>
          </w:tcPr>
          <w:p>
            <w:pPr>
              <w:spacing w:after="0"/>
              <w:rPr>
                <w:sz w:val="20"/>
                <w:szCs w:val="20"/>
                <w:color w:val="auto"/>
              </w:rPr>
            </w:pPr>
            <w:r>
              <w:rPr>
                <w:rFonts w:ascii="Calibri" w:cs="Calibri" w:eastAsia="Calibri" w:hAnsi="Calibri"/>
                <w:sz w:val="18"/>
                <w:szCs w:val="18"/>
                <w:color w:val="0000FF"/>
                <w:w w:val="89"/>
              </w:rPr>
              <w:t>Director Nominees</w:t>
            </w:r>
          </w:p>
        </w:tc>
        <w:tc>
          <w:tcPr>
            <w:tcW w:w="2240" w:type="dxa"/>
            <w:vAlign w:val="bottom"/>
            <w:gridSpan w:val="12"/>
          </w:tcPr>
          <w:p>
            <w:pPr>
              <w:spacing w:after="0"/>
              <w:rPr>
                <w:sz w:val="21"/>
                <w:szCs w:val="21"/>
                <w:color w:val="auto"/>
              </w:rPr>
            </w:pPr>
          </w:p>
        </w:tc>
        <w:tc>
          <w:tcPr>
            <w:tcW w:w="5360" w:type="dxa"/>
            <w:vAlign w:val="bottom"/>
            <w:gridSpan w:val="8"/>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Calibri" w:cs="Calibri" w:eastAsia="Calibri" w:hAnsi="Calibri"/>
                <w:sz w:val="18"/>
                <w:szCs w:val="18"/>
                <w:color w:val="auto"/>
                <w:w w:val="87"/>
              </w:rPr>
              <w:t>6</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460" w:type="dxa"/>
            <w:vAlign w:val="bottom"/>
            <w:gridSpan w:val="6"/>
          </w:tcPr>
          <w:p>
            <w:pPr>
              <w:spacing w:after="0"/>
              <w:rPr>
                <w:sz w:val="20"/>
                <w:szCs w:val="20"/>
                <w:color w:val="auto"/>
              </w:rPr>
            </w:pPr>
            <w:r>
              <w:rPr>
                <w:rFonts w:ascii="Calibri" w:cs="Calibri" w:eastAsia="Calibri" w:hAnsi="Calibri"/>
                <w:sz w:val="18"/>
                <w:szCs w:val="18"/>
                <w:color w:val="0000FF"/>
                <w:w w:val="98"/>
              </w:rPr>
              <w:t>Contnuing Directors</w:t>
            </w:r>
          </w:p>
        </w:tc>
        <w:tc>
          <w:tcPr>
            <w:tcW w:w="7420" w:type="dxa"/>
            <w:vAlign w:val="bottom"/>
            <w:gridSpan w:val="19"/>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Calibri" w:cs="Calibri" w:eastAsia="Calibri" w:hAnsi="Calibri"/>
                <w:sz w:val="18"/>
                <w:szCs w:val="18"/>
                <w:color w:val="auto"/>
                <w:w w:val="87"/>
              </w:rPr>
              <w:t>7</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40" w:type="dxa"/>
            <w:vAlign w:val="bottom"/>
            <w:gridSpan w:val="7"/>
          </w:tcPr>
          <w:p>
            <w:pPr>
              <w:spacing w:after="0"/>
              <w:rPr>
                <w:sz w:val="20"/>
                <w:szCs w:val="20"/>
                <w:color w:val="auto"/>
              </w:rPr>
            </w:pPr>
            <w:r>
              <w:rPr>
                <w:rFonts w:ascii="Calibri" w:cs="Calibri" w:eastAsia="Calibri" w:hAnsi="Calibri"/>
                <w:sz w:val="18"/>
                <w:szCs w:val="18"/>
                <w:color w:val="0000FF"/>
                <w:w w:val="96"/>
              </w:rPr>
              <w:t>Director Independence</w:t>
            </w:r>
          </w:p>
        </w:tc>
        <w:tc>
          <w:tcPr>
            <w:tcW w:w="7240" w:type="dxa"/>
            <w:vAlign w:val="bottom"/>
            <w:gridSpan w:val="18"/>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Calibri" w:cs="Calibri" w:eastAsia="Calibri" w:hAnsi="Calibri"/>
                <w:sz w:val="18"/>
                <w:szCs w:val="18"/>
                <w:color w:val="auto"/>
                <w:w w:val="87"/>
              </w:rPr>
              <w:t>8</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940" w:type="dxa"/>
            <w:vAlign w:val="bottom"/>
            <w:gridSpan w:val="9"/>
          </w:tcPr>
          <w:p>
            <w:pPr>
              <w:spacing w:after="0"/>
              <w:rPr>
                <w:sz w:val="20"/>
                <w:szCs w:val="20"/>
                <w:color w:val="auto"/>
              </w:rPr>
            </w:pPr>
            <w:r>
              <w:rPr>
                <w:rFonts w:ascii="Calibri" w:cs="Calibri" w:eastAsia="Calibri" w:hAnsi="Calibri"/>
                <w:sz w:val="18"/>
                <w:szCs w:val="18"/>
                <w:color w:val="0000FF"/>
                <w:w w:val="95"/>
              </w:rPr>
              <w:t>Board Leadership Structure</w:t>
            </w:r>
          </w:p>
        </w:tc>
        <w:tc>
          <w:tcPr>
            <w:tcW w:w="6940" w:type="dxa"/>
            <w:vAlign w:val="bottom"/>
            <w:gridSpan w:val="16"/>
          </w:tcPr>
          <w:p>
            <w:pPr>
              <w:spacing w:after="0"/>
              <w:rPr>
                <w:sz w:val="21"/>
                <w:szCs w:val="21"/>
                <w:color w:val="auto"/>
              </w:rPr>
            </w:pPr>
          </w:p>
        </w:tc>
        <w:tc>
          <w:tcPr>
            <w:tcW w:w="1880" w:type="dxa"/>
            <w:vAlign w:val="bottom"/>
            <w:gridSpan w:val="2"/>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Calibri" w:cs="Calibri" w:eastAsia="Calibri" w:hAnsi="Calibri"/>
                <w:sz w:val="18"/>
                <w:szCs w:val="18"/>
                <w:color w:val="auto"/>
                <w:w w:val="87"/>
              </w:rPr>
              <w:t>9</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880" w:type="dxa"/>
            <w:vAlign w:val="bottom"/>
            <w:gridSpan w:val="25"/>
          </w:tcPr>
          <w:p>
            <w:pPr>
              <w:spacing w:after="0"/>
              <w:rPr>
                <w:sz w:val="20"/>
                <w:szCs w:val="20"/>
                <w:color w:val="auto"/>
              </w:rPr>
            </w:pPr>
            <w:r>
              <w:rPr>
                <w:rFonts w:ascii="Calibri" w:cs="Calibri" w:eastAsia="Calibri" w:hAnsi="Calibri"/>
                <w:sz w:val="18"/>
                <w:szCs w:val="18"/>
                <w:color w:val="0000FF"/>
              </w:rPr>
              <w:t>Board and Stockholder Meetngs and Commitees</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9</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880" w:type="dxa"/>
            <w:vAlign w:val="bottom"/>
            <w:gridSpan w:val="25"/>
          </w:tcPr>
          <w:p>
            <w:pPr>
              <w:spacing w:after="0"/>
              <w:rPr>
                <w:sz w:val="20"/>
                <w:szCs w:val="20"/>
                <w:color w:val="auto"/>
              </w:rPr>
            </w:pPr>
            <w:r>
              <w:rPr>
                <w:rFonts w:ascii="Calibri" w:cs="Calibri" w:eastAsia="Calibri" w:hAnsi="Calibri"/>
                <w:sz w:val="18"/>
                <w:szCs w:val="18"/>
                <w:color w:val="0000FF"/>
              </w:rPr>
              <w:t>Compensaton Commitee Interlocks and Insider Partcipaton</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60" w:type="dxa"/>
            <w:vAlign w:val="bottom"/>
            <w:gridSpan w:val="21"/>
          </w:tcPr>
          <w:p>
            <w:pPr>
              <w:spacing w:after="0"/>
              <w:rPr>
                <w:sz w:val="20"/>
                <w:szCs w:val="20"/>
                <w:color w:val="auto"/>
              </w:rPr>
            </w:pPr>
            <w:r>
              <w:rPr>
                <w:rFonts w:ascii="Calibri" w:cs="Calibri" w:eastAsia="Calibri" w:hAnsi="Calibri"/>
                <w:sz w:val="18"/>
                <w:szCs w:val="18"/>
                <w:color w:val="0000FF"/>
              </w:rPr>
              <w:t>Individual Board Skills Matrix</w:t>
            </w:r>
          </w:p>
        </w:tc>
        <w:tc>
          <w:tcPr>
            <w:tcW w:w="4520" w:type="dxa"/>
            <w:vAlign w:val="bottom"/>
            <w:gridSpan w:val="4"/>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11</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Calibri" w:cs="Calibri" w:eastAsia="Calibri" w:hAnsi="Calibri"/>
                <w:sz w:val="18"/>
                <w:szCs w:val="18"/>
                <w:color w:val="0000FF"/>
                <w:w w:val="94"/>
              </w:rPr>
              <w:t>Board Diversity</w:t>
            </w:r>
          </w:p>
        </w:tc>
        <w:tc>
          <w:tcPr>
            <w:tcW w:w="960" w:type="dxa"/>
            <w:vAlign w:val="bottom"/>
            <w:gridSpan w:val="7"/>
          </w:tcPr>
          <w:p>
            <w:pPr>
              <w:spacing w:after="0"/>
              <w:rPr>
                <w:sz w:val="21"/>
                <w:szCs w:val="21"/>
                <w:color w:val="auto"/>
              </w:rPr>
            </w:pPr>
          </w:p>
        </w:tc>
        <w:tc>
          <w:tcPr>
            <w:tcW w:w="6840" w:type="dxa"/>
            <w:vAlign w:val="bottom"/>
            <w:gridSpan w:val="15"/>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380" w:type="dxa"/>
            <w:vAlign w:val="bottom"/>
            <w:gridSpan w:val="16"/>
          </w:tcPr>
          <w:p>
            <w:pPr>
              <w:spacing w:after="0"/>
              <w:rPr>
                <w:sz w:val="20"/>
                <w:szCs w:val="20"/>
                <w:color w:val="auto"/>
              </w:rPr>
            </w:pPr>
            <w:r>
              <w:rPr>
                <w:rFonts w:ascii="Calibri" w:cs="Calibri" w:eastAsia="Calibri" w:hAnsi="Calibri"/>
                <w:sz w:val="18"/>
                <w:szCs w:val="18"/>
                <w:color w:val="0000FF"/>
                <w:w w:val="98"/>
              </w:rPr>
              <w:t>Consideratons in Evaluatng Director Nominees</w:t>
            </w:r>
          </w:p>
        </w:tc>
        <w:tc>
          <w:tcPr>
            <w:tcW w:w="5500" w:type="dxa"/>
            <w:vAlign w:val="bottom"/>
            <w:gridSpan w:val="9"/>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0" w:type="dxa"/>
            <w:vAlign w:val="bottom"/>
            <w:gridSpan w:val="22"/>
          </w:tcPr>
          <w:p>
            <w:pPr>
              <w:spacing w:after="0"/>
              <w:rPr>
                <w:sz w:val="20"/>
                <w:szCs w:val="20"/>
                <w:color w:val="auto"/>
              </w:rPr>
            </w:pPr>
            <w:r>
              <w:rPr>
                <w:rFonts w:ascii="Calibri" w:cs="Calibri" w:eastAsia="Calibri" w:hAnsi="Calibri"/>
                <w:sz w:val="18"/>
                <w:szCs w:val="18"/>
                <w:color w:val="0000EE"/>
                <w:w w:val="97"/>
              </w:rPr>
              <w:t>Stockholder Recommendatons for Nominatons to the Board of Directors</w:t>
            </w:r>
          </w:p>
        </w:tc>
        <w:tc>
          <w:tcPr>
            <w:tcW w:w="3680" w:type="dxa"/>
            <w:vAlign w:val="bottom"/>
            <w:gridSpan w:val="3"/>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80" w:type="dxa"/>
            <w:vAlign w:val="bottom"/>
            <w:gridSpan w:val="5"/>
          </w:tcPr>
          <w:p>
            <w:pPr>
              <w:spacing w:after="0"/>
              <w:rPr>
                <w:sz w:val="20"/>
                <w:szCs w:val="20"/>
                <w:color w:val="auto"/>
              </w:rPr>
            </w:pPr>
            <w:r>
              <w:rPr>
                <w:rFonts w:ascii="Calibri" w:cs="Calibri" w:eastAsia="Calibri" w:hAnsi="Calibri"/>
                <w:sz w:val="18"/>
                <w:szCs w:val="18"/>
                <w:color w:val="0000FF"/>
                <w:w w:val="93"/>
              </w:rPr>
              <w:t>Investor Outreach</w:t>
            </w:r>
          </w:p>
        </w:tc>
        <w:tc>
          <w:tcPr>
            <w:tcW w:w="3920" w:type="dxa"/>
            <w:vAlign w:val="bottom"/>
            <w:gridSpan w:val="17"/>
          </w:tcPr>
          <w:p>
            <w:pPr>
              <w:spacing w:after="0"/>
              <w:rPr>
                <w:sz w:val="21"/>
                <w:szCs w:val="21"/>
                <w:color w:val="auto"/>
              </w:rPr>
            </w:pPr>
          </w:p>
        </w:tc>
        <w:tc>
          <w:tcPr>
            <w:tcW w:w="3680" w:type="dxa"/>
            <w:vAlign w:val="bottom"/>
            <w:gridSpan w:val="3"/>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gridSpan w:val="15"/>
          </w:tcPr>
          <w:p>
            <w:pPr>
              <w:spacing w:after="0"/>
              <w:rPr>
                <w:sz w:val="20"/>
                <w:szCs w:val="20"/>
                <w:color w:val="auto"/>
              </w:rPr>
            </w:pPr>
            <w:r>
              <w:rPr>
                <w:rFonts w:ascii="Calibri" w:cs="Calibri" w:eastAsia="Calibri" w:hAnsi="Calibri"/>
                <w:sz w:val="18"/>
                <w:szCs w:val="18"/>
                <w:color w:val="0000EE"/>
                <w:w w:val="97"/>
              </w:rPr>
              <w:t>Communicatons with the Board of Directors</w:t>
            </w:r>
          </w:p>
        </w:tc>
        <w:tc>
          <w:tcPr>
            <w:tcW w:w="5720" w:type="dxa"/>
            <w:vAlign w:val="bottom"/>
            <w:gridSpan w:val="10"/>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880" w:type="dxa"/>
            <w:vAlign w:val="bottom"/>
            <w:gridSpan w:val="25"/>
          </w:tcPr>
          <w:p>
            <w:pPr>
              <w:spacing w:after="0"/>
              <w:rPr>
                <w:sz w:val="20"/>
                <w:szCs w:val="20"/>
                <w:color w:val="auto"/>
              </w:rPr>
            </w:pPr>
            <w:r>
              <w:rPr>
                <w:rFonts w:ascii="Calibri" w:cs="Calibri" w:eastAsia="Calibri" w:hAnsi="Calibri"/>
                <w:sz w:val="18"/>
                <w:szCs w:val="18"/>
                <w:color w:val="0000FF"/>
              </w:rPr>
              <w:t>Corporate Governance Guidelines and Code of Ethics and Business Conduct</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13</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340" w:type="dxa"/>
            <w:vAlign w:val="bottom"/>
            <w:gridSpan w:val="23"/>
          </w:tcPr>
          <w:p>
            <w:pPr>
              <w:spacing w:after="0"/>
              <w:rPr>
                <w:sz w:val="20"/>
                <w:szCs w:val="20"/>
                <w:color w:val="auto"/>
              </w:rPr>
            </w:pPr>
            <w:r>
              <w:rPr>
                <w:rFonts w:ascii="Calibri" w:cs="Calibri" w:eastAsia="Calibri" w:hAnsi="Calibri"/>
                <w:sz w:val="18"/>
                <w:szCs w:val="18"/>
                <w:color w:val="0000FF"/>
              </w:rPr>
              <w:t>Role of the Board in Risk Oversight</w:t>
            </w:r>
          </w:p>
        </w:tc>
        <w:tc>
          <w:tcPr>
            <w:tcW w:w="3540" w:type="dxa"/>
            <w:vAlign w:val="bottom"/>
            <w:gridSpan w:val="2"/>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14</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720" w:type="dxa"/>
            <w:vAlign w:val="bottom"/>
            <w:gridSpan w:val="13"/>
          </w:tcPr>
          <w:p>
            <w:pPr>
              <w:spacing w:after="0"/>
              <w:rPr>
                <w:sz w:val="20"/>
                <w:szCs w:val="20"/>
                <w:color w:val="auto"/>
              </w:rPr>
            </w:pPr>
            <w:r>
              <w:rPr>
                <w:rFonts w:ascii="Calibri" w:cs="Calibri" w:eastAsia="Calibri" w:hAnsi="Calibri"/>
                <w:sz w:val="18"/>
                <w:szCs w:val="18"/>
                <w:color w:val="0000EE"/>
                <w:w w:val="96"/>
              </w:rPr>
              <w:t>Non-Employee Director Compensaton</w:t>
            </w:r>
          </w:p>
        </w:tc>
        <w:tc>
          <w:tcPr>
            <w:tcW w:w="6160" w:type="dxa"/>
            <w:vAlign w:val="bottom"/>
            <w:gridSpan w:val="12"/>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14</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20" w:type="dxa"/>
            <w:vAlign w:val="bottom"/>
            <w:gridSpan w:val="26"/>
          </w:tcPr>
          <w:p>
            <w:pPr>
              <w:spacing w:after="0"/>
              <w:rPr>
                <w:sz w:val="20"/>
                <w:szCs w:val="20"/>
                <w:color w:val="auto"/>
              </w:rPr>
            </w:pPr>
            <w:r>
              <w:rPr>
                <w:rFonts w:ascii="Calibri" w:cs="Calibri" w:eastAsia="Calibri" w:hAnsi="Calibri"/>
                <w:sz w:val="18"/>
                <w:szCs w:val="18"/>
                <w:color w:val="0000FF"/>
              </w:rPr>
              <w:t>PROPOSAL NO. 1: ELECTION OF DIRECTORS</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16</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20" w:type="dxa"/>
            <w:vAlign w:val="bottom"/>
            <w:gridSpan w:val="26"/>
          </w:tcPr>
          <w:p>
            <w:pPr>
              <w:spacing w:after="0"/>
              <w:rPr>
                <w:sz w:val="20"/>
                <w:szCs w:val="20"/>
                <w:color w:val="auto"/>
              </w:rPr>
            </w:pPr>
            <w:r>
              <w:rPr>
                <w:rFonts w:ascii="Calibri" w:cs="Calibri" w:eastAsia="Calibri" w:hAnsi="Calibri"/>
                <w:sz w:val="18"/>
                <w:szCs w:val="18"/>
                <w:color w:val="0000FF"/>
              </w:rPr>
              <w:t>PROPOSAL NO. 2: RATIFICATION OF APPOINTMENT OF INDEPENDENT REGISTERED PUBLIC ACCOUNTING FIRM</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17</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20" w:type="dxa"/>
            <w:vAlign w:val="bottom"/>
            <w:gridSpan w:val="25"/>
          </w:tcPr>
          <w:p>
            <w:pPr>
              <w:spacing w:after="0"/>
              <w:rPr>
                <w:sz w:val="20"/>
                <w:szCs w:val="20"/>
                <w:color w:val="auto"/>
              </w:rPr>
            </w:pPr>
            <w:r>
              <w:rPr>
                <w:rFonts w:ascii="Calibri" w:cs="Calibri" w:eastAsia="Calibri" w:hAnsi="Calibri"/>
                <w:sz w:val="18"/>
                <w:szCs w:val="18"/>
                <w:color w:val="0000FF"/>
              </w:rPr>
              <w:t>AUDIT COMMITTEE REPORT</w:t>
            </w:r>
          </w:p>
        </w:tc>
        <w:tc>
          <w:tcPr>
            <w:tcW w:w="1400" w:type="dxa"/>
            <w:vAlign w:val="bottom"/>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19</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9"/>
          </w:tcPr>
          <w:p>
            <w:pPr>
              <w:spacing w:after="0"/>
              <w:rPr>
                <w:sz w:val="20"/>
                <w:szCs w:val="20"/>
                <w:color w:val="auto"/>
              </w:rPr>
            </w:pPr>
            <w:r>
              <w:rPr>
                <w:rFonts w:ascii="Calibri" w:cs="Calibri" w:eastAsia="Calibri" w:hAnsi="Calibri"/>
                <w:sz w:val="18"/>
                <w:szCs w:val="18"/>
                <w:color w:val="0000FF"/>
              </w:rPr>
              <w:t>EXECUTIVE OFFICERS</w:t>
            </w:r>
          </w:p>
        </w:tc>
        <w:tc>
          <w:tcPr>
            <w:tcW w:w="7220" w:type="dxa"/>
            <w:vAlign w:val="bottom"/>
            <w:gridSpan w:val="17"/>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20</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20" w:type="dxa"/>
            <w:vAlign w:val="bottom"/>
            <w:gridSpan w:val="26"/>
          </w:tcPr>
          <w:p>
            <w:pPr>
              <w:spacing w:after="0"/>
              <w:rPr>
                <w:sz w:val="20"/>
                <w:szCs w:val="20"/>
                <w:color w:val="auto"/>
              </w:rPr>
            </w:pPr>
            <w:r>
              <w:rPr>
                <w:rFonts w:ascii="Calibri" w:cs="Calibri" w:eastAsia="Calibri" w:hAnsi="Calibri"/>
                <w:sz w:val="18"/>
                <w:szCs w:val="18"/>
                <w:color w:val="0000EE"/>
              </w:rPr>
              <w:t>EXECUTIVE COMPENSATION</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880" w:type="dxa"/>
            <w:vAlign w:val="bottom"/>
            <w:gridSpan w:val="25"/>
          </w:tcPr>
          <w:p>
            <w:pPr>
              <w:spacing w:after="0"/>
              <w:rPr>
                <w:sz w:val="20"/>
                <w:szCs w:val="20"/>
                <w:color w:val="auto"/>
              </w:rPr>
            </w:pPr>
            <w:r>
              <w:rPr>
                <w:rFonts w:ascii="Calibri" w:cs="Calibri" w:eastAsia="Calibri" w:hAnsi="Calibri"/>
                <w:sz w:val="18"/>
                <w:szCs w:val="18"/>
                <w:color w:val="0000FF"/>
              </w:rPr>
              <w:t>Compensaton Discussion and Analysis</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21</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80" w:type="dxa"/>
            <w:vAlign w:val="bottom"/>
            <w:gridSpan w:val="12"/>
          </w:tcPr>
          <w:p>
            <w:pPr>
              <w:spacing w:after="0"/>
              <w:rPr>
                <w:sz w:val="20"/>
                <w:szCs w:val="20"/>
                <w:color w:val="auto"/>
              </w:rPr>
            </w:pPr>
            <w:r>
              <w:rPr>
                <w:rFonts w:ascii="Calibri" w:cs="Calibri" w:eastAsia="Calibri" w:hAnsi="Calibri"/>
                <w:sz w:val="18"/>
                <w:szCs w:val="18"/>
                <w:color w:val="0000FF"/>
                <w:w w:val="99"/>
              </w:rPr>
              <w:t>Compensaton Commitee Report</w:t>
            </w:r>
          </w:p>
        </w:tc>
        <w:tc>
          <w:tcPr>
            <w:tcW w:w="340" w:type="dxa"/>
            <w:vAlign w:val="bottom"/>
          </w:tcPr>
          <w:p>
            <w:pPr>
              <w:spacing w:after="0"/>
              <w:rPr>
                <w:sz w:val="21"/>
                <w:szCs w:val="21"/>
                <w:color w:val="auto"/>
              </w:rPr>
            </w:pPr>
          </w:p>
        </w:tc>
        <w:tc>
          <w:tcPr>
            <w:tcW w:w="6160" w:type="dxa"/>
            <w:vAlign w:val="bottom"/>
            <w:gridSpan w:val="12"/>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36</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2380" w:type="dxa"/>
            <w:vAlign w:val="bottom"/>
            <w:gridSpan w:val="12"/>
          </w:tcPr>
          <w:p>
            <w:pPr>
              <w:spacing w:after="0"/>
              <w:rPr>
                <w:sz w:val="20"/>
                <w:szCs w:val="20"/>
                <w:color w:val="auto"/>
              </w:rPr>
            </w:pPr>
            <w:r>
              <w:rPr>
                <w:rFonts w:ascii="Calibri" w:cs="Calibri" w:eastAsia="Calibri" w:hAnsi="Calibri"/>
                <w:sz w:val="18"/>
                <w:szCs w:val="18"/>
                <w:color w:val="0000EE"/>
              </w:rPr>
              <w:t>Executve Compensaton Tables</w:t>
            </w:r>
          </w:p>
        </w:tc>
        <w:tc>
          <w:tcPr>
            <w:tcW w:w="6500" w:type="dxa"/>
            <w:vAlign w:val="bottom"/>
            <w:gridSpan w:val="13"/>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37</w:t>
            </w: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60" w:type="dxa"/>
            <w:vAlign w:val="bottom"/>
            <w:gridSpan w:val="15"/>
          </w:tcPr>
          <w:p>
            <w:pPr>
              <w:spacing w:after="0"/>
              <w:rPr>
                <w:sz w:val="20"/>
                <w:szCs w:val="20"/>
                <w:color w:val="auto"/>
              </w:rPr>
            </w:pPr>
            <w:r>
              <w:rPr>
                <w:rFonts w:ascii="Calibri" w:cs="Calibri" w:eastAsia="Calibri" w:hAnsi="Calibri"/>
                <w:sz w:val="18"/>
                <w:szCs w:val="18"/>
                <w:color w:val="0000FF"/>
                <w:w w:val="96"/>
              </w:rPr>
              <w:t>EQUITY COMPENSATION PLAN INFORMATION</w:t>
            </w:r>
          </w:p>
        </w:tc>
        <w:tc>
          <w:tcPr>
            <w:tcW w:w="5960" w:type="dxa"/>
            <w:vAlign w:val="bottom"/>
            <w:gridSpan w:val="11"/>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45</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60" w:type="dxa"/>
            <w:vAlign w:val="bottom"/>
            <w:gridSpan w:val="12"/>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540" w:type="dxa"/>
            <w:vAlign w:val="bottom"/>
            <w:gridSpan w:val="23"/>
          </w:tcPr>
          <w:p>
            <w:pPr>
              <w:spacing w:after="0"/>
              <w:rPr>
                <w:sz w:val="20"/>
                <w:szCs w:val="20"/>
                <w:color w:val="auto"/>
              </w:rPr>
            </w:pPr>
            <w:r>
              <w:rPr>
                <w:rFonts w:ascii="Calibri" w:cs="Calibri" w:eastAsia="Calibri" w:hAnsi="Calibri"/>
                <w:sz w:val="18"/>
                <w:szCs w:val="18"/>
                <w:color w:val="0000EE"/>
                <w:w w:val="96"/>
              </w:rPr>
              <w:t>SECURITY OWNERSHIP OF CERTAIN BENEFICIAL OWNERS AND MANAGEMENT</w:t>
            </w:r>
          </w:p>
        </w:tc>
        <w:tc>
          <w:tcPr>
            <w:tcW w:w="3680" w:type="dxa"/>
            <w:vAlign w:val="bottom"/>
            <w:gridSpan w:val="3"/>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46</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140" w:type="dxa"/>
            <w:vAlign w:val="bottom"/>
            <w:gridSpan w:val="1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20" w:type="dxa"/>
            <w:vAlign w:val="bottom"/>
            <w:gridSpan w:val="21"/>
          </w:tcPr>
          <w:p>
            <w:pPr>
              <w:spacing w:after="0"/>
              <w:rPr>
                <w:sz w:val="20"/>
                <w:szCs w:val="20"/>
                <w:color w:val="auto"/>
              </w:rPr>
            </w:pPr>
            <w:r>
              <w:rPr>
                <w:rFonts w:ascii="Calibri" w:cs="Calibri" w:eastAsia="Calibri" w:hAnsi="Calibri"/>
                <w:sz w:val="18"/>
                <w:szCs w:val="18"/>
                <w:color w:val="0000FF"/>
                <w:w w:val="96"/>
              </w:rPr>
              <w:t>CERTAIN RELATIONSHIPS AND RELATED PARTY TRANSACTIONS</w:t>
            </w:r>
          </w:p>
        </w:tc>
        <w:tc>
          <w:tcPr>
            <w:tcW w:w="1120" w:type="dxa"/>
            <w:vAlign w:val="bottom"/>
            <w:gridSpan w:val="2"/>
          </w:tcPr>
          <w:p>
            <w:pPr>
              <w:spacing w:after="0"/>
              <w:rPr>
                <w:sz w:val="21"/>
                <w:szCs w:val="21"/>
                <w:color w:val="auto"/>
              </w:rPr>
            </w:pPr>
          </w:p>
        </w:tc>
        <w:tc>
          <w:tcPr>
            <w:tcW w:w="3680" w:type="dxa"/>
            <w:vAlign w:val="bottom"/>
            <w:gridSpan w:val="3"/>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48</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40" w:type="dxa"/>
            <w:vAlign w:val="bottom"/>
            <w:gridSpan w:val="1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20" w:type="dxa"/>
            <w:vAlign w:val="bottom"/>
            <w:gridSpan w:val="21"/>
          </w:tcPr>
          <w:p>
            <w:pPr>
              <w:spacing w:after="0"/>
              <w:rPr>
                <w:sz w:val="20"/>
                <w:szCs w:val="20"/>
                <w:color w:val="auto"/>
              </w:rPr>
            </w:pPr>
            <w:r>
              <w:rPr>
                <w:rFonts w:ascii="Calibri" w:cs="Calibri" w:eastAsia="Calibri" w:hAnsi="Calibri"/>
                <w:sz w:val="18"/>
                <w:szCs w:val="18"/>
                <w:color w:val="0000FF"/>
              </w:rPr>
              <w:t>OTHER MATTERS</w:t>
            </w:r>
          </w:p>
        </w:tc>
        <w:tc>
          <w:tcPr>
            <w:tcW w:w="4800" w:type="dxa"/>
            <w:vAlign w:val="bottom"/>
            <w:gridSpan w:val="5"/>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49</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40" w:type="dxa"/>
            <w:vAlign w:val="bottom"/>
            <w:gridSpan w:val="17"/>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20" w:type="dxa"/>
            <w:vAlign w:val="bottom"/>
            <w:gridSpan w:val="26"/>
          </w:tcPr>
          <w:p>
            <w:pPr>
              <w:spacing w:after="0"/>
              <w:rPr>
                <w:sz w:val="20"/>
                <w:szCs w:val="20"/>
                <w:color w:val="auto"/>
              </w:rPr>
            </w:pPr>
            <w:r>
              <w:rPr>
                <w:rFonts w:ascii="Calibri" w:cs="Calibri" w:eastAsia="Calibri" w:hAnsi="Calibri"/>
                <w:sz w:val="18"/>
                <w:szCs w:val="18"/>
                <w:color w:val="0000FF"/>
              </w:rPr>
              <w:t>PROPOSALS OF STOCKHOLDERS FOR 2023 ANNUAL MEETING</w:t>
            </w: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50</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460" w:type="dxa"/>
            <w:vAlign w:val="bottom"/>
            <w:gridSpan w:val="18"/>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Calibri" w:cs="Calibri" w:eastAsia="Calibri" w:hAnsi="Calibri"/>
                <w:sz w:val="18"/>
                <w:szCs w:val="18"/>
                <w:color w:val="0000FF"/>
                <w:w w:val="96"/>
              </w:rPr>
              <w:t>APPENDIX A</w:t>
            </w:r>
          </w:p>
        </w:tc>
        <w:tc>
          <w:tcPr>
            <w:tcW w:w="3460" w:type="dxa"/>
            <w:vAlign w:val="bottom"/>
            <w:gridSpan w:val="18"/>
          </w:tcPr>
          <w:p>
            <w:pPr>
              <w:spacing w:after="0"/>
              <w:rPr>
                <w:sz w:val="21"/>
                <w:szCs w:val="21"/>
                <w:color w:val="auto"/>
              </w:rPr>
            </w:pPr>
          </w:p>
        </w:tc>
        <w:tc>
          <w:tcPr>
            <w:tcW w:w="4880" w:type="dxa"/>
            <w:vAlign w:val="bottom"/>
            <w:gridSpan w:val="6"/>
          </w:tcPr>
          <w:p>
            <w:pPr>
              <w:spacing w:after="0"/>
              <w:rPr>
                <w:sz w:val="21"/>
                <w:szCs w:val="21"/>
                <w:color w:val="auto"/>
              </w:rPr>
            </w:pPr>
          </w:p>
        </w:tc>
        <w:tc>
          <w:tcPr>
            <w:tcW w:w="1980" w:type="dxa"/>
            <w:vAlign w:val="bottom"/>
            <w:gridSpan w:val="4"/>
          </w:tcPr>
          <w:p>
            <w:pPr>
              <w:jc w:val="right"/>
              <w:spacing w:after="0"/>
              <w:rPr>
                <w:sz w:val="20"/>
                <w:szCs w:val="20"/>
                <w:color w:val="auto"/>
              </w:rPr>
            </w:pPr>
            <w:r>
              <w:rPr>
                <w:rFonts w:ascii="Calibri" w:cs="Calibri" w:eastAsia="Calibri" w:hAnsi="Calibri"/>
                <w:sz w:val="18"/>
                <w:szCs w:val="18"/>
                <w:color w:val="auto"/>
              </w:rPr>
              <w:t>51</w:t>
            </w:r>
          </w:p>
        </w:tc>
      </w:tr>
      <w:tr>
        <w:trPr>
          <w:trHeight w:val="20"/>
        </w:trPr>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00"/>
          </w:cols>
          <w:pgMar w:left="340" w:top="1395"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2985770</wp:posOffset>
            </wp:positionH>
            <wp:positionV relativeFrom="page">
              <wp:posOffset>989330</wp:posOffset>
            </wp:positionV>
            <wp:extent cx="15855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 </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 </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Headquarters | 650 California Street, San Francisco, California 94108 | (415) 984-0490</w:t>
      </w:r>
    </w:p>
    <w:p>
      <w:pPr>
        <w:spacing w:after="0" w:line="235" w:lineRule="auto"/>
        <w:rPr>
          <w:sz w:val="20"/>
          <w:szCs w:val="20"/>
          <w:color w:val="auto"/>
        </w:rPr>
      </w:pPr>
      <w:r>
        <w:rPr>
          <w:rFonts w:ascii="Calibri" w:cs="Calibri" w:eastAsia="Calibri" w:hAnsi="Calibri"/>
          <w:sz w:val="18"/>
          <w:szCs w:val="18"/>
          <w:b w:val="1"/>
          <w:bCs w:val="1"/>
          <w:color w:val="auto"/>
        </w:rPr>
        <w:t>Investor Relatons Website | investors.afrm.com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36"/>
          <w:szCs w:val="36"/>
          <w:b w:val="1"/>
          <w:bCs w:val="1"/>
          <w:color w:val="auto"/>
        </w:rPr>
        <w:t>PROXY STATEMENT FOR THE 2022</w:t>
      </w:r>
    </w:p>
    <w:p>
      <w:pPr>
        <w:jc w:val="center"/>
        <w:spacing w:after="0" w:line="235" w:lineRule="auto"/>
        <w:rPr>
          <w:sz w:val="20"/>
          <w:szCs w:val="20"/>
          <w:color w:val="auto"/>
        </w:rPr>
      </w:pPr>
      <w:r>
        <w:rPr>
          <w:rFonts w:ascii="Calibri" w:cs="Calibri" w:eastAsia="Calibri" w:hAnsi="Calibri"/>
          <w:sz w:val="36"/>
          <w:szCs w:val="36"/>
          <w:b w:val="1"/>
          <w:bCs w:val="1"/>
          <w:color w:val="auto"/>
        </w:rPr>
        <w:t>ANNUAL MEETING OF STOCKHOLDERS</w:t>
      </w: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To Be Held at 9:00 a.m., Pacifc Time, on Monday, December 5, 2022</w:t>
      </w:r>
    </w:p>
    <w:p>
      <w:pPr>
        <w:spacing w:after="0" w:line="17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This proxy statement is furnished in connecton with the solicitaton of your proxy by our Board of Directors (“Board”) to vote at the 2022 Annual Meetng of Stockholders (including any adjournments, contnuatons, or postponements thereof, the “Annual Meetng”). This proxy statement contains informaton about the maters to be voted upon at the Annual Meetng and certain other informaton required by Securites and Exchange Commission (“SEC”) rules. In accordance with SEC rules, we are making our proxy materials available at www.proxydocs.com/AFRM with an opton to request a printed set be mailed to you. We expect to begin mailing a notce of internet availability of proxy materials (the “Notce”) on October 21, 2022 to all stockholders of record enttled to vote at the Annual Meetng. The Notce contains instructons for viewing the proxy materials, votng online and requestng a printed set of proxy materials.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are cordially invited to atend the Annual Meetng on Monday, December 5, 2022, at 9:00 a.m., Pacifc Time, which we are holding exclusively online via live webcast at www.proxydocs.com/AFRM. Whether or not you expect to atend the Annual Meetng, please vote online, as instructed in these materials, as promptly as possible in order to ensure your representaton at the Annual Meetng. Even if you have voted by proxy, you may stll vote online during the Annual Meetng by following the instructons under “Votng and Annual Meetng Informaton”.</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Calibri" w:cs="Calibri" w:eastAsia="Calibri" w:hAnsi="Calibri"/>
          <w:sz w:val="32"/>
          <w:szCs w:val="32"/>
          <w:b w:val="1"/>
          <w:bCs w:val="1"/>
          <w:color w:val="auto"/>
        </w:rPr>
        <w:t>QUESTIONS AND ANSWERS ABOUT THE ANNUAL MEETING</w:t>
      </w:r>
    </w:p>
    <w:p>
      <w:pPr>
        <w:spacing w:after="0" w:line="19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provided in the “queston and answer” format below addresses certain frequently asked questons but is not intended to be a summary of all maters contained in this proxy statement. Please read the entre proxy statement carefully before votng your shares.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p>
      <w:pPr>
        <w:spacing w:after="0" w:line="140"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You are receiving this proxy statement because our Board is solicitng your proxy to vote your shares at the Annual Meetng with respect to the proposals described in this proxy statement. This proxy statement includes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Who is enttled to vote at the Annual Meetng?</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informaton that we are required to provide to you pursuant to the rules and regulatons of the SEC and is designed to assist you in votng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495935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7" w:lineRule="exact"/>
        <w:rPr>
          <w:sz w:val="20"/>
          <w:szCs w:val="20"/>
          <w:color w:val="auto"/>
        </w:rPr>
      </w:pPr>
    </w:p>
    <w:p>
      <w:pPr>
        <w:sectPr>
          <w:pgSz w:w="11900" w:h="16838" w:orient="portrait"/>
          <w:cols w:equalWidth="0" w:num="2">
            <w:col w:w="5420" w:space="300"/>
            <w:col w:w="5520"/>
          </w:cols>
          <w:pgMar w:left="320" w:top="1395" w:right="339" w:bottom="1440" w:gutter="0" w:footer="0" w:header="0"/>
          <w:type w:val="continuous"/>
        </w:sectPr>
      </w:pPr>
    </w:p>
    <w:p>
      <w:pPr>
        <w:jc w:val="both"/>
        <w:spacing w:after="0" w:line="235" w:lineRule="auto"/>
        <w:rPr>
          <w:sz w:val="20"/>
          <w:szCs w:val="20"/>
          <w:color w:val="auto"/>
        </w:rPr>
      </w:pPr>
      <w:r>
        <w:rPr>
          <w:rFonts w:ascii="Calibri" w:cs="Calibri" w:eastAsia="Calibri" w:hAnsi="Calibri"/>
          <w:sz w:val="18"/>
          <w:szCs w:val="18"/>
          <w:color w:val="auto"/>
        </w:rPr>
        <w:t>Holders of either our Class A common stock or Class B common stock as of the close of business on October 6, 2022, the record date for the Annual Meetng (the “Record Date”), are enttled to vote at the Annual</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Meetng. As of the Record Date, there were 229,992,020 shares of Class A common stock and 60,103,654 shares of Class B common stock outstanding and enttled to vote.</w:t>
      </w:r>
    </w:p>
    <w:p>
      <w:pPr>
        <w:spacing w:after="0" w:line="200" w:lineRule="exact"/>
        <w:rPr>
          <w:sz w:val="20"/>
          <w:szCs w:val="20"/>
          <w:color w:val="auto"/>
        </w:rPr>
      </w:pPr>
    </w:p>
    <w:p>
      <w:pPr>
        <w:sectPr>
          <w:pgSz w:w="11900" w:h="16838" w:orient="portrait"/>
          <w:cols w:equalWidth="0" w:num="2">
            <w:col w:w="5420" w:space="300"/>
            <w:col w:w="5520"/>
          </w:cols>
          <w:pgMar w:left="320" w:top="1395" w:right="339" w:bottom="1440" w:gutter="0" w:footer="0" w:header="0"/>
          <w:type w:val="continuous"/>
        </w:sectPr>
      </w:pP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many votes per share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ind w:right="780"/>
        <w:spacing w:after="0"/>
        <w:rPr>
          <w:sz w:val="20"/>
          <w:szCs w:val="20"/>
          <w:color w:val="auto"/>
        </w:rPr>
      </w:pPr>
      <w:r>
        <w:rPr>
          <w:rFonts w:ascii="Calibri" w:cs="Calibri" w:eastAsia="Calibri" w:hAnsi="Calibri"/>
          <w:sz w:val="18"/>
          <w:szCs w:val="18"/>
          <w:color w:val="auto"/>
        </w:rPr>
        <w:t>Our Class A common stock has one vote per share and our Class B common single class on all maters to be voted upon at the Annual Meetng. stock has ffeen votes per share. Our Class A and Class B common stock will vote together as 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can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type w:val="continuous"/>
        </w:sectPr>
      </w:pPr>
    </w:p>
    <w:p>
      <w:pPr>
        <w:spacing w:after="0" w:line="14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Your votng optons depend on how you hold your shares. If your shares are held in an account by a broker, bank or other agent actng as a nominee, then you are the benefcial owner of shares held in “street-name,” and the proxy materials were forwarded to you by that organizaton. As a street-name holder, you have the right to instruct that organizaton on how to vote the shares held in your account at the Annual Meetng. To do so, you should follow the votng instructons you receive from your broker, bank or other agent. If you are the stockholder of record, you may vote as follows:</w:t>
      </w:r>
    </w:p>
    <w:p>
      <w:pPr>
        <w:spacing w:after="0" w:line="46" w:lineRule="exact"/>
        <w:rPr>
          <w:sz w:val="20"/>
          <w:szCs w:val="20"/>
          <w:color w:val="auto"/>
        </w:rPr>
      </w:pPr>
    </w:p>
    <w:p>
      <w:pPr>
        <w:ind w:left="340" w:hanging="251"/>
        <w:spacing w:after="0" w:line="235" w:lineRule="auto"/>
        <w:tabs>
          <w:tab w:leader="none" w:pos="333"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color w:val="auto"/>
        </w:rPr>
        <w:t>By mail</w:t>
      </w:r>
      <w:r>
        <w:rPr>
          <w:rFonts w:ascii="Calibri" w:cs="Calibri" w:eastAsia="Calibri" w:hAnsi="Calibri"/>
          <w:sz w:val="18"/>
          <w:szCs w:val="18"/>
          <w:color w:val="auto"/>
        </w:rPr>
        <w:t>, by completng, signing and datng the enclosed proxy card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returning it promptly in the envelope provided.</w:t>
      </w:r>
    </w:p>
    <w:p>
      <w:pPr>
        <w:spacing w:after="0" w:line="50" w:lineRule="exact"/>
        <w:rPr>
          <w:rFonts w:ascii="Calibri" w:cs="Calibri" w:eastAsia="Calibri" w:hAnsi="Calibri"/>
          <w:sz w:val="18"/>
          <w:szCs w:val="18"/>
          <w:color w:val="auto"/>
        </w:rPr>
      </w:pPr>
    </w:p>
    <w:p>
      <w:pPr>
        <w:ind w:left="320" w:hanging="231"/>
        <w:spacing w:after="0"/>
        <w:tabs>
          <w:tab w:leader="none" w:pos="320"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color w:val="auto"/>
        </w:rPr>
        <w:t>By telephone</w:t>
      </w:r>
      <w:r>
        <w:rPr>
          <w:rFonts w:ascii="Calibri" w:cs="Calibri" w:eastAsia="Calibri" w:hAnsi="Calibri"/>
          <w:sz w:val="18"/>
          <w:szCs w:val="18"/>
          <w:color w:val="auto"/>
        </w:rPr>
        <w:t>, by calling (866) 230-8413 and following</w:t>
      </w:r>
    </w:p>
    <w:p>
      <w:pPr>
        <w:spacing w:after="0" w:line="33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can I change my vote?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the recorded instructons.</w:t>
      </w:r>
    </w:p>
    <w:p>
      <w:pPr>
        <w:spacing w:after="0" w:line="55" w:lineRule="exact"/>
        <w:rPr>
          <w:sz w:val="20"/>
          <w:szCs w:val="20"/>
          <w:color w:val="auto"/>
        </w:rPr>
      </w:pPr>
    </w:p>
    <w:p>
      <w:pPr>
        <w:ind w:left="320" w:right="120" w:hanging="243"/>
        <w:spacing w:after="0" w:line="235" w:lineRule="auto"/>
        <w:tabs>
          <w:tab w:leader="none" w:pos="313"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color w:val="auto"/>
        </w:rPr>
        <w:t>Online</w:t>
      </w:r>
      <w:r>
        <w:rPr>
          <w:rFonts w:ascii="Calibri" w:cs="Calibri" w:eastAsia="Calibri" w:hAnsi="Calibri"/>
          <w:sz w:val="18"/>
          <w:szCs w:val="18"/>
          <w:color w:val="auto"/>
        </w:rPr>
        <w:t>, by going to www.proxypush.com/AFRM and following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prompts.</w:t>
      </w:r>
    </w:p>
    <w:p>
      <w:pPr>
        <w:spacing w:after="0" w:line="55" w:lineRule="exact"/>
        <w:rPr>
          <w:rFonts w:ascii="Calibri" w:cs="Calibri" w:eastAsia="Calibri" w:hAnsi="Calibri"/>
          <w:sz w:val="18"/>
          <w:szCs w:val="18"/>
          <w:color w:val="auto"/>
        </w:rPr>
      </w:pPr>
    </w:p>
    <w:p>
      <w:pPr>
        <w:ind w:left="320" w:right="120" w:hanging="243"/>
        <w:spacing w:after="0" w:line="235" w:lineRule="auto"/>
        <w:tabs>
          <w:tab w:leader="none" w:pos="313"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color w:val="auto"/>
        </w:rPr>
        <w:t>At the Annual Meetng</w:t>
      </w:r>
      <w:r>
        <w:rPr>
          <w:rFonts w:ascii="Calibri" w:cs="Calibri" w:eastAsia="Calibri" w:hAnsi="Calibri"/>
          <w:sz w:val="18"/>
          <w:szCs w:val="18"/>
          <w:color w:val="auto"/>
        </w:rPr>
        <w:t>, by following the log in procedures described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above and completng the online form during the Annual Meetng.</w:t>
      </w:r>
    </w:p>
    <w:p>
      <w:pPr>
        <w:spacing w:after="0" w:line="69"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You can vote over the phone or online untl 11:59 p.m., Eastern Time, on the day before the Annual Meetng. If you vote by mail, your proxy or votng instructon card, as applicable, must be received by the day before the Annual Meetng. You may stll atend and vote at the Annual Meetng online even if you have already voted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514350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95" w:lineRule="exact"/>
        <w:rPr>
          <w:sz w:val="20"/>
          <w:szCs w:val="20"/>
          <w:color w:val="auto"/>
        </w:rPr>
      </w:pPr>
    </w:p>
    <w:p>
      <w:pPr>
        <w:sectPr>
          <w:pgSz w:w="11900" w:h="16838" w:orient="portrait"/>
          <w:cols w:equalWidth="0" w:num="2">
            <w:col w:w="5420" w:space="300"/>
            <w:col w:w="5520"/>
          </w:cols>
          <w:pgMar w:left="320" w:top="1395" w:right="339" w:bottom="1440" w:gutter="0" w:footer="0" w:header="0"/>
          <w:type w:val="continuous"/>
        </w:sectPr>
      </w:pPr>
    </w:p>
    <w:p>
      <w:pPr>
        <w:jc w:val="both"/>
        <w:spacing w:after="0" w:line="235" w:lineRule="auto"/>
        <w:rPr>
          <w:sz w:val="20"/>
          <w:szCs w:val="20"/>
          <w:color w:val="auto"/>
        </w:rPr>
      </w:pPr>
      <w:r>
        <w:rPr>
          <w:rFonts w:ascii="Calibri" w:cs="Calibri" w:eastAsia="Calibri" w:hAnsi="Calibri"/>
          <w:sz w:val="18"/>
          <w:szCs w:val="18"/>
          <w:color w:val="auto"/>
        </w:rPr>
        <w:t>You can revoke your proxy at any tme before the fnal vote at the Annual Meetng. If you are the benefcial owner, please follow the instructons provided by the broker, bank or other agent through which your shares are held. If you are the stockholder of record, you can change your vote or revoke your proxy by submitng a subsequent proxy or by sending a tmely writen notce that you are revoking your proxy to the Corporate</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Secretary at the Company’s address (see the frst page of this proxy statement). Such notce will be considered tmely if it is received by the day before the Annual Meetng. You can also change your vote by atending and votng at the Annual Meetng online. Please note that simply atending the Annual Meetng will not, by itself, revoke your proxy.</w:t>
      </w:r>
    </w:p>
    <w:p>
      <w:pPr>
        <w:spacing w:after="0" w:line="415" w:lineRule="exact"/>
        <w:rPr>
          <w:sz w:val="20"/>
          <w:szCs w:val="20"/>
          <w:color w:val="auto"/>
        </w:rPr>
      </w:pPr>
    </w:p>
    <w:p>
      <w:pPr>
        <w:sectPr>
          <w:pgSz w:w="11900" w:h="16838" w:orient="portrait"/>
          <w:cols w:equalWidth="0" w:num="2">
            <w:col w:w="5420" w:space="300"/>
            <w:col w:w="5520"/>
          </w:cols>
          <w:pgMar w:left="320" w:top="1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395" w:right="339" w:bottom="1440" w:gutter="0" w:footer="0" w:header="0"/>
          <w:type w:val="continuous"/>
        </w:sectPr>
      </w:pPr>
    </w:p>
    <w:bookmarkStart w:id="5" w:name="page6"/>
    <w:bookmarkEnd w:id="5"/>
    <w:p>
      <w:pPr>
        <w:spacing w:after="0" w:line="1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color w:val="auto"/>
        </w:rPr>
        <w:t>Votes will be counted by the inspector of electon appointed for the Annual Meetng by our Board.</w:t>
      </w: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What if I am a record holder and I do not submit votng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1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complete and submit your proxy, the persons named as proxies will vote your shares in accordance with your instructons. If you submit a proxy but do not complete the votng instructons, the persons named as proxies will vote your shares in accordance with the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Board’s recommendatons below. If you do not submit a proxy or vote at the Annual Meetng, your shares will not be voted.</w:t>
      </w:r>
    </w:p>
    <w:p>
      <w:pPr>
        <w:spacing w:after="0" w:line="630"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324" w:lineRule="exact"/>
        <w:rPr>
          <w:sz w:val="20"/>
          <w:szCs w:val="20"/>
          <w:color w:val="auto"/>
        </w:rPr>
      </w:pPr>
    </w:p>
    <w:p>
      <w:pPr>
        <w:ind w:left="20"/>
        <w:spacing w:after="0"/>
        <w:rPr>
          <w:sz w:val="20"/>
          <w:szCs w:val="20"/>
          <w:color w:val="auto"/>
        </w:rPr>
      </w:pPr>
      <w:r>
        <w:rPr>
          <w:rFonts w:ascii="Calibri" w:cs="Calibri" w:eastAsia="Calibri" w:hAnsi="Calibri"/>
          <w:sz w:val="21"/>
          <w:szCs w:val="21"/>
          <w:b w:val="1"/>
          <w:bCs w:val="1"/>
          <w:color w:val="auto"/>
        </w:rPr>
        <w:t>What if I am a street-name holder and I do not submit votng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may instruct your broker, bank or other agent on how to vote your shares by following the instructons they provided with the proxy materials. If you do not do so, the frm has discreton to vote your shares only with respect to proposals that are considered “routne” maters. If you do not provide instructons for any proposal that is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ind w:right="100"/>
        <w:spacing w:after="0" w:line="252" w:lineRule="auto"/>
        <w:rPr>
          <w:sz w:val="20"/>
          <w:szCs w:val="20"/>
          <w:color w:val="auto"/>
        </w:rPr>
      </w:pPr>
      <w:r>
        <w:rPr>
          <w:rFonts w:ascii="Calibri" w:cs="Calibri" w:eastAsia="Calibri" w:hAnsi="Calibri"/>
          <w:sz w:val="17"/>
          <w:szCs w:val="17"/>
          <w:color w:val="auto"/>
        </w:rPr>
        <w:t>determined to not be “routne,” the frm that holds your shares will not have discretonary authority to vote your shares for any such proposal. This is called a “broker non-vote.” Therefore, you are encouraged to return your votng instructons so that your shares are voted at the Annual Meetng.</w:t>
      </w:r>
    </w:p>
    <w:p>
      <w:pPr>
        <w:spacing w:after="0" w:line="404"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13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What vote is necessary to approve each proposal and what are the board’s recommendatons?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gridSpan w:val="3"/>
          </w:tcPr>
          <w:p>
            <w:pPr>
              <w:spacing w:after="0"/>
              <w:rPr>
                <w:sz w:val="20"/>
                <w:szCs w:val="20"/>
                <w:color w:val="auto"/>
              </w:rPr>
            </w:pPr>
            <w:r>
              <w:rPr>
                <w:rFonts w:ascii="Calibri" w:cs="Calibri" w:eastAsia="Calibri" w:hAnsi="Calibri"/>
                <w:sz w:val="18"/>
                <w:szCs w:val="18"/>
                <w:color w:val="auto"/>
              </w:rPr>
              <w:t>The following table sets forth the votng requirements for each proposal</w:t>
            </w:r>
          </w:p>
        </w:tc>
        <w:tc>
          <w:tcPr>
            <w:tcW w:w="3560" w:type="dxa"/>
            <w:vAlign w:val="bottom"/>
            <w:gridSpan w:val="2"/>
          </w:tcPr>
          <w:p>
            <w:pPr>
              <w:ind w:left="260"/>
              <w:spacing w:after="0"/>
              <w:rPr>
                <w:sz w:val="20"/>
                <w:szCs w:val="20"/>
                <w:color w:val="auto"/>
              </w:rPr>
            </w:pPr>
            <w:r>
              <w:rPr>
                <w:rFonts w:ascii="Calibri" w:cs="Calibri" w:eastAsia="Calibri" w:hAnsi="Calibri"/>
                <w:sz w:val="18"/>
                <w:szCs w:val="18"/>
                <w:color w:val="auto"/>
              </w:rPr>
              <w:t>the board’s recommendatons.</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Calibri" w:cs="Calibri" w:eastAsia="Calibri" w:hAnsi="Calibri"/>
                <w:sz w:val="18"/>
                <w:szCs w:val="18"/>
                <w:color w:val="auto"/>
              </w:rPr>
              <w:t>being voted on at the Annual Meetng and</w:t>
            </w:r>
          </w:p>
        </w:tc>
        <w:tc>
          <w:tcPr>
            <w:tcW w:w="1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tcPr>
          <w:p>
            <w:pPr>
              <w:ind w:left="100"/>
              <w:spacing w:after="0"/>
              <w:rPr>
                <w:sz w:val="20"/>
                <w:szCs w:val="20"/>
                <w:color w:val="auto"/>
              </w:rPr>
            </w:pPr>
            <w:r>
              <w:rPr>
                <w:rFonts w:ascii="Calibri" w:cs="Calibri" w:eastAsia="Calibri" w:hAnsi="Calibri"/>
                <w:sz w:val="18"/>
                <w:szCs w:val="18"/>
                <w:b w:val="1"/>
                <w:bCs w:val="1"/>
                <w:color w:val="auto"/>
              </w:rPr>
              <w:t>Efect of</w:t>
            </w:r>
          </w:p>
        </w:tc>
        <w:tc>
          <w:tcPr>
            <w:tcW w:w="0" w:type="dxa"/>
            <w:vAlign w:val="bottom"/>
          </w:tcPr>
          <w:p>
            <w:pPr>
              <w:spacing w:after="0"/>
              <w:rPr>
                <w:sz w:val="1"/>
                <w:szCs w:val="1"/>
                <w:color w:val="auto"/>
              </w:rPr>
            </w:pPr>
          </w:p>
        </w:tc>
      </w:tr>
      <w:tr>
        <w:trPr>
          <w:trHeight w:val="50"/>
        </w:trPr>
        <w:tc>
          <w:tcPr>
            <w:tcW w:w="2020" w:type="dxa"/>
            <w:vAlign w:val="bottom"/>
          </w:tcPr>
          <w:p>
            <w:pPr>
              <w:spacing w:after="0"/>
              <w:rPr>
                <w:sz w:val="4"/>
                <w:szCs w:val="4"/>
                <w:color w:val="auto"/>
              </w:rPr>
            </w:pPr>
          </w:p>
        </w:tc>
        <w:tc>
          <w:tcPr>
            <w:tcW w:w="1940" w:type="dxa"/>
            <w:vAlign w:val="bottom"/>
            <w:vMerge w:val="restart"/>
          </w:tcPr>
          <w:p>
            <w:pPr>
              <w:jc w:val="center"/>
              <w:ind w:left="90"/>
              <w:spacing w:after="0"/>
              <w:rPr>
                <w:sz w:val="20"/>
                <w:szCs w:val="20"/>
                <w:color w:val="auto"/>
              </w:rPr>
            </w:pPr>
            <w:r>
              <w:rPr>
                <w:rFonts w:ascii="Calibri" w:cs="Calibri" w:eastAsia="Calibri" w:hAnsi="Calibri"/>
                <w:sz w:val="18"/>
                <w:szCs w:val="18"/>
                <w:b w:val="1"/>
                <w:bCs w:val="1"/>
                <w:color w:val="auto"/>
                <w:w w:val="98"/>
              </w:rPr>
              <w:t>Board</w:t>
            </w:r>
          </w:p>
        </w:tc>
        <w:tc>
          <w:tcPr>
            <w:tcW w:w="1500" w:type="dxa"/>
            <w:vAlign w:val="bottom"/>
          </w:tcPr>
          <w:p>
            <w:pPr>
              <w:spacing w:after="0"/>
              <w:rPr>
                <w:sz w:val="4"/>
                <w:szCs w:val="4"/>
                <w:color w:val="auto"/>
              </w:rPr>
            </w:pPr>
          </w:p>
        </w:tc>
        <w:tc>
          <w:tcPr>
            <w:tcW w:w="2180" w:type="dxa"/>
            <w:vAlign w:val="bottom"/>
            <w:vMerge w:val="restart"/>
          </w:tcPr>
          <w:p>
            <w:pPr>
              <w:jc w:val="center"/>
              <w:ind w:right="1350"/>
              <w:spacing w:after="0"/>
              <w:rPr>
                <w:sz w:val="20"/>
                <w:szCs w:val="20"/>
                <w:color w:val="auto"/>
              </w:rPr>
            </w:pPr>
            <w:r>
              <w:rPr>
                <w:rFonts w:ascii="Calibri" w:cs="Calibri" w:eastAsia="Calibri" w:hAnsi="Calibri"/>
                <w:sz w:val="18"/>
                <w:szCs w:val="18"/>
                <w:b w:val="1"/>
                <w:bCs w:val="1"/>
                <w:color w:val="auto"/>
                <w:w w:val="96"/>
              </w:rPr>
              <w:t>Required</w:t>
            </w:r>
          </w:p>
        </w:tc>
        <w:tc>
          <w:tcPr>
            <w:tcW w:w="13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2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Proposal</w:t>
            </w:r>
          </w:p>
        </w:tc>
        <w:tc>
          <w:tcPr>
            <w:tcW w:w="194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2180" w:type="dxa"/>
            <w:vAlign w:val="bottom"/>
            <w:vMerge w:val="continue"/>
          </w:tcPr>
          <w:p>
            <w:pPr>
              <w:spacing w:after="0"/>
              <w:rPr>
                <w:sz w:val="13"/>
                <w:szCs w:val="13"/>
                <w:color w:val="auto"/>
              </w:rPr>
            </w:pPr>
          </w:p>
        </w:tc>
        <w:tc>
          <w:tcPr>
            <w:tcW w:w="1380" w:type="dxa"/>
            <w:vAlign w:val="bottom"/>
          </w:tcPr>
          <w:p>
            <w:pPr>
              <w:jc w:val="center"/>
              <w:ind w:left="31"/>
              <w:spacing w:after="0" w:line="160" w:lineRule="exact"/>
              <w:rPr>
                <w:sz w:val="20"/>
                <w:szCs w:val="20"/>
                <w:color w:val="auto"/>
              </w:rPr>
            </w:pPr>
            <w:r>
              <w:rPr>
                <w:rFonts w:ascii="Calibri" w:cs="Calibri" w:eastAsia="Calibri" w:hAnsi="Calibri"/>
                <w:sz w:val="17"/>
                <w:szCs w:val="17"/>
                <w:b w:val="1"/>
                <w:bCs w:val="1"/>
                <w:color w:val="auto"/>
              </w:rPr>
              <w:t>Withholding /</w:t>
            </w:r>
          </w:p>
        </w:tc>
        <w:tc>
          <w:tcPr>
            <w:tcW w:w="2200" w:type="dxa"/>
            <w:vAlign w:val="bottom"/>
          </w:tcPr>
          <w:p>
            <w:pPr>
              <w:ind w:left="760"/>
              <w:spacing w:after="0" w:line="160" w:lineRule="exact"/>
              <w:rPr>
                <w:sz w:val="20"/>
                <w:szCs w:val="20"/>
                <w:color w:val="auto"/>
              </w:rPr>
            </w:pPr>
            <w:r>
              <w:rPr>
                <w:rFonts w:ascii="Calibri" w:cs="Calibri" w:eastAsia="Calibri" w:hAnsi="Calibri"/>
                <w:sz w:val="17"/>
                <w:szCs w:val="17"/>
                <w:b w:val="1"/>
                <w:bCs w:val="1"/>
                <w:color w:val="auto"/>
              </w:rPr>
              <w:t>Broker Non-</w:t>
            </w:r>
          </w:p>
        </w:tc>
        <w:tc>
          <w:tcPr>
            <w:tcW w:w="0" w:type="dxa"/>
            <w:vAlign w:val="bottom"/>
          </w:tcPr>
          <w:p>
            <w:pPr>
              <w:spacing w:after="0"/>
              <w:rPr>
                <w:sz w:val="1"/>
                <w:szCs w:val="1"/>
                <w:color w:val="auto"/>
              </w:rPr>
            </w:pPr>
          </w:p>
        </w:tc>
      </w:tr>
      <w:tr>
        <w:trPr>
          <w:trHeight w:val="215"/>
        </w:trPr>
        <w:tc>
          <w:tcPr>
            <w:tcW w:w="2020" w:type="dxa"/>
            <w:vAlign w:val="bottom"/>
            <w:vMerge w:val="continue"/>
          </w:tcPr>
          <w:p>
            <w:pPr>
              <w:spacing w:after="0"/>
              <w:rPr>
                <w:sz w:val="18"/>
                <w:szCs w:val="18"/>
                <w:color w:val="auto"/>
              </w:rPr>
            </w:pPr>
          </w:p>
        </w:tc>
        <w:tc>
          <w:tcPr>
            <w:tcW w:w="1940" w:type="dxa"/>
            <w:vAlign w:val="bottom"/>
          </w:tcPr>
          <w:p>
            <w:pPr>
              <w:jc w:val="center"/>
              <w:ind w:left="70"/>
              <w:spacing w:after="0" w:line="215" w:lineRule="exact"/>
              <w:rPr>
                <w:sz w:val="20"/>
                <w:szCs w:val="20"/>
                <w:color w:val="auto"/>
              </w:rPr>
            </w:pPr>
            <w:r>
              <w:rPr>
                <w:rFonts w:ascii="Calibri" w:cs="Calibri" w:eastAsia="Calibri" w:hAnsi="Calibri"/>
                <w:sz w:val="18"/>
                <w:szCs w:val="18"/>
                <w:b w:val="1"/>
                <w:bCs w:val="1"/>
                <w:color w:val="auto"/>
              </w:rPr>
              <w:t>Recommendaton</w:t>
            </w:r>
          </w:p>
        </w:tc>
        <w:tc>
          <w:tcPr>
            <w:tcW w:w="1500" w:type="dxa"/>
            <w:vAlign w:val="bottom"/>
          </w:tcPr>
          <w:p>
            <w:pPr>
              <w:spacing w:after="0"/>
              <w:rPr>
                <w:sz w:val="18"/>
                <w:szCs w:val="18"/>
                <w:color w:val="auto"/>
              </w:rPr>
            </w:pPr>
          </w:p>
        </w:tc>
        <w:tc>
          <w:tcPr>
            <w:tcW w:w="2180" w:type="dxa"/>
            <w:vAlign w:val="bottom"/>
          </w:tcPr>
          <w:p>
            <w:pPr>
              <w:jc w:val="center"/>
              <w:ind w:right="1350"/>
              <w:spacing w:after="0" w:line="215" w:lineRule="exact"/>
              <w:rPr>
                <w:sz w:val="20"/>
                <w:szCs w:val="20"/>
                <w:color w:val="auto"/>
              </w:rPr>
            </w:pPr>
            <w:r>
              <w:rPr>
                <w:rFonts w:ascii="Calibri" w:cs="Calibri" w:eastAsia="Calibri" w:hAnsi="Calibri"/>
                <w:sz w:val="18"/>
                <w:szCs w:val="18"/>
                <w:b w:val="1"/>
                <w:bCs w:val="1"/>
                <w:color w:val="auto"/>
                <w:w w:val="95"/>
              </w:rPr>
              <w:t>Vote</w:t>
            </w:r>
          </w:p>
        </w:tc>
        <w:tc>
          <w:tcPr>
            <w:tcW w:w="1380" w:type="dxa"/>
            <w:vAlign w:val="bottom"/>
          </w:tcPr>
          <w:p>
            <w:pPr>
              <w:jc w:val="center"/>
              <w:ind w:left="31"/>
              <w:spacing w:after="0" w:line="215" w:lineRule="exact"/>
              <w:rPr>
                <w:sz w:val="20"/>
                <w:szCs w:val="20"/>
                <w:color w:val="auto"/>
              </w:rPr>
            </w:pPr>
            <w:r>
              <w:rPr>
                <w:rFonts w:ascii="Calibri" w:cs="Calibri" w:eastAsia="Calibri" w:hAnsi="Calibri"/>
                <w:sz w:val="18"/>
                <w:szCs w:val="18"/>
                <w:b w:val="1"/>
                <w:bCs w:val="1"/>
                <w:color w:val="auto"/>
              </w:rPr>
              <w:t>Abstentons</w:t>
            </w:r>
          </w:p>
        </w:tc>
        <w:tc>
          <w:tcPr>
            <w:tcW w:w="2200" w:type="dxa"/>
            <w:vAlign w:val="bottom"/>
          </w:tcPr>
          <w:p>
            <w:pPr>
              <w:ind w:left="1000"/>
              <w:spacing w:after="0" w:line="215" w:lineRule="exact"/>
              <w:rPr>
                <w:sz w:val="20"/>
                <w:szCs w:val="20"/>
                <w:color w:val="auto"/>
              </w:rPr>
            </w:pPr>
            <w:r>
              <w:rPr>
                <w:rFonts w:ascii="Calibri" w:cs="Calibri" w:eastAsia="Calibri" w:hAnsi="Calibri"/>
                <w:sz w:val="18"/>
                <w:szCs w:val="18"/>
                <w:b w:val="1"/>
                <w:bCs w:val="1"/>
                <w:color w:val="auto"/>
              </w:rPr>
              <w:t>Votes</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20" w:type="dxa"/>
            <w:vAlign w:val="bottom"/>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Electon of directors</w:t>
            </w:r>
          </w:p>
        </w:tc>
        <w:tc>
          <w:tcPr>
            <w:tcW w:w="1940" w:type="dxa"/>
            <w:vAlign w:val="bottom"/>
            <w:shd w:val="clear" w:color="auto" w:fill="DBDBDB"/>
          </w:tcPr>
          <w:p>
            <w:pPr>
              <w:ind w:left="120"/>
              <w:spacing w:after="0" w:line="213" w:lineRule="exact"/>
              <w:rPr>
                <w:sz w:val="20"/>
                <w:szCs w:val="20"/>
                <w:color w:val="auto"/>
              </w:rPr>
            </w:pPr>
            <w:r>
              <w:rPr>
                <w:rFonts w:ascii="Calibri" w:cs="Calibri" w:eastAsia="Calibri" w:hAnsi="Calibri"/>
                <w:sz w:val="18"/>
                <w:szCs w:val="18"/>
                <w:color w:val="auto"/>
              </w:rPr>
              <w:t>For each nominee</w:t>
            </w:r>
          </w:p>
        </w:tc>
        <w:tc>
          <w:tcPr>
            <w:tcW w:w="3680" w:type="dxa"/>
            <w:vAlign w:val="bottom"/>
            <w:gridSpan w:val="2"/>
            <w:shd w:val="clear" w:color="auto" w:fill="DBDBDB"/>
          </w:tcPr>
          <w:p>
            <w:pPr>
              <w:ind w:left="220"/>
              <w:spacing w:after="0" w:line="213" w:lineRule="exact"/>
              <w:rPr>
                <w:sz w:val="20"/>
                <w:szCs w:val="20"/>
                <w:color w:val="auto"/>
              </w:rPr>
            </w:pPr>
            <w:r>
              <w:rPr>
                <w:rFonts w:ascii="Calibri" w:cs="Calibri" w:eastAsia="Calibri" w:hAnsi="Calibri"/>
                <w:sz w:val="18"/>
                <w:szCs w:val="18"/>
                <w:color w:val="auto"/>
              </w:rPr>
              <w:t>Plurality of votes cast (nominees that receive</w:t>
            </w:r>
          </w:p>
        </w:tc>
        <w:tc>
          <w:tcPr>
            <w:tcW w:w="1380" w:type="dxa"/>
            <w:vAlign w:val="bottom"/>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No efect</w:t>
            </w:r>
          </w:p>
        </w:tc>
        <w:tc>
          <w:tcPr>
            <w:tcW w:w="2200" w:type="dxa"/>
            <w:vAlign w:val="bottom"/>
            <w:shd w:val="clear" w:color="auto" w:fill="DBDBDB"/>
          </w:tcPr>
          <w:p>
            <w:pPr>
              <w:ind w:left="220"/>
              <w:spacing w:after="0" w:line="213" w:lineRule="exact"/>
              <w:rPr>
                <w:sz w:val="20"/>
                <w:szCs w:val="20"/>
                <w:color w:val="auto"/>
              </w:rPr>
            </w:pPr>
            <w:r>
              <w:rPr>
                <w:rFonts w:ascii="Calibri" w:cs="Calibri" w:eastAsia="Calibri" w:hAnsi="Calibri"/>
                <w:sz w:val="18"/>
                <w:szCs w:val="18"/>
                <w:color w:val="auto"/>
              </w:rPr>
              <w:t>Not counted as enttled to</w:t>
            </w:r>
          </w:p>
        </w:tc>
        <w:tc>
          <w:tcPr>
            <w:tcW w:w="0" w:type="dxa"/>
            <w:vAlign w:val="bottom"/>
          </w:tcPr>
          <w:p>
            <w:pPr>
              <w:spacing w:after="0"/>
              <w:rPr>
                <w:sz w:val="1"/>
                <w:szCs w:val="1"/>
                <w:color w:val="auto"/>
              </w:rPr>
            </w:pPr>
          </w:p>
        </w:tc>
      </w:tr>
      <w:tr>
        <w:trPr>
          <w:trHeight w:val="271"/>
        </w:trPr>
        <w:tc>
          <w:tcPr>
            <w:tcW w:w="2020" w:type="dxa"/>
            <w:vAlign w:val="bottom"/>
            <w:tcBorders>
              <w:bottom w:val="single" w:sz="8" w:color="DBDBDB"/>
            </w:tcBorders>
            <w:shd w:val="clear" w:color="auto" w:fill="DBDBDB"/>
          </w:tcPr>
          <w:p>
            <w:pPr>
              <w:spacing w:after="0"/>
              <w:rPr>
                <w:sz w:val="23"/>
                <w:szCs w:val="23"/>
                <w:color w:val="auto"/>
              </w:rPr>
            </w:pPr>
          </w:p>
        </w:tc>
        <w:tc>
          <w:tcPr>
            <w:tcW w:w="1940" w:type="dxa"/>
            <w:vAlign w:val="bottom"/>
            <w:tcBorders>
              <w:bottom w:val="single" w:sz="8" w:color="DBDBDB"/>
            </w:tcBorders>
            <w:shd w:val="clear" w:color="auto" w:fill="DBDBDB"/>
          </w:tcPr>
          <w:p>
            <w:pPr>
              <w:spacing w:after="0"/>
              <w:rPr>
                <w:sz w:val="23"/>
                <w:szCs w:val="23"/>
                <w:color w:val="auto"/>
              </w:rPr>
            </w:pPr>
          </w:p>
        </w:tc>
        <w:tc>
          <w:tcPr>
            <w:tcW w:w="3680" w:type="dxa"/>
            <w:vAlign w:val="bottom"/>
            <w:tcBorders>
              <w:bottom w:val="single" w:sz="8" w:color="DBDBDB"/>
            </w:tcBorders>
            <w:gridSpan w:val="2"/>
            <w:shd w:val="clear" w:color="auto" w:fill="DBDBDB"/>
          </w:tcPr>
          <w:p>
            <w:pPr>
              <w:ind w:left="220"/>
              <w:spacing w:after="0" w:line="216" w:lineRule="exact"/>
              <w:rPr>
                <w:sz w:val="20"/>
                <w:szCs w:val="20"/>
                <w:color w:val="auto"/>
              </w:rPr>
            </w:pPr>
            <w:r>
              <w:rPr>
                <w:rFonts w:ascii="Calibri" w:cs="Calibri" w:eastAsia="Calibri" w:hAnsi="Calibri"/>
                <w:sz w:val="18"/>
                <w:szCs w:val="18"/>
                <w:color w:val="auto"/>
              </w:rPr>
              <w:t>the most FOR votes will be elected)</w:t>
            </w:r>
          </w:p>
        </w:tc>
        <w:tc>
          <w:tcPr>
            <w:tcW w:w="1380" w:type="dxa"/>
            <w:vAlign w:val="bottom"/>
            <w:tcBorders>
              <w:bottom w:val="single" w:sz="8" w:color="DBDBDB"/>
            </w:tcBorders>
            <w:shd w:val="clear" w:color="auto" w:fill="DBDBDB"/>
          </w:tcPr>
          <w:p>
            <w:pPr>
              <w:spacing w:after="0"/>
              <w:rPr>
                <w:sz w:val="23"/>
                <w:szCs w:val="23"/>
                <w:color w:val="auto"/>
              </w:rPr>
            </w:pPr>
          </w:p>
        </w:tc>
        <w:tc>
          <w:tcPr>
            <w:tcW w:w="2200" w:type="dxa"/>
            <w:vAlign w:val="bottom"/>
            <w:tcBorders>
              <w:bottom w:val="single" w:sz="8" w:color="DBDBDB"/>
            </w:tcBorders>
            <w:shd w:val="clear" w:color="auto" w:fill="DBDBDB"/>
          </w:tcPr>
          <w:p>
            <w:pPr>
              <w:ind w:left="220"/>
              <w:spacing w:after="0" w:line="216" w:lineRule="exact"/>
              <w:rPr>
                <w:sz w:val="20"/>
                <w:szCs w:val="20"/>
                <w:color w:val="auto"/>
              </w:rPr>
            </w:pPr>
            <w:r>
              <w:rPr>
                <w:rFonts w:ascii="Calibri" w:cs="Calibri" w:eastAsia="Calibri" w:hAnsi="Calibri"/>
                <w:sz w:val="18"/>
                <w:szCs w:val="18"/>
                <w:color w:val="auto"/>
              </w:rPr>
              <w:t>vote and so no efect</w:t>
            </w:r>
          </w:p>
        </w:tc>
        <w:tc>
          <w:tcPr>
            <w:tcW w:w="0" w:type="dxa"/>
            <w:vAlign w:val="bottom"/>
          </w:tcPr>
          <w:p>
            <w:pPr>
              <w:spacing w:after="0"/>
              <w:rPr>
                <w:sz w:val="1"/>
                <w:szCs w:val="1"/>
                <w:color w:val="auto"/>
              </w:rPr>
            </w:pPr>
          </w:p>
        </w:tc>
      </w:tr>
      <w:tr>
        <w:trPr>
          <w:trHeight w:val="213"/>
        </w:trPr>
        <w:tc>
          <w:tcPr>
            <w:tcW w:w="2020" w:type="dxa"/>
            <w:vAlign w:val="bottom"/>
            <w:tcBorders>
              <w:top w:val="single" w:sz="8" w:color="auto"/>
            </w:tcBorders>
            <w:shd w:val="clear" w:color="auto" w:fill="FAFAFA"/>
          </w:tcPr>
          <w:p>
            <w:pPr>
              <w:ind w:left="20"/>
              <w:spacing w:after="0" w:line="213" w:lineRule="exact"/>
              <w:rPr>
                <w:sz w:val="20"/>
                <w:szCs w:val="20"/>
                <w:color w:val="auto"/>
              </w:rPr>
            </w:pPr>
            <w:r>
              <w:rPr>
                <w:rFonts w:ascii="Calibri" w:cs="Calibri" w:eastAsia="Calibri" w:hAnsi="Calibri"/>
                <w:sz w:val="18"/>
                <w:szCs w:val="18"/>
                <w:color w:val="auto"/>
              </w:rPr>
              <w:t>Ratfcaton of selecton of</w:t>
            </w:r>
          </w:p>
        </w:tc>
        <w:tc>
          <w:tcPr>
            <w:tcW w:w="1940" w:type="dxa"/>
            <w:vAlign w:val="bottom"/>
            <w:tcBorders>
              <w:top w:val="single" w:sz="8" w:color="auto"/>
            </w:tcBorders>
            <w:shd w:val="clear" w:color="auto" w:fill="FAFAFA"/>
          </w:tcPr>
          <w:p>
            <w:pPr>
              <w:ind w:left="120"/>
              <w:spacing w:after="0" w:line="213" w:lineRule="exact"/>
              <w:rPr>
                <w:sz w:val="20"/>
                <w:szCs w:val="20"/>
                <w:color w:val="auto"/>
              </w:rPr>
            </w:pPr>
            <w:r>
              <w:rPr>
                <w:rFonts w:ascii="Calibri" w:cs="Calibri" w:eastAsia="Calibri" w:hAnsi="Calibri"/>
                <w:sz w:val="18"/>
                <w:szCs w:val="18"/>
                <w:color w:val="auto"/>
              </w:rPr>
              <w:t>For</w:t>
            </w:r>
          </w:p>
        </w:tc>
        <w:tc>
          <w:tcPr>
            <w:tcW w:w="3680" w:type="dxa"/>
            <w:vAlign w:val="bottom"/>
            <w:tcBorders>
              <w:top w:val="single" w:sz="8" w:color="auto"/>
            </w:tcBorders>
            <w:gridSpan w:val="2"/>
            <w:shd w:val="clear" w:color="auto" w:fill="FAFAFA"/>
          </w:tcPr>
          <w:p>
            <w:pPr>
              <w:ind w:left="220"/>
              <w:spacing w:after="0" w:line="213" w:lineRule="exact"/>
              <w:rPr>
                <w:sz w:val="20"/>
                <w:szCs w:val="20"/>
                <w:color w:val="auto"/>
              </w:rPr>
            </w:pPr>
            <w:r>
              <w:rPr>
                <w:rFonts w:ascii="Calibri" w:cs="Calibri" w:eastAsia="Calibri" w:hAnsi="Calibri"/>
                <w:sz w:val="18"/>
                <w:szCs w:val="18"/>
                <w:color w:val="auto"/>
              </w:rPr>
              <w:t>Majority of the votng power of the shares</w:t>
            </w:r>
          </w:p>
        </w:tc>
        <w:tc>
          <w:tcPr>
            <w:tcW w:w="1380" w:type="dxa"/>
            <w:vAlign w:val="bottom"/>
            <w:tcBorders>
              <w:top w:val="single" w:sz="8" w:color="auto"/>
            </w:tcBorders>
            <w:shd w:val="clear" w:color="auto" w:fill="FAFAFA"/>
          </w:tcPr>
          <w:p>
            <w:pPr>
              <w:ind w:left="20"/>
              <w:spacing w:after="0" w:line="213" w:lineRule="exact"/>
              <w:rPr>
                <w:sz w:val="20"/>
                <w:szCs w:val="20"/>
                <w:color w:val="auto"/>
              </w:rPr>
            </w:pPr>
            <w:r>
              <w:rPr>
                <w:rFonts w:ascii="Calibri" w:cs="Calibri" w:eastAsia="Calibri" w:hAnsi="Calibri"/>
                <w:sz w:val="18"/>
                <w:szCs w:val="18"/>
                <w:color w:val="auto"/>
              </w:rPr>
              <w:t>Same as a vote</w:t>
            </w:r>
          </w:p>
        </w:tc>
        <w:tc>
          <w:tcPr>
            <w:tcW w:w="2200" w:type="dxa"/>
            <w:vAlign w:val="bottom"/>
            <w:tcBorders>
              <w:top w:val="single" w:sz="8" w:color="auto"/>
            </w:tcBorders>
            <w:shd w:val="clear" w:color="auto" w:fill="FAFAFA"/>
          </w:tcPr>
          <w:p>
            <w:pPr>
              <w:ind w:left="220"/>
              <w:spacing w:after="0" w:line="213" w:lineRule="exact"/>
              <w:rPr>
                <w:sz w:val="20"/>
                <w:szCs w:val="20"/>
                <w:color w:val="auto"/>
              </w:rPr>
            </w:pPr>
            <w:r>
              <w:rPr>
                <w:rFonts w:ascii="Calibri" w:cs="Calibri" w:eastAsia="Calibri" w:hAnsi="Calibri"/>
                <w:sz w:val="18"/>
                <w:szCs w:val="18"/>
                <w:color w:val="auto"/>
              </w:rPr>
              <w:t>Not counted as enttled to</w:t>
            </w:r>
          </w:p>
        </w:tc>
        <w:tc>
          <w:tcPr>
            <w:tcW w:w="0" w:type="dxa"/>
            <w:vAlign w:val="bottom"/>
          </w:tcPr>
          <w:p>
            <w:pPr>
              <w:spacing w:after="0"/>
              <w:rPr>
                <w:sz w:val="1"/>
                <w:szCs w:val="1"/>
                <w:color w:val="auto"/>
              </w:rPr>
            </w:pPr>
          </w:p>
        </w:tc>
      </w:tr>
      <w:tr>
        <w:trPr>
          <w:trHeight w:val="216"/>
        </w:trPr>
        <w:tc>
          <w:tcPr>
            <w:tcW w:w="2020" w:type="dxa"/>
            <w:vAlign w:val="bottom"/>
            <w:shd w:val="clear" w:color="auto" w:fill="FAFAFA"/>
          </w:tcPr>
          <w:p>
            <w:pPr>
              <w:ind w:left="20"/>
              <w:spacing w:after="0" w:line="216" w:lineRule="exact"/>
              <w:rPr>
                <w:sz w:val="20"/>
                <w:szCs w:val="20"/>
                <w:color w:val="auto"/>
              </w:rPr>
            </w:pPr>
            <w:r>
              <w:rPr>
                <w:rFonts w:ascii="Calibri" w:cs="Calibri" w:eastAsia="Calibri" w:hAnsi="Calibri"/>
                <w:sz w:val="18"/>
                <w:szCs w:val="18"/>
                <w:color w:val="auto"/>
              </w:rPr>
              <w:t>Deloite &amp; Touche LLP</w:t>
            </w:r>
          </w:p>
        </w:tc>
        <w:tc>
          <w:tcPr>
            <w:tcW w:w="1940" w:type="dxa"/>
            <w:vAlign w:val="bottom"/>
            <w:shd w:val="clear" w:color="auto" w:fill="FAFAFA"/>
          </w:tcPr>
          <w:p>
            <w:pPr>
              <w:spacing w:after="0"/>
              <w:rPr>
                <w:sz w:val="18"/>
                <w:szCs w:val="18"/>
                <w:color w:val="auto"/>
              </w:rPr>
            </w:pPr>
          </w:p>
        </w:tc>
        <w:tc>
          <w:tcPr>
            <w:tcW w:w="3680" w:type="dxa"/>
            <w:vAlign w:val="bottom"/>
            <w:gridSpan w:val="2"/>
            <w:shd w:val="clear" w:color="auto" w:fill="FAFAFA"/>
          </w:tcPr>
          <w:p>
            <w:pPr>
              <w:ind w:left="220"/>
              <w:spacing w:after="0" w:line="216" w:lineRule="exact"/>
              <w:rPr>
                <w:sz w:val="20"/>
                <w:szCs w:val="20"/>
                <w:color w:val="auto"/>
              </w:rPr>
            </w:pPr>
            <w:r>
              <w:rPr>
                <w:rFonts w:ascii="Calibri" w:cs="Calibri" w:eastAsia="Calibri" w:hAnsi="Calibri"/>
                <w:sz w:val="18"/>
                <w:szCs w:val="18"/>
                <w:color w:val="auto"/>
              </w:rPr>
              <w:t>represented at the meetng and enttled to</w:t>
            </w:r>
          </w:p>
        </w:tc>
        <w:tc>
          <w:tcPr>
            <w:tcW w:w="1380" w:type="dxa"/>
            <w:vAlign w:val="bottom"/>
            <w:shd w:val="clear" w:color="auto" w:fill="FAFAFA"/>
          </w:tcPr>
          <w:p>
            <w:pPr>
              <w:ind w:left="20"/>
              <w:spacing w:after="0" w:line="216" w:lineRule="exact"/>
              <w:rPr>
                <w:sz w:val="20"/>
                <w:szCs w:val="20"/>
                <w:color w:val="auto"/>
              </w:rPr>
            </w:pPr>
            <w:r>
              <w:rPr>
                <w:rFonts w:ascii="Calibri" w:cs="Calibri" w:eastAsia="Calibri" w:hAnsi="Calibri"/>
                <w:sz w:val="18"/>
                <w:szCs w:val="18"/>
                <w:color w:val="auto"/>
              </w:rPr>
              <w:t>AGAINST</w:t>
            </w:r>
          </w:p>
        </w:tc>
        <w:tc>
          <w:tcPr>
            <w:tcW w:w="2200" w:type="dxa"/>
            <w:vAlign w:val="bottom"/>
            <w:shd w:val="clear" w:color="auto" w:fill="FAFAFA"/>
          </w:tcPr>
          <w:p>
            <w:pPr>
              <w:ind w:left="220"/>
              <w:spacing w:after="0" w:line="216" w:lineRule="exact"/>
              <w:rPr>
                <w:sz w:val="20"/>
                <w:szCs w:val="20"/>
                <w:color w:val="auto"/>
              </w:rPr>
            </w:pPr>
            <w:r>
              <w:rPr>
                <w:rFonts w:ascii="Calibri" w:cs="Calibri" w:eastAsia="Calibri" w:hAnsi="Calibri"/>
                <w:sz w:val="18"/>
                <w:szCs w:val="18"/>
                <w:color w:val="auto"/>
              </w:rPr>
              <w:t>vote and so no efect, if</w:t>
            </w:r>
          </w:p>
        </w:tc>
        <w:tc>
          <w:tcPr>
            <w:tcW w:w="0" w:type="dxa"/>
            <w:vAlign w:val="bottom"/>
          </w:tcPr>
          <w:p>
            <w:pPr>
              <w:spacing w:after="0"/>
              <w:rPr>
                <w:sz w:val="1"/>
                <w:szCs w:val="1"/>
                <w:color w:val="auto"/>
              </w:rPr>
            </w:pPr>
          </w:p>
        </w:tc>
      </w:tr>
      <w:tr>
        <w:trPr>
          <w:trHeight w:val="246"/>
        </w:trPr>
        <w:tc>
          <w:tcPr>
            <w:tcW w:w="2020" w:type="dxa"/>
            <w:vAlign w:val="bottom"/>
            <w:tcBorders>
              <w:bottom w:val="single" w:sz="8" w:color="FAFAFA"/>
            </w:tcBorders>
            <w:shd w:val="clear" w:color="auto" w:fill="FAFAFA"/>
          </w:tcPr>
          <w:p>
            <w:pPr>
              <w:spacing w:after="0"/>
              <w:rPr>
                <w:sz w:val="21"/>
                <w:szCs w:val="21"/>
                <w:color w:val="auto"/>
              </w:rPr>
            </w:pPr>
          </w:p>
        </w:tc>
        <w:tc>
          <w:tcPr>
            <w:tcW w:w="1940" w:type="dxa"/>
            <w:vAlign w:val="bottom"/>
            <w:tcBorders>
              <w:bottom w:val="single" w:sz="8" w:color="FAFAFA"/>
            </w:tcBorders>
            <w:shd w:val="clear" w:color="auto" w:fill="FAFAFA"/>
          </w:tcPr>
          <w:p>
            <w:pPr>
              <w:spacing w:after="0"/>
              <w:rPr>
                <w:sz w:val="21"/>
                <w:szCs w:val="21"/>
                <w:color w:val="auto"/>
              </w:rPr>
            </w:pPr>
          </w:p>
        </w:tc>
        <w:tc>
          <w:tcPr>
            <w:tcW w:w="3680" w:type="dxa"/>
            <w:vAlign w:val="bottom"/>
            <w:tcBorders>
              <w:bottom w:val="single" w:sz="8" w:color="FAFAFA"/>
            </w:tcBorders>
            <w:gridSpan w:val="2"/>
            <w:shd w:val="clear" w:color="auto" w:fill="FAFAFA"/>
          </w:tcPr>
          <w:p>
            <w:pPr>
              <w:ind w:left="220"/>
              <w:spacing w:after="0" w:line="216" w:lineRule="exact"/>
              <w:rPr>
                <w:sz w:val="20"/>
                <w:szCs w:val="20"/>
                <w:color w:val="auto"/>
              </w:rPr>
            </w:pPr>
            <w:r>
              <w:rPr>
                <w:rFonts w:ascii="Calibri" w:cs="Calibri" w:eastAsia="Calibri" w:hAnsi="Calibri"/>
                <w:sz w:val="18"/>
                <w:szCs w:val="18"/>
                <w:color w:val="auto"/>
              </w:rPr>
              <w:t>vote on the mater</w:t>
            </w:r>
          </w:p>
        </w:tc>
        <w:tc>
          <w:tcPr>
            <w:tcW w:w="1380" w:type="dxa"/>
            <w:vAlign w:val="bottom"/>
            <w:tcBorders>
              <w:bottom w:val="single" w:sz="8" w:color="FAFAFA"/>
            </w:tcBorders>
            <w:shd w:val="clear" w:color="auto" w:fill="FAFAFA"/>
          </w:tcPr>
          <w:p>
            <w:pPr>
              <w:spacing w:after="0"/>
              <w:rPr>
                <w:sz w:val="21"/>
                <w:szCs w:val="21"/>
                <w:color w:val="auto"/>
              </w:rPr>
            </w:pPr>
          </w:p>
        </w:tc>
        <w:tc>
          <w:tcPr>
            <w:tcW w:w="2200" w:type="dxa"/>
            <w:vAlign w:val="bottom"/>
            <w:tcBorders>
              <w:bottom w:val="single" w:sz="8" w:color="FAFAFA"/>
            </w:tcBorders>
            <w:shd w:val="clear" w:color="auto" w:fill="FAFAFA"/>
          </w:tcPr>
          <w:p>
            <w:pPr>
              <w:ind w:left="220"/>
              <w:spacing w:after="0" w:line="216" w:lineRule="exact"/>
              <w:rPr>
                <w:sz w:val="20"/>
                <w:szCs w:val="20"/>
                <w:color w:val="auto"/>
              </w:rPr>
            </w:pPr>
            <w:r>
              <w:rPr>
                <w:rFonts w:ascii="Calibri" w:cs="Calibri" w:eastAsia="Calibri" w:hAnsi="Calibri"/>
                <w:sz w:val="18"/>
                <w:szCs w:val="18"/>
                <w:color w:val="auto"/>
              </w:rPr>
              <w:t>any</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What if other business comes before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expect any other business to properly come before the Annual Meetng; however, if any other business should properly come before the Annual Meetng, the persons named as proxies will vote your shares on such maters in accordance with their best judgment. Each nominee has consented to be a candidate and to serve if elected. Although the Board has no reason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to believe that any nominee will be unavailable to serve as a director, if such an event should occur, the Board may designate a substtute nominee or reduce the size of the Board. If the board designates a substtute nominee, proxies will be voted for such substtute nominee(s).</w:t>
      </w:r>
    </w:p>
    <w:p>
      <w:pPr>
        <w:spacing w:after="0" w:line="630"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325" w:lineRule="exact"/>
        <w:rPr>
          <w:sz w:val="20"/>
          <w:szCs w:val="20"/>
          <w:color w:val="auto"/>
        </w:rPr>
      </w:pPr>
    </w:p>
    <w:p>
      <w:pPr>
        <w:ind w:left="20"/>
        <w:spacing w:after="0"/>
        <w:rPr>
          <w:sz w:val="20"/>
          <w:szCs w:val="20"/>
          <w:color w:val="auto"/>
        </w:rPr>
      </w:pPr>
      <w:r>
        <w:rPr>
          <w:rFonts w:ascii="Calibri" w:cs="Calibri" w:eastAsia="Calibri" w:hAnsi="Calibri"/>
          <w:sz w:val="21"/>
          <w:szCs w:val="21"/>
          <w:b w:val="1"/>
          <w:bCs w:val="1"/>
          <w:color w:val="auto"/>
        </w:rPr>
        <w:t>Do I have to do anything in advance if I plan to atend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Annual Meetng will be a virtual audio meetng of stockholders, which will be conducted via live audio webcast. You are enttled to partcipate in the Annual Meetng only if you were a holder of our common stock as of the close of business on the Record Date or if you hold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Calibri" w:cs="Calibri" w:eastAsia="Calibri" w:hAnsi="Calibri"/>
          <w:sz w:val="18"/>
          <w:szCs w:val="18"/>
          <w:color w:val="auto"/>
        </w:rPr>
        <w:t>a valid proxy for the Annual Meetng.</w:t>
      </w:r>
    </w:p>
    <w:p>
      <w:pPr>
        <w:spacing w:after="0" w:line="17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You will be able to atend the Annual Meetng and submit your questons during the Annual Meetng by visitng www.proxydocs.com/AFRM. You also will be able to vote</w:t>
      </w:r>
    </w:p>
    <w:p>
      <w:pPr>
        <w:spacing w:after="0" w:line="200"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20"/>
          </w:cols>
          <w:pgMar w:left="320" w:top="1440" w:right="35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8"/>
          <w:szCs w:val="18"/>
          <w:color w:val="auto"/>
        </w:rPr>
        <w:t>your shares electronically at the Annual Meetng.</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partcipate in the Annual Meetng, you will need the control number included on your Notce or proxy card. The live audio webcast will begin promptly at 9:00 a.m.,</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Calibri" w:cs="Calibri" w:eastAsia="Calibri" w:hAnsi="Calibri"/>
          <w:sz w:val="18"/>
          <w:szCs w:val="18"/>
          <w:color w:val="auto"/>
        </w:rPr>
        <w:t>Pacifc Time. We encourage you to access the meetng prior to the start tme. Online check-in will begin at 8:45 a.m., Pacifc Time, and you should allow ample tme for the check-in procedures.</w:t>
      </w:r>
    </w:p>
    <w:p>
      <w:pPr>
        <w:spacing w:after="0" w:line="591" w:lineRule="exact"/>
        <w:rPr>
          <w:sz w:val="20"/>
          <w:szCs w:val="20"/>
          <w:color w:val="auto"/>
        </w:rPr>
      </w:pPr>
    </w:p>
    <w:p>
      <w:pPr>
        <w:sectPr>
          <w:pgSz w:w="11900" w:h="16838" w:orient="portrait"/>
          <w:cols w:equalWidth="0" w:num="2">
            <w:col w:w="5420" w:space="300"/>
            <w:col w:w="5400"/>
          </w:cols>
          <w:pgMar w:left="320" w:top="1408" w:right="459" w:bottom="1440" w:gutter="0" w:footer="0" w:header="0"/>
        </w:sect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can I submit a queston during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type w:val="continuous"/>
        </w:sectPr>
      </w:pP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Stockholders are permited to submit questons during the Annual Meetng via www.proxydocs.com/AFRM. We will answer as many questons submited in accordance with</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meetng rules of conduct as possible in the tme alloted for the meetng.</w:t>
      </w:r>
    </w:p>
    <w:p>
      <w:pPr>
        <w:spacing w:after="0" w:line="415"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31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can I get help if I have trouble checking in or listening to the meetng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right="2540"/>
        <w:spacing w:after="0"/>
        <w:rPr>
          <w:sz w:val="20"/>
          <w:szCs w:val="20"/>
          <w:color w:val="auto"/>
        </w:rPr>
      </w:pPr>
      <w:r>
        <w:rPr>
          <w:rFonts w:ascii="Calibri" w:cs="Calibri" w:eastAsia="Calibri" w:hAnsi="Calibri"/>
          <w:sz w:val="18"/>
          <w:szCs w:val="18"/>
          <w:color w:val="auto"/>
        </w:rPr>
        <w:t>If you encounter any difcultes accessing the virtual meetng during the Virtual Stockholder Meetng log-in page. check-in or meetng tme, please call the technical support number that will be posted on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What is the efect of giving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type w:val="continuous"/>
        </w:sectPr>
      </w:pP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Proxies are solicited by and on behalf of our Board. The persons named in the proxy have been designated as proxy holders by our Board. When a proxy is properly dated, executed and returned, the shares represented by the proxy will be voted at the Annual Meetng in accordance with the instructons of the stockholder. If no specifc instructons are given, however, the shares will be voted in accordance with the recommendatons of our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Board. If any maters not described in this proxy statement are properly presented at the Annual Meetng, the proxy holders will use their own judgment to determine how to vote your shares. If the Annual Meetng is postponed or adjourned, the proxy holders can vote your shares on the new meetng date, unless you have properly revoked your proxy, as described above.</w:t>
      </w:r>
    </w:p>
    <w:p>
      <w:pPr>
        <w:spacing w:after="0" w:line="415"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1"/>
          <w:szCs w:val="21"/>
          <w:b w:val="1"/>
          <w:bCs w:val="1"/>
          <w:color w:val="auto"/>
        </w:rPr>
        <w:t>Who pays the cost of the proxy solicitaton?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type w:val="continuous"/>
        </w:sectPr>
      </w:pPr>
    </w:p>
    <w:p>
      <w:pPr>
        <w:spacing w:after="0" w:line="1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pay for the costs of solicitng proxies, including the preparaton, assembly, printng and mailing of the proxy materials. In additon, our directors, ofcers and employees may also solicit proxies in person, by telephone, or by other means of communicaton, without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 compensaton. We may also reimburse brokers, banks, fduciaries, custodians and other insttutons for their costs in forwarding the proxy materials to the street-name holders of our common stock.</w:t>
      </w:r>
    </w:p>
    <w:p>
      <w:pPr>
        <w:spacing w:after="0" w:line="415"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323" w:lineRule="exact"/>
        <w:rPr>
          <w:sz w:val="20"/>
          <w:szCs w:val="20"/>
          <w:color w:val="auto"/>
        </w:rPr>
      </w:pPr>
    </w:p>
    <w:p>
      <w:pPr>
        <w:ind w:left="20"/>
        <w:spacing w:after="0"/>
        <w:rPr>
          <w:sz w:val="20"/>
          <w:szCs w:val="20"/>
          <w:color w:val="auto"/>
        </w:rPr>
      </w:pPr>
      <w:r>
        <w:rPr>
          <w:rFonts w:ascii="Calibri" w:cs="Calibri" w:eastAsia="Calibri" w:hAnsi="Calibri"/>
          <w:sz w:val="21"/>
          <w:szCs w:val="21"/>
          <w:b w:val="1"/>
          <w:bCs w:val="1"/>
          <w:color w:val="auto"/>
        </w:rPr>
        <w:t>What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type w:val="continuous"/>
        </w:sectPr>
      </w:pPr>
    </w:p>
    <w:p>
      <w:pPr>
        <w:spacing w:after="0" w:line="12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quorum is the minimum number of shares required to be present at the Annual Meetng for the meetng to be properly held under our bylaws and Delaware law. The presence (including by proxy) of a majority of the votng power of the shares of capital stock issued and outstanding and enttled to vote at the Annual Meetng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will consttute a quorum at the Annual Meetng. If there is no quorum, the chairperson of the meetng or a majority of the shares present at the Annual Meetng may adjourn the meetng to a later date.</w:t>
      </w:r>
    </w:p>
    <w:p>
      <w:pPr>
        <w:spacing w:after="0" w:line="630"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31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What does it mean if I received more than one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2" w:lineRule="exact"/>
        <w:rPr>
          <w:sz w:val="20"/>
          <w:szCs w:val="20"/>
          <w:color w:val="auto"/>
        </w:rPr>
      </w:pPr>
    </w:p>
    <w:p>
      <w:pPr>
        <w:ind w:right="1880"/>
        <w:spacing w:after="0"/>
        <w:rPr>
          <w:sz w:val="20"/>
          <w:szCs w:val="20"/>
          <w:color w:val="auto"/>
        </w:rPr>
      </w:pPr>
      <w:r>
        <w:rPr>
          <w:rFonts w:ascii="Calibri" w:cs="Calibri" w:eastAsia="Calibri" w:hAnsi="Calibri"/>
          <w:sz w:val="18"/>
          <w:szCs w:val="18"/>
          <w:color w:val="auto"/>
        </w:rPr>
        <w:t>If you receive more than one Notce, you hold shares that may be registered Notce to ensure that all of your shares are voted. in more than one name or in diferent accounts. Please follow the votng instructons on each</w:t>
      </w:r>
    </w:p>
    <w:p>
      <w:pPr>
        <w:sectPr>
          <w:pgSz w:w="11900" w:h="16838" w:orient="portrait"/>
          <w:cols w:equalWidth="0" w:num="1">
            <w:col w:w="11120"/>
          </w:cols>
          <w:pgMar w:left="320" w:top="140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120"/>
          </w:cols>
          <w:pgMar w:left="320" w:top="1408" w:right="459" w:bottom="1440" w:gutter="0" w:footer="0" w:header="0"/>
          <w:type w:val="continuous"/>
        </w:sectPr>
      </w:pPr>
    </w:p>
    <w:bookmarkStart w:id="7" w:name="page8"/>
    <w:bookmarkEnd w:id="7"/>
    <w:p>
      <w:pPr>
        <w:spacing w:after="0" w:line="21" w:lineRule="exact"/>
        <w:rPr>
          <w:sz w:val="20"/>
          <w:szCs w:val="20"/>
          <w:color w:val="auto"/>
        </w:rPr>
      </w:pPr>
    </w:p>
    <w:p>
      <w:pPr>
        <w:ind w:left="20"/>
        <w:spacing w:after="0" w:line="229" w:lineRule="auto"/>
        <w:rPr>
          <w:sz w:val="20"/>
          <w:szCs w:val="20"/>
          <w:color w:val="auto"/>
        </w:rPr>
      </w:pPr>
      <w:r>
        <w:rPr>
          <w:rFonts w:ascii="Calibri" w:cs="Calibri" w:eastAsia="Calibri" w:hAnsi="Calibri"/>
          <w:sz w:val="22"/>
          <w:szCs w:val="22"/>
          <w:b w:val="1"/>
          <w:bCs w:val="1"/>
          <w:color w:val="auto"/>
        </w:rPr>
        <w:t>I share an address with another stockholder, and we received only one paper copy of the proxy materials. How may I obtain an additonal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1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adopted an SEC-approved procedure called “householding.” Under this procedure, we will deliver only one copy of our Notce, and for those stockholders that received a paper copy of proxy materials in the mail, one copy of our annual report to stockholders and this proxy statement, to multple stockholders who share the same address (if they appear to be members of the same family) unless we have received contrary instructons from an afected stockholder. Stockholders who partcipate in householding will contnue to receive separate proxy cards if they received a paper copy of proxy materials in the mail. This procedure reduces our printng and mailing costs. Upon writen or oral request, we will promptly deliver a separate copy of the Notce, proxy materials and annual report to any stockholder at a shared address to which we delivered a single copy of any of these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documents. To receive a separate copy, or, if you are receiving multple copies, to request that we only send a single copy of next year’s proxy materials and annual report, you may contact us as follows:</w:t>
      </w:r>
    </w:p>
    <w:p>
      <w:pPr>
        <w:spacing w:after="0" w:line="17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Afrm Holdings, Inc.</w:t>
      </w:r>
    </w:p>
    <w:p>
      <w:pPr>
        <w:jc w:val="center"/>
        <w:ind w:right="100"/>
        <w:spacing w:after="0" w:line="235" w:lineRule="auto"/>
        <w:rPr>
          <w:sz w:val="20"/>
          <w:szCs w:val="20"/>
          <w:color w:val="auto"/>
        </w:rPr>
      </w:pPr>
      <w:r>
        <w:rPr>
          <w:rFonts w:ascii="Calibri" w:cs="Calibri" w:eastAsia="Calibri" w:hAnsi="Calibri"/>
          <w:sz w:val="18"/>
          <w:szCs w:val="18"/>
          <w:color w:val="auto"/>
        </w:rPr>
        <w:t>Atenton: Secretary</w:t>
      </w:r>
    </w:p>
    <w:p>
      <w:pPr>
        <w:jc w:val="center"/>
        <w:ind w:right="100"/>
        <w:spacing w:after="0" w:line="236" w:lineRule="auto"/>
        <w:rPr>
          <w:sz w:val="20"/>
          <w:szCs w:val="20"/>
          <w:color w:val="auto"/>
        </w:rPr>
      </w:pPr>
      <w:r>
        <w:rPr>
          <w:rFonts w:ascii="Calibri" w:cs="Calibri" w:eastAsia="Calibri" w:hAnsi="Calibri"/>
          <w:sz w:val="18"/>
          <w:szCs w:val="18"/>
          <w:color w:val="auto"/>
        </w:rPr>
        <w:t>650 California Street</w:t>
      </w:r>
    </w:p>
    <w:p>
      <w:pPr>
        <w:jc w:val="center"/>
        <w:ind w:right="100"/>
        <w:spacing w:after="0" w:line="236" w:lineRule="auto"/>
        <w:rPr>
          <w:sz w:val="20"/>
          <w:szCs w:val="20"/>
          <w:color w:val="auto"/>
        </w:rPr>
      </w:pPr>
      <w:r>
        <w:rPr>
          <w:rFonts w:ascii="Calibri" w:cs="Calibri" w:eastAsia="Calibri" w:hAnsi="Calibri"/>
          <w:sz w:val="18"/>
          <w:szCs w:val="18"/>
          <w:color w:val="auto"/>
        </w:rPr>
        <w:t>San Francisco, California 94108</w:t>
      </w:r>
    </w:p>
    <w:p>
      <w:pPr>
        <w:jc w:val="center"/>
        <w:ind w:right="100"/>
        <w:spacing w:after="0" w:line="236" w:lineRule="auto"/>
        <w:rPr>
          <w:sz w:val="20"/>
          <w:szCs w:val="20"/>
          <w:color w:val="auto"/>
        </w:rPr>
      </w:pPr>
      <w:r>
        <w:rPr>
          <w:rFonts w:ascii="Calibri" w:cs="Calibri" w:eastAsia="Calibri" w:hAnsi="Calibri"/>
          <w:sz w:val="18"/>
          <w:szCs w:val="18"/>
          <w:color w:val="auto"/>
        </w:rPr>
        <w:t>(415) 984-0490</w:t>
      </w:r>
    </w:p>
    <w:p>
      <w:pPr>
        <w:spacing w:after="0" w:line="17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Stockholders who hold shares in street-name may contact their brokerage frm, bank, broker-dealer or other nominee to request informaton about householding.</w:t>
      </w:r>
    </w:p>
    <w:p>
      <w:pPr>
        <w:spacing w:after="0" w:line="272"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77" w:lineRule="exact"/>
        <w:rPr>
          <w:sz w:val="20"/>
          <w:szCs w:val="20"/>
          <w:color w:val="auto"/>
        </w:rPr>
      </w:pPr>
    </w:p>
    <w:p>
      <w:pPr>
        <w:ind w:left="20"/>
        <w:spacing w:after="0"/>
        <w:rPr>
          <w:sz w:val="20"/>
          <w:szCs w:val="20"/>
          <w:color w:val="auto"/>
        </w:rPr>
      </w:pPr>
      <w:r>
        <w:rPr>
          <w:rFonts w:ascii="Calibri" w:cs="Calibri" w:eastAsia="Calibri" w:hAnsi="Calibri"/>
          <w:sz w:val="21"/>
          <w:szCs w:val="21"/>
          <w:b w:val="1"/>
          <w:bCs w:val="1"/>
          <w:color w:val="auto"/>
        </w:rPr>
        <w:t>How can I sign up to receive future proxy materials by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28"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encourage stockholders to take advantage of electronic delivery to help reduce the cost and environmental impact of the Annual Meetng. To sign up for electronic delivery, please follow the instructons above for votng online and, when prompted, indicate that you agree to receive or access proxy materials electronically in future years. Also, if you are a benefcial</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owner, you may sign up for electronic delivery by contactng your bank, broker or other agent through which you hold your shares. Once you sign up, you will not receive a printed copy of the proxy materials unless you request them.</w:t>
      </w:r>
    </w:p>
    <w:p>
      <w:pPr>
        <w:spacing w:after="0" w:line="424"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5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How can I fnd out the results of the votng at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will announce the preliminary votng results at the Annual Meetng. Final votng results will tallied by the inspector of electons and will be published in the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Company’s Current Report on Form 8-K that we expect to fle within four business days afer the Annual Meetng.</w:t>
      </w:r>
    </w:p>
    <w:p>
      <w:pPr>
        <w:spacing w:after="0" w:line="415"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28"/>
          <w:szCs w:val="28"/>
          <w:b w:val="1"/>
          <w:bCs w:val="1"/>
          <w:color w:val="auto"/>
        </w:rPr>
        <w:t>Board of Directors and Corporate Governance</w:t>
      </w:r>
    </w:p>
    <w:p>
      <w:pPr>
        <w:spacing w:after="0" w:line="19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Our business is managed under the directon of our Board, which is currently composed of nine members. Seven of our nine directors are independent within the meaning of the independent director requirements of the Nasdaq Stock Market LLC (“Nasdaq”). Our Board is divided into three classes with staggered three-year terms. At each Annual Meetng of stockholders, a class of directors will be elected for a three-year term to succeed the same class whose term is then expiring.</w:t>
      </w:r>
    </w:p>
    <w:p>
      <w:pPr>
        <w:spacing w:after="0" w:line="18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Upon the recommendaton of our Nominatng and Governance Commitee, we are nominatng Jenny J. Ming, Christa S. Quarles, and Keith Rabois as Class II directors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Annual Meetng. If elected, Ms. Ming, Ms. Quarles, and Mr. Rabois will each hold ofce for a three-year term untl the Annual Meetng of stockholders to be held in 2025 and untl their successors are elected and qualifed or untl such director’s earlier death, resignaton or removal.</w:t>
      </w:r>
    </w:p>
    <w:p>
      <w:pPr>
        <w:spacing w:after="0" w:line="179"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following table sets forth the names, ages as of October 1, 2022 and certain other informaton for each of the directors with terms expiring at the Annual Meetng and for each of the contnuing directors:</w:t>
      </w:r>
    </w:p>
    <w:p>
      <w:pPr>
        <w:spacing w:after="0" w:line="847" w:lineRule="exact"/>
        <w:rPr>
          <w:sz w:val="20"/>
          <w:szCs w:val="20"/>
          <w:color w:val="auto"/>
        </w:rPr>
      </w:pPr>
    </w:p>
    <w:p>
      <w:pPr>
        <w:sectPr>
          <w:pgSz w:w="11900" w:h="16838" w:orient="portrait"/>
          <w:cols w:equalWidth="0" w:num="2">
            <w:col w:w="5460" w:space="260"/>
            <w:col w:w="5520"/>
          </w:cols>
          <w:pgMar w:left="320" w:top="140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Director</w:t>
            </w:r>
          </w:p>
        </w:tc>
        <w:tc>
          <w:tcPr>
            <w:tcW w:w="760" w:type="dxa"/>
            <w:vAlign w:val="bottom"/>
          </w:tcPr>
          <w:p>
            <w:pPr>
              <w:jc w:val="center"/>
              <w:spacing w:after="0"/>
              <w:rPr>
                <w:sz w:val="20"/>
                <w:szCs w:val="20"/>
                <w:color w:val="auto"/>
              </w:rPr>
            </w:pPr>
            <w:r>
              <w:rPr>
                <w:rFonts w:ascii="Calibri" w:cs="Calibri" w:eastAsia="Calibri" w:hAnsi="Calibri"/>
                <w:sz w:val="16"/>
                <w:szCs w:val="16"/>
                <w:b w:val="1"/>
                <w:bCs w:val="1"/>
                <w:color w:val="auto"/>
                <w:w w:val="92"/>
              </w:rPr>
              <w:t>Term</w:t>
            </w:r>
          </w:p>
        </w:tc>
        <w:tc>
          <w:tcPr>
            <w:tcW w:w="3100" w:type="dxa"/>
            <w:vAlign w:val="bottom"/>
          </w:tcPr>
          <w:p>
            <w:pPr>
              <w:ind w:left="1280"/>
              <w:spacing w:after="0"/>
              <w:rPr>
                <w:sz w:val="20"/>
                <w:szCs w:val="20"/>
                <w:color w:val="auto"/>
              </w:rPr>
            </w:pPr>
            <w:r>
              <w:rPr>
                <w:rFonts w:ascii="Calibri" w:cs="Calibri" w:eastAsia="Calibri" w:hAnsi="Calibri"/>
                <w:sz w:val="16"/>
                <w:szCs w:val="16"/>
                <w:b w:val="1"/>
                <w:bCs w:val="1"/>
                <w:color w:val="auto"/>
              </w:rPr>
              <w:t>Principal</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20" w:type="dxa"/>
            <w:vAlign w:val="bottom"/>
          </w:tcPr>
          <w:p>
            <w:pPr>
              <w:ind w:left="20"/>
              <w:spacing w:after="0"/>
              <w:rPr>
                <w:sz w:val="20"/>
                <w:szCs w:val="20"/>
                <w:color w:val="auto"/>
              </w:rPr>
            </w:pPr>
            <w:r>
              <w:rPr>
                <w:rFonts w:ascii="Calibri" w:cs="Calibri" w:eastAsia="Calibri" w:hAnsi="Calibri"/>
                <w:sz w:val="16"/>
                <w:szCs w:val="16"/>
                <w:b w:val="1"/>
                <w:bCs w:val="1"/>
                <w:color w:val="auto"/>
              </w:rPr>
              <w:t>Name</w:t>
            </w:r>
          </w:p>
        </w:tc>
        <w:tc>
          <w:tcPr>
            <w:tcW w:w="980" w:type="dxa"/>
            <w:vAlign w:val="bottom"/>
          </w:tcPr>
          <w:p>
            <w:pPr>
              <w:jc w:val="center"/>
              <w:ind w:left="279"/>
              <w:spacing w:after="0"/>
              <w:rPr>
                <w:sz w:val="20"/>
                <w:szCs w:val="20"/>
                <w:color w:val="auto"/>
              </w:rPr>
            </w:pPr>
            <w:r>
              <w:rPr>
                <w:rFonts w:ascii="Calibri" w:cs="Calibri" w:eastAsia="Calibri" w:hAnsi="Calibri"/>
                <w:sz w:val="16"/>
                <w:szCs w:val="16"/>
                <w:b w:val="1"/>
                <w:bCs w:val="1"/>
                <w:color w:val="auto"/>
              </w:rPr>
              <w:t>Class</w:t>
            </w:r>
          </w:p>
        </w:tc>
        <w:tc>
          <w:tcPr>
            <w:tcW w:w="540" w:type="dxa"/>
            <w:vAlign w:val="bottom"/>
          </w:tcPr>
          <w:p>
            <w:pPr>
              <w:jc w:val="center"/>
              <w:spacing w:after="0"/>
              <w:rPr>
                <w:sz w:val="20"/>
                <w:szCs w:val="20"/>
                <w:color w:val="auto"/>
              </w:rPr>
            </w:pPr>
            <w:r>
              <w:rPr>
                <w:rFonts w:ascii="Calibri" w:cs="Calibri" w:eastAsia="Calibri" w:hAnsi="Calibri"/>
                <w:sz w:val="16"/>
                <w:szCs w:val="16"/>
                <w:b w:val="1"/>
                <w:bCs w:val="1"/>
                <w:color w:val="auto"/>
                <w:w w:val="94"/>
              </w:rPr>
              <w:t>Age</w:t>
            </w:r>
          </w:p>
        </w:tc>
        <w:tc>
          <w:tcPr>
            <w:tcW w:w="880" w:type="dxa"/>
            <w:vAlign w:val="bottom"/>
          </w:tcPr>
          <w:p>
            <w:pPr>
              <w:jc w:val="center"/>
              <w:spacing w:after="0"/>
              <w:rPr>
                <w:sz w:val="20"/>
                <w:szCs w:val="20"/>
                <w:color w:val="auto"/>
              </w:rPr>
            </w:pPr>
            <w:r>
              <w:rPr>
                <w:rFonts w:ascii="Calibri" w:cs="Calibri" w:eastAsia="Calibri" w:hAnsi="Calibri"/>
                <w:sz w:val="16"/>
                <w:szCs w:val="16"/>
                <w:b w:val="1"/>
                <w:bCs w:val="1"/>
                <w:color w:val="auto"/>
              </w:rPr>
              <w:t>since</w:t>
            </w:r>
          </w:p>
        </w:tc>
        <w:tc>
          <w:tcPr>
            <w:tcW w:w="760" w:type="dxa"/>
            <w:vAlign w:val="bottom"/>
          </w:tcPr>
          <w:p>
            <w:pPr>
              <w:jc w:val="center"/>
              <w:spacing w:after="0"/>
              <w:rPr>
                <w:sz w:val="20"/>
                <w:szCs w:val="20"/>
                <w:color w:val="auto"/>
              </w:rPr>
            </w:pPr>
            <w:r>
              <w:rPr>
                <w:rFonts w:ascii="Calibri" w:cs="Calibri" w:eastAsia="Calibri" w:hAnsi="Calibri"/>
                <w:sz w:val="16"/>
                <w:szCs w:val="16"/>
                <w:b w:val="1"/>
                <w:bCs w:val="1"/>
                <w:color w:val="auto"/>
              </w:rPr>
              <w:t>Expires</w:t>
            </w:r>
          </w:p>
        </w:tc>
        <w:tc>
          <w:tcPr>
            <w:tcW w:w="3100" w:type="dxa"/>
            <w:vAlign w:val="bottom"/>
          </w:tcPr>
          <w:p>
            <w:pPr>
              <w:ind w:left="1200"/>
              <w:spacing w:after="0"/>
              <w:rPr>
                <w:sz w:val="20"/>
                <w:szCs w:val="20"/>
                <w:color w:val="auto"/>
              </w:rPr>
            </w:pPr>
            <w:r>
              <w:rPr>
                <w:rFonts w:ascii="Calibri" w:cs="Calibri" w:eastAsia="Calibri" w:hAnsi="Calibri"/>
                <w:sz w:val="16"/>
                <w:szCs w:val="16"/>
                <w:b w:val="1"/>
                <w:bCs w:val="1"/>
                <w:color w:val="auto"/>
              </w:rPr>
              <w:t>Occupaton</w:t>
            </w:r>
          </w:p>
        </w:tc>
        <w:tc>
          <w:tcPr>
            <w:tcW w:w="3160" w:type="dxa"/>
            <w:vAlign w:val="bottom"/>
          </w:tcPr>
          <w:p>
            <w:pPr>
              <w:ind w:left="620"/>
              <w:spacing w:after="0"/>
              <w:rPr>
                <w:sz w:val="20"/>
                <w:szCs w:val="20"/>
                <w:color w:val="auto"/>
              </w:rPr>
            </w:pPr>
            <w:r>
              <w:rPr>
                <w:rFonts w:ascii="Calibri" w:cs="Calibri" w:eastAsia="Calibri" w:hAnsi="Calibri"/>
                <w:sz w:val="16"/>
                <w:szCs w:val="16"/>
                <w:b w:val="1"/>
                <w:bCs w:val="1"/>
                <w:color w:val="auto"/>
              </w:rPr>
              <w:t>Our Commitee Membership</w:t>
            </w:r>
          </w:p>
        </w:tc>
        <w:tc>
          <w:tcPr>
            <w:tcW w:w="0" w:type="dxa"/>
            <w:vAlign w:val="bottom"/>
          </w:tcPr>
          <w:p>
            <w:pPr>
              <w:spacing w:after="0"/>
              <w:rPr>
                <w:sz w:val="1"/>
                <w:szCs w:val="1"/>
                <w:color w:val="auto"/>
              </w:rPr>
            </w:pPr>
          </w:p>
        </w:tc>
      </w:tr>
      <w:tr>
        <w:trPr>
          <w:trHeight w:val="41"/>
        </w:trPr>
        <w:tc>
          <w:tcPr>
            <w:tcW w:w="18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82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Max Levchin</w:t>
            </w:r>
          </w:p>
        </w:tc>
        <w:tc>
          <w:tcPr>
            <w:tcW w:w="980" w:type="dxa"/>
            <w:vAlign w:val="bottom"/>
            <w:vMerge w:val="restart"/>
            <w:shd w:val="clear" w:color="auto" w:fill="DBDBDB"/>
          </w:tcPr>
          <w:p>
            <w:pPr>
              <w:jc w:val="center"/>
              <w:ind w:left="299"/>
              <w:spacing w:after="0"/>
              <w:rPr>
                <w:sz w:val="20"/>
                <w:szCs w:val="20"/>
                <w:color w:val="auto"/>
              </w:rPr>
            </w:pPr>
            <w:r>
              <w:rPr>
                <w:rFonts w:ascii="Calibri" w:cs="Calibri" w:eastAsia="Calibri" w:hAnsi="Calibri"/>
                <w:sz w:val="16"/>
                <w:szCs w:val="16"/>
                <w:color w:val="auto"/>
                <w:w w:val="98"/>
              </w:rPr>
              <w:t>III</w:t>
            </w:r>
          </w:p>
        </w:tc>
        <w:tc>
          <w:tcPr>
            <w:tcW w:w="54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47</w:t>
            </w:r>
          </w:p>
        </w:tc>
        <w:tc>
          <w:tcPr>
            <w:tcW w:w="88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rPr>
              <w:t>2012</w:t>
            </w:r>
          </w:p>
        </w:tc>
        <w:tc>
          <w:tcPr>
            <w:tcW w:w="76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2023</w:t>
            </w:r>
          </w:p>
        </w:tc>
        <w:tc>
          <w:tcPr>
            <w:tcW w:w="3100" w:type="dxa"/>
            <w:vAlign w:val="bottom"/>
            <w:shd w:val="clear" w:color="auto" w:fill="DBDBDB"/>
          </w:tcPr>
          <w:p>
            <w:pPr>
              <w:ind w:left="80"/>
              <w:spacing w:after="0"/>
              <w:rPr>
                <w:sz w:val="20"/>
                <w:szCs w:val="20"/>
                <w:color w:val="auto"/>
              </w:rPr>
            </w:pPr>
            <w:r>
              <w:rPr>
                <w:rFonts w:ascii="Calibri" w:cs="Calibri" w:eastAsia="Calibri" w:hAnsi="Calibri"/>
                <w:sz w:val="16"/>
                <w:szCs w:val="16"/>
                <w:color w:val="auto"/>
              </w:rPr>
              <w:t>Founder, CEO and Chairman of Afrm</w:t>
            </w:r>
          </w:p>
        </w:tc>
        <w:tc>
          <w:tcPr>
            <w:tcW w:w="316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95"/>
        </w:trPr>
        <w:tc>
          <w:tcPr>
            <w:tcW w:w="1820" w:type="dxa"/>
            <w:vAlign w:val="bottom"/>
            <w:vMerge w:val="continue"/>
            <w:shd w:val="clear" w:color="auto" w:fill="DBDBDB"/>
          </w:tcPr>
          <w:p>
            <w:pPr>
              <w:spacing w:after="0"/>
              <w:rPr>
                <w:sz w:val="8"/>
                <w:szCs w:val="8"/>
                <w:color w:val="auto"/>
              </w:rPr>
            </w:pPr>
          </w:p>
        </w:tc>
        <w:tc>
          <w:tcPr>
            <w:tcW w:w="980" w:type="dxa"/>
            <w:vAlign w:val="bottom"/>
            <w:vMerge w:val="continue"/>
            <w:shd w:val="clear" w:color="auto" w:fill="DBDBDB"/>
          </w:tcPr>
          <w:p>
            <w:pPr>
              <w:spacing w:after="0"/>
              <w:rPr>
                <w:sz w:val="8"/>
                <w:szCs w:val="8"/>
                <w:color w:val="auto"/>
              </w:rPr>
            </w:pPr>
          </w:p>
        </w:tc>
        <w:tc>
          <w:tcPr>
            <w:tcW w:w="540" w:type="dxa"/>
            <w:vAlign w:val="bottom"/>
            <w:vMerge w:val="continue"/>
            <w:shd w:val="clear" w:color="auto" w:fill="DBDBDB"/>
          </w:tcPr>
          <w:p>
            <w:pPr>
              <w:spacing w:after="0"/>
              <w:rPr>
                <w:sz w:val="8"/>
                <w:szCs w:val="8"/>
                <w:color w:val="auto"/>
              </w:rPr>
            </w:pPr>
          </w:p>
        </w:tc>
        <w:tc>
          <w:tcPr>
            <w:tcW w:w="880" w:type="dxa"/>
            <w:vAlign w:val="bottom"/>
            <w:vMerge w:val="continue"/>
            <w:shd w:val="clear" w:color="auto" w:fill="DBDBDB"/>
          </w:tcPr>
          <w:p>
            <w:pPr>
              <w:spacing w:after="0"/>
              <w:rPr>
                <w:sz w:val="8"/>
                <w:szCs w:val="8"/>
                <w:color w:val="auto"/>
              </w:rPr>
            </w:pPr>
          </w:p>
        </w:tc>
        <w:tc>
          <w:tcPr>
            <w:tcW w:w="760" w:type="dxa"/>
            <w:vAlign w:val="bottom"/>
            <w:vMerge w:val="continue"/>
            <w:shd w:val="clear" w:color="auto" w:fill="DBDBDB"/>
          </w:tcPr>
          <w:p>
            <w:pPr>
              <w:spacing w:after="0"/>
              <w:rPr>
                <w:sz w:val="8"/>
                <w:szCs w:val="8"/>
                <w:color w:val="auto"/>
              </w:rPr>
            </w:pPr>
          </w:p>
        </w:tc>
        <w:tc>
          <w:tcPr>
            <w:tcW w:w="3100" w:type="dxa"/>
            <w:vAlign w:val="bottom"/>
            <w:vMerge w:val="restart"/>
            <w:shd w:val="clear" w:color="auto" w:fill="DBDBDB"/>
          </w:tcPr>
          <w:p>
            <w:pPr>
              <w:ind w:left="80"/>
              <w:spacing w:after="0"/>
              <w:rPr>
                <w:sz w:val="20"/>
                <w:szCs w:val="20"/>
                <w:color w:val="auto"/>
              </w:rPr>
            </w:pPr>
            <w:r>
              <w:rPr>
                <w:rFonts w:ascii="Calibri" w:cs="Calibri" w:eastAsia="Calibri" w:hAnsi="Calibri"/>
                <w:sz w:val="16"/>
                <w:szCs w:val="16"/>
                <w:color w:val="auto"/>
              </w:rPr>
              <w:t>Holdings, Inc.</w:t>
            </w:r>
          </w:p>
        </w:tc>
        <w:tc>
          <w:tcPr>
            <w:tcW w:w="31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82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540" w:type="dxa"/>
            <w:vAlign w:val="bottom"/>
            <w:tcBorders>
              <w:bottom w:val="single" w:sz="8" w:color="DBDBDB"/>
            </w:tcBorders>
            <w:shd w:val="clear" w:color="auto" w:fill="DBDBDB"/>
          </w:tcPr>
          <w:p>
            <w:pPr>
              <w:spacing w:after="0"/>
              <w:rPr>
                <w:sz w:val="11"/>
                <w:szCs w:val="11"/>
                <w:color w:val="auto"/>
              </w:rPr>
            </w:pPr>
          </w:p>
        </w:tc>
        <w:tc>
          <w:tcPr>
            <w:tcW w:w="880" w:type="dxa"/>
            <w:vAlign w:val="bottom"/>
            <w:tcBorders>
              <w:bottom w:val="single" w:sz="8" w:color="DBDBDB"/>
            </w:tcBorders>
            <w:shd w:val="clear" w:color="auto" w:fill="DBDBDB"/>
          </w:tcPr>
          <w:p>
            <w:pPr>
              <w:spacing w:after="0"/>
              <w:rPr>
                <w:sz w:val="11"/>
                <w:szCs w:val="11"/>
                <w:color w:val="auto"/>
              </w:rPr>
            </w:pPr>
          </w:p>
        </w:tc>
        <w:tc>
          <w:tcPr>
            <w:tcW w:w="760" w:type="dxa"/>
            <w:vAlign w:val="bottom"/>
            <w:tcBorders>
              <w:bottom w:val="single" w:sz="8" w:color="DBDBDB"/>
            </w:tcBorders>
            <w:shd w:val="clear" w:color="auto" w:fill="DBDBDB"/>
          </w:tcPr>
          <w:p>
            <w:pPr>
              <w:spacing w:after="0"/>
              <w:rPr>
                <w:sz w:val="11"/>
                <w:szCs w:val="11"/>
                <w:color w:val="auto"/>
              </w:rPr>
            </w:pPr>
          </w:p>
        </w:tc>
        <w:tc>
          <w:tcPr>
            <w:tcW w:w="3100" w:type="dxa"/>
            <w:vAlign w:val="bottom"/>
            <w:tcBorders>
              <w:bottom w:val="single" w:sz="8" w:color="DBDBDB"/>
            </w:tcBorders>
            <w:vMerge w:val="continue"/>
            <w:shd w:val="clear" w:color="auto" w:fill="DBDBDB"/>
          </w:tcPr>
          <w:p>
            <w:pPr>
              <w:spacing w:after="0"/>
              <w:rPr>
                <w:sz w:val="11"/>
                <w:szCs w:val="11"/>
                <w:color w:val="auto"/>
              </w:rPr>
            </w:pPr>
          </w:p>
        </w:tc>
        <w:tc>
          <w:tcPr>
            <w:tcW w:w="316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tcPr>
          <w:p>
            <w:pPr>
              <w:ind w:left="20"/>
              <w:spacing w:after="0"/>
              <w:rPr>
                <w:sz w:val="20"/>
                <w:szCs w:val="20"/>
                <w:color w:val="auto"/>
              </w:rPr>
            </w:pPr>
            <w:r>
              <w:rPr>
                <w:rFonts w:ascii="Calibri" w:cs="Calibri" w:eastAsia="Calibri" w:hAnsi="Calibri"/>
                <w:sz w:val="16"/>
                <w:szCs w:val="16"/>
                <w:color w:val="auto"/>
              </w:rPr>
              <w:t>Jeremy Liew</w:t>
            </w:r>
          </w:p>
        </w:tc>
        <w:tc>
          <w:tcPr>
            <w:tcW w:w="980" w:type="dxa"/>
            <w:vAlign w:val="bottom"/>
            <w:vMerge w:val="restart"/>
          </w:tcPr>
          <w:p>
            <w:pPr>
              <w:jc w:val="center"/>
              <w:ind w:left="299"/>
              <w:spacing w:after="0"/>
              <w:rPr>
                <w:sz w:val="20"/>
                <w:szCs w:val="20"/>
                <w:color w:val="auto"/>
              </w:rPr>
            </w:pPr>
            <w:r>
              <w:rPr>
                <w:rFonts w:ascii="Calibri" w:cs="Calibri" w:eastAsia="Calibri" w:hAnsi="Calibri"/>
                <w:sz w:val="16"/>
                <w:szCs w:val="16"/>
                <w:color w:val="auto"/>
                <w:w w:val="98"/>
              </w:rPr>
              <w:t>III</w:t>
            </w:r>
          </w:p>
        </w:tc>
        <w:tc>
          <w:tcPr>
            <w:tcW w:w="54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51</w:t>
            </w: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2013</w:t>
            </w:r>
          </w:p>
        </w:tc>
        <w:tc>
          <w:tcPr>
            <w:tcW w:w="7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2023</w:t>
            </w:r>
          </w:p>
        </w:tc>
        <w:tc>
          <w:tcPr>
            <w:tcW w:w="3100" w:type="dxa"/>
            <w:vAlign w:val="bottom"/>
            <w:vMerge w:val="restart"/>
          </w:tcPr>
          <w:p>
            <w:pPr>
              <w:ind w:left="80"/>
              <w:spacing w:after="0"/>
              <w:rPr>
                <w:sz w:val="20"/>
                <w:szCs w:val="20"/>
                <w:color w:val="auto"/>
              </w:rPr>
            </w:pPr>
            <w:r>
              <w:rPr>
                <w:rFonts w:ascii="Calibri" w:cs="Calibri" w:eastAsia="Calibri" w:hAnsi="Calibri"/>
                <w:sz w:val="16"/>
                <w:szCs w:val="16"/>
                <w:color w:val="auto"/>
              </w:rPr>
              <w:t>Partner at Lightspeed Venture Partners</w:t>
            </w:r>
          </w:p>
        </w:tc>
        <w:tc>
          <w:tcPr>
            <w:tcW w:w="3160" w:type="dxa"/>
            <w:vAlign w:val="bottom"/>
          </w:tcPr>
          <w:p>
            <w:pPr>
              <w:ind w:left="20"/>
              <w:spacing w:after="0"/>
              <w:rPr>
                <w:sz w:val="20"/>
                <w:szCs w:val="20"/>
                <w:color w:val="auto"/>
              </w:rPr>
            </w:pPr>
            <w:r>
              <w:rPr>
                <w:rFonts w:ascii="Calibri" w:cs="Calibri" w:eastAsia="Calibri" w:hAnsi="Calibri"/>
                <w:sz w:val="16"/>
                <w:szCs w:val="16"/>
                <w:color w:val="auto"/>
              </w:rPr>
              <w:t>Compensaton Commitee (chair), Nominatng</w:t>
            </w:r>
          </w:p>
        </w:tc>
        <w:tc>
          <w:tcPr>
            <w:tcW w:w="0" w:type="dxa"/>
            <w:vAlign w:val="bottom"/>
          </w:tcPr>
          <w:p>
            <w:pPr>
              <w:spacing w:after="0"/>
              <w:rPr>
                <w:sz w:val="1"/>
                <w:szCs w:val="1"/>
                <w:color w:val="auto"/>
              </w:rPr>
            </w:pPr>
          </w:p>
        </w:tc>
      </w:tr>
      <w:tr>
        <w:trPr>
          <w:trHeight w:val="94"/>
        </w:trPr>
        <w:tc>
          <w:tcPr>
            <w:tcW w:w="18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3160" w:type="dxa"/>
            <w:vAlign w:val="bottom"/>
            <w:vMerge w:val="restart"/>
          </w:tcPr>
          <w:p>
            <w:pPr>
              <w:ind w:left="20"/>
              <w:spacing w:after="0"/>
              <w:rPr>
                <w:sz w:val="20"/>
                <w:szCs w:val="20"/>
                <w:color w:val="auto"/>
              </w:rPr>
            </w:pPr>
            <w:r>
              <w:rPr>
                <w:rFonts w:ascii="Calibri" w:cs="Calibri" w:eastAsia="Calibri" w:hAnsi="Calibri"/>
                <w:sz w:val="16"/>
                <w:szCs w:val="16"/>
                <w:color w:val="auto"/>
              </w:rPr>
              <w:t>and Governance Commitee</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Libor Michalek</w:t>
            </w:r>
          </w:p>
        </w:tc>
        <w:tc>
          <w:tcPr>
            <w:tcW w:w="980" w:type="dxa"/>
            <w:vAlign w:val="bottom"/>
            <w:shd w:val="clear" w:color="auto" w:fill="DBDBDB"/>
          </w:tcPr>
          <w:p>
            <w:pPr>
              <w:jc w:val="center"/>
              <w:ind w:left="299"/>
              <w:spacing w:after="0"/>
              <w:rPr>
                <w:sz w:val="20"/>
                <w:szCs w:val="20"/>
                <w:color w:val="auto"/>
              </w:rPr>
            </w:pPr>
            <w:r>
              <w:rPr>
                <w:rFonts w:ascii="Calibri" w:cs="Calibri" w:eastAsia="Calibri" w:hAnsi="Calibri"/>
                <w:sz w:val="16"/>
                <w:szCs w:val="16"/>
                <w:color w:val="auto"/>
                <w:w w:val="97"/>
              </w:rPr>
              <w:t>I</w:t>
            </w:r>
          </w:p>
        </w:tc>
        <w:tc>
          <w:tcPr>
            <w:tcW w:w="540" w:type="dxa"/>
            <w:vAlign w:val="bottom"/>
            <w:shd w:val="clear" w:color="auto" w:fill="DBDBDB"/>
          </w:tcPr>
          <w:p>
            <w:pPr>
              <w:jc w:val="center"/>
              <w:spacing w:after="0"/>
              <w:rPr>
                <w:sz w:val="20"/>
                <w:szCs w:val="20"/>
                <w:color w:val="auto"/>
              </w:rPr>
            </w:pPr>
            <w:r>
              <w:rPr>
                <w:rFonts w:ascii="Calibri" w:cs="Calibri" w:eastAsia="Calibri" w:hAnsi="Calibri"/>
                <w:sz w:val="16"/>
                <w:szCs w:val="16"/>
                <w:color w:val="auto"/>
                <w:w w:val="98"/>
              </w:rPr>
              <w:t>49</w:t>
            </w:r>
          </w:p>
        </w:tc>
        <w:tc>
          <w:tcPr>
            <w:tcW w:w="880" w:type="dxa"/>
            <w:vAlign w:val="bottom"/>
            <w:shd w:val="clear" w:color="auto" w:fill="DBDBDB"/>
          </w:tcPr>
          <w:p>
            <w:pPr>
              <w:jc w:val="center"/>
              <w:spacing w:after="0"/>
              <w:rPr>
                <w:sz w:val="20"/>
                <w:szCs w:val="20"/>
                <w:color w:val="auto"/>
              </w:rPr>
            </w:pPr>
            <w:r>
              <w:rPr>
                <w:rFonts w:ascii="Calibri" w:cs="Calibri" w:eastAsia="Calibri" w:hAnsi="Calibri"/>
                <w:sz w:val="16"/>
                <w:szCs w:val="16"/>
                <w:color w:val="auto"/>
              </w:rPr>
              <w:t>2021</w:t>
            </w:r>
          </w:p>
        </w:tc>
        <w:tc>
          <w:tcPr>
            <w:tcW w:w="760" w:type="dxa"/>
            <w:vAlign w:val="bottom"/>
            <w:shd w:val="clear" w:color="auto" w:fill="DBDBDB"/>
          </w:tcPr>
          <w:p>
            <w:pPr>
              <w:jc w:val="center"/>
              <w:spacing w:after="0"/>
              <w:rPr>
                <w:sz w:val="20"/>
                <w:szCs w:val="20"/>
                <w:color w:val="auto"/>
              </w:rPr>
            </w:pPr>
            <w:r>
              <w:rPr>
                <w:rFonts w:ascii="Calibri" w:cs="Calibri" w:eastAsia="Calibri" w:hAnsi="Calibri"/>
                <w:sz w:val="16"/>
                <w:szCs w:val="16"/>
                <w:color w:val="auto"/>
                <w:w w:val="98"/>
              </w:rPr>
              <w:t>2024</w:t>
            </w:r>
          </w:p>
        </w:tc>
        <w:tc>
          <w:tcPr>
            <w:tcW w:w="3100" w:type="dxa"/>
            <w:vAlign w:val="bottom"/>
            <w:shd w:val="clear" w:color="auto" w:fill="DBDBDB"/>
          </w:tcPr>
          <w:p>
            <w:pPr>
              <w:ind w:left="80"/>
              <w:spacing w:after="0"/>
              <w:rPr>
                <w:sz w:val="20"/>
                <w:szCs w:val="20"/>
                <w:color w:val="auto"/>
              </w:rPr>
            </w:pPr>
            <w:r>
              <w:rPr>
                <w:rFonts w:ascii="Calibri" w:cs="Calibri" w:eastAsia="Calibri" w:hAnsi="Calibri"/>
                <w:sz w:val="16"/>
                <w:szCs w:val="16"/>
                <w:color w:val="auto"/>
              </w:rPr>
              <w:t>President, Technology, Risk and Operatons of</w:t>
            </w:r>
          </w:p>
        </w:tc>
        <w:tc>
          <w:tcPr>
            <w:tcW w:w="316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89"/>
        </w:trPr>
        <w:tc>
          <w:tcPr>
            <w:tcW w:w="18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3100" w:type="dxa"/>
            <w:vAlign w:val="bottom"/>
            <w:shd w:val="clear" w:color="auto" w:fill="DBDBDB"/>
          </w:tcPr>
          <w:p>
            <w:pPr>
              <w:ind w:left="80"/>
              <w:spacing w:after="0" w:line="189" w:lineRule="exact"/>
              <w:rPr>
                <w:sz w:val="20"/>
                <w:szCs w:val="20"/>
                <w:color w:val="auto"/>
              </w:rPr>
            </w:pPr>
            <w:r>
              <w:rPr>
                <w:rFonts w:ascii="Calibri" w:cs="Calibri" w:eastAsia="Calibri" w:hAnsi="Calibri"/>
                <w:sz w:val="16"/>
                <w:szCs w:val="16"/>
                <w:color w:val="auto"/>
              </w:rPr>
              <w:t>Afrm Holdings, Inc.</w:t>
            </w:r>
          </w:p>
        </w:tc>
        <w:tc>
          <w:tcPr>
            <w:tcW w:w="31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tcPr>
          <w:p>
            <w:pPr>
              <w:ind w:left="20"/>
              <w:spacing w:after="0"/>
              <w:rPr>
                <w:sz w:val="20"/>
                <w:szCs w:val="20"/>
                <w:color w:val="auto"/>
              </w:rPr>
            </w:pPr>
            <w:r>
              <w:rPr>
                <w:rFonts w:ascii="Calibri" w:cs="Calibri" w:eastAsia="Calibri" w:hAnsi="Calibri"/>
                <w:sz w:val="16"/>
                <w:szCs w:val="16"/>
                <w:color w:val="auto"/>
              </w:rPr>
              <w:t>Jenny J. Ming</w:t>
            </w:r>
          </w:p>
        </w:tc>
        <w:tc>
          <w:tcPr>
            <w:tcW w:w="980" w:type="dxa"/>
            <w:vAlign w:val="bottom"/>
            <w:vMerge w:val="restart"/>
          </w:tcPr>
          <w:p>
            <w:pPr>
              <w:jc w:val="center"/>
              <w:ind w:left="299"/>
              <w:spacing w:after="0"/>
              <w:rPr>
                <w:sz w:val="20"/>
                <w:szCs w:val="20"/>
                <w:color w:val="auto"/>
              </w:rPr>
            </w:pPr>
            <w:r>
              <w:rPr>
                <w:rFonts w:ascii="Calibri" w:cs="Calibri" w:eastAsia="Calibri" w:hAnsi="Calibri"/>
                <w:sz w:val="16"/>
                <w:szCs w:val="16"/>
                <w:color w:val="auto"/>
                <w:w w:val="98"/>
              </w:rPr>
              <w:t>II</w:t>
            </w:r>
          </w:p>
        </w:tc>
        <w:tc>
          <w:tcPr>
            <w:tcW w:w="54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67</w:t>
            </w: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2021</w:t>
            </w:r>
          </w:p>
        </w:tc>
        <w:tc>
          <w:tcPr>
            <w:tcW w:w="7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2022</w:t>
            </w:r>
          </w:p>
        </w:tc>
        <w:tc>
          <w:tcPr>
            <w:tcW w:w="3100" w:type="dxa"/>
            <w:vAlign w:val="bottom"/>
          </w:tcPr>
          <w:p>
            <w:pPr>
              <w:ind w:left="80"/>
              <w:spacing w:after="0"/>
              <w:rPr>
                <w:sz w:val="20"/>
                <w:szCs w:val="20"/>
                <w:color w:val="auto"/>
              </w:rPr>
            </w:pPr>
            <w:r>
              <w:rPr>
                <w:rFonts w:ascii="Calibri" w:cs="Calibri" w:eastAsia="Calibri" w:hAnsi="Calibri"/>
                <w:sz w:val="16"/>
                <w:szCs w:val="16"/>
                <w:color w:val="auto"/>
              </w:rPr>
              <w:t>Executve Coach with ExCo Leadership</w:t>
            </w:r>
          </w:p>
        </w:tc>
        <w:tc>
          <w:tcPr>
            <w:tcW w:w="3160" w:type="dxa"/>
            <w:vAlign w:val="bottom"/>
          </w:tcPr>
          <w:p>
            <w:pPr>
              <w:ind w:left="20"/>
              <w:spacing w:after="0"/>
              <w:rPr>
                <w:sz w:val="20"/>
                <w:szCs w:val="20"/>
                <w:color w:val="auto"/>
              </w:rPr>
            </w:pPr>
            <w:r>
              <w:rPr>
                <w:rFonts w:ascii="Calibri" w:cs="Calibri" w:eastAsia="Calibri" w:hAnsi="Calibri"/>
                <w:sz w:val="16"/>
                <w:szCs w:val="16"/>
                <w:color w:val="auto"/>
              </w:rPr>
              <w:t>Audit Commitee, Nominatng and Governance</w:t>
            </w:r>
          </w:p>
        </w:tc>
        <w:tc>
          <w:tcPr>
            <w:tcW w:w="0" w:type="dxa"/>
            <w:vAlign w:val="bottom"/>
          </w:tcPr>
          <w:p>
            <w:pPr>
              <w:spacing w:after="0"/>
              <w:rPr>
                <w:sz w:val="1"/>
                <w:szCs w:val="1"/>
                <w:color w:val="auto"/>
              </w:rPr>
            </w:pPr>
          </w:p>
        </w:tc>
      </w:tr>
      <w:tr>
        <w:trPr>
          <w:trHeight w:val="95"/>
        </w:trPr>
        <w:tc>
          <w:tcPr>
            <w:tcW w:w="18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100" w:type="dxa"/>
            <w:vAlign w:val="bottom"/>
            <w:vMerge w:val="restart"/>
          </w:tcPr>
          <w:p>
            <w:pPr>
              <w:ind w:left="80"/>
              <w:spacing w:after="0"/>
              <w:rPr>
                <w:sz w:val="20"/>
                <w:szCs w:val="20"/>
                <w:color w:val="auto"/>
              </w:rPr>
            </w:pPr>
            <w:r>
              <w:rPr>
                <w:rFonts w:ascii="Calibri" w:cs="Calibri" w:eastAsia="Calibri" w:hAnsi="Calibri"/>
                <w:sz w:val="16"/>
                <w:szCs w:val="16"/>
                <w:color w:val="auto"/>
              </w:rPr>
              <w:t>Development</w:t>
            </w:r>
          </w:p>
        </w:tc>
        <w:tc>
          <w:tcPr>
            <w:tcW w:w="3160" w:type="dxa"/>
            <w:vAlign w:val="bottom"/>
            <w:vMerge w:val="restart"/>
          </w:tcPr>
          <w:p>
            <w:pPr>
              <w:ind w:left="20"/>
              <w:spacing w:after="0"/>
              <w:rPr>
                <w:sz w:val="20"/>
                <w:szCs w:val="20"/>
                <w:color w:val="auto"/>
              </w:rPr>
            </w:pPr>
            <w:r>
              <w:rPr>
                <w:rFonts w:ascii="Calibri" w:cs="Calibri" w:eastAsia="Calibri" w:hAnsi="Calibri"/>
                <w:sz w:val="16"/>
                <w:szCs w:val="16"/>
                <w:color w:val="auto"/>
              </w:rPr>
              <w:t>Commitee</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Christa S. Quarles</w:t>
            </w:r>
          </w:p>
        </w:tc>
        <w:tc>
          <w:tcPr>
            <w:tcW w:w="980" w:type="dxa"/>
            <w:vAlign w:val="bottom"/>
            <w:vMerge w:val="restart"/>
            <w:shd w:val="clear" w:color="auto" w:fill="DBDBDB"/>
          </w:tcPr>
          <w:p>
            <w:pPr>
              <w:jc w:val="center"/>
              <w:ind w:left="299"/>
              <w:spacing w:after="0"/>
              <w:rPr>
                <w:sz w:val="20"/>
                <w:szCs w:val="20"/>
                <w:color w:val="auto"/>
              </w:rPr>
            </w:pPr>
            <w:r>
              <w:rPr>
                <w:rFonts w:ascii="Calibri" w:cs="Calibri" w:eastAsia="Calibri" w:hAnsi="Calibri"/>
                <w:sz w:val="16"/>
                <w:szCs w:val="16"/>
                <w:color w:val="auto"/>
                <w:w w:val="98"/>
              </w:rPr>
              <w:t>II</w:t>
            </w:r>
          </w:p>
        </w:tc>
        <w:tc>
          <w:tcPr>
            <w:tcW w:w="54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48</w:t>
            </w:r>
          </w:p>
        </w:tc>
        <w:tc>
          <w:tcPr>
            <w:tcW w:w="88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rPr>
              <w:t>2018</w:t>
            </w:r>
          </w:p>
        </w:tc>
        <w:tc>
          <w:tcPr>
            <w:tcW w:w="76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2022</w:t>
            </w:r>
          </w:p>
        </w:tc>
        <w:tc>
          <w:tcPr>
            <w:tcW w:w="3100" w:type="dxa"/>
            <w:vAlign w:val="bottom"/>
            <w:vMerge w:val="restart"/>
            <w:shd w:val="clear" w:color="auto" w:fill="DBDBDB"/>
          </w:tcPr>
          <w:p>
            <w:pPr>
              <w:ind w:left="80"/>
              <w:spacing w:after="0"/>
              <w:rPr>
                <w:sz w:val="20"/>
                <w:szCs w:val="20"/>
                <w:color w:val="auto"/>
              </w:rPr>
            </w:pPr>
            <w:r>
              <w:rPr>
                <w:rFonts w:ascii="Calibri" w:cs="Calibri" w:eastAsia="Calibri" w:hAnsi="Calibri"/>
                <w:sz w:val="16"/>
                <w:szCs w:val="16"/>
                <w:color w:val="auto"/>
              </w:rPr>
              <w:t>Chief Executve Ofcer of Alludo</w:t>
            </w:r>
          </w:p>
        </w:tc>
        <w:tc>
          <w:tcPr>
            <w:tcW w:w="316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Audit Commitee (chair), Compensaton</w:t>
            </w:r>
          </w:p>
        </w:tc>
        <w:tc>
          <w:tcPr>
            <w:tcW w:w="0" w:type="dxa"/>
            <w:vAlign w:val="bottom"/>
          </w:tcPr>
          <w:p>
            <w:pPr>
              <w:spacing w:after="0"/>
              <w:rPr>
                <w:sz w:val="1"/>
                <w:szCs w:val="1"/>
                <w:color w:val="auto"/>
              </w:rPr>
            </w:pPr>
          </w:p>
        </w:tc>
      </w:tr>
      <w:tr>
        <w:trPr>
          <w:trHeight w:val="95"/>
        </w:trPr>
        <w:tc>
          <w:tcPr>
            <w:tcW w:w="1820" w:type="dxa"/>
            <w:vAlign w:val="bottom"/>
            <w:vMerge w:val="continue"/>
            <w:shd w:val="clear" w:color="auto" w:fill="DBDBDB"/>
          </w:tcPr>
          <w:p>
            <w:pPr>
              <w:spacing w:after="0"/>
              <w:rPr>
                <w:sz w:val="8"/>
                <w:szCs w:val="8"/>
                <w:color w:val="auto"/>
              </w:rPr>
            </w:pPr>
          </w:p>
        </w:tc>
        <w:tc>
          <w:tcPr>
            <w:tcW w:w="980" w:type="dxa"/>
            <w:vAlign w:val="bottom"/>
            <w:vMerge w:val="continue"/>
            <w:shd w:val="clear" w:color="auto" w:fill="DBDBDB"/>
          </w:tcPr>
          <w:p>
            <w:pPr>
              <w:spacing w:after="0"/>
              <w:rPr>
                <w:sz w:val="8"/>
                <w:szCs w:val="8"/>
                <w:color w:val="auto"/>
              </w:rPr>
            </w:pPr>
          </w:p>
        </w:tc>
        <w:tc>
          <w:tcPr>
            <w:tcW w:w="540" w:type="dxa"/>
            <w:vAlign w:val="bottom"/>
            <w:vMerge w:val="continue"/>
            <w:shd w:val="clear" w:color="auto" w:fill="DBDBDB"/>
          </w:tcPr>
          <w:p>
            <w:pPr>
              <w:spacing w:after="0"/>
              <w:rPr>
                <w:sz w:val="8"/>
                <w:szCs w:val="8"/>
                <w:color w:val="auto"/>
              </w:rPr>
            </w:pPr>
          </w:p>
        </w:tc>
        <w:tc>
          <w:tcPr>
            <w:tcW w:w="880" w:type="dxa"/>
            <w:vAlign w:val="bottom"/>
            <w:vMerge w:val="continue"/>
            <w:shd w:val="clear" w:color="auto" w:fill="DBDBDB"/>
          </w:tcPr>
          <w:p>
            <w:pPr>
              <w:spacing w:after="0"/>
              <w:rPr>
                <w:sz w:val="8"/>
                <w:szCs w:val="8"/>
                <w:color w:val="auto"/>
              </w:rPr>
            </w:pPr>
          </w:p>
        </w:tc>
        <w:tc>
          <w:tcPr>
            <w:tcW w:w="760" w:type="dxa"/>
            <w:vAlign w:val="bottom"/>
            <w:vMerge w:val="continue"/>
            <w:shd w:val="clear" w:color="auto" w:fill="DBDBDB"/>
          </w:tcPr>
          <w:p>
            <w:pPr>
              <w:spacing w:after="0"/>
              <w:rPr>
                <w:sz w:val="8"/>
                <w:szCs w:val="8"/>
                <w:color w:val="auto"/>
              </w:rPr>
            </w:pPr>
          </w:p>
        </w:tc>
        <w:tc>
          <w:tcPr>
            <w:tcW w:w="3100" w:type="dxa"/>
            <w:vAlign w:val="bottom"/>
            <w:vMerge w:val="continue"/>
            <w:shd w:val="clear" w:color="auto" w:fill="DBDBDB"/>
          </w:tcPr>
          <w:p>
            <w:pPr>
              <w:spacing w:after="0"/>
              <w:rPr>
                <w:sz w:val="8"/>
                <w:szCs w:val="8"/>
                <w:color w:val="auto"/>
              </w:rPr>
            </w:pPr>
          </w:p>
        </w:tc>
        <w:tc>
          <w:tcPr>
            <w:tcW w:w="316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Commitee</w:t>
            </w:r>
          </w:p>
        </w:tc>
        <w:tc>
          <w:tcPr>
            <w:tcW w:w="0" w:type="dxa"/>
            <w:vAlign w:val="bottom"/>
          </w:tcPr>
          <w:p>
            <w:pPr>
              <w:spacing w:after="0"/>
              <w:rPr>
                <w:sz w:val="1"/>
                <w:szCs w:val="1"/>
                <w:color w:val="auto"/>
              </w:rPr>
            </w:pPr>
          </w:p>
        </w:tc>
      </w:tr>
      <w:tr>
        <w:trPr>
          <w:trHeight w:val="129"/>
        </w:trPr>
        <w:tc>
          <w:tcPr>
            <w:tcW w:w="1820" w:type="dxa"/>
            <w:vAlign w:val="bottom"/>
            <w:tcBorders>
              <w:bottom w:val="single" w:sz="8" w:color="DBDBDB"/>
            </w:tcBorders>
            <w:shd w:val="clear" w:color="auto" w:fill="DBDBDB"/>
          </w:tcPr>
          <w:p>
            <w:pPr>
              <w:spacing w:after="0"/>
              <w:rPr>
                <w:sz w:val="11"/>
                <w:szCs w:val="11"/>
                <w:color w:val="auto"/>
              </w:rPr>
            </w:pPr>
          </w:p>
        </w:tc>
        <w:tc>
          <w:tcPr>
            <w:tcW w:w="980" w:type="dxa"/>
            <w:vAlign w:val="bottom"/>
            <w:tcBorders>
              <w:bottom w:val="single" w:sz="8" w:color="DBDBDB"/>
            </w:tcBorders>
            <w:shd w:val="clear" w:color="auto" w:fill="DBDBDB"/>
          </w:tcPr>
          <w:p>
            <w:pPr>
              <w:spacing w:after="0"/>
              <w:rPr>
                <w:sz w:val="11"/>
                <w:szCs w:val="11"/>
                <w:color w:val="auto"/>
              </w:rPr>
            </w:pPr>
          </w:p>
        </w:tc>
        <w:tc>
          <w:tcPr>
            <w:tcW w:w="540" w:type="dxa"/>
            <w:vAlign w:val="bottom"/>
            <w:tcBorders>
              <w:bottom w:val="single" w:sz="8" w:color="DBDBDB"/>
            </w:tcBorders>
            <w:shd w:val="clear" w:color="auto" w:fill="DBDBDB"/>
          </w:tcPr>
          <w:p>
            <w:pPr>
              <w:spacing w:after="0"/>
              <w:rPr>
                <w:sz w:val="11"/>
                <w:szCs w:val="11"/>
                <w:color w:val="auto"/>
              </w:rPr>
            </w:pPr>
          </w:p>
        </w:tc>
        <w:tc>
          <w:tcPr>
            <w:tcW w:w="880" w:type="dxa"/>
            <w:vAlign w:val="bottom"/>
            <w:tcBorders>
              <w:bottom w:val="single" w:sz="8" w:color="DBDBDB"/>
            </w:tcBorders>
            <w:shd w:val="clear" w:color="auto" w:fill="DBDBDB"/>
          </w:tcPr>
          <w:p>
            <w:pPr>
              <w:spacing w:after="0"/>
              <w:rPr>
                <w:sz w:val="11"/>
                <w:szCs w:val="11"/>
                <w:color w:val="auto"/>
              </w:rPr>
            </w:pPr>
          </w:p>
        </w:tc>
        <w:tc>
          <w:tcPr>
            <w:tcW w:w="760" w:type="dxa"/>
            <w:vAlign w:val="bottom"/>
            <w:tcBorders>
              <w:bottom w:val="single" w:sz="8" w:color="DBDBDB"/>
            </w:tcBorders>
            <w:shd w:val="clear" w:color="auto" w:fill="DBDBDB"/>
          </w:tcPr>
          <w:p>
            <w:pPr>
              <w:spacing w:after="0"/>
              <w:rPr>
                <w:sz w:val="11"/>
                <w:szCs w:val="11"/>
                <w:color w:val="auto"/>
              </w:rPr>
            </w:pPr>
          </w:p>
        </w:tc>
        <w:tc>
          <w:tcPr>
            <w:tcW w:w="3100" w:type="dxa"/>
            <w:vAlign w:val="bottom"/>
            <w:tcBorders>
              <w:bottom w:val="single" w:sz="8" w:color="DBDBDB"/>
            </w:tcBorders>
            <w:shd w:val="clear" w:color="auto" w:fill="DBDBDB"/>
          </w:tcPr>
          <w:p>
            <w:pPr>
              <w:spacing w:after="0"/>
              <w:rPr>
                <w:sz w:val="11"/>
                <w:szCs w:val="11"/>
                <w:color w:val="auto"/>
              </w:rPr>
            </w:pPr>
          </w:p>
        </w:tc>
        <w:tc>
          <w:tcPr>
            <w:tcW w:w="3160" w:type="dxa"/>
            <w:vAlign w:val="bottom"/>
            <w:tcBorders>
              <w:bottom w:val="single" w:sz="8" w:color="DBDBDB"/>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tcPr>
          <w:p>
            <w:pPr>
              <w:ind w:left="20"/>
              <w:spacing w:after="0"/>
              <w:rPr>
                <w:sz w:val="20"/>
                <w:szCs w:val="20"/>
                <w:color w:val="auto"/>
              </w:rPr>
            </w:pPr>
            <w:r>
              <w:rPr>
                <w:rFonts w:ascii="Calibri" w:cs="Calibri" w:eastAsia="Calibri" w:hAnsi="Calibri"/>
                <w:sz w:val="16"/>
                <w:szCs w:val="16"/>
                <w:color w:val="auto"/>
              </w:rPr>
              <w:t>Keith Rabois</w:t>
            </w:r>
          </w:p>
        </w:tc>
        <w:tc>
          <w:tcPr>
            <w:tcW w:w="980" w:type="dxa"/>
            <w:vAlign w:val="bottom"/>
            <w:vMerge w:val="restart"/>
          </w:tcPr>
          <w:p>
            <w:pPr>
              <w:jc w:val="center"/>
              <w:ind w:left="299"/>
              <w:spacing w:after="0"/>
              <w:rPr>
                <w:sz w:val="20"/>
                <w:szCs w:val="20"/>
                <w:color w:val="auto"/>
              </w:rPr>
            </w:pPr>
            <w:r>
              <w:rPr>
                <w:rFonts w:ascii="Calibri" w:cs="Calibri" w:eastAsia="Calibri" w:hAnsi="Calibri"/>
                <w:sz w:val="16"/>
                <w:szCs w:val="16"/>
                <w:color w:val="auto"/>
                <w:w w:val="98"/>
              </w:rPr>
              <w:t>II</w:t>
            </w:r>
          </w:p>
        </w:tc>
        <w:tc>
          <w:tcPr>
            <w:tcW w:w="54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53</w:t>
            </w: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2013</w:t>
            </w:r>
          </w:p>
        </w:tc>
        <w:tc>
          <w:tcPr>
            <w:tcW w:w="76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2022</w:t>
            </w:r>
          </w:p>
        </w:tc>
        <w:tc>
          <w:tcPr>
            <w:tcW w:w="3100" w:type="dxa"/>
            <w:vAlign w:val="bottom"/>
          </w:tcPr>
          <w:p>
            <w:pPr>
              <w:ind w:left="80"/>
              <w:spacing w:after="0"/>
              <w:rPr>
                <w:sz w:val="20"/>
                <w:szCs w:val="20"/>
                <w:color w:val="auto"/>
              </w:rPr>
            </w:pPr>
            <w:r>
              <w:rPr>
                <w:rFonts w:ascii="Calibri" w:cs="Calibri" w:eastAsia="Calibri" w:hAnsi="Calibri"/>
                <w:sz w:val="16"/>
                <w:szCs w:val="16"/>
                <w:color w:val="auto"/>
              </w:rPr>
              <w:t>General Partner at Founders Fund; Chief</w:t>
            </w:r>
          </w:p>
        </w:tc>
        <w:tc>
          <w:tcPr>
            <w:tcW w:w="3160" w:type="dxa"/>
            <w:vAlign w:val="bottom"/>
            <w:vMerge w:val="restart"/>
          </w:tcPr>
          <w:p>
            <w:pPr>
              <w:ind w:left="20"/>
              <w:spacing w:after="0"/>
              <w:rPr>
                <w:sz w:val="20"/>
                <w:szCs w:val="20"/>
                <w:color w:val="auto"/>
              </w:rPr>
            </w:pPr>
            <w:r>
              <w:rPr>
                <w:rFonts w:ascii="Calibri" w:cs="Calibri" w:eastAsia="Calibri" w:hAnsi="Calibri"/>
                <w:sz w:val="16"/>
                <w:szCs w:val="16"/>
                <w:color w:val="auto"/>
              </w:rPr>
              <w:t>Audit Commitee</w:t>
            </w:r>
          </w:p>
        </w:tc>
        <w:tc>
          <w:tcPr>
            <w:tcW w:w="0" w:type="dxa"/>
            <w:vAlign w:val="bottom"/>
          </w:tcPr>
          <w:p>
            <w:pPr>
              <w:spacing w:after="0"/>
              <w:rPr>
                <w:sz w:val="1"/>
                <w:szCs w:val="1"/>
                <w:color w:val="auto"/>
              </w:rPr>
            </w:pPr>
          </w:p>
        </w:tc>
      </w:tr>
      <w:tr>
        <w:trPr>
          <w:trHeight w:val="95"/>
        </w:trPr>
        <w:tc>
          <w:tcPr>
            <w:tcW w:w="18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100" w:type="dxa"/>
            <w:vAlign w:val="bottom"/>
            <w:vMerge w:val="restart"/>
          </w:tcPr>
          <w:p>
            <w:pPr>
              <w:ind w:left="80"/>
              <w:spacing w:after="0"/>
              <w:rPr>
                <w:sz w:val="20"/>
                <w:szCs w:val="20"/>
                <w:color w:val="auto"/>
              </w:rPr>
            </w:pPr>
            <w:r>
              <w:rPr>
                <w:rFonts w:ascii="Calibri" w:cs="Calibri" w:eastAsia="Calibri" w:hAnsi="Calibri"/>
                <w:sz w:val="16"/>
                <w:szCs w:val="16"/>
                <w:color w:val="auto"/>
              </w:rPr>
              <w:t>Executve Ofcer of Miami Labs, Inc.</w:t>
            </w: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3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Jacqueline D. Reses</w:t>
            </w:r>
          </w:p>
        </w:tc>
        <w:tc>
          <w:tcPr>
            <w:tcW w:w="980" w:type="dxa"/>
            <w:vAlign w:val="bottom"/>
            <w:tcBorders>
              <w:bottom w:val="single" w:sz="8" w:color="DBDBDB"/>
            </w:tcBorders>
            <w:shd w:val="clear" w:color="auto" w:fill="DBDBDB"/>
          </w:tcPr>
          <w:p>
            <w:pPr>
              <w:jc w:val="center"/>
              <w:ind w:left="299"/>
              <w:spacing w:after="0"/>
              <w:rPr>
                <w:sz w:val="20"/>
                <w:szCs w:val="20"/>
                <w:color w:val="auto"/>
              </w:rPr>
            </w:pPr>
            <w:r>
              <w:rPr>
                <w:rFonts w:ascii="Calibri" w:cs="Calibri" w:eastAsia="Calibri" w:hAnsi="Calibri"/>
                <w:sz w:val="16"/>
                <w:szCs w:val="16"/>
                <w:color w:val="auto"/>
                <w:w w:val="97"/>
              </w:rPr>
              <w:t>I</w:t>
            </w:r>
          </w:p>
        </w:tc>
        <w:tc>
          <w:tcPr>
            <w:tcW w:w="54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6"/>
                <w:szCs w:val="16"/>
                <w:color w:val="auto"/>
                <w:w w:val="98"/>
              </w:rPr>
              <w:t>52</w:t>
            </w:r>
          </w:p>
        </w:tc>
        <w:tc>
          <w:tcPr>
            <w:tcW w:w="88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6"/>
                <w:szCs w:val="16"/>
                <w:color w:val="auto"/>
              </w:rPr>
              <w:t>2021</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6"/>
                <w:szCs w:val="16"/>
                <w:color w:val="auto"/>
                <w:w w:val="98"/>
              </w:rPr>
              <w:t>2024</w:t>
            </w:r>
          </w:p>
        </w:tc>
        <w:tc>
          <w:tcPr>
            <w:tcW w:w="310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6"/>
                <w:szCs w:val="16"/>
                <w:color w:val="auto"/>
              </w:rPr>
              <w:t>Chief Executve Ofcer of Lead Bank</w:t>
            </w:r>
          </w:p>
        </w:tc>
        <w:tc>
          <w:tcPr>
            <w:tcW w:w="31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Compensaton Commitee</w:t>
            </w:r>
          </w:p>
        </w:tc>
        <w:tc>
          <w:tcPr>
            <w:tcW w:w="0" w:type="dxa"/>
            <w:vAlign w:val="bottom"/>
          </w:tcPr>
          <w:p>
            <w:pPr>
              <w:spacing w:after="0"/>
              <w:rPr>
                <w:sz w:val="1"/>
                <w:szCs w:val="1"/>
                <w:color w:val="auto"/>
              </w:rPr>
            </w:pPr>
          </w:p>
        </w:tc>
      </w:tr>
      <w:tr>
        <w:trPr>
          <w:trHeight w:val="202"/>
        </w:trPr>
        <w:tc>
          <w:tcPr>
            <w:tcW w:w="1820" w:type="dxa"/>
            <w:vAlign w:val="bottom"/>
          </w:tcPr>
          <w:p>
            <w:pPr>
              <w:ind w:left="20"/>
              <w:spacing w:after="0"/>
              <w:rPr>
                <w:sz w:val="20"/>
                <w:szCs w:val="20"/>
                <w:color w:val="auto"/>
              </w:rPr>
            </w:pPr>
            <w:r>
              <w:rPr>
                <w:rFonts w:ascii="Calibri" w:cs="Calibri" w:eastAsia="Calibri" w:hAnsi="Calibri"/>
                <w:sz w:val="16"/>
                <w:szCs w:val="16"/>
                <w:color w:val="auto"/>
              </w:rPr>
              <w:t>Noel Watson</w:t>
            </w:r>
          </w:p>
        </w:tc>
        <w:tc>
          <w:tcPr>
            <w:tcW w:w="980" w:type="dxa"/>
            <w:vAlign w:val="bottom"/>
          </w:tcPr>
          <w:p>
            <w:pPr>
              <w:jc w:val="center"/>
              <w:ind w:left="299"/>
              <w:spacing w:after="0"/>
              <w:rPr>
                <w:sz w:val="20"/>
                <w:szCs w:val="20"/>
                <w:color w:val="auto"/>
              </w:rPr>
            </w:pPr>
            <w:r>
              <w:rPr>
                <w:rFonts w:ascii="Calibri" w:cs="Calibri" w:eastAsia="Calibri" w:hAnsi="Calibri"/>
                <w:sz w:val="16"/>
                <w:szCs w:val="16"/>
                <w:color w:val="auto"/>
                <w:w w:val="97"/>
              </w:rPr>
              <w:t>I</w:t>
            </w:r>
          </w:p>
        </w:tc>
        <w:tc>
          <w:tcPr>
            <w:tcW w:w="540" w:type="dxa"/>
            <w:vAlign w:val="bottom"/>
          </w:tcPr>
          <w:p>
            <w:pPr>
              <w:jc w:val="center"/>
              <w:spacing w:after="0"/>
              <w:rPr>
                <w:sz w:val="20"/>
                <w:szCs w:val="20"/>
                <w:color w:val="auto"/>
              </w:rPr>
            </w:pPr>
            <w:r>
              <w:rPr>
                <w:rFonts w:ascii="Calibri" w:cs="Calibri" w:eastAsia="Calibri" w:hAnsi="Calibri"/>
                <w:sz w:val="16"/>
                <w:szCs w:val="16"/>
                <w:color w:val="auto"/>
                <w:w w:val="98"/>
              </w:rPr>
              <w:t>47</w:t>
            </w:r>
          </w:p>
        </w:tc>
        <w:tc>
          <w:tcPr>
            <w:tcW w:w="880" w:type="dxa"/>
            <w:vAlign w:val="bottom"/>
          </w:tcPr>
          <w:p>
            <w:pPr>
              <w:jc w:val="center"/>
              <w:spacing w:after="0"/>
              <w:rPr>
                <w:sz w:val="20"/>
                <w:szCs w:val="20"/>
                <w:color w:val="auto"/>
              </w:rPr>
            </w:pPr>
            <w:r>
              <w:rPr>
                <w:rFonts w:ascii="Calibri" w:cs="Calibri" w:eastAsia="Calibri" w:hAnsi="Calibri"/>
                <w:sz w:val="16"/>
                <w:szCs w:val="16"/>
                <w:color w:val="auto"/>
              </w:rPr>
              <w:t>2022</w:t>
            </w:r>
          </w:p>
        </w:tc>
        <w:tc>
          <w:tcPr>
            <w:tcW w:w="760" w:type="dxa"/>
            <w:vAlign w:val="bottom"/>
          </w:tcPr>
          <w:p>
            <w:pPr>
              <w:jc w:val="center"/>
              <w:spacing w:after="0"/>
              <w:rPr>
                <w:sz w:val="20"/>
                <w:szCs w:val="20"/>
                <w:color w:val="auto"/>
              </w:rPr>
            </w:pPr>
            <w:r>
              <w:rPr>
                <w:rFonts w:ascii="Calibri" w:cs="Calibri" w:eastAsia="Calibri" w:hAnsi="Calibri"/>
                <w:sz w:val="16"/>
                <w:szCs w:val="16"/>
                <w:color w:val="auto"/>
                <w:w w:val="98"/>
              </w:rPr>
              <w:t>2024</w:t>
            </w:r>
          </w:p>
        </w:tc>
        <w:tc>
          <w:tcPr>
            <w:tcW w:w="6260" w:type="dxa"/>
            <w:vAlign w:val="bottom"/>
            <w:gridSpan w:val="2"/>
          </w:tcPr>
          <w:p>
            <w:pPr>
              <w:ind w:left="80"/>
              <w:spacing w:after="0"/>
              <w:rPr>
                <w:sz w:val="20"/>
                <w:szCs w:val="20"/>
                <w:color w:val="auto"/>
              </w:rPr>
            </w:pPr>
            <w:r>
              <w:rPr>
                <w:rFonts w:ascii="Calibri" w:cs="Calibri" w:eastAsia="Calibri" w:hAnsi="Calibri"/>
                <w:sz w:val="16"/>
                <w:szCs w:val="16"/>
                <w:color w:val="auto"/>
              </w:rPr>
              <w:t>Chief Financial Ofcer of LegalZoom.com, Inc. Audit Commitee</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82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James D. White*</w:t>
            </w:r>
          </w:p>
        </w:tc>
        <w:tc>
          <w:tcPr>
            <w:tcW w:w="980" w:type="dxa"/>
            <w:vAlign w:val="bottom"/>
            <w:vMerge w:val="restart"/>
            <w:shd w:val="clear" w:color="auto" w:fill="DBDBDB"/>
          </w:tcPr>
          <w:p>
            <w:pPr>
              <w:jc w:val="center"/>
              <w:ind w:left="299"/>
              <w:spacing w:after="0"/>
              <w:rPr>
                <w:sz w:val="20"/>
                <w:szCs w:val="20"/>
                <w:color w:val="auto"/>
              </w:rPr>
            </w:pPr>
            <w:r>
              <w:rPr>
                <w:rFonts w:ascii="Calibri" w:cs="Calibri" w:eastAsia="Calibri" w:hAnsi="Calibri"/>
                <w:sz w:val="16"/>
                <w:szCs w:val="16"/>
                <w:color w:val="auto"/>
                <w:w w:val="98"/>
              </w:rPr>
              <w:t>III</w:t>
            </w:r>
          </w:p>
        </w:tc>
        <w:tc>
          <w:tcPr>
            <w:tcW w:w="54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61</w:t>
            </w:r>
          </w:p>
        </w:tc>
        <w:tc>
          <w:tcPr>
            <w:tcW w:w="88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rPr>
              <w:t>2021</w:t>
            </w:r>
          </w:p>
        </w:tc>
        <w:tc>
          <w:tcPr>
            <w:tcW w:w="76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w w:val="98"/>
              </w:rPr>
              <w:t>2023</w:t>
            </w:r>
          </w:p>
        </w:tc>
        <w:tc>
          <w:tcPr>
            <w:tcW w:w="3100" w:type="dxa"/>
            <w:vAlign w:val="bottom"/>
            <w:vMerge w:val="restart"/>
            <w:shd w:val="clear" w:color="auto" w:fill="DBDBDB"/>
          </w:tcPr>
          <w:p>
            <w:pPr>
              <w:ind w:left="80"/>
              <w:spacing w:after="0"/>
              <w:rPr>
                <w:sz w:val="20"/>
                <w:szCs w:val="20"/>
                <w:color w:val="auto"/>
              </w:rPr>
            </w:pPr>
            <w:r>
              <w:rPr>
                <w:rFonts w:ascii="Calibri" w:cs="Calibri" w:eastAsia="Calibri" w:hAnsi="Calibri"/>
                <w:sz w:val="16"/>
                <w:szCs w:val="16"/>
                <w:color w:val="auto"/>
              </w:rPr>
              <w:t>Executve Chairman of Air Protein, Inc.</w:t>
            </w:r>
          </w:p>
        </w:tc>
        <w:tc>
          <w:tcPr>
            <w:tcW w:w="316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Compensaton Commitee, Nominatng and</w:t>
            </w:r>
          </w:p>
        </w:tc>
        <w:tc>
          <w:tcPr>
            <w:tcW w:w="0" w:type="dxa"/>
            <w:vAlign w:val="bottom"/>
          </w:tcPr>
          <w:p>
            <w:pPr>
              <w:spacing w:after="0"/>
              <w:rPr>
                <w:sz w:val="1"/>
                <w:szCs w:val="1"/>
                <w:color w:val="auto"/>
              </w:rPr>
            </w:pPr>
          </w:p>
        </w:tc>
      </w:tr>
      <w:tr>
        <w:trPr>
          <w:trHeight w:val="94"/>
        </w:trPr>
        <w:tc>
          <w:tcPr>
            <w:tcW w:w="1820" w:type="dxa"/>
            <w:vAlign w:val="bottom"/>
            <w:vMerge w:val="continue"/>
            <w:shd w:val="clear" w:color="auto" w:fill="DBDBDB"/>
          </w:tcPr>
          <w:p>
            <w:pPr>
              <w:spacing w:after="0"/>
              <w:rPr>
                <w:sz w:val="8"/>
                <w:szCs w:val="8"/>
                <w:color w:val="auto"/>
              </w:rPr>
            </w:pPr>
          </w:p>
        </w:tc>
        <w:tc>
          <w:tcPr>
            <w:tcW w:w="980" w:type="dxa"/>
            <w:vAlign w:val="bottom"/>
            <w:vMerge w:val="continue"/>
            <w:shd w:val="clear" w:color="auto" w:fill="DBDBDB"/>
          </w:tcPr>
          <w:p>
            <w:pPr>
              <w:spacing w:after="0"/>
              <w:rPr>
                <w:sz w:val="8"/>
                <w:szCs w:val="8"/>
                <w:color w:val="auto"/>
              </w:rPr>
            </w:pPr>
          </w:p>
        </w:tc>
        <w:tc>
          <w:tcPr>
            <w:tcW w:w="540" w:type="dxa"/>
            <w:vAlign w:val="bottom"/>
            <w:vMerge w:val="continue"/>
            <w:shd w:val="clear" w:color="auto" w:fill="DBDBDB"/>
          </w:tcPr>
          <w:p>
            <w:pPr>
              <w:spacing w:after="0"/>
              <w:rPr>
                <w:sz w:val="8"/>
                <w:szCs w:val="8"/>
                <w:color w:val="auto"/>
              </w:rPr>
            </w:pPr>
          </w:p>
        </w:tc>
        <w:tc>
          <w:tcPr>
            <w:tcW w:w="880" w:type="dxa"/>
            <w:vAlign w:val="bottom"/>
            <w:vMerge w:val="continue"/>
            <w:shd w:val="clear" w:color="auto" w:fill="DBDBDB"/>
          </w:tcPr>
          <w:p>
            <w:pPr>
              <w:spacing w:after="0"/>
              <w:rPr>
                <w:sz w:val="8"/>
                <w:szCs w:val="8"/>
                <w:color w:val="auto"/>
              </w:rPr>
            </w:pPr>
          </w:p>
        </w:tc>
        <w:tc>
          <w:tcPr>
            <w:tcW w:w="760" w:type="dxa"/>
            <w:vAlign w:val="bottom"/>
            <w:vMerge w:val="continue"/>
            <w:shd w:val="clear" w:color="auto" w:fill="DBDBDB"/>
          </w:tcPr>
          <w:p>
            <w:pPr>
              <w:spacing w:after="0"/>
              <w:rPr>
                <w:sz w:val="8"/>
                <w:szCs w:val="8"/>
                <w:color w:val="auto"/>
              </w:rPr>
            </w:pPr>
          </w:p>
        </w:tc>
        <w:tc>
          <w:tcPr>
            <w:tcW w:w="3100" w:type="dxa"/>
            <w:vAlign w:val="bottom"/>
            <w:vMerge w:val="continue"/>
            <w:shd w:val="clear" w:color="auto" w:fill="DBDBDB"/>
          </w:tcPr>
          <w:p>
            <w:pPr>
              <w:spacing w:after="0"/>
              <w:rPr>
                <w:sz w:val="8"/>
                <w:szCs w:val="8"/>
                <w:color w:val="auto"/>
              </w:rPr>
            </w:pPr>
          </w:p>
        </w:tc>
        <w:tc>
          <w:tcPr>
            <w:tcW w:w="3160" w:type="dxa"/>
            <w:vAlign w:val="bottom"/>
            <w:vMerge w:val="restart"/>
            <w:shd w:val="clear" w:color="auto" w:fill="DBDBDB"/>
          </w:tcPr>
          <w:p>
            <w:pPr>
              <w:ind w:left="20"/>
              <w:spacing w:after="0"/>
              <w:rPr>
                <w:sz w:val="20"/>
                <w:szCs w:val="20"/>
                <w:color w:val="auto"/>
              </w:rPr>
            </w:pPr>
            <w:r>
              <w:rPr>
                <w:rFonts w:ascii="Calibri" w:cs="Calibri" w:eastAsia="Calibri" w:hAnsi="Calibri"/>
                <w:sz w:val="16"/>
                <w:szCs w:val="16"/>
                <w:color w:val="auto"/>
              </w:rPr>
              <w:t>Governance Commitee (chair)</w:t>
            </w:r>
          </w:p>
        </w:tc>
        <w:tc>
          <w:tcPr>
            <w:tcW w:w="0" w:type="dxa"/>
            <w:vAlign w:val="bottom"/>
          </w:tcPr>
          <w:p>
            <w:pPr>
              <w:spacing w:after="0"/>
              <w:rPr>
                <w:sz w:val="1"/>
                <w:szCs w:val="1"/>
                <w:color w:val="auto"/>
              </w:rPr>
            </w:pPr>
          </w:p>
        </w:tc>
      </w:tr>
      <w:tr>
        <w:trPr>
          <w:trHeight w:val="108"/>
        </w:trPr>
        <w:tc>
          <w:tcPr>
            <w:tcW w:w="1820" w:type="dxa"/>
            <w:vAlign w:val="bottom"/>
            <w:shd w:val="clear" w:color="auto" w:fill="DBDBDB"/>
          </w:tcPr>
          <w:p>
            <w:pPr>
              <w:spacing w:after="0"/>
              <w:rPr>
                <w:sz w:val="9"/>
                <w:szCs w:val="9"/>
                <w:color w:val="auto"/>
              </w:rPr>
            </w:pPr>
          </w:p>
        </w:tc>
        <w:tc>
          <w:tcPr>
            <w:tcW w:w="980" w:type="dxa"/>
            <w:vAlign w:val="bottom"/>
            <w:shd w:val="clear" w:color="auto" w:fill="DBDBDB"/>
          </w:tcPr>
          <w:p>
            <w:pPr>
              <w:spacing w:after="0"/>
              <w:rPr>
                <w:sz w:val="9"/>
                <w:szCs w:val="9"/>
                <w:color w:val="auto"/>
              </w:rPr>
            </w:pPr>
          </w:p>
        </w:tc>
        <w:tc>
          <w:tcPr>
            <w:tcW w:w="540" w:type="dxa"/>
            <w:vAlign w:val="bottom"/>
            <w:shd w:val="clear" w:color="auto" w:fill="DBDBDB"/>
          </w:tcPr>
          <w:p>
            <w:pPr>
              <w:spacing w:after="0"/>
              <w:rPr>
                <w:sz w:val="9"/>
                <w:szCs w:val="9"/>
                <w:color w:val="auto"/>
              </w:rPr>
            </w:pPr>
          </w:p>
        </w:tc>
        <w:tc>
          <w:tcPr>
            <w:tcW w:w="880" w:type="dxa"/>
            <w:vAlign w:val="bottom"/>
            <w:shd w:val="clear" w:color="auto" w:fill="DBDBDB"/>
          </w:tcPr>
          <w:p>
            <w:pPr>
              <w:spacing w:after="0"/>
              <w:rPr>
                <w:sz w:val="9"/>
                <w:szCs w:val="9"/>
                <w:color w:val="auto"/>
              </w:rPr>
            </w:pPr>
          </w:p>
        </w:tc>
        <w:tc>
          <w:tcPr>
            <w:tcW w:w="760" w:type="dxa"/>
            <w:vAlign w:val="bottom"/>
            <w:shd w:val="clear" w:color="auto" w:fill="DBDBDB"/>
          </w:tcPr>
          <w:p>
            <w:pPr>
              <w:spacing w:after="0"/>
              <w:rPr>
                <w:sz w:val="9"/>
                <w:szCs w:val="9"/>
                <w:color w:val="auto"/>
              </w:rPr>
            </w:pPr>
          </w:p>
        </w:tc>
        <w:tc>
          <w:tcPr>
            <w:tcW w:w="3100" w:type="dxa"/>
            <w:vAlign w:val="bottom"/>
            <w:shd w:val="clear" w:color="auto" w:fill="DBDBDB"/>
          </w:tcPr>
          <w:p>
            <w:pPr>
              <w:spacing w:after="0"/>
              <w:rPr>
                <w:sz w:val="9"/>
                <w:szCs w:val="9"/>
                <w:color w:val="auto"/>
              </w:rPr>
            </w:pPr>
          </w:p>
        </w:tc>
        <w:tc>
          <w:tcPr>
            <w:tcW w:w="31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820" w:type="dxa"/>
            <w:vAlign w:val="bottom"/>
            <w:shd w:val="clear" w:color="auto" w:fill="DBDBDB"/>
          </w:tcPr>
          <w:p>
            <w:pPr>
              <w:spacing w:after="0"/>
              <w:rPr>
                <w:sz w:val="3"/>
                <w:szCs w:val="3"/>
                <w:color w:val="auto"/>
              </w:rPr>
            </w:pPr>
          </w:p>
        </w:tc>
        <w:tc>
          <w:tcPr>
            <w:tcW w:w="980" w:type="dxa"/>
            <w:vAlign w:val="bottom"/>
            <w:shd w:val="clear" w:color="auto" w:fill="DBDBDB"/>
          </w:tcPr>
          <w:p>
            <w:pPr>
              <w:spacing w:after="0"/>
              <w:rPr>
                <w:sz w:val="3"/>
                <w:szCs w:val="3"/>
                <w:color w:val="auto"/>
              </w:rPr>
            </w:pPr>
          </w:p>
        </w:tc>
        <w:tc>
          <w:tcPr>
            <w:tcW w:w="540" w:type="dxa"/>
            <w:vAlign w:val="bottom"/>
            <w:shd w:val="clear" w:color="auto" w:fill="DBDBDB"/>
          </w:tcPr>
          <w:p>
            <w:pPr>
              <w:spacing w:after="0"/>
              <w:rPr>
                <w:sz w:val="3"/>
                <w:szCs w:val="3"/>
                <w:color w:val="auto"/>
              </w:rPr>
            </w:pPr>
          </w:p>
        </w:tc>
        <w:tc>
          <w:tcPr>
            <w:tcW w:w="880" w:type="dxa"/>
            <w:vAlign w:val="bottom"/>
            <w:shd w:val="clear" w:color="auto" w:fill="DBDBDB"/>
          </w:tcPr>
          <w:p>
            <w:pPr>
              <w:spacing w:after="0"/>
              <w:rPr>
                <w:sz w:val="3"/>
                <w:szCs w:val="3"/>
                <w:color w:val="auto"/>
              </w:rPr>
            </w:pPr>
          </w:p>
        </w:tc>
        <w:tc>
          <w:tcPr>
            <w:tcW w:w="760" w:type="dxa"/>
            <w:vAlign w:val="bottom"/>
            <w:shd w:val="clear" w:color="auto" w:fill="DBDBDB"/>
          </w:tcPr>
          <w:p>
            <w:pPr>
              <w:spacing w:after="0"/>
              <w:rPr>
                <w:sz w:val="3"/>
                <w:szCs w:val="3"/>
                <w:color w:val="auto"/>
              </w:rPr>
            </w:pPr>
          </w:p>
        </w:tc>
        <w:tc>
          <w:tcPr>
            <w:tcW w:w="3100" w:type="dxa"/>
            <w:vAlign w:val="bottom"/>
            <w:shd w:val="clear" w:color="auto" w:fill="DBDBDB"/>
          </w:tcPr>
          <w:p>
            <w:pPr>
              <w:spacing w:after="0"/>
              <w:rPr>
                <w:sz w:val="3"/>
                <w:szCs w:val="3"/>
                <w:color w:val="auto"/>
              </w:rPr>
            </w:pPr>
          </w:p>
        </w:tc>
        <w:tc>
          <w:tcPr>
            <w:tcW w:w="316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Calibri" w:cs="Calibri" w:eastAsia="Calibri" w:hAnsi="Calibri"/>
          <w:sz w:val="14"/>
          <w:szCs w:val="14"/>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405" w:right="33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Director Nominees - 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left="2600"/>
        <w:spacing w:after="0" w:line="235" w:lineRule="auto"/>
        <w:rPr>
          <w:sz w:val="20"/>
          <w:szCs w:val="20"/>
          <w:color w:val="auto"/>
        </w:rPr>
      </w:pPr>
      <w:r>
        <w:rPr>
          <w:rFonts w:ascii="Calibri" w:cs="Calibri" w:eastAsia="Calibri" w:hAnsi="Calibri"/>
          <w:sz w:val="18"/>
          <w:szCs w:val="18"/>
          <w:b w:val="1"/>
          <w:bCs w:val="1"/>
          <w:color w:val="auto"/>
        </w:rPr>
        <w:t xml:space="preserve">Jenny J. Ming </w:t>
      </w:r>
      <w:r>
        <w:rPr>
          <w:rFonts w:ascii="Calibri" w:cs="Calibri" w:eastAsia="Calibri" w:hAnsi="Calibri"/>
          <w:sz w:val="18"/>
          <w:szCs w:val="18"/>
          <w:color w:val="auto"/>
        </w:rPr>
        <w:t>has served as a member of our Board since February 2021. Ms. Ming has served as an Executve Coach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with ExCo Leadership Development since 2021. Previously, Ms. Ming was Chief Executve Ofcer of Charlote Russe from October 2009 to February 2019, a fast fashion specialty retailer of apparel and accessories catering to young women. In February 2019, Charlote Russe fled a voluntary petton under Chapter 11 of the U.S. Bankruptcy Code. From March 1999 to October 2006, Ms. Ming served as President of Old Navy, a brand in The Gap Inc.’s portolio, where she oversaw all aspects of Old Navy and its retail clothing stores in the U.S. and Canada. Ms. Ming joined Gap Inc. in 1986, serving in various executve roles for the Gap brand. In 1994, she was a member of the executve team that launched Old Navy. Ms. Ming has served on the board of directors of Levi Strauss &amp; Co since 2014 and Poshmark since 2019. She holds a B.A. in Fashion Merchandising/Marketng from San Jose State University and has been on the Tower Foundaton board since 2010. Ms. Ming was selected to serve on our Board due to her experience serving as a director of a public company and her experience as a retail executve and co-founder of the Old Navy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-1222375</wp:posOffset>
            </wp:positionV>
            <wp:extent cx="1071880" cy="1071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spacing w:after="0" w:line="300" w:lineRule="exact"/>
        <w:rPr>
          <w:sz w:val="20"/>
          <w:szCs w:val="20"/>
          <w:color w:val="auto"/>
        </w:rPr>
      </w:pPr>
    </w:p>
    <w:p>
      <w:pPr>
        <w:jc w:val="both"/>
        <w:ind w:left="2600"/>
        <w:spacing w:after="0" w:line="235" w:lineRule="auto"/>
        <w:rPr>
          <w:sz w:val="20"/>
          <w:szCs w:val="20"/>
          <w:color w:val="auto"/>
        </w:rPr>
      </w:pPr>
      <w:r>
        <w:rPr>
          <w:rFonts w:ascii="Calibri" w:cs="Calibri" w:eastAsia="Calibri" w:hAnsi="Calibri"/>
          <w:sz w:val="18"/>
          <w:szCs w:val="18"/>
          <w:b w:val="1"/>
          <w:bCs w:val="1"/>
          <w:color w:val="auto"/>
        </w:rPr>
        <w:t xml:space="preserve">Christa S. Quarles </w:t>
      </w:r>
      <w:r>
        <w:rPr>
          <w:rFonts w:ascii="Calibri" w:cs="Calibri" w:eastAsia="Calibri" w:hAnsi="Calibri"/>
          <w:sz w:val="18"/>
          <w:szCs w:val="18"/>
          <w:color w:val="auto"/>
        </w:rPr>
        <w:t>has served as a member of our Board since 2018. Ms. Quarles is currently the Chief Executve Ofcer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a Board Director of Alludo, a private sofware company backed by KKR. Prior to joining Alludo, Ms. Quarles served as Operatng Partner of Advent Internatonal from 2019 to 2020 and the Chief Executve Ofcer of OpenTable, Inc., an online restaurant reservaton service, from 2015 to 2018. Before OpenTable, Ms. Quarles served as the Chief Business Ofcer of NextDoor, Inc., a social networking company, from 2014 to 2015. Leading up to NextDoor, Ms. Quarles held positons of increasing responsibility with The Walt Disney Company, including Senior Vice President and General Manager as well as Chief Financial Ofcer and Head of Business Operatons for their Mobile and Social Games division. She came to Disney via its acquisiton of Playdom Inc., where she had been its Chief Financial Ofcer. Ms. Quarles is a member of the board of directors of Kimberly-Clark Corporaton, where she has also served as a member of the audit commitee since 2016. Ms. Quarles earned her B.S. from Carnegie Mellon University, where she was elected to Phi Beta Kappa, and a M.B.A. from Harvard University. Ms. Quarles was selected to serve on our Board due to her fnancial expertse, her experience on a public company audit commitee, and her leadership experience as the Chief Executve Ofcer of an e-commerce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-1761490</wp:posOffset>
            </wp:positionV>
            <wp:extent cx="1071880" cy="1071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spacing w:after="0" w:line="301" w:lineRule="exact"/>
        <w:rPr>
          <w:sz w:val="20"/>
          <w:szCs w:val="20"/>
          <w:color w:val="auto"/>
        </w:rPr>
      </w:pPr>
    </w:p>
    <w:p>
      <w:pPr>
        <w:jc w:val="both"/>
        <w:ind w:left="2600"/>
        <w:spacing w:after="0" w:line="235" w:lineRule="auto"/>
        <w:rPr>
          <w:sz w:val="20"/>
          <w:szCs w:val="20"/>
          <w:color w:val="auto"/>
        </w:rPr>
      </w:pPr>
      <w:r>
        <w:rPr>
          <w:rFonts w:ascii="Calibri" w:cs="Calibri" w:eastAsia="Calibri" w:hAnsi="Calibri"/>
          <w:sz w:val="18"/>
          <w:szCs w:val="18"/>
          <w:b w:val="1"/>
          <w:bCs w:val="1"/>
          <w:color w:val="auto"/>
        </w:rPr>
        <w:t xml:space="preserve">Keith Rabois </w:t>
      </w:r>
      <w:r>
        <w:rPr>
          <w:rFonts w:ascii="Calibri" w:cs="Calibri" w:eastAsia="Calibri" w:hAnsi="Calibri"/>
          <w:sz w:val="18"/>
          <w:szCs w:val="18"/>
          <w:color w:val="auto"/>
        </w:rPr>
        <w:t>has served as a member of our Board since 2013. Mr. Rabois has been a General Partner at Founders Fund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since 2019 and has served as Chief Executve Ofcer of Miami Labs, Inc. since 2021. Prior to joining Founders Fund, Mr. Rabois served as a Managing Director at Khosla Ventures from 2013 to 2019. Mr. Rabois also served as the Chief Operatng Ofcer of Square, an Executve Vice President of Strategy &amp; Business Development at Slide, and as Vice President of Business &amp; Corporate Development at LinkedIn. Mr. Rabois began his career in the industry as a senior executve at PayPal and has also practced as an atorney at Sullivan &amp; Cromwell. Mr. Rabois earned his B.A. in Politcal Science from Stanford University and his J.D. from Harvard University. Mr. Rabois was selected to serve on our Board due to his experience as an executve of a payment processing platorm, his experience as a venture capitalist, and his legal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-1043305</wp:posOffset>
            </wp:positionV>
            <wp:extent cx="1071245" cy="986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712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20"/>
          </w:cols>
          <w:pgMar w:left="320" w:top="1396" w:right="359" w:bottom="1440" w:gutter="0" w:footer="0" w:header="0"/>
        </w:sectPr>
      </w:pPr>
    </w:p>
    <w:bookmarkStart w:id="10" w:name="page11"/>
    <w:bookmarkEnd w:id="10"/>
    <w:p>
      <w:pPr>
        <w:spacing w:after="0"/>
        <w:rPr>
          <w:sz w:val="20"/>
          <w:szCs w:val="20"/>
          <w:color w:val="auto"/>
        </w:rPr>
      </w:pPr>
      <w:r>
        <w:rPr>
          <w:rFonts w:ascii="Calibri" w:cs="Calibri" w:eastAsia="Calibri" w:hAnsi="Calibri"/>
          <w:sz w:val="22"/>
          <w:szCs w:val="22"/>
          <w:b w:val="1"/>
          <w:bCs w:val="1"/>
          <w:color w:val="auto"/>
        </w:rPr>
        <w:t>Directors Contnuing in Ofce - Class I (Term Ending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both"/>
        <w:ind w:left="2600"/>
        <w:spacing w:after="0" w:line="235" w:lineRule="auto"/>
        <w:rPr>
          <w:sz w:val="20"/>
          <w:szCs w:val="20"/>
          <w:color w:val="auto"/>
        </w:rPr>
      </w:pPr>
      <w:r>
        <w:rPr>
          <w:rFonts w:ascii="Calibri" w:cs="Calibri" w:eastAsia="Calibri" w:hAnsi="Calibri"/>
          <w:sz w:val="18"/>
          <w:szCs w:val="18"/>
          <w:b w:val="1"/>
          <w:bCs w:val="1"/>
          <w:color w:val="auto"/>
        </w:rPr>
        <w:t xml:space="preserve">Libor Michalek </w:t>
      </w:r>
      <w:r>
        <w:rPr>
          <w:rFonts w:ascii="Calibri" w:cs="Calibri" w:eastAsia="Calibri" w:hAnsi="Calibri"/>
          <w:sz w:val="18"/>
          <w:szCs w:val="18"/>
          <w:color w:val="auto"/>
        </w:rPr>
        <w:t>has served as a member of our Board since May 2021. Mr. Michalek has served as our President,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Technology, Risk and Operatons since May 2021 and previously served as our President, Technology from 2018 to May 2021. Mr. Michalek served as the Company’s Chief Technology Ofcer from 2015 to 2018. Prior to joining the Company, Mr. Michalek served as an Engineering Director at YouTube and Google. Prior to that, Mr. Michalek served as the Chief Technology Ofcer of Slide, a personal media-sharing service, which was acquired by Google in 2010. Mr. Michalek has also served in management positons at Topspin, Egroups, Talarian, Thinking Machines Corporaton, and the Natonal Center for Supercomputng Applicatons. Mr. Michalek earned his B.S. in Computer Science from University of Illinois at Urbana-Champaign. Mr. Michalek was selected to serve on our Board due to his deep sofware, systems, security, machine learning, and engineering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-1085850</wp:posOffset>
            </wp:positionV>
            <wp:extent cx="1071245" cy="1071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71245" cy="1071880"/>
                    </a:xfrm>
                    <a:prstGeom prst="rect">
                      <a:avLst/>
                    </a:prstGeom>
                    <a:noFill/>
                  </pic:spPr>
                </pic:pic>
              </a:graphicData>
            </a:graphic>
          </wp:anchor>
        </w:drawing>
      </w:r>
    </w:p>
    <w:p>
      <w:pPr>
        <w:spacing w:after="0" w:line="298" w:lineRule="exact"/>
        <w:rPr>
          <w:sz w:val="20"/>
          <w:szCs w:val="20"/>
          <w:color w:val="auto"/>
        </w:rPr>
      </w:pPr>
    </w:p>
    <w:p>
      <w:pPr>
        <w:jc w:val="both"/>
        <w:ind w:left="2600"/>
        <w:spacing w:after="0" w:line="249" w:lineRule="auto"/>
        <w:rPr>
          <w:sz w:val="20"/>
          <w:szCs w:val="20"/>
          <w:color w:val="auto"/>
        </w:rPr>
      </w:pPr>
      <w:r>
        <w:rPr>
          <w:rFonts w:ascii="Calibri" w:cs="Calibri" w:eastAsia="Calibri" w:hAnsi="Calibri"/>
          <w:sz w:val="17"/>
          <w:szCs w:val="17"/>
          <w:b w:val="1"/>
          <w:bCs w:val="1"/>
          <w:color w:val="auto"/>
        </w:rPr>
        <w:t xml:space="preserve">Jacqueline D. Reses </w:t>
      </w:r>
      <w:r>
        <w:rPr>
          <w:rFonts w:ascii="Calibri" w:cs="Calibri" w:eastAsia="Calibri" w:hAnsi="Calibri"/>
          <w:sz w:val="17"/>
          <w:szCs w:val="17"/>
          <w:color w:val="auto"/>
        </w:rPr>
        <w:t>has served as a member of our Board since January 2021. Ms. Reses has served as the Chief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Executve Ofcer of Lead Bank since 2021. From October 2015 to October 2020, Ms. Reses served as Square Capital Lead of Block, Inc., a fnancial services and technology company, and Executve Chairman of its bank, Square Financial Services. From September 2012 to October 2015, Ms. Reses served as Chief Development Ofcer of Yahoo! Inc. Prior to Yahoo, Ms. Reses served as the head of the U.S. media group at Apax Partners Worldwide LLP, which she joined in 2001. Ms. Reses also spent seven years at Goldman Sachs in mergers and acquisitons and the principal investment area. Ms. Reses is currently on the board of directors of Endeavor Group Holdings Inc., Nu Holdings Ltd. and TaskUS, Inc. She previously served as Executve Chair of ContextLogic Inc. and on the board of directors of Pershing Square Tontne Holdings, Ltd., Alibaba Group Holdings Limited, Social Capital Hedosophia Holdings Corp. and Social Capital Hedosophia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-812800</wp:posOffset>
            </wp:positionV>
            <wp:extent cx="1071880" cy="1071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jc w:val="both"/>
        <w:ind w:left="2600" w:firstLine="4"/>
        <w:spacing w:after="0" w:line="235" w:lineRule="auto"/>
        <w:tabs>
          <w:tab w:leader="none" w:pos="2821"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Ms. Reses is also the Chair of the Economic Advisory Council of the Federal Reserve Bank of San Francisco and sits on the Wharton School Board of Advisors. Ms. Reses received a bachelor’s degree in economics with honors from the Wharton School of the University of Pennsylvania. Ms. Reses was selected to serve on our Board due to her experience as a director of various public companies and her leadership experience at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165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294" w:lineRule="exact"/>
        <w:rPr>
          <w:sz w:val="20"/>
          <w:szCs w:val="20"/>
          <w:color w:val="auto"/>
        </w:rPr>
      </w:pPr>
    </w:p>
    <w:p>
      <w:pPr>
        <w:jc w:val="both"/>
        <w:ind w:left="2600"/>
        <w:spacing w:after="0" w:line="249" w:lineRule="auto"/>
        <w:rPr>
          <w:sz w:val="20"/>
          <w:szCs w:val="20"/>
          <w:color w:val="auto"/>
        </w:rPr>
      </w:pPr>
      <w:r>
        <w:rPr>
          <w:rFonts w:ascii="Calibri" w:cs="Calibri" w:eastAsia="Calibri" w:hAnsi="Calibri"/>
          <w:sz w:val="17"/>
          <w:szCs w:val="17"/>
          <w:b w:val="1"/>
          <w:bCs w:val="1"/>
          <w:color w:val="auto"/>
        </w:rPr>
        <w:t xml:space="preserve">Noel Watson </w:t>
      </w:r>
      <w:r>
        <w:rPr>
          <w:rFonts w:ascii="Calibri" w:cs="Calibri" w:eastAsia="Calibri" w:hAnsi="Calibri"/>
          <w:sz w:val="17"/>
          <w:szCs w:val="17"/>
          <w:color w:val="auto"/>
        </w:rPr>
        <w:t>has served as a member of our Board since September 2022. Mr. Watson has served as the Chief Financial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Ofcer of LegalZoom, an online platorm for legal and compliance solutons, since November 2020. Prior to joining LegalZoom, Mr. Watson served as Chief Financial Ofcer at TrueCar, Inc from June 2019 to November 2020. From April 2006 to June 2019, Mr. Watson served in roles of increasing responsibility at TripAdvisor, Inc., including as Vice President</w:t>
      </w:r>
    </w:p>
    <w:p>
      <w:pPr>
        <w:spacing w:after="0" w:line="3" w:lineRule="exact"/>
        <w:rPr>
          <w:sz w:val="20"/>
          <w:szCs w:val="20"/>
          <w:color w:val="auto"/>
        </w:rPr>
      </w:pPr>
    </w:p>
    <w:p>
      <w:pPr>
        <w:jc w:val="both"/>
        <w:ind w:left="2600" w:firstLine="4"/>
        <w:spacing w:after="0" w:line="235" w:lineRule="auto"/>
        <w:tabs>
          <w:tab w:leader="none" w:pos="270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Finance and Chief Accountng Ofcer. Mr. Watson previously served as member of the Board of Directors and Chair of the Audit Commitee of Zynga Inc. Mr. Watson holds a B.S. in accountng from Bryant University. Mr. Watson was selected to serve on our Board due to his fnancial expertse and his experience on a public company audit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20"/>
          </w:cols>
          <w:pgMar w:left="320" w:top="1396" w:right="359" w:bottom="1440" w:gutter="0" w:footer="0" w:header="0"/>
        </w:sectPr>
      </w:pPr>
    </w:p>
    <w:bookmarkStart w:id="11" w:name="page12"/>
    <w:bookmarkEnd w:id="11"/>
    <w:p>
      <w:pPr>
        <w:spacing w:after="0"/>
        <w:rPr>
          <w:sz w:val="20"/>
          <w:szCs w:val="20"/>
          <w:color w:val="auto"/>
        </w:rPr>
      </w:pPr>
      <w:r>
        <w:rPr>
          <w:rFonts w:ascii="Calibri" w:cs="Calibri" w:eastAsia="Calibri" w:hAnsi="Calibri"/>
          <w:sz w:val="22"/>
          <w:szCs w:val="22"/>
          <w:b w:val="1"/>
          <w:bCs w:val="1"/>
          <w:color w:val="auto"/>
        </w:rPr>
        <w:t>Directors Contnuing in Ofce - Class III (Term Ending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jc w:val="both"/>
        <w:ind w:left="2600"/>
        <w:spacing w:after="0" w:line="229" w:lineRule="auto"/>
        <w:rPr>
          <w:sz w:val="20"/>
          <w:szCs w:val="20"/>
          <w:color w:val="auto"/>
        </w:rPr>
      </w:pPr>
      <w:r>
        <w:rPr>
          <w:rFonts w:ascii="Calibri" w:cs="Calibri" w:eastAsia="Calibri" w:hAnsi="Calibri"/>
          <w:sz w:val="17"/>
          <w:szCs w:val="17"/>
          <w:b w:val="1"/>
          <w:bCs w:val="1"/>
          <w:color w:val="auto"/>
        </w:rPr>
        <w:t xml:space="preserve">Max Levchin </w:t>
      </w:r>
      <w:r>
        <w:rPr>
          <w:rFonts w:ascii="Calibri" w:cs="Calibri" w:eastAsia="Calibri" w:hAnsi="Calibri"/>
          <w:sz w:val="17"/>
          <w:szCs w:val="17"/>
          <w:color w:val="auto"/>
        </w:rPr>
        <w:t>is our Founder and has served as our Chairman and Chief Executve Ofcer (“CEO”) since our founding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2012. Afrm was spun out of 2012 MRL Investments LLC (f/k/a HVF, LLC) (“HVF”), an exploraton company Mr. Levchin founded in 2011 to create and fund companies that leveraged large data sets in new ways. At HVF, Mr. Levchin also founded Glow, a women’s health company, where he remains on the board of directors. Prior to HVF, Mr. Levchin founded and was Chief Executve Ofcer of Slide, a personal media-sharing service. Slide was acquired by Google in 2010. Slide was created at MRL Ventures Inc. (“MRL”), an earlier exploraton company Mr. Levchin founded in 2004, to create and fund companies that leveraged the emergence of social media. At MRL, Mr. Levchin also helped create Yelp Inc., a consumer internet company, where he served as chairman of its board of directors from its founding in 2005 untl July 2015. Prior to MRL, Mr. Levchin co-founded PayPal, where he served as Chief Technology Ofcer from its founding untl its sale to eBay in 2003. Mr. Levchin also served on the board for Yahoo! Inc., an internet company, from 2012 untl 2015. Mr. Levchin was born in Kiev, Ukraine before moving to the United States and setling in Chicago in 1991. Mr. Levchin holds a B.S. in Computer Science from University of Illinois at Urbana-Champaign, where he founded and led four other technology startups. Mr. Levchin was selected to serve on our Board because of the perspectve and experience he brings as our Founder and CEO, as well as his experience as a founder of several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-1351280</wp:posOffset>
            </wp:positionV>
            <wp:extent cx="1071245" cy="1071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71245" cy="1071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080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pacing w:after="0" w:line="286" w:lineRule="exact"/>
        <w:rPr>
          <w:sz w:val="20"/>
          <w:szCs w:val="20"/>
          <w:color w:val="auto"/>
        </w:rPr>
      </w:pPr>
    </w:p>
    <w:p>
      <w:pPr>
        <w:jc w:val="both"/>
        <w:ind w:left="2600"/>
        <w:spacing w:after="0" w:line="218" w:lineRule="auto"/>
        <w:rPr>
          <w:sz w:val="20"/>
          <w:szCs w:val="20"/>
          <w:color w:val="auto"/>
        </w:rPr>
      </w:pPr>
      <w:r>
        <w:rPr>
          <w:rFonts w:ascii="Calibri" w:cs="Calibri" w:eastAsia="Calibri" w:hAnsi="Calibri"/>
          <w:sz w:val="18"/>
          <w:szCs w:val="18"/>
          <w:b w:val="1"/>
          <w:bCs w:val="1"/>
          <w:color w:val="auto"/>
        </w:rPr>
        <w:t xml:space="preserve">Jeremy Liew </w:t>
      </w:r>
      <w:r>
        <w:rPr>
          <w:rFonts w:ascii="Calibri" w:cs="Calibri" w:eastAsia="Calibri" w:hAnsi="Calibri"/>
          <w:sz w:val="18"/>
          <w:szCs w:val="18"/>
          <w:color w:val="auto"/>
        </w:rPr>
        <w:t>has served as a member of our Board since 2013. Mr. Liew has been a Partner at Lightspeed Venture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Partners, a venture capital frm, since 2006. Prior to joining Lightspeed, Mr. Liew was an executve at Netscape, AOL, Citysearch and IAC. Mr. Liew served on the board of The Honest Company, Inc. from 2011 to 2022. Mr. Liew graduated with honors with a BSc in mathematcs, and a BA in Linguistcs, from the Australian Natonal University, and with an M.B.A. from Stanford Business School. Mr. Liew was selected to serve on our Board because of his substantal experience in overseeing multple technology investments and his previous experience as a technology 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left="2600"/>
        <w:spacing w:after="0" w:line="216" w:lineRule="auto"/>
        <w:rPr>
          <w:sz w:val="20"/>
          <w:szCs w:val="20"/>
          <w:color w:val="auto"/>
        </w:rPr>
      </w:pPr>
      <w:r>
        <w:rPr>
          <w:rFonts w:ascii="Calibri" w:cs="Calibri" w:eastAsia="Calibri" w:hAnsi="Calibri"/>
          <w:sz w:val="18"/>
          <w:szCs w:val="18"/>
          <w:b w:val="1"/>
          <w:bCs w:val="1"/>
          <w:color w:val="auto"/>
        </w:rPr>
        <w:t xml:space="preserve">James D. White </w:t>
      </w:r>
      <w:r>
        <w:rPr>
          <w:rFonts w:ascii="Calibri" w:cs="Calibri" w:eastAsia="Calibri" w:hAnsi="Calibri"/>
          <w:sz w:val="18"/>
          <w:szCs w:val="18"/>
          <w:color w:val="auto"/>
        </w:rPr>
        <w:t>has served as a member of our Board since February 2021 and as our Lead Independent Director since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September 2021. Mr. White has served as Executve Chairman of Air Protein, Inc. since 2020. Mr. White served for eight years, from 2008 to 2016, as the Chairman, President and Chief Executve Ofcer of Jamba Inc. Prior to that, from 2005 to 2008, Mr. White was Senior Vice President and General Manager of Safeway, Inc., a U.S. supermarket chain. From 1983 to 2005 Mr. White held management roles at Gillete, Nestle Purina and Coca-Cola. Additonally, Mr. White currently serves on the board of directors of Adtalem Global Educaton, Panera Bread Company-JAB Holdings and Schnucks. He previously served on the board of directors of Bradshaw Home, CallidusCloud, Daymon Worldwide, Hillshire Brands and Keane Inc. His non- proft board experience includes Directors Academy, where he is a founding member and currently Board Chairman, as well as Board Chairman for Fair Trade USA. He previously served on the non-proft boards of the NASDAQ Entrepreneurial Center, The Organic Center and the Network of Executve Women. Mr. White received a B.S. degree, with a major in marketng, from The University of Missouri and an MBA from Fontbonne University. He is also a graduate of the Cornell University Food Executve Program and was a Stanford University Distnguished Careers Insttute Fellow in 2018. Mr. White was selected to serve on our Board due to his experience as a public company director and his experience as an 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-1348740</wp:posOffset>
            </wp:positionV>
            <wp:extent cx="1071880" cy="1071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1880" cy="107188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Director Independence</w:t>
      </w:r>
    </w:p>
    <w:p>
      <w:pPr>
        <w:sectPr>
          <w:pgSz w:w="11900" w:h="16838" w:orient="portrait"/>
          <w:cols w:equalWidth="0" w:num="1">
            <w:col w:w="11220"/>
          </w:cols>
          <w:pgMar w:left="320" w:top="1396" w:right="359" w:bottom="1440" w:gutter="0" w:footer="0" w:header="0"/>
        </w:sectPr>
      </w:pP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Class A common stock is listed on Nasdaq. Under the listng standards of Nasdaq, independent directors must comprise a majority of a listed company’s board of directors within a specifed period afer the completon of</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its inital public ofering. In additon, the listng standards of Nasdaq require that, subject to specifed exceptons, each member of a listed company’s audit, compensaton and nominatng and governance commitees be</w:t>
      </w:r>
    </w:p>
    <w:p>
      <w:pPr>
        <w:spacing w:after="0" w:line="415" w:lineRule="exact"/>
        <w:rPr>
          <w:sz w:val="20"/>
          <w:szCs w:val="20"/>
          <w:color w:val="auto"/>
        </w:rPr>
      </w:pPr>
    </w:p>
    <w:p>
      <w:pPr>
        <w:sectPr>
          <w:pgSz w:w="11900" w:h="16838" w:orient="portrait"/>
          <w:cols w:equalWidth="0" w:num="2">
            <w:col w:w="5420" w:space="300"/>
            <w:col w:w="5500"/>
          </w:cols>
          <w:pgMar w:left="320" w:top="139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220"/>
          </w:cols>
          <w:pgMar w:left="320" w:top="1396" w:right="359" w:bottom="1440" w:gutter="0" w:footer="0" w:header="0"/>
          <w:type w:val="continuous"/>
        </w:sectPr>
      </w:pPr>
    </w:p>
    <w:bookmarkStart w:id="12" w:name="page13"/>
    <w:bookmarkEnd w:id="12"/>
    <w:p>
      <w:pPr>
        <w:jc w:val="both"/>
        <w:spacing w:after="0" w:line="235" w:lineRule="auto"/>
        <w:rPr>
          <w:sz w:val="20"/>
          <w:szCs w:val="20"/>
          <w:color w:val="auto"/>
        </w:rPr>
      </w:pPr>
      <w:r>
        <w:rPr>
          <w:rFonts w:ascii="Calibri" w:cs="Calibri" w:eastAsia="Calibri" w:hAnsi="Calibri"/>
          <w:sz w:val="18"/>
          <w:szCs w:val="18"/>
          <w:color w:val="auto"/>
        </w:rPr>
        <w:t>independent. Audit commitee members and compensaton commitee members must also satsfy the independence criteria set forth in Rule 10A-3 and Rule 10C-1, respectvely, under the Securites Exchange Act of 1934, as amended (the “Exchange Act”). Under the listng standards of Nasdaq, a director will only qualify as an “independent director” if, in the opinion of that company’s board of directors, that person does not have a relatonship that would interfere with the exercise of independent judgment in carrying out the responsibilites of a director.</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undertaken a review of the independence of each director and has determined that each of Mses. Ming, Quarles and Reses and Messrs. Liew, Rabois, Watson and White is “independent” as that term is</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Calibri" w:cs="Calibri" w:eastAsia="Calibri" w:hAnsi="Calibri"/>
          <w:sz w:val="18"/>
          <w:szCs w:val="18"/>
          <w:color w:val="auto"/>
        </w:rPr>
        <w:t>defned under the listng standards of Nasdaq. Our Board also determined that Jeremy G. Philips, who did not stand for re-electon at our 2021 annual meetng, was independent during the tme that he served as a director. In making these determinatons, our Board considered the current and prior relatonships that each non-employee director has with our Company and all other facts and circumstances our Board deemed relevant in determining their independence, including the benefcial ownership of our capital stock by each non-employee director, and the transactons involving them described in the secton ttled “Certain Relatonships and Related-Party Transactons.”</w:t>
      </w:r>
    </w:p>
    <w:p>
      <w:pPr>
        <w:spacing w:after="0" w:line="1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no family relatonships among any of our directors or executve ofcers.</w:t>
      </w:r>
    </w:p>
    <w:p>
      <w:pPr>
        <w:spacing w:after="0" w:line="200" w:lineRule="exact"/>
        <w:rPr>
          <w:sz w:val="20"/>
          <w:szCs w:val="20"/>
          <w:color w:val="auto"/>
        </w:rPr>
      </w:pPr>
    </w:p>
    <w:p>
      <w:pPr>
        <w:sectPr>
          <w:pgSz w:w="11900" w:h="16838" w:orient="portrait"/>
          <w:cols w:equalWidth="0" w:num="2">
            <w:col w:w="5420" w:space="300"/>
            <w:col w:w="5400"/>
          </w:cols>
          <w:pgMar w:left="320" w:top="1413" w:right="459" w:bottom="1440" w:gutter="0" w:footer="0" w:header="0"/>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Board Leadership Structure</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Mr. Levchin, our Founder and CEO, serves as Chairman of our Board and presides over meetngs of our Board, holds such other powers, and carries out such other dutes as are customarily carried out by the chair of a board. Our independent directors bring experience, oversight, and expertse from outside of our company, while Messrs. Levchin and Michalek each bring current company-specifc experience, leadership, and insight as our Founder and Chief Executve Ofcer and President, Technology, Risk and Operatons, respectvely.</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adopted corporate governance guidelines that provide that one of our independent directors may serve as our Lead Independent Director if the Chair is not independent. Our Board has appointed Mr. White to serve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our Lead Independent Director. As Lead Independent Director, Mr. White presides over periodic meetngs of our independent directors, serves as a liaison between our Chair and our independent directors, and performs such additonal dutes as our Board may otherwise determine and delegate. Our Board believes that our existng board leadership structure is appropriate and provides independent leadership and engagement from the Lead Independent Director, while providing the beneft of having our CEO, the individual with primary responsibility for managing the company’s day-to-day operatons, chair regular Board meetngs as key business and strategic issues are discussed.</w:t>
      </w:r>
    </w:p>
    <w:p>
      <w:pPr>
        <w:spacing w:after="0" w:line="812" w:lineRule="exact"/>
        <w:rPr>
          <w:sz w:val="20"/>
          <w:szCs w:val="20"/>
          <w:color w:val="auto"/>
        </w:rPr>
      </w:pPr>
    </w:p>
    <w:p>
      <w:pPr>
        <w:sectPr>
          <w:pgSz w:w="11900" w:h="16838" w:orient="portrait"/>
          <w:cols w:equalWidth="0" w:num="2">
            <w:col w:w="5420" w:space="300"/>
            <w:col w:w="5400"/>
          </w:cols>
          <w:pgMar w:left="320" w:top="1413" w:right="45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Board and Stockholder Meetngs and Commitees</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established three standing commitees: an Audit Commitee, a Compensaton Commitee, and a Nominatng and Governance Commitee. Each of our standing commitees operates under a writen charter that complies with the applicable requirements of the Nasdaq listng standards and the applicable rules and regulatons of the SEC. Each of the charters is posted on the “</w:t>
      </w:r>
      <w:r>
        <w:rPr>
          <w:rFonts w:ascii="Calibri" w:cs="Calibri" w:eastAsia="Calibri" w:hAnsi="Calibri"/>
          <w:sz w:val="18"/>
          <w:szCs w:val="18"/>
          <w:i w:val="1"/>
          <w:iCs w:val="1"/>
          <w:color w:val="auto"/>
        </w:rPr>
        <w:t>Corporate Governance</w:t>
      </w:r>
      <w:r>
        <w:rPr>
          <w:rFonts w:ascii="Calibri" w:cs="Calibri" w:eastAsia="Calibri" w:hAnsi="Calibri"/>
          <w:sz w:val="18"/>
          <w:szCs w:val="18"/>
          <w:color w:val="auto"/>
        </w:rPr>
        <w:t>” secton of our investor relatons website at investors.afrm.com/corporate-governance/governance-overview.</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fscal year ended June 30, 2022 (“fscal 2022”), our Board held eight meetngs (including regularly scheduled and special meetngs), our Audit Commitee met eight tmes, our Compensaton Commitee met seven tmes, and our Nominatng and Governance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met fve tmes. Each director atended at least 75% of the aggregate of (i) the total number of meetngs of our Board held during the period for which he or she served as a director and (ii) the total number of meetngs held by all commitees of our Board on which he or she served during the periods that he or she served.</w:t>
      </w:r>
    </w:p>
    <w:p>
      <w:pPr>
        <w:spacing w:after="0" w:line="2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we do not have a formal policy regarding atendance by members of our Board at annual meetngs of stockholders, we encourage, but do not require, our directors to atend. All of our then current serving directors atended last year’s annual meetng of stockholders.</w:t>
      </w:r>
    </w:p>
    <w:p>
      <w:pPr>
        <w:spacing w:after="0" w:line="780" w:lineRule="exact"/>
        <w:rPr>
          <w:sz w:val="20"/>
          <w:szCs w:val="20"/>
          <w:color w:val="auto"/>
        </w:rPr>
      </w:pPr>
    </w:p>
    <w:p>
      <w:pPr>
        <w:sectPr>
          <w:pgSz w:w="11900" w:h="16838" w:orient="portrait"/>
          <w:cols w:equalWidth="0" w:num="2">
            <w:col w:w="5420" w:space="300"/>
            <w:col w:w="5400"/>
          </w:cols>
          <w:pgMar w:left="320" w:top="1413"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120"/>
          </w:cols>
          <w:pgMar w:left="320" w:top="1413" w:right="459" w:bottom="1440" w:gutter="0" w:footer="0" w:header="0"/>
          <w:type w:val="continuous"/>
        </w:sectPr>
      </w:pPr>
    </w:p>
    <w:bookmarkStart w:id="13" w:name="page14"/>
    <w:bookmarkEnd w:id="13"/>
    <w:p>
      <w:pPr>
        <w:spacing w:after="0" w:line="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Audit Commitee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Members:</w:t>
      </w:r>
    </w:p>
    <w:p>
      <w:pPr>
        <w:spacing w:after="0" w:line="1"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Christa S. Quarles Jenny J. Ming Keith Rabois Noel Watson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Calibri" w:cs="Calibri" w:eastAsia="Calibri" w:hAnsi="Calibri"/>
          <w:sz w:val="18"/>
          <w:szCs w:val="18"/>
          <w:color w:val="auto"/>
        </w:rPr>
        <w:t>Our Audit Commitee is responsible for,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-147320</wp:posOffset>
            </wp:positionV>
            <wp:extent cx="7132320" cy="3514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  selectng a qualifed frm to serve as the independent registered public accountng frm to audit our fnancial statements;</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color w:val="auto"/>
        </w:rPr>
        <w:t>–  evaluatng the independence and overseeing performance of the independent registered public accountng frm;</w:t>
      </w:r>
    </w:p>
    <w:p>
      <w:pPr>
        <w:spacing w:after="0" w:line="55" w:lineRule="exact"/>
        <w:rPr>
          <w:sz w:val="20"/>
          <w:szCs w:val="20"/>
          <w:color w:val="auto"/>
        </w:rPr>
      </w:pPr>
    </w:p>
    <w:p>
      <w:pPr>
        <w:ind w:left="240" w:hanging="243"/>
        <w:spacing w:after="0" w:line="235" w:lineRule="auto"/>
        <w:rPr>
          <w:sz w:val="20"/>
          <w:szCs w:val="20"/>
          <w:color w:val="auto"/>
        </w:rPr>
      </w:pPr>
      <w:r>
        <w:rPr>
          <w:rFonts w:ascii="Calibri" w:cs="Calibri" w:eastAsia="Calibri" w:hAnsi="Calibri"/>
          <w:sz w:val="18"/>
          <w:szCs w:val="18"/>
          <w:color w:val="auto"/>
        </w:rPr>
        <w:t>– reviewing and discussing the scope and results of the audit with the independent registered public accountng frm, and reviewing, with management and the independent registered public accountng frm, our interim and year-end operatng results;</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color w:val="auto"/>
        </w:rPr>
        <w:t>–  reviewing our fnancial statements and our critcal accountng policies;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reviewing, approving, or ratfying related party transactons;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reviewing the adequacy and efectveness of our accountng and internal controls;</w:t>
      </w:r>
    </w:p>
    <w:p>
      <w:pPr>
        <w:spacing w:after="0" w:line="55" w:lineRule="exact"/>
        <w:rPr>
          <w:sz w:val="20"/>
          <w:szCs w:val="20"/>
          <w:color w:val="auto"/>
        </w:rPr>
      </w:pPr>
    </w:p>
    <w:p>
      <w:pPr>
        <w:ind w:left="240" w:hanging="243"/>
        <w:spacing w:after="0" w:line="235" w:lineRule="auto"/>
        <w:rPr>
          <w:sz w:val="20"/>
          <w:szCs w:val="20"/>
          <w:color w:val="auto"/>
        </w:rPr>
      </w:pPr>
      <w:r>
        <w:rPr>
          <w:rFonts w:ascii="Calibri" w:cs="Calibri" w:eastAsia="Calibri" w:hAnsi="Calibri"/>
          <w:sz w:val="18"/>
          <w:szCs w:val="18"/>
          <w:color w:val="auto"/>
        </w:rPr>
        <w:t>– discussing our major litgaton and fnancial risk exposures and the steps our management has taken to monitor and control these exposures, including guidelines and policies with respect to risk assessment and risk management;</w:t>
      </w:r>
    </w:p>
    <w:p>
      <w:pPr>
        <w:spacing w:after="0" w:line="55" w:lineRule="exact"/>
        <w:rPr>
          <w:sz w:val="20"/>
          <w:szCs w:val="20"/>
          <w:color w:val="auto"/>
        </w:rPr>
      </w:pPr>
    </w:p>
    <w:p>
      <w:pPr>
        <w:ind w:left="240" w:hanging="243"/>
        <w:spacing w:after="0" w:line="235" w:lineRule="auto"/>
        <w:rPr>
          <w:sz w:val="20"/>
          <w:szCs w:val="20"/>
          <w:color w:val="auto"/>
        </w:rPr>
      </w:pPr>
      <w:r>
        <w:rPr>
          <w:rFonts w:ascii="Calibri" w:cs="Calibri" w:eastAsia="Calibri" w:hAnsi="Calibri"/>
          <w:sz w:val="18"/>
          <w:szCs w:val="18"/>
          <w:color w:val="auto"/>
        </w:rPr>
        <w:t>– developing and overseeing procedures for employees to submit concerns anonymously about questonable accountng or auditng maters;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overseeing the integrity of our informaton technology systems, processes and data as well as related cybersecurity maters;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reviewing our program to monitor compliance with our Code of Ethics and Business Conduct; and</w:t>
      </w:r>
    </w:p>
    <w:p>
      <w:pPr>
        <w:spacing w:after="0" w:line="55" w:lineRule="exact"/>
        <w:rPr>
          <w:sz w:val="20"/>
          <w:szCs w:val="20"/>
          <w:color w:val="auto"/>
        </w:rPr>
      </w:pPr>
    </w:p>
    <w:p>
      <w:pPr>
        <w:sectPr>
          <w:pgSz w:w="11900" w:h="16838" w:orient="portrait"/>
          <w:cols w:equalWidth="0" w:num="2">
            <w:col w:w="1320" w:space="720"/>
            <w:col w:w="9160"/>
          </w:cols>
          <w:pgMar w:left="340" w:top="1440" w:right="359" w:bottom="1440" w:gutter="0" w:footer="0" w:header="0"/>
        </w:sectPr>
      </w:pPr>
    </w:p>
    <w:p>
      <w:pPr>
        <w:ind w:left="2280" w:hanging="243"/>
        <w:spacing w:after="0" w:line="235" w:lineRule="auto"/>
        <w:rPr>
          <w:sz w:val="20"/>
          <w:szCs w:val="20"/>
          <w:color w:val="auto"/>
        </w:rPr>
      </w:pPr>
      <w:r>
        <w:rPr>
          <w:rFonts w:ascii="Calibri" w:cs="Calibri" w:eastAsia="Calibri" w:hAnsi="Calibri"/>
          <w:sz w:val="18"/>
          <w:szCs w:val="18"/>
          <w:color w:val="auto"/>
        </w:rPr>
        <w:t>– pre-approving all audit and all permissible non-audit services, other than de minimis non-audit services, to be performed by the independent registered public accountng frm.</w:t>
      </w:r>
    </w:p>
    <w:p>
      <w:pPr>
        <w:spacing w:after="0" w:line="177" w:lineRule="exact"/>
        <w:rPr>
          <w:sz w:val="20"/>
          <w:szCs w:val="20"/>
          <w:color w:val="auto"/>
        </w:rPr>
      </w:pPr>
    </w:p>
    <w:p>
      <w:pPr>
        <w:jc w:val="both"/>
        <w:ind w:left="2040"/>
        <w:spacing w:after="0" w:line="235" w:lineRule="auto"/>
        <w:rPr>
          <w:sz w:val="20"/>
          <w:szCs w:val="20"/>
          <w:color w:val="auto"/>
        </w:rPr>
      </w:pPr>
      <w:r>
        <w:rPr>
          <w:rFonts w:ascii="Calibri" w:cs="Calibri" w:eastAsia="Calibri" w:hAnsi="Calibri"/>
          <w:sz w:val="18"/>
          <w:szCs w:val="18"/>
          <w:color w:val="auto"/>
        </w:rPr>
        <w:t>Each member of our Audit Commitee meets the requirements for independence under the listng standards of Nasdaq and the applicable rules and regulatons of the SEC. Each member of our Audit Commitee also meets the fnancial literacy and sophistcaton requirements of the listng standards of Nasdaq. In additon, our Board has determined that Ms. Quarles and Mr. Watson are audit commitee fnancial experts within the meaning of Item 407(d) of Regulaton S-K under the Securites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Compensaton Commitee  </w:t>
      </w:r>
      <w:r>
        <w:rPr>
          <w:rFonts w:ascii="Calibri" w:cs="Calibri" w:eastAsia="Calibri" w:hAnsi="Calibri"/>
          <w:sz w:val="18"/>
          <w:szCs w:val="18"/>
          <w:color w:val="auto"/>
        </w:rPr>
        <w:t>Our Compensaton Commitee is responsible for, among other things:</w:t>
      </w:r>
    </w:p>
    <w:p>
      <w:pPr>
        <w:spacing w:after="0" w:line="1" w:lineRule="exact"/>
        <w:rPr>
          <w:sz w:val="20"/>
          <w:szCs w:val="20"/>
          <w:color w:val="auto"/>
        </w:rPr>
      </w:pPr>
    </w:p>
    <w:p>
      <w:pPr>
        <w:ind w:left="2280" w:hanging="243"/>
        <w:spacing w:after="0" w:line="235" w:lineRule="auto"/>
        <w:rPr>
          <w:sz w:val="20"/>
          <w:szCs w:val="20"/>
          <w:color w:val="auto"/>
        </w:rPr>
      </w:pPr>
      <w:r>
        <w:rPr>
          <w:rFonts w:ascii="Calibri" w:cs="Calibri" w:eastAsia="Calibri" w:hAnsi="Calibri"/>
          <w:sz w:val="18"/>
          <w:szCs w:val="18"/>
          <w:color w:val="auto"/>
        </w:rPr>
        <w:t>– reviewing, approving and determining, or making recommendatons to our Board regarding, the compensaton of our executve ofcers;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20"/>
                <w:szCs w:val="20"/>
                <w:color w:val="auto"/>
              </w:rPr>
            </w:pPr>
            <w:r>
              <w:rPr>
                <w:rFonts w:ascii="Calibri" w:cs="Calibri" w:eastAsia="Calibri" w:hAnsi="Calibri"/>
                <w:sz w:val="18"/>
                <w:szCs w:val="18"/>
                <w:b w:val="1"/>
                <w:bCs w:val="1"/>
                <w:color w:val="auto"/>
              </w:rPr>
              <w:t>Members:</w:t>
            </w:r>
          </w:p>
        </w:tc>
        <w:tc>
          <w:tcPr>
            <w:tcW w:w="500" w:type="dxa"/>
            <w:vAlign w:val="bottom"/>
          </w:tcPr>
          <w:p>
            <w:pPr>
              <w:ind w:left="340"/>
              <w:spacing w:after="0"/>
              <w:rPr>
                <w:sz w:val="20"/>
                <w:szCs w:val="20"/>
                <w:color w:val="auto"/>
              </w:rPr>
            </w:pPr>
            <w:r>
              <w:rPr>
                <w:rFonts w:ascii="Calibri" w:cs="Calibri" w:eastAsia="Calibri" w:hAnsi="Calibri"/>
                <w:sz w:val="18"/>
                <w:szCs w:val="18"/>
                <w:color w:val="auto"/>
              </w:rPr>
              <w:t>–</w:t>
            </w:r>
          </w:p>
        </w:tc>
        <w:tc>
          <w:tcPr>
            <w:tcW w:w="9000" w:type="dxa"/>
            <w:vAlign w:val="bottom"/>
          </w:tcPr>
          <w:p>
            <w:pPr>
              <w:ind w:left="60"/>
              <w:spacing w:after="0"/>
              <w:rPr>
                <w:sz w:val="20"/>
                <w:szCs w:val="20"/>
                <w:color w:val="auto"/>
              </w:rPr>
            </w:pPr>
            <w:r>
              <w:rPr>
                <w:rFonts w:ascii="Calibri" w:cs="Calibri" w:eastAsia="Calibri" w:hAnsi="Calibri"/>
                <w:sz w:val="18"/>
                <w:szCs w:val="18"/>
                <w:color w:val="auto"/>
              </w:rPr>
              <w:t>evaluatng annually the performance of our CEO and making recommendatons to the independent directors regarding the</w:t>
            </w:r>
          </w:p>
        </w:tc>
        <w:tc>
          <w:tcPr>
            <w:tcW w:w="0" w:type="dxa"/>
            <w:vAlign w:val="bottom"/>
          </w:tcPr>
          <w:p>
            <w:pPr>
              <w:spacing w:after="0"/>
              <w:rPr>
                <w:sz w:val="1"/>
                <w:szCs w:val="1"/>
                <w:color w:val="auto"/>
              </w:rPr>
            </w:pPr>
          </w:p>
        </w:tc>
      </w:tr>
      <w:tr>
        <w:trPr>
          <w:trHeight w:val="216"/>
        </w:trPr>
        <w:tc>
          <w:tcPr>
            <w:tcW w:w="1700" w:type="dxa"/>
            <w:vAlign w:val="bottom"/>
          </w:tcPr>
          <w:p>
            <w:pPr>
              <w:spacing w:after="0" w:line="216" w:lineRule="exact"/>
              <w:rPr>
                <w:sz w:val="20"/>
                <w:szCs w:val="20"/>
                <w:color w:val="auto"/>
              </w:rPr>
            </w:pPr>
            <w:r>
              <w:rPr>
                <w:rFonts w:ascii="Calibri" w:cs="Calibri" w:eastAsia="Calibri" w:hAnsi="Calibri"/>
                <w:sz w:val="18"/>
                <w:szCs w:val="18"/>
                <w:color w:val="auto"/>
              </w:rPr>
              <w:t>Jeremy Liew</w:t>
            </w:r>
          </w:p>
        </w:tc>
        <w:tc>
          <w:tcPr>
            <w:tcW w:w="500" w:type="dxa"/>
            <w:vAlign w:val="bottom"/>
          </w:tcPr>
          <w:p>
            <w:pPr>
              <w:spacing w:after="0"/>
              <w:rPr>
                <w:sz w:val="18"/>
                <w:szCs w:val="18"/>
                <w:color w:val="auto"/>
              </w:rPr>
            </w:pPr>
          </w:p>
        </w:tc>
        <w:tc>
          <w:tcPr>
            <w:tcW w:w="9000" w:type="dxa"/>
            <w:vAlign w:val="bottom"/>
          </w:tcPr>
          <w:p>
            <w:pPr>
              <w:ind w:left="80"/>
              <w:spacing w:after="0" w:line="216" w:lineRule="exact"/>
              <w:rPr>
                <w:sz w:val="20"/>
                <w:szCs w:val="20"/>
                <w:color w:val="auto"/>
              </w:rPr>
            </w:pPr>
            <w:r>
              <w:rPr>
                <w:rFonts w:ascii="Calibri" w:cs="Calibri" w:eastAsia="Calibri" w:hAnsi="Calibri"/>
                <w:sz w:val="18"/>
                <w:szCs w:val="18"/>
                <w:color w:val="auto"/>
              </w:rPr>
              <w:t>CEO’s compensaton;</w:t>
            </w:r>
          </w:p>
        </w:tc>
        <w:tc>
          <w:tcPr>
            <w:tcW w:w="0" w:type="dxa"/>
            <w:vAlign w:val="bottom"/>
          </w:tcPr>
          <w:p>
            <w:pPr>
              <w:spacing w:after="0"/>
              <w:rPr>
                <w:sz w:val="1"/>
                <w:szCs w:val="1"/>
                <w:color w:val="auto"/>
              </w:rPr>
            </w:pPr>
          </w:p>
        </w:tc>
      </w:tr>
      <w:tr>
        <w:trPr>
          <w:trHeight w:val="216"/>
        </w:trPr>
        <w:tc>
          <w:tcPr>
            <w:tcW w:w="1700" w:type="dxa"/>
            <w:vAlign w:val="bottom"/>
          </w:tcPr>
          <w:p>
            <w:pPr>
              <w:spacing w:after="0" w:line="216" w:lineRule="exact"/>
              <w:rPr>
                <w:sz w:val="20"/>
                <w:szCs w:val="20"/>
                <w:color w:val="auto"/>
              </w:rPr>
            </w:pPr>
            <w:r>
              <w:rPr>
                <w:rFonts w:ascii="Calibri" w:cs="Calibri" w:eastAsia="Calibri" w:hAnsi="Calibri"/>
                <w:sz w:val="18"/>
                <w:szCs w:val="18"/>
                <w:color w:val="auto"/>
              </w:rPr>
              <w:t>Christa S. Quarles</w:t>
            </w:r>
          </w:p>
        </w:tc>
        <w:tc>
          <w:tcPr>
            <w:tcW w:w="9500" w:type="dxa"/>
            <w:vAlign w:val="bottom"/>
            <w:gridSpan w:val="2"/>
            <w:vMerge w:val="restart"/>
          </w:tcPr>
          <w:p>
            <w:pPr>
              <w:ind w:left="340"/>
              <w:spacing w:after="0"/>
              <w:rPr>
                <w:sz w:val="20"/>
                <w:szCs w:val="20"/>
                <w:color w:val="auto"/>
              </w:rPr>
            </w:pPr>
            <w:r>
              <w:rPr>
                <w:rFonts w:ascii="Calibri" w:cs="Calibri" w:eastAsia="Calibri" w:hAnsi="Calibri"/>
                <w:sz w:val="18"/>
                <w:szCs w:val="18"/>
                <w:color w:val="auto"/>
              </w:rPr>
              <w:t>–  administering our equity compensaton plans;</w:t>
            </w:r>
          </w:p>
        </w:tc>
        <w:tc>
          <w:tcPr>
            <w:tcW w:w="0" w:type="dxa"/>
            <w:vAlign w:val="bottom"/>
          </w:tcPr>
          <w:p>
            <w:pPr>
              <w:spacing w:after="0"/>
              <w:rPr>
                <w:sz w:val="1"/>
                <w:szCs w:val="1"/>
                <w:color w:val="auto"/>
              </w:rPr>
            </w:pPr>
          </w:p>
        </w:tc>
      </w:tr>
      <w:tr>
        <w:trPr>
          <w:trHeight w:val="54"/>
        </w:trPr>
        <w:tc>
          <w:tcPr>
            <w:tcW w:w="1700" w:type="dxa"/>
            <w:vAlign w:val="bottom"/>
            <w:vMerge w:val="restart"/>
          </w:tcPr>
          <w:p>
            <w:pPr>
              <w:spacing w:after="0" w:line="216" w:lineRule="exact"/>
              <w:rPr>
                <w:sz w:val="20"/>
                <w:szCs w:val="20"/>
                <w:color w:val="auto"/>
              </w:rPr>
            </w:pPr>
            <w:r>
              <w:rPr>
                <w:rFonts w:ascii="Calibri" w:cs="Calibri" w:eastAsia="Calibri" w:hAnsi="Calibri"/>
                <w:sz w:val="18"/>
                <w:szCs w:val="18"/>
                <w:color w:val="auto"/>
              </w:rPr>
              <w:t>Jacqueline D. Reses</w:t>
            </w:r>
          </w:p>
        </w:tc>
        <w:tc>
          <w:tcPr>
            <w:tcW w:w="9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500" w:type="dxa"/>
            <w:vAlign w:val="bottom"/>
            <w:vMerge w:val="restart"/>
          </w:tcPr>
          <w:p>
            <w:pPr>
              <w:ind w:left="340"/>
              <w:spacing w:after="0"/>
              <w:rPr>
                <w:sz w:val="20"/>
                <w:szCs w:val="20"/>
                <w:color w:val="auto"/>
              </w:rPr>
            </w:pPr>
            <w:r>
              <w:rPr>
                <w:rFonts w:ascii="Calibri" w:cs="Calibri" w:eastAsia="Calibri" w:hAnsi="Calibri"/>
                <w:sz w:val="18"/>
                <w:szCs w:val="18"/>
                <w:color w:val="auto"/>
              </w:rPr>
              <w:t>–</w:t>
            </w:r>
          </w:p>
        </w:tc>
        <w:tc>
          <w:tcPr>
            <w:tcW w:w="9000" w:type="dxa"/>
            <w:vAlign w:val="bottom"/>
            <w:vMerge w:val="restart"/>
          </w:tcPr>
          <w:p>
            <w:pPr>
              <w:ind w:left="60"/>
              <w:spacing w:after="0"/>
              <w:rPr>
                <w:sz w:val="20"/>
                <w:szCs w:val="20"/>
                <w:color w:val="auto"/>
              </w:rPr>
            </w:pPr>
            <w:r>
              <w:rPr>
                <w:rFonts w:ascii="Calibri" w:cs="Calibri" w:eastAsia="Calibri" w:hAnsi="Calibri"/>
                <w:sz w:val="18"/>
                <w:szCs w:val="18"/>
                <w:color w:val="auto"/>
              </w:rPr>
              <w:t>reviewing and approving and making recommendatons to our Board regarding incentve compensaton and equity</w:t>
            </w:r>
          </w:p>
        </w:tc>
        <w:tc>
          <w:tcPr>
            <w:tcW w:w="0" w:type="dxa"/>
            <w:vAlign w:val="bottom"/>
          </w:tcPr>
          <w:p>
            <w:pPr>
              <w:spacing w:after="0"/>
              <w:rPr>
                <w:sz w:val="1"/>
                <w:szCs w:val="1"/>
                <w:color w:val="auto"/>
              </w:rPr>
            </w:pPr>
          </w:p>
        </w:tc>
      </w:tr>
      <w:tr>
        <w:trPr>
          <w:trHeight w:val="108"/>
        </w:trPr>
        <w:tc>
          <w:tcPr>
            <w:tcW w:w="1700" w:type="dxa"/>
            <w:vAlign w:val="bottom"/>
            <w:vMerge w:val="restart"/>
          </w:tcPr>
          <w:p>
            <w:pPr>
              <w:spacing w:after="0" w:line="216" w:lineRule="exact"/>
              <w:rPr>
                <w:sz w:val="20"/>
                <w:szCs w:val="20"/>
                <w:color w:val="auto"/>
              </w:rPr>
            </w:pPr>
            <w:r>
              <w:rPr>
                <w:rFonts w:ascii="Calibri" w:cs="Calibri" w:eastAsia="Calibri" w:hAnsi="Calibri"/>
                <w:sz w:val="18"/>
                <w:szCs w:val="18"/>
                <w:color w:val="auto"/>
              </w:rPr>
              <w:t>James D. White</w:t>
            </w:r>
          </w:p>
        </w:tc>
        <w:tc>
          <w:tcPr>
            <w:tcW w:w="50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000" w:type="dxa"/>
            <w:vAlign w:val="bottom"/>
            <w:vMerge w:val="restart"/>
          </w:tcPr>
          <w:p>
            <w:pPr>
              <w:ind w:left="80"/>
              <w:spacing w:after="0" w:line="216" w:lineRule="exact"/>
              <w:rPr>
                <w:sz w:val="20"/>
                <w:szCs w:val="20"/>
                <w:color w:val="auto"/>
              </w:rPr>
            </w:pPr>
            <w:r>
              <w:rPr>
                <w:rFonts w:ascii="Calibri" w:cs="Calibri" w:eastAsia="Calibri" w:hAnsi="Calibri"/>
                <w:sz w:val="18"/>
                <w:szCs w:val="18"/>
                <w:color w:val="auto"/>
              </w:rPr>
              <w:t>compensaton plans;</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500" w:type="dxa"/>
            <w:vAlign w:val="bottom"/>
          </w:tcPr>
          <w:p>
            <w:pPr>
              <w:ind w:left="340"/>
              <w:spacing w:after="0"/>
              <w:rPr>
                <w:sz w:val="20"/>
                <w:szCs w:val="20"/>
                <w:color w:val="auto"/>
              </w:rPr>
            </w:pPr>
            <w:r>
              <w:rPr>
                <w:rFonts w:ascii="Calibri" w:cs="Calibri" w:eastAsia="Calibri" w:hAnsi="Calibri"/>
                <w:sz w:val="18"/>
                <w:szCs w:val="18"/>
                <w:color w:val="auto"/>
              </w:rPr>
              <w:t>–</w:t>
            </w:r>
          </w:p>
        </w:tc>
        <w:tc>
          <w:tcPr>
            <w:tcW w:w="9000" w:type="dxa"/>
            <w:vAlign w:val="bottom"/>
          </w:tcPr>
          <w:p>
            <w:pPr>
              <w:ind w:left="60"/>
              <w:spacing w:after="0"/>
              <w:rPr>
                <w:sz w:val="20"/>
                <w:szCs w:val="20"/>
                <w:color w:val="auto"/>
              </w:rPr>
            </w:pPr>
            <w:r>
              <w:rPr>
                <w:rFonts w:ascii="Calibri" w:cs="Calibri" w:eastAsia="Calibri" w:hAnsi="Calibri"/>
                <w:sz w:val="18"/>
                <w:szCs w:val="18"/>
                <w:color w:val="auto"/>
              </w:rPr>
              <w:t>developing and making recommendatons to our Board regarding succession planning for our CEO, together with the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0" w:type="dxa"/>
            <w:vAlign w:val="bottom"/>
          </w:tcPr>
          <w:p>
            <w:pPr>
              <w:ind w:left="80"/>
              <w:spacing w:after="0" w:line="216" w:lineRule="exact"/>
              <w:rPr>
                <w:sz w:val="20"/>
                <w:szCs w:val="20"/>
                <w:color w:val="auto"/>
              </w:rPr>
            </w:pPr>
            <w:r>
              <w:rPr>
                <w:rFonts w:ascii="Calibri" w:cs="Calibri" w:eastAsia="Calibri" w:hAnsi="Calibri"/>
                <w:sz w:val="18"/>
                <w:szCs w:val="18"/>
                <w:color w:val="auto"/>
              </w:rPr>
              <w:t>Nominatng and Governance Commitee, and other senior management positons;</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040" w:right="1820"/>
        <w:spacing w:after="0" w:line="292" w:lineRule="auto"/>
        <w:rPr>
          <w:sz w:val="20"/>
          <w:szCs w:val="20"/>
          <w:color w:val="auto"/>
        </w:rPr>
      </w:pPr>
      <w:r>
        <w:rPr>
          <w:rFonts w:ascii="Calibri" w:cs="Calibri" w:eastAsia="Calibri" w:hAnsi="Calibri"/>
          <w:sz w:val="18"/>
          <w:szCs w:val="18"/>
          <w:color w:val="auto"/>
        </w:rPr>
        <w:t>– establishing and reviewing general policies relatng to compensaton and benefts of our employees; – making recommendatons regarding non-employee director compensaton to our full Board; and – reviewing our key diversity initatves, policies and practces.</w:t>
      </w:r>
    </w:p>
    <w:p>
      <w:pPr>
        <w:spacing w:after="0" w:line="197" w:lineRule="exact"/>
        <w:rPr>
          <w:sz w:val="20"/>
          <w:szCs w:val="20"/>
          <w:color w:val="auto"/>
        </w:rPr>
      </w:pPr>
    </w:p>
    <w:p>
      <w:pPr>
        <w:jc w:val="both"/>
        <w:ind w:left="2040"/>
        <w:spacing w:after="0" w:line="235" w:lineRule="auto"/>
        <w:rPr>
          <w:sz w:val="20"/>
          <w:szCs w:val="20"/>
          <w:color w:val="auto"/>
        </w:rPr>
      </w:pPr>
      <w:r>
        <w:rPr>
          <w:rFonts w:ascii="Calibri" w:cs="Calibri" w:eastAsia="Calibri" w:hAnsi="Calibri"/>
          <w:sz w:val="18"/>
          <w:szCs w:val="18"/>
          <w:color w:val="auto"/>
        </w:rPr>
        <w:t>Each of the members of our Compensaton Commitee meets the requirements for independence under the listng standards of Nasdaq and the applicable rules and regulatons of the SEC. Each member of the Compensaton Commitee is also a non-employee director, as defned pursuant to Rule 16b-3 promulgated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00"/>
          </w:cols>
          <w:pgMar w:left="340" w:top="1440" w:right="359" w:bottom="1440" w:gutter="0" w:footer="0" w:header="0"/>
          <w:type w:val="continuous"/>
        </w:sectPr>
      </w:pPr>
    </w:p>
    <w:bookmarkStart w:id="14" w:name="page15"/>
    <w:bookmarkEnd w:id="14"/>
    <w:p>
      <w:pPr>
        <w:spacing w:after="0" w:line="3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Nominatng and</w:t>
      </w:r>
    </w:p>
    <w:p>
      <w:pPr>
        <w:ind w:left="20"/>
        <w:spacing w:after="0" w:line="235" w:lineRule="auto"/>
        <w:rPr>
          <w:sz w:val="20"/>
          <w:szCs w:val="20"/>
          <w:color w:val="auto"/>
        </w:rPr>
      </w:pPr>
      <w:r>
        <w:rPr>
          <w:rFonts w:ascii="Calibri" w:cs="Calibri" w:eastAsia="Calibri" w:hAnsi="Calibri"/>
          <w:sz w:val="18"/>
          <w:szCs w:val="18"/>
          <w:b w:val="1"/>
          <w:bCs w:val="1"/>
          <w:color w:val="auto"/>
        </w:rPr>
        <w:t>Governance Commitee:</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Members:</w:t>
      </w:r>
    </w:p>
    <w:p>
      <w:pPr>
        <w:spacing w:after="0" w:line="1" w:lineRule="exact"/>
        <w:rPr>
          <w:sz w:val="20"/>
          <w:szCs w:val="20"/>
          <w:color w:val="auto"/>
        </w:rPr>
      </w:pPr>
    </w:p>
    <w:p>
      <w:pPr>
        <w:ind w:left="20" w:right="680"/>
        <w:spacing w:after="0" w:line="254" w:lineRule="auto"/>
        <w:rPr>
          <w:sz w:val="20"/>
          <w:szCs w:val="20"/>
          <w:color w:val="auto"/>
        </w:rPr>
      </w:pPr>
      <w:r>
        <w:rPr>
          <w:rFonts w:ascii="Calibri" w:cs="Calibri" w:eastAsia="Calibri" w:hAnsi="Calibri"/>
          <w:sz w:val="17"/>
          <w:szCs w:val="17"/>
          <w:color w:val="auto"/>
        </w:rPr>
        <w:t>James D. White Jeremy Liew Jenny J. Ming</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Calibri" w:cs="Calibri" w:eastAsia="Calibri" w:hAnsi="Calibri"/>
          <w:sz w:val="18"/>
          <w:szCs w:val="18"/>
          <w:color w:val="auto"/>
        </w:rPr>
        <w:t>Our Nominatng and Governance Commitee is responsible for,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-147320</wp:posOffset>
            </wp:positionV>
            <wp:extent cx="7132320" cy="1929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29130"/>
                    </a:xfrm>
                    <a:prstGeom prst="rect">
                      <a:avLst/>
                    </a:prstGeom>
                    <a:noFill/>
                  </pic:spPr>
                </pic:pic>
              </a:graphicData>
            </a:graphic>
          </wp:anchor>
        </w:drawing>
      </w:r>
    </w:p>
    <w:p>
      <w:pPr>
        <w:ind w:left="240" w:hanging="243"/>
        <w:spacing w:after="0" w:line="235" w:lineRule="auto"/>
        <w:rPr>
          <w:sz w:val="20"/>
          <w:szCs w:val="20"/>
          <w:color w:val="auto"/>
        </w:rPr>
      </w:pPr>
      <w:r>
        <w:rPr>
          <w:rFonts w:ascii="Calibri" w:cs="Calibri" w:eastAsia="Calibri" w:hAnsi="Calibri"/>
          <w:sz w:val="18"/>
          <w:szCs w:val="18"/>
          <w:color w:val="auto"/>
        </w:rPr>
        <w:t>– identfying, evaluatng and selectng, or making recommendatons to our Board regarding, nominees for electon to our Board and its commitees;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evaluatng the performance of our Board;</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considering and making recommendatons to our Board regarding the compositon of our Board and its commitees;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recommending to the independent directors an independent director to serve as Lead Independent Director;</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color w:val="auto"/>
        </w:rPr>
        <w:t>–  developing, reviewing, or making recommendatons to our Board regarding corporate governance principles;</w:t>
      </w:r>
    </w:p>
    <w:p>
      <w:pPr>
        <w:spacing w:after="0" w:line="55" w:lineRule="exact"/>
        <w:rPr>
          <w:sz w:val="20"/>
          <w:szCs w:val="20"/>
          <w:color w:val="auto"/>
        </w:rPr>
      </w:pPr>
    </w:p>
    <w:p>
      <w:pPr>
        <w:ind w:left="240" w:hanging="243"/>
        <w:spacing w:after="0" w:line="235" w:lineRule="auto"/>
        <w:rPr>
          <w:sz w:val="20"/>
          <w:szCs w:val="20"/>
          <w:color w:val="auto"/>
        </w:rPr>
      </w:pPr>
      <w:r>
        <w:rPr>
          <w:rFonts w:ascii="Calibri" w:cs="Calibri" w:eastAsia="Calibri" w:hAnsi="Calibri"/>
          <w:sz w:val="18"/>
          <w:szCs w:val="18"/>
          <w:color w:val="auto"/>
        </w:rPr>
        <w:t>– together with the Compensaton Commitee, developing and making recommendatons to our Board regarding succession planning for our CEO; and</w:t>
      </w:r>
    </w:p>
    <w:p>
      <w:pPr>
        <w:spacing w:after="0" w:line="55" w:lineRule="exact"/>
        <w:rPr>
          <w:sz w:val="20"/>
          <w:szCs w:val="20"/>
          <w:color w:val="auto"/>
        </w:rPr>
      </w:pPr>
    </w:p>
    <w:p>
      <w:pPr>
        <w:spacing w:after="0"/>
        <w:rPr>
          <w:sz w:val="20"/>
          <w:szCs w:val="20"/>
          <w:color w:val="auto"/>
        </w:rPr>
      </w:pPr>
      <w:r>
        <w:rPr>
          <w:rFonts w:ascii="Calibri" w:cs="Calibri" w:eastAsia="Calibri" w:hAnsi="Calibri"/>
          <w:sz w:val="17"/>
          <w:szCs w:val="17"/>
          <w:color w:val="auto"/>
        </w:rPr>
        <w:t>–  oversee and periodically review our environmental, social and governance ("ESG") actvites, programs and public disclosure.</w:t>
      </w:r>
    </w:p>
    <w:p>
      <w:pPr>
        <w:spacing w:after="0" w:line="6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Each of the members of our Nominatng and Governance Commitee meets the requirements for independence under the listng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32385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260"/>
            <w:col w:w="9160"/>
          </w:cols>
          <w:pgMar w:left="320" w:top="1440" w:right="359" w:bottom="1440" w:gutter="0" w:footer="0" w:header="0"/>
        </w:sectPr>
      </w:pPr>
    </w:p>
    <w:p>
      <w:pPr>
        <w:spacing w:after="0" w:line="15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Commitee Interlocks and Insider Partcipaton</w:t>
      </w:r>
    </w:p>
    <w:p>
      <w:pPr>
        <w:spacing w:after="0" w:line="153" w:lineRule="exact"/>
        <w:rPr>
          <w:sz w:val="20"/>
          <w:szCs w:val="20"/>
          <w:color w:val="auto"/>
        </w:rPr>
      </w:pPr>
    </w:p>
    <w:p>
      <w:pPr>
        <w:jc w:val="both"/>
        <w:ind w:right="100"/>
        <w:spacing w:after="0" w:line="213" w:lineRule="auto"/>
        <w:rPr>
          <w:sz w:val="20"/>
          <w:szCs w:val="20"/>
          <w:color w:val="auto"/>
        </w:rPr>
      </w:pPr>
      <w:r>
        <w:rPr>
          <w:rFonts w:ascii="Calibri" w:cs="Calibri" w:eastAsia="Calibri" w:hAnsi="Calibri"/>
          <w:sz w:val="18"/>
          <w:szCs w:val="18"/>
          <w:color w:val="auto"/>
        </w:rPr>
        <w:t>None of the members of our Compensaton Commitee is or has been an ofcer or employee of our Company. None of our executve ofcers currently serves, or in the past year has served, as a member of the board of directors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right="100"/>
        <w:spacing w:after="0" w:line="215" w:lineRule="auto"/>
        <w:rPr>
          <w:sz w:val="20"/>
          <w:szCs w:val="20"/>
          <w:color w:val="auto"/>
        </w:rPr>
      </w:pPr>
      <w:r>
        <w:rPr>
          <w:rFonts w:ascii="Calibri" w:cs="Calibri" w:eastAsia="Calibri" w:hAnsi="Calibri"/>
          <w:sz w:val="18"/>
          <w:szCs w:val="18"/>
          <w:color w:val="auto"/>
        </w:rPr>
        <w:t>compensaton commitee (or other board commitee performing equivalent functons) of any entty that has one or more executve ofcers serving on our Board or Compensaton Commitee.</w:t>
      </w:r>
    </w:p>
    <w:p>
      <w:pPr>
        <w:spacing w:after="0" w:line="389" w:lineRule="exact"/>
        <w:rPr>
          <w:sz w:val="20"/>
          <w:szCs w:val="20"/>
          <w:color w:val="auto"/>
        </w:rPr>
      </w:pPr>
    </w:p>
    <w:p>
      <w:pPr>
        <w:sectPr>
          <w:pgSz w:w="11900" w:h="16838" w:orient="portrait"/>
          <w:cols w:equalWidth="0" w:num="2">
            <w:col w:w="5520" w:space="200"/>
            <w:col w:w="5500"/>
          </w:cols>
          <w:pgMar w:left="320" w:top="1440" w:right="359" w:bottom="1440" w:gutter="0" w:footer="0" w:header="0"/>
          <w:type w:val="continuous"/>
        </w:sectPr>
      </w:pPr>
    </w:p>
    <w:p>
      <w:pPr>
        <w:spacing w:after="0" w:line="36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Individual Board Skills Matrix</w:t>
      </w:r>
    </w:p>
    <w:p>
      <w:pPr>
        <w:spacing w:after="0" w:line="182" w:lineRule="exact"/>
        <w:rPr>
          <w:sz w:val="20"/>
          <w:szCs w:val="20"/>
          <w:color w:val="auto"/>
        </w:rPr>
      </w:pPr>
    </w:p>
    <w:p>
      <w:pPr>
        <w:jc w:val="both"/>
        <w:spacing w:after="0" w:line="212" w:lineRule="auto"/>
        <w:rPr>
          <w:sz w:val="20"/>
          <w:szCs w:val="20"/>
          <w:color w:val="auto"/>
        </w:rPr>
      </w:pPr>
      <w:r>
        <w:rPr>
          <w:rFonts w:ascii="Calibri" w:cs="Calibri" w:eastAsia="Calibri" w:hAnsi="Calibri"/>
          <w:sz w:val="18"/>
          <w:szCs w:val="18"/>
          <w:color w:val="auto"/>
        </w:rPr>
        <w:t>The Board is commited to ensuring it has a relevant diversity of skills and experience to oversee the Company, its management, its strategic plan and the executon of that plan. The Board believes that our director nominees, as a group, represent an efectve mix of skills, experience, diversity and fresh perspectves. The following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100"/>
        <w:spacing w:after="0" w:line="215" w:lineRule="auto"/>
        <w:rPr>
          <w:sz w:val="20"/>
          <w:szCs w:val="20"/>
          <w:color w:val="auto"/>
        </w:rPr>
      </w:pPr>
      <w:r>
        <w:rPr>
          <w:rFonts w:ascii="Calibri" w:cs="Calibri" w:eastAsia="Calibri" w:hAnsi="Calibri"/>
          <w:sz w:val="18"/>
          <w:szCs w:val="18"/>
          <w:color w:val="auto"/>
        </w:rPr>
        <w:t xml:space="preserve">summarizes the key skills, experience, diversity and other qualifcatons of our directors. The director biographies beginning on page </w:t>
      </w:r>
      <w:r>
        <w:rPr>
          <w:rFonts w:ascii="Calibri" w:cs="Calibri" w:eastAsia="Calibri" w:hAnsi="Calibri"/>
          <w:sz w:val="18"/>
          <w:szCs w:val="18"/>
          <w:u w:val="single" w:color="auto"/>
          <w:color w:val="0000FF"/>
        </w:rPr>
        <w:t>6</w:t>
      </w:r>
      <w:r>
        <w:rPr>
          <w:rFonts w:ascii="Calibri" w:cs="Calibri" w:eastAsia="Calibri" w:hAnsi="Calibri"/>
          <w:sz w:val="18"/>
          <w:szCs w:val="18"/>
          <w:color w:val="auto"/>
        </w:rPr>
        <w:t xml:space="preserve"> </w:t>
      </w:r>
      <w:r>
        <w:rPr>
          <w:rFonts w:ascii="Calibri" w:cs="Calibri" w:eastAsia="Calibri" w:hAnsi="Calibri"/>
          <w:sz w:val="18"/>
          <w:szCs w:val="18"/>
          <w:color w:val="auto"/>
          <w:highlight w:val="white"/>
        </w:rPr>
        <w:t>describe each</w:t>
      </w:r>
      <w:r>
        <w:rPr>
          <w:rFonts w:ascii="Calibri" w:cs="Calibri" w:eastAsia="Calibri" w:hAnsi="Calibri"/>
          <w:sz w:val="18"/>
          <w:szCs w:val="18"/>
          <w:color w:val="auto"/>
        </w:rPr>
        <w:t xml:space="preserve"> director’s background and relevant experience in more detail.</w:t>
      </w:r>
    </w:p>
    <w:p>
      <w:pPr>
        <w:spacing w:after="0" w:line="579"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11</w:t>
      </w:r>
    </w:p>
    <w:p>
      <w:pPr>
        <w:sectPr>
          <w:pgSz w:w="11900" w:h="16838" w:orient="portrait"/>
          <w:cols w:equalWidth="0" w:num="1">
            <w:col w:w="11220"/>
          </w:cols>
          <w:pgMar w:left="320" w:top="1440" w:right="35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0"/>
        </w:trPr>
        <w:tc>
          <w:tcPr>
            <w:tcW w:w="3120" w:type="dxa"/>
            <w:vAlign w:val="bottom"/>
            <w:shd w:val="clear" w:color="auto" w:fill="DBDBDB"/>
          </w:tcPr>
          <w:p>
            <w:pPr>
              <w:ind w:left="20"/>
              <w:spacing w:after="0"/>
              <w:rPr>
                <w:sz w:val="20"/>
                <w:szCs w:val="20"/>
                <w:color w:val="auto"/>
              </w:rPr>
            </w:pPr>
            <w:r>
              <w:rPr>
                <w:rFonts w:ascii="Calibri" w:cs="Calibri" w:eastAsia="Calibri" w:hAnsi="Calibri"/>
                <w:sz w:val="18"/>
                <w:szCs w:val="18"/>
                <w:b w:val="1"/>
                <w:bCs w:val="1"/>
                <w:color w:val="auto"/>
              </w:rPr>
              <w:t>Experience, Expertse or Other</w:t>
            </w:r>
          </w:p>
        </w:tc>
        <w:tc>
          <w:tcPr>
            <w:tcW w:w="102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9"/>
              </w:rPr>
              <w:t>Levchin</w:t>
            </w:r>
          </w:p>
        </w:tc>
        <w:tc>
          <w:tcPr>
            <w:tcW w:w="78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8"/>
              </w:rPr>
              <w:t>Liew</w:t>
            </w:r>
          </w:p>
        </w:tc>
        <w:tc>
          <w:tcPr>
            <w:tcW w:w="110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6"/>
              </w:rPr>
              <w:t>Michalek</w:t>
            </w:r>
          </w:p>
        </w:tc>
        <w:tc>
          <w:tcPr>
            <w:tcW w:w="78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8"/>
              </w:rPr>
              <w:t>Ming</w:t>
            </w:r>
          </w:p>
        </w:tc>
        <w:tc>
          <w:tcPr>
            <w:tcW w:w="96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9"/>
              </w:rPr>
              <w:t>Quarles</w:t>
            </w:r>
          </w:p>
        </w:tc>
        <w:tc>
          <w:tcPr>
            <w:tcW w:w="86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9"/>
              </w:rPr>
              <w:t>Rabois</w:t>
            </w:r>
          </w:p>
        </w:tc>
        <w:tc>
          <w:tcPr>
            <w:tcW w:w="82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8"/>
              </w:rPr>
              <w:t>Reses</w:t>
            </w:r>
          </w:p>
        </w:tc>
        <w:tc>
          <w:tcPr>
            <w:tcW w:w="96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6"/>
              </w:rPr>
              <w:t>Watson</w:t>
            </w:r>
          </w:p>
        </w:tc>
        <w:tc>
          <w:tcPr>
            <w:tcW w:w="840" w:type="dxa"/>
            <w:vAlign w:val="bottom"/>
            <w:vMerge w:val="restart"/>
            <w:shd w:val="clear" w:color="auto" w:fill="DBDBDB"/>
          </w:tcPr>
          <w:p>
            <w:pPr>
              <w:jc w:val="center"/>
              <w:spacing w:after="0"/>
              <w:rPr>
                <w:sz w:val="20"/>
                <w:szCs w:val="20"/>
                <w:color w:val="auto"/>
              </w:rPr>
            </w:pPr>
            <w:r>
              <w:rPr>
                <w:rFonts w:ascii="Calibri" w:cs="Calibri" w:eastAsia="Calibri" w:hAnsi="Calibri"/>
                <w:sz w:val="18"/>
                <w:szCs w:val="18"/>
                <w:b w:val="1"/>
                <w:bCs w:val="1"/>
                <w:color w:val="auto"/>
                <w:w w:val="96"/>
              </w:rPr>
              <w:t>White</w:t>
            </w:r>
          </w:p>
        </w:tc>
        <w:tc>
          <w:tcPr>
            <w:tcW w:w="0" w:type="dxa"/>
            <w:vAlign w:val="bottom"/>
          </w:tcPr>
          <w:p>
            <w:pPr>
              <w:spacing w:after="0"/>
              <w:rPr>
                <w:sz w:val="1"/>
                <w:szCs w:val="1"/>
                <w:color w:val="auto"/>
              </w:rPr>
            </w:pPr>
          </w:p>
        </w:tc>
      </w:tr>
      <w:tr>
        <w:trPr>
          <w:trHeight w:val="252"/>
        </w:trPr>
        <w:tc>
          <w:tcPr>
            <w:tcW w:w="3120" w:type="dxa"/>
            <w:vAlign w:val="bottom"/>
            <w:tcBorders>
              <w:bottom w:val="single" w:sz="8" w:color="DBDBDB"/>
            </w:tcBorders>
            <w:shd w:val="clear" w:color="auto" w:fill="DBDBDB"/>
          </w:tcPr>
          <w:p>
            <w:pPr>
              <w:ind w:left="20"/>
              <w:spacing w:after="0" w:line="215" w:lineRule="exact"/>
              <w:rPr>
                <w:sz w:val="20"/>
                <w:szCs w:val="20"/>
                <w:color w:val="auto"/>
              </w:rPr>
            </w:pPr>
            <w:r>
              <w:rPr>
                <w:rFonts w:ascii="Calibri" w:cs="Calibri" w:eastAsia="Calibri" w:hAnsi="Calibri"/>
                <w:sz w:val="18"/>
                <w:szCs w:val="18"/>
                <w:b w:val="1"/>
                <w:bCs w:val="1"/>
                <w:color w:val="auto"/>
              </w:rPr>
              <w:t>Qualifcatons</w:t>
            </w:r>
          </w:p>
        </w:tc>
        <w:tc>
          <w:tcPr>
            <w:tcW w:w="1020" w:type="dxa"/>
            <w:vAlign w:val="bottom"/>
            <w:tcBorders>
              <w:bottom w:val="single" w:sz="8" w:color="DBDBDB"/>
            </w:tcBorders>
            <w:vMerge w:val="continue"/>
            <w:shd w:val="clear" w:color="auto" w:fill="DBDBDB"/>
          </w:tcPr>
          <w:p>
            <w:pPr>
              <w:spacing w:after="0"/>
              <w:rPr>
                <w:sz w:val="21"/>
                <w:szCs w:val="21"/>
                <w:color w:val="auto"/>
              </w:rPr>
            </w:pPr>
          </w:p>
        </w:tc>
        <w:tc>
          <w:tcPr>
            <w:tcW w:w="780" w:type="dxa"/>
            <w:vAlign w:val="bottom"/>
            <w:tcBorders>
              <w:bottom w:val="single" w:sz="8" w:color="DBDBDB"/>
            </w:tcBorders>
            <w:vMerge w:val="continue"/>
            <w:shd w:val="clear" w:color="auto" w:fill="DBDBDB"/>
          </w:tcPr>
          <w:p>
            <w:pPr>
              <w:spacing w:after="0"/>
              <w:rPr>
                <w:sz w:val="21"/>
                <w:szCs w:val="21"/>
                <w:color w:val="auto"/>
              </w:rPr>
            </w:pPr>
          </w:p>
        </w:tc>
        <w:tc>
          <w:tcPr>
            <w:tcW w:w="1100" w:type="dxa"/>
            <w:vAlign w:val="bottom"/>
            <w:tcBorders>
              <w:bottom w:val="single" w:sz="8" w:color="DBDBDB"/>
            </w:tcBorders>
            <w:vMerge w:val="continue"/>
            <w:shd w:val="clear" w:color="auto" w:fill="DBDBDB"/>
          </w:tcPr>
          <w:p>
            <w:pPr>
              <w:spacing w:after="0"/>
              <w:rPr>
                <w:sz w:val="21"/>
                <w:szCs w:val="21"/>
                <w:color w:val="auto"/>
              </w:rPr>
            </w:pPr>
          </w:p>
        </w:tc>
        <w:tc>
          <w:tcPr>
            <w:tcW w:w="780" w:type="dxa"/>
            <w:vAlign w:val="bottom"/>
            <w:tcBorders>
              <w:bottom w:val="single" w:sz="8" w:color="DBDBDB"/>
            </w:tcBorders>
            <w:vMerge w:val="continue"/>
            <w:shd w:val="clear" w:color="auto" w:fill="DBDBDB"/>
          </w:tcPr>
          <w:p>
            <w:pPr>
              <w:spacing w:after="0"/>
              <w:rPr>
                <w:sz w:val="21"/>
                <w:szCs w:val="21"/>
                <w:color w:val="auto"/>
              </w:rPr>
            </w:pPr>
          </w:p>
        </w:tc>
        <w:tc>
          <w:tcPr>
            <w:tcW w:w="960" w:type="dxa"/>
            <w:vAlign w:val="bottom"/>
            <w:tcBorders>
              <w:bottom w:val="single" w:sz="8" w:color="DBDBDB"/>
            </w:tcBorders>
            <w:vMerge w:val="continue"/>
            <w:shd w:val="clear" w:color="auto" w:fill="DBDBDB"/>
          </w:tcPr>
          <w:p>
            <w:pPr>
              <w:spacing w:after="0"/>
              <w:rPr>
                <w:sz w:val="21"/>
                <w:szCs w:val="21"/>
                <w:color w:val="auto"/>
              </w:rPr>
            </w:pPr>
          </w:p>
        </w:tc>
        <w:tc>
          <w:tcPr>
            <w:tcW w:w="860" w:type="dxa"/>
            <w:vAlign w:val="bottom"/>
            <w:tcBorders>
              <w:bottom w:val="single" w:sz="8" w:color="DBDBDB"/>
            </w:tcBorders>
            <w:vMerge w:val="continue"/>
            <w:shd w:val="clear" w:color="auto" w:fill="DBDBDB"/>
          </w:tcPr>
          <w:p>
            <w:pPr>
              <w:spacing w:after="0"/>
              <w:rPr>
                <w:sz w:val="21"/>
                <w:szCs w:val="21"/>
                <w:color w:val="auto"/>
              </w:rPr>
            </w:pPr>
          </w:p>
        </w:tc>
        <w:tc>
          <w:tcPr>
            <w:tcW w:w="820" w:type="dxa"/>
            <w:vAlign w:val="bottom"/>
            <w:tcBorders>
              <w:bottom w:val="single" w:sz="8" w:color="DBDBDB"/>
            </w:tcBorders>
            <w:vMerge w:val="continue"/>
            <w:shd w:val="clear" w:color="auto" w:fill="DBDBDB"/>
          </w:tcPr>
          <w:p>
            <w:pPr>
              <w:spacing w:after="0"/>
              <w:rPr>
                <w:sz w:val="21"/>
                <w:szCs w:val="21"/>
                <w:color w:val="auto"/>
              </w:rPr>
            </w:pPr>
          </w:p>
        </w:tc>
        <w:tc>
          <w:tcPr>
            <w:tcW w:w="960" w:type="dxa"/>
            <w:vAlign w:val="bottom"/>
            <w:tcBorders>
              <w:bottom w:val="single" w:sz="8" w:color="DBDBDB"/>
            </w:tcBorders>
            <w:vMerge w:val="continue"/>
            <w:shd w:val="clear" w:color="auto" w:fill="DBDBDB"/>
          </w:tcPr>
          <w:p>
            <w:pPr>
              <w:spacing w:after="0"/>
              <w:rPr>
                <w:sz w:val="21"/>
                <w:szCs w:val="21"/>
                <w:color w:val="auto"/>
              </w:rPr>
            </w:pPr>
          </w:p>
        </w:tc>
        <w:tc>
          <w:tcPr>
            <w:tcW w:w="840" w:type="dxa"/>
            <w:vAlign w:val="bottom"/>
            <w:tcBorders>
              <w:bottom w:val="single" w:sz="8" w:color="DBDBDB"/>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color w:val="auto"/>
              </w:rPr>
              <w:t>Payments, Financial Services, FinTech</w:t>
            </w:r>
          </w:p>
        </w:tc>
        <w:tc>
          <w:tcPr>
            <w:tcW w:w="10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Engineering, Technology, Innovaton</w:t>
            </w:r>
          </w:p>
        </w:tc>
        <w:tc>
          <w:tcPr>
            <w:tcW w:w="10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spacing w:after="0"/>
              <w:rPr>
                <w:sz w:val="23"/>
                <w:szCs w:val="23"/>
                <w:color w:val="auto"/>
              </w:rPr>
            </w:pP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spacing w:after="0"/>
              <w:rPr>
                <w:sz w:val="23"/>
                <w:szCs w:val="23"/>
                <w:color w:val="auto"/>
              </w:rPr>
            </w:pP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Current/Former CEO</w:t>
            </w: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3"/>
                <w:szCs w:val="23"/>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Current/Former CFO</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shd w:val="clear" w:color="auto" w:fill="DBDBDB"/>
          </w:tcPr>
          <w:p>
            <w:pPr>
              <w:spacing w:after="0"/>
              <w:rPr>
                <w:sz w:val="23"/>
                <w:szCs w:val="23"/>
                <w:color w:val="auto"/>
              </w:rPr>
            </w:pP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Audit Commitee Financial Expert</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Financial Expertse</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Operatonal Experience</w:t>
            </w: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Business Development/M&amp;A</w:t>
            </w:r>
          </w:p>
        </w:tc>
        <w:tc>
          <w:tcPr>
            <w:tcW w:w="10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Venture Capital/Private Equity</w:t>
            </w: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3"/>
                <w:szCs w:val="23"/>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Sales</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shd w:val="clear" w:color="auto" w:fill="DBDBDB"/>
          </w:tcPr>
          <w:p>
            <w:pPr>
              <w:spacing w:after="0"/>
              <w:rPr>
                <w:sz w:val="23"/>
                <w:szCs w:val="23"/>
                <w:color w:val="auto"/>
              </w:rPr>
            </w:pPr>
          </w:p>
        </w:tc>
        <w:tc>
          <w:tcPr>
            <w:tcW w:w="820" w:type="dxa"/>
            <w:vAlign w:val="bottom"/>
            <w:shd w:val="clear" w:color="auto" w:fill="DBDBDB"/>
          </w:tcPr>
          <w:p>
            <w:pPr>
              <w:spacing w:after="0"/>
              <w:rPr>
                <w:sz w:val="23"/>
                <w:szCs w:val="23"/>
                <w:color w:val="auto"/>
              </w:rPr>
            </w:pPr>
          </w:p>
        </w:tc>
        <w:tc>
          <w:tcPr>
            <w:tcW w:w="960" w:type="dxa"/>
            <w:vAlign w:val="bottom"/>
            <w:shd w:val="clear" w:color="auto" w:fill="DBDBDB"/>
          </w:tcPr>
          <w:p>
            <w:pPr>
              <w:spacing w:after="0"/>
              <w:rPr>
                <w:sz w:val="23"/>
                <w:szCs w:val="23"/>
                <w:color w:val="auto"/>
              </w:rPr>
            </w:pPr>
          </w:p>
        </w:tc>
        <w:tc>
          <w:tcPr>
            <w:tcW w:w="84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Marketng, Brand</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Bank Regulatory</w:t>
            </w:r>
          </w:p>
        </w:tc>
        <w:tc>
          <w:tcPr>
            <w:tcW w:w="10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spacing w:after="0"/>
              <w:rPr>
                <w:sz w:val="23"/>
                <w:szCs w:val="23"/>
                <w:color w:val="auto"/>
              </w:rPr>
            </w:pP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spacing w:after="0"/>
              <w:rPr>
                <w:sz w:val="23"/>
                <w:szCs w:val="23"/>
                <w:color w:val="auto"/>
              </w:rPr>
            </w:pP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Legal, Government Relatons</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3"/>
                <w:szCs w:val="23"/>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Internatonal, Global</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960" w:type="dxa"/>
            <w:vAlign w:val="bottom"/>
            <w:shd w:val="clear" w:color="auto" w:fill="DBDBDB"/>
          </w:tcPr>
          <w:p>
            <w:pPr>
              <w:spacing w:after="0"/>
              <w:rPr>
                <w:sz w:val="23"/>
                <w:szCs w:val="23"/>
                <w:color w:val="auto"/>
              </w:rPr>
            </w:pPr>
          </w:p>
        </w:tc>
        <w:tc>
          <w:tcPr>
            <w:tcW w:w="860" w:type="dxa"/>
            <w:vAlign w:val="bottom"/>
            <w:shd w:val="clear" w:color="auto" w:fill="DBDBDB"/>
          </w:tcPr>
          <w:p>
            <w:pPr>
              <w:spacing w:after="0"/>
              <w:rPr>
                <w:sz w:val="23"/>
                <w:szCs w:val="23"/>
                <w:color w:val="auto"/>
              </w:rPr>
            </w:pPr>
          </w:p>
        </w:tc>
        <w:tc>
          <w:tcPr>
            <w:tcW w:w="820" w:type="dxa"/>
            <w:vAlign w:val="bottom"/>
            <w:shd w:val="clear" w:color="auto" w:fill="DBDBDB"/>
          </w:tcPr>
          <w:p>
            <w:pPr>
              <w:spacing w:after="0"/>
              <w:rPr>
                <w:sz w:val="23"/>
                <w:szCs w:val="23"/>
                <w:color w:val="auto"/>
              </w:rPr>
            </w:pP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Cybersecurity</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Risk Management</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spacing w:after="0"/>
              <w:rPr>
                <w:sz w:val="23"/>
                <w:szCs w:val="23"/>
                <w:color w:val="auto"/>
              </w:rPr>
            </w:pP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spacing w:after="0"/>
              <w:rPr>
                <w:sz w:val="23"/>
                <w:szCs w:val="23"/>
                <w:color w:val="auto"/>
              </w:rPr>
            </w:pP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Human Capital</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8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3"/>
                <w:szCs w:val="23"/>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Government/Public Service</w:t>
            </w:r>
          </w:p>
        </w:tc>
        <w:tc>
          <w:tcPr>
            <w:tcW w:w="10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BDBDB"/>
          </w:tcPr>
          <w:p>
            <w:pPr>
              <w:spacing w:after="0"/>
              <w:rPr>
                <w:sz w:val="23"/>
                <w:szCs w:val="23"/>
                <w:color w:val="auto"/>
              </w:rPr>
            </w:pPr>
          </w:p>
        </w:tc>
        <w:tc>
          <w:tcPr>
            <w:tcW w:w="860" w:type="dxa"/>
            <w:vAlign w:val="bottom"/>
            <w:shd w:val="clear" w:color="auto" w:fill="DBDBDB"/>
          </w:tcPr>
          <w:p>
            <w:pPr>
              <w:spacing w:after="0"/>
              <w:rPr>
                <w:sz w:val="23"/>
                <w:szCs w:val="23"/>
                <w:color w:val="auto"/>
              </w:rPr>
            </w:pP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spacing w:after="0"/>
              <w:rPr>
                <w:sz w:val="23"/>
                <w:szCs w:val="23"/>
                <w:color w:val="auto"/>
              </w:rPr>
            </w:pPr>
          </w:p>
        </w:tc>
        <w:tc>
          <w:tcPr>
            <w:tcW w:w="8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Academia</w:t>
            </w: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Public Company Audit Commitee</w:t>
            </w:r>
          </w:p>
        </w:tc>
        <w:tc>
          <w:tcPr>
            <w:tcW w:w="102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Calibri" w:cs="Calibri" w:eastAsia="Calibri" w:hAnsi="Calibri"/>
                <w:sz w:val="16"/>
                <w:szCs w:val="16"/>
                <w:color w:val="auto"/>
              </w:rPr>
              <w:t>Public Company Compensaton Commitee</w:t>
            </w:r>
          </w:p>
        </w:tc>
        <w:tc>
          <w:tcPr>
            <w:tcW w:w="1020" w:type="dxa"/>
            <w:vAlign w:val="bottom"/>
          </w:tcPr>
          <w:p>
            <w:pPr>
              <w:spacing w:after="0"/>
              <w:rPr>
                <w:sz w:val="23"/>
                <w:szCs w:val="23"/>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tcPr>
          <w:p>
            <w:pPr>
              <w:spacing w:after="0"/>
              <w:rPr>
                <w:sz w:val="23"/>
                <w:szCs w:val="23"/>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tcPr>
          <w:p>
            <w:pPr>
              <w:spacing w:after="0"/>
              <w:rPr>
                <w:sz w:val="23"/>
                <w:szCs w:val="23"/>
                <w:color w:val="auto"/>
              </w:rPr>
            </w:pP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7"/>
        </w:trPr>
        <w:tc>
          <w:tcPr>
            <w:tcW w:w="3120" w:type="dxa"/>
            <w:vAlign w:val="bottom"/>
            <w:shd w:val="clear" w:color="auto" w:fill="DBDBDB"/>
          </w:tcPr>
          <w:p>
            <w:pPr>
              <w:ind w:left="20"/>
              <w:spacing w:after="0" w:line="157" w:lineRule="exact"/>
              <w:rPr>
                <w:sz w:val="20"/>
                <w:szCs w:val="20"/>
                <w:color w:val="auto"/>
              </w:rPr>
            </w:pPr>
            <w:r>
              <w:rPr>
                <w:rFonts w:ascii="Calibri" w:cs="Calibri" w:eastAsia="Calibri" w:hAnsi="Calibri"/>
                <w:sz w:val="16"/>
                <w:szCs w:val="16"/>
                <w:color w:val="auto"/>
              </w:rPr>
              <w:t>Public Company Nominatng/Governance</w:t>
            </w:r>
          </w:p>
        </w:tc>
        <w:tc>
          <w:tcPr>
            <w:tcW w:w="1020" w:type="dxa"/>
            <w:vAlign w:val="bottom"/>
            <w:shd w:val="clear" w:color="auto" w:fill="DBDBDB"/>
          </w:tcPr>
          <w:p>
            <w:pPr>
              <w:spacing w:after="0"/>
              <w:rPr>
                <w:sz w:val="13"/>
                <w:szCs w:val="13"/>
                <w:color w:val="auto"/>
              </w:rPr>
            </w:pPr>
          </w:p>
        </w:tc>
        <w:tc>
          <w:tcPr>
            <w:tcW w:w="78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0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2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6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4"/>
        </w:trPr>
        <w:tc>
          <w:tcPr>
            <w:tcW w:w="3120" w:type="dxa"/>
            <w:vAlign w:val="bottom"/>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Commitee</w:t>
            </w:r>
          </w:p>
        </w:tc>
        <w:tc>
          <w:tcPr>
            <w:tcW w:w="1020" w:type="dxa"/>
            <w:vAlign w:val="bottom"/>
            <w:shd w:val="clear" w:color="auto" w:fill="DBDBDB"/>
          </w:tcPr>
          <w:p>
            <w:pPr>
              <w:spacing w:after="0"/>
              <w:rPr>
                <w:sz w:val="16"/>
                <w:szCs w:val="16"/>
                <w:color w:val="auto"/>
              </w:rPr>
            </w:pPr>
          </w:p>
        </w:tc>
        <w:tc>
          <w:tcPr>
            <w:tcW w:w="780" w:type="dxa"/>
            <w:vAlign w:val="bottom"/>
            <w:vMerge w:val="continue"/>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860" w:type="dxa"/>
            <w:vAlign w:val="bottom"/>
            <w:vMerge w:val="continue"/>
            <w:shd w:val="clear" w:color="auto" w:fill="DBDBDB"/>
          </w:tcPr>
          <w:p>
            <w:pPr>
              <w:spacing w:after="0"/>
              <w:rPr>
                <w:sz w:val="16"/>
                <w:szCs w:val="16"/>
                <w:color w:val="auto"/>
              </w:rPr>
            </w:pPr>
          </w:p>
        </w:tc>
        <w:tc>
          <w:tcPr>
            <w:tcW w:w="820" w:type="dxa"/>
            <w:vAlign w:val="bottom"/>
            <w:vMerge w:val="continue"/>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12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Board Diversity</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matrix presents the gender and demographic diversity of our board:</w:t>
      </w: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Board Diversity Matrix as of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Total Number of Directors: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980" w:type="dxa"/>
            <w:vAlign w:val="bottom"/>
          </w:tcPr>
          <w:p>
            <w:pPr>
              <w:ind w:left="1020"/>
              <w:spacing w:after="0"/>
              <w:rPr>
                <w:sz w:val="20"/>
                <w:szCs w:val="20"/>
                <w:color w:val="auto"/>
              </w:rPr>
            </w:pPr>
            <w:r>
              <w:rPr>
                <w:rFonts w:ascii="Calibri" w:cs="Calibri" w:eastAsia="Calibri" w:hAnsi="Calibri"/>
                <w:sz w:val="16"/>
                <w:szCs w:val="16"/>
                <w:b w:val="1"/>
                <w:bCs w:val="1"/>
                <w:color w:val="auto"/>
              </w:rPr>
              <w:t>Female</w:t>
            </w:r>
          </w:p>
        </w:tc>
        <w:tc>
          <w:tcPr>
            <w:tcW w:w="1340" w:type="dxa"/>
            <w:vAlign w:val="bottom"/>
          </w:tcPr>
          <w:p>
            <w:pPr>
              <w:ind w:left="480"/>
              <w:spacing w:after="0"/>
              <w:rPr>
                <w:sz w:val="20"/>
                <w:szCs w:val="20"/>
                <w:color w:val="auto"/>
              </w:rPr>
            </w:pPr>
            <w:r>
              <w:rPr>
                <w:rFonts w:ascii="Calibri" w:cs="Calibri" w:eastAsia="Calibri" w:hAnsi="Calibri"/>
                <w:sz w:val="16"/>
                <w:szCs w:val="16"/>
                <w:b w:val="1"/>
                <w:bCs w:val="1"/>
                <w:color w:val="auto"/>
              </w:rPr>
              <w:t>Male</w:t>
            </w:r>
          </w:p>
        </w:tc>
        <w:tc>
          <w:tcPr>
            <w:tcW w:w="1460" w:type="dxa"/>
            <w:vAlign w:val="bottom"/>
          </w:tcPr>
          <w:p>
            <w:pPr>
              <w:jc w:val="center"/>
              <w:ind w:right="11"/>
              <w:spacing w:after="0"/>
              <w:rPr>
                <w:sz w:val="20"/>
                <w:szCs w:val="20"/>
                <w:color w:val="auto"/>
              </w:rPr>
            </w:pPr>
            <w:r>
              <w:rPr>
                <w:rFonts w:ascii="Calibri" w:cs="Calibri" w:eastAsia="Calibri" w:hAnsi="Calibri"/>
                <w:sz w:val="16"/>
                <w:szCs w:val="16"/>
                <w:b w:val="1"/>
                <w:bCs w:val="1"/>
                <w:color w:val="auto"/>
              </w:rPr>
              <w:t>Non-Binary</w:t>
            </w:r>
          </w:p>
        </w:tc>
        <w:tc>
          <w:tcPr>
            <w:tcW w:w="2540" w:type="dxa"/>
            <w:vAlign w:val="bottom"/>
          </w:tcPr>
          <w:p>
            <w:pPr>
              <w:jc w:val="center"/>
              <w:ind w:right="11"/>
              <w:spacing w:after="0"/>
              <w:rPr>
                <w:sz w:val="20"/>
                <w:szCs w:val="20"/>
                <w:color w:val="auto"/>
              </w:rPr>
            </w:pPr>
            <w:r>
              <w:rPr>
                <w:rFonts w:ascii="Calibri" w:cs="Calibri" w:eastAsia="Calibri" w:hAnsi="Calibri"/>
                <w:sz w:val="16"/>
                <w:szCs w:val="16"/>
                <w:b w:val="1"/>
                <w:bCs w:val="1"/>
                <w:color w:val="auto"/>
              </w:rPr>
              <w:t>Did Not Disclose Gender</w:t>
            </w:r>
          </w:p>
        </w:tc>
      </w:tr>
      <w:tr>
        <w:trPr>
          <w:trHeight w:val="41"/>
        </w:trPr>
        <w:tc>
          <w:tcPr>
            <w:tcW w:w="39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48"/>
        </w:trPr>
        <w:tc>
          <w:tcPr>
            <w:tcW w:w="3920" w:type="dxa"/>
            <w:vAlign w:val="bottom"/>
            <w:tcBorders>
              <w:bottom w:val="single" w:sz="8" w:color="D9D9D9"/>
            </w:tcBorders>
            <w:shd w:val="clear" w:color="auto" w:fill="D9D9D9"/>
          </w:tcPr>
          <w:p>
            <w:pPr>
              <w:ind w:left="20"/>
              <w:spacing w:after="0"/>
              <w:rPr>
                <w:sz w:val="20"/>
                <w:szCs w:val="20"/>
                <w:color w:val="auto"/>
              </w:rPr>
            </w:pPr>
            <w:r>
              <w:rPr>
                <w:rFonts w:ascii="Calibri" w:cs="Calibri" w:eastAsia="Calibri" w:hAnsi="Calibri"/>
                <w:sz w:val="16"/>
                <w:szCs w:val="16"/>
                <w:b w:val="1"/>
                <w:bCs w:val="1"/>
                <w:color w:val="auto"/>
              </w:rPr>
              <w:t>Part I: Gender Identty</w:t>
            </w:r>
          </w:p>
        </w:tc>
        <w:tc>
          <w:tcPr>
            <w:tcW w:w="1980" w:type="dxa"/>
            <w:vAlign w:val="bottom"/>
            <w:tcBorders>
              <w:bottom w:val="single" w:sz="8" w:color="D9D9D9"/>
            </w:tcBorders>
            <w:shd w:val="clear" w:color="auto" w:fill="D9D9D9"/>
          </w:tcPr>
          <w:p>
            <w:pPr>
              <w:spacing w:after="0"/>
              <w:rPr>
                <w:sz w:val="21"/>
                <w:szCs w:val="21"/>
                <w:color w:val="auto"/>
              </w:rPr>
            </w:pPr>
          </w:p>
        </w:tc>
        <w:tc>
          <w:tcPr>
            <w:tcW w:w="1340" w:type="dxa"/>
            <w:vAlign w:val="bottom"/>
            <w:tcBorders>
              <w:bottom w:val="single" w:sz="8" w:color="D9D9D9"/>
            </w:tcBorders>
            <w:shd w:val="clear" w:color="auto" w:fill="D9D9D9"/>
          </w:tcPr>
          <w:p>
            <w:pPr>
              <w:spacing w:after="0"/>
              <w:rPr>
                <w:sz w:val="21"/>
                <w:szCs w:val="21"/>
                <w:color w:val="auto"/>
              </w:rPr>
            </w:pPr>
          </w:p>
        </w:tc>
        <w:tc>
          <w:tcPr>
            <w:tcW w:w="1460" w:type="dxa"/>
            <w:vAlign w:val="bottom"/>
            <w:tcBorders>
              <w:bottom w:val="single" w:sz="8" w:color="D9D9D9"/>
            </w:tcBorders>
            <w:shd w:val="clear" w:color="auto" w:fill="D9D9D9"/>
          </w:tcPr>
          <w:p>
            <w:pPr>
              <w:spacing w:after="0"/>
              <w:rPr>
                <w:sz w:val="21"/>
                <w:szCs w:val="21"/>
                <w:color w:val="auto"/>
              </w:rPr>
            </w:pPr>
          </w:p>
        </w:tc>
        <w:tc>
          <w:tcPr>
            <w:tcW w:w="2540" w:type="dxa"/>
            <w:vAlign w:val="bottom"/>
            <w:tcBorders>
              <w:bottom w:val="single" w:sz="8" w:color="D9D9D9"/>
            </w:tcBorders>
            <w:shd w:val="clear" w:color="auto" w:fill="D9D9D9"/>
          </w:tcPr>
          <w:p>
            <w:pPr>
              <w:spacing w:after="0"/>
              <w:rPr>
                <w:sz w:val="21"/>
                <w:szCs w:val="21"/>
                <w:color w:val="auto"/>
              </w:rPr>
            </w:pPr>
          </w:p>
        </w:tc>
      </w:tr>
      <w:tr>
        <w:trPr>
          <w:trHeight w:val="213"/>
        </w:trPr>
        <w:tc>
          <w:tcPr>
            <w:tcW w:w="392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color w:val="auto"/>
              </w:rPr>
              <w:t>Directors</w:t>
            </w:r>
          </w:p>
        </w:tc>
        <w:tc>
          <w:tcPr>
            <w:tcW w:w="1980" w:type="dxa"/>
            <w:vAlign w:val="bottom"/>
            <w:tcBorders>
              <w:top w:val="single" w:sz="8" w:color="auto"/>
            </w:tcBorders>
          </w:tcPr>
          <w:p>
            <w:pPr>
              <w:jc w:val="center"/>
              <w:ind w:left="471"/>
              <w:spacing w:after="0" w:line="213" w:lineRule="exact"/>
              <w:rPr>
                <w:sz w:val="20"/>
                <w:szCs w:val="20"/>
                <w:color w:val="auto"/>
              </w:rPr>
            </w:pPr>
            <w:r>
              <w:rPr>
                <w:rFonts w:ascii="Calibri" w:cs="Calibri" w:eastAsia="Calibri" w:hAnsi="Calibri"/>
                <w:sz w:val="18"/>
                <w:szCs w:val="18"/>
                <w:color w:val="auto"/>
              </w:rPr>
              <w:t>3</w:t>
            </w:r>
          </w:p>
        </w:tc>
        <w:tc>
          <w:tcPr>
            <w:tcW w:w="1340" w:type="dxa"/>
            <w:vAlign w:val="bottom"/>
            <w:tcBorders>
              <w:top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6</w:t>
            </w:r>
          </w:p>
        </w:tc>
        <w:tc>
          <w:tcPr>
            <w:tcW w:w="1460" w:type="dxa"/>
            <w:vAlign w:val="bottom"/>
            <w:tcBorders>
              <w:top w:val="single" w:sz="8" w:color="auto"/>
            </w:tcBorders>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Borders>
              <w:top w:val="single" w:sz="8" w:color="auto"/>
            </w:tcBorders>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40" w:type="dxa"/>
            <w:vAlign w:val="bottom"/>
          </w:tcPr>
          <w:p>
            <w:pPr>
              <w:spacing w:after="0"/>
              <w:rPr>
                <w:sz w:val="4"/>
                <w:szCs w:val="4"/>
                <w:color w:val="auto"/>
              </w:rPr>
            </w:pPr>
          </w:p>
        </w:tc>
      </w:tr>
      <w:tr>
        <w:trPr>
          <w:trHeight w:val="248"/>
        </w:trPr>
        <w:tc>
          <w:tcPr>
            <w:tcW w:w="3920" w:type="dxa"/>
            <w:vAlign w:val="bottom"/>
            <w:tcBorders>
              <w:bottom w:val="single" w:sz="8" w:color="D9D9D9"/>
            </w:tcBorders>
            <w:shd w:val="clear" w:color="auto" w:fill="D9D9D9"/>
          </w:tcPr>
          <w:p>
            <w:pPr>
              <w:ind w:left="20"/>
              <w:spacing w:after="0"/>
              <w:rPr>
                <w:sz w:val="20"/>
                <w:szCs w:val="20"/>
                <w:color w:val="auto"/>
              </w:rPr>
            </w:pPr>
            <w:r>
              <w:rPr>
                <w:rFonts w:ascii="Calibri" w:cs="Calibri" w:eastAsia="Calibri" w:hAnsi="Calibri"/>
                <w:sz w:val="16"/>
                <w:szCs w:val="16"/>
                <w:b w:val="1"/>
                <w:bCs w:val="1"/>
                <w:color w:val="auto"/>
              </w:rPr>
              <w:t>Part II: Demographic Background</w:t>
            </w:r>
          </w:p>
        </w:tc>
        <w:tc>
          <w:tcPr>
            <w:tcW w:w="1980" w:type="dxa"/>
            <w:vAlign w:val="bottom"/>
            <w:tcBorders>
              <w:bottom w:val="single" w:sz="8" w:color="D9D9D9"/>
            </w:tcBorders>
            <w:shd w:val="clear" w:color="auto" w:fill="D9D9D9"/>
          </w:tcPr>
          <w:p>
            <w:pPr>
              <w:spacing w:after="0"/>
              <w:rPr>
                <w:sz w:val="21"/>
                <w:szCs w:val="21"/>
                <w:color w:val="auto"/>
              </w:rPr>
            </w:pPr>
          </w:p>
        </w:tc>
        <w:tc>
          <w:tcPr>
            <w:tcW w:w="1340" w:type="dxa"/>
            <w:vAlign w:val="bottom"/>
            <w:tcBorders>
              <w:bottom w:val="single" w:sz="8" w:color="D9D9D9"/>
            </w:tcBorders>
            <w:shd w:val="clear" w:color="auto" w:fill="D9D9D9"/>
          </w:tcPr>
          <w:p>
            <w:pPr>
              <w:spacing w:after="0"/>
              <w:rPr>
                <w:sz w:val="21"/>
                <w:szCs w:val="21"/>
                <w:color w:val="auto"/>
              </w:rPr>
            </w:pPr>
          </w:p>
        </w:tc>
        <w:tc>
          <w:tcPr>
            <w:tcW w:w="1460" w:type="dxa"/>
            <w:vAlign w:val="bottom"/>
            <w:tcBorders>
              <w:bottom w:val="single" w:sz="8" w:color="D9D9D9"/>
            </w:tcBorders>
            <w:shd w:val="clear" w:color="auto" w:fill="D9D9D9"/>
          </w:tcPr>
          <w:p>
            <w:pPr>
              <w:spacing w:after="0"/>
              <w:rPr>
                <w:sz w:val="21"/>
                <w:szCs w:val="21"/>
                <w:color w:val="auto"/>
              </w:rPr>
            </w:pPr>
          </w:p>
        </w:tc>
        <w:tc>
          <w:tcPr>
            <w:tcW w:w="2540" w:type="dxa"/>
            <w:vAlign w:val="bottom"/>
            <w:tcBorders>
              <w:bottom w:val="single" w:sz="8" w:color="D9D9D9"/>
            </w:tcBorders>
            <w:shd w:val="clear" w:color="auto" w:fill="D9D9D9"/>
          </w:tcPr>
          <w:p>
            <w:pPr>
              <w:spacing w:after="0"/>
              <w:rPr>
                <w:sz w:val="21"/>
                <w:szCs w:val="21"/>
                <w:color w:val="auto"/>
              </w:rPr>
            </w:pPr>
          </w:p>
        </w:tc>
      </w:tr>
      <w:tr>
        <w:trPr>
          <w:trHeight w:val="213"/>
        </w:trPr>
        <w:tc>
          <w:tcPr>
            <w:tcW w:w="392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color w:val="auto"/>
              </w:rPr>
              <w:t>African American or Black</w:t>
            </w:r>
          </w:p>
        </w:tc>
        <w:tc>
          <w:tcPr>
            <w:tcW w:w="1980" w:type="dxa"/>
            <w:vAlign w:val="bottom"/>
            <w:tcBorders>
              <w:top w:val="single" w:sz="8" w:color="auto"/>
            </w:tcBorders>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Borders>
              <w:top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2</w:t>
            </w:r>
          </w:p>
        </w:tc>
        <w:tc>
          <w:tcPr>
            <w:tcW w:w="1460" w:type="dxa"/>
            <w:vAlign w:val="bottom"/>
            <w:tcBorders>
              <w:top w:val="single" w:sz="8" w:color="auto"/>
            </w:tcBorders>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Borders>
              <w:top w:val="single" w:sz="8" w:color="auto"/>
            </w:tcBorders>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Alaskan Natve or Natve American</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Asian</w:t>
            </w:r>
          </w:p>
        </w:tc>
        <w:tc>
          <w:tcPr>
            <w:tcW w:w="1980" w:type="dxa"/>
            <w:vAlign w:val="bottom"/>
          </w:tcPr>
          <w:p>
            <w:pPr>
              <w:jc w:val="center"/>
              <w:ind w:left="471"/>
              <w:spacing w:after="0" w:line="213" w:lineRule="exact"/>
              <w:rPr>
                <w:sz w:val="20"/>
                <w:szCs w:val="20"/>
                <w:color w:val="auto"/>
              </w:rPr>
            </w:pPr>
            <w:r>
              <w:rPr>
                <w:rFonts w:ascii="Calibri" w:cs="Calibri" w:eastAsia="Calibri" w:hAnsi="Calibri"/>
                <w:sz w:val="18"/>
                <w:szCs w:val="18"/>
                <w:color w:val="auto"/>
              </w:rPr>
              <w:t>1</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1</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Hispanic or Latnx</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Natve Hawaiian or Pacifc Islander</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1"/>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White</w:t>
            </w:r>
          </w:p>
        </w:tc>
        <w:tc>
          <w:tcPr>
            <w:tcW w:w="1980" w:type="dxa"/>
            <w:vAlign w:val="bottom"/>
          </w:tcPr>
          <w:p>
            <w:pPr>
              <w:jc w:val="center"/>
              <w:ind w:left="471"/>
              <w:spacing w:after="0" w:line="213" w:lineRule="exact"/>
              <w:rPr>
                <w:sz w:val="20"/>
                <w:szCs w:val="20"/>
                <w:color w:val="auto"/>
              </w:rPr>
            </w:pPr>
            <w:r>
              <w:rPr>
                <w:rFonts w:ascii="Calibri" w:cs="Calibri" w:eastAsia="Calibri" w:hAnsi="Calibri"/>
                <w:sz w:val="18"/>
                <w:szCs w:val="18"/>
                <w:color w:val="auto"/>
              </w:rPr>
              <w:t>2</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3</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1"/>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Two or More Races or Ethnicites</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0"/>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LGBTQ+</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1</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1"/>
        </w:trPr>
        <w:tc>
          <w:tcPr>
            <w:tcW w:w="3920" w:type="dxa"/>
            <w:vAlign w:val="bottom"/>
            <w:tcBorders>
              <w:bottom w:val="single" w:sz="8" w:color="DBDBDB"/>
            </w:tcBorders>
          </w:tcPr>
          <w:p>
            <w:pPr>
              <w:spacing w:after="0"/>
              <w:rPr>
                <w:sz w:val="4"/>
                <w:szCs w:val="4"/>
                <w:color w:val="auto"/>
              </w:rPr>
            </w:pPr>
          </w:p>
        </w:tc>
        <w:tc>
          <w:tcPr>
            <w:tcW w:w="1980" w:type="dxa"/>
            <w:vAlign w:val="bottom"/>
            <w:tcBorders>
              <w:bottom w:val="single" w:sz="8" w:color="DBDBDB"/>
            </w:tcBorders>
          </w:tcPr>
          <w:p>
            <w:pPr>
              <w:spacing w:after="0"/>
              <w:rPr>
                <w:sz w:val="4"/>
                <w:szCs w:val="4"/>
                <w:color w:val="auto"/>
              </w:rPr>
            </w:pPr>
          </w:p>
        </w:tc>
        <w:tc>
          <w:tcPr>
            <w:tcW w:w="1340" w:type="dxa"/>
            <w:vAlign w:val="bottom"/>
            <w:tcBorders>
              <w:bottom w:val="single" w:sz="8" w:color="DBDBDB"/>
            </w:tcBorders>
          </w:tcPr>
          <w:p>
            <w:pPr>
              <w:spacing w:after="0"/>
              <w:rPr>
                <w:sz w:val="4"/>
                <w:szCs w:val="4"/>
                <w:color w:val="auto"/>
              </w:rPr>
            </w:pPr>
          </w:p>
        </w:tc>
        <w:tc>
          <w:tcPr>
            <w:tcW w:w="1460" w:type="dxa"/>
            <w:vAlign w:val="bottom"/>
            <w:tcBorders>
              <w:bottom w:val="single" w:sz="8" w:color="DBDBDB"/>
            </w:tcBorders>
          </w:tcPr>
          <w:p>
            <w:pPr>
              <w:spacing w:after="0"/>
              <w:rPr>
                <w:sz w:val="4"/>
                <w:szCs w:val="4"/>
                <w:color w:val="auto"/>
              </w:rPr>
            </w:pPr>
          </w:p>
        </w:tc>
        <w:tc>
          <w:tcPr>
            <w:tcW w:w="2540" w:type="dxa"/>
            <w:vAlign w:val="bottom"/>
            <w:tcBorders>
              <w:bottom w:val="single" w:sz="8" w:color="DBDBDB"/>
            </w:tcBorders>
          </w:tcPr>
          <w:p>
            <w:pPr>
              <w:spacing w:after="0"/>
              <w:rPr>
                <w:sz w:val="4"/>
                <w:szCs w:val="4"/>
                <w:color w:val="auto"/>
              </w:rPr>
            </w:pPr>
          </w:p>
        </w:tc>
      </w:tr>
      <w:tr>
        <w:trPr>
          <w:trHeight w:val="213"/>
        </w:trPr>
        <w:tc>
          <w:tcPr>
            <w:tcW w:w="3920" w:type="dxa"/>
            <w:vAlign w:val="bottom"/>
          </w:tcPr>
          <w:p>
            <w:pPr>
              <w:ind w:left="80"/>
              <w:spacing w:after="0"/>
              <w:rPr>
                <w:sz w:val="20"/>
                <w:szCs w:val="20"/>
                <w:color w:val="auto"/>
              </w:rPr>
            </w:pPr>
            <w:r>
              <w:rPr>
                <w:rFonts w:ascii="Calibri" w:cs="Calibri" w:eastAsia="Calibri" w:hAnsi="Calibri"/>
                <w:sz w:val="16"/>
                <w:szCs w:val="16"/>
                <w:color w:val="auto"/>
              </w:rPr>
              <w:t>Did Not Disclose Demographic Background</w:t>
            </w:r>
          </w:p>
        </w:tc>
        <w:tc>
          <w:tcPr>
            <w:tcW w:w="1980" w:type="dxa"/>
            <w:vAlign w:val="bottom"/>
          </w:tcPr>
          <w:p>
            <w:pPr>
              <w:jc w:val="center"/>
              <w:ind w:left="451"/>
              <w:spacing w:after="0" w:line="213" w:lineRule="exact"/>
              <w:rPr>
                <w:sz w:val="20"/>
                <w:szCs w:val="20"/>
                <w:color w:val="auto"/>
              </w:rPr>
            </w:pPr>
            <w:r>
              <w:rPr>
                <w:rFonts w:ascii="Calibri" w:cs="Calibri" w:eastAsia="Calibri" w:hAnsi="Calibri"/>
                <w:sz w:val="18"/>
                <w:szCs w:val="18"/>
                <w:color w:val="auto"/>
                <w:w w:val="97"/>
              </w:rPr>
              <w:t>—</w:t>
            </w:r>
          </w:p>
        </w:tc>
        <w:tc>
          <w:tcPr>
            <w:tcW w:w="1340" w:type="dxa"/>
            <w:vAlign w:val="bottom"/>
          </w:tcPr>
          <w:p>
            <w:pPr>
              <w:jc w:val="center"/>
              <w:spacing w:after="0" w:line="213" w:lineRule="exact"/>
              <w:rPr>
                <w:sz w:val="20"/>
                <w:szCs w:val="20"/>
                <w:color w:val="auto"/>
              </w:rPr>
            </w:pPr>
            <w:r>
              <w:rPr>
                <w:rFonts w:ascii="Calibri" w:cs="Calibri" w:eastAsia="Calibri" w:hAnsi="Calibri"/>
                <w:sz w:val="18"/>
                <w:szCs w:val="18"/>
                <w:color w:val="auto"/>
              </w:rPr>
              <w:t>—</w:t>
            </w:r>
          </w:p>
        </w:tc>
        <w:tc>
          <w:tcPr>
            <w:tcW w:w="146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c>
          <w:tcPr>
            <w:tcW w:w="2540" w:type="dxa"/>
            <w:vAlign w:val="bottom"/>
          </w:tcPr>
          <w:p>
            <w:pPr>
              <w:jc w:val="center"/>
              <w:ind w:right="11"/>
              <w:spacing w:after="0" w:line="213" w:lineRule="exact"/>
              <w:rPr>
                <w:sz w:val="20"/>
                <w:szCs w:val="20"/>
                <w:color w:val="auto"/>
              </w:rPr>
            </w:pPr>
            <w:r>
              <w:rPr>
                <w:rFonts w:ascii="Calibri" w:cs="Calibri" w:eastAsia="Calibri" w:hAnsi="Calibri"/>
                <w:sz w:val="18"/>
                <w:szCs w:val="18"/>
                <w:color w:val="auto"/>
                <w:w w:val="97"/>
              </w:rPr>
              <w:t>—</w:t>
            </w:r>
          </w:p>
        </w:tc>
      </w:tr>
      <w:tr>
        <w:trPr>
          <w:trHeight w:val="51"/>
        </w:trPr>
        <w:tc>
          <w:tcPr>
            <w:tcW w:w="39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12</w:t>
      </w:r>
    </w:p>
    <w:p>
      <w:pPr>
        <w:sectPr>
          <w:pgSz w:w="11900" w:h="16838" w:orient="portrait"/>
          <w:cols w:equalWidth="0" w:num="1">
            <w:col w:w="11240"/>
          </w:cols>
          <w:pgMar w:left="320" w:top="1409" w:right="339" w:bottom="1440" w:gutter="0" w:footer="0" w:header="0"/>
          <w:type w:val="continuous"/>
        </w:sectPr>
      </w:pPr>
    </w:p>
    <w:bookmarkStart w:id="16" w:name="page17"/>
    <w:bookmarkEnd w:id="16"/>
    <w:p>
      <w:pPr>
        <w:spacing w:after="0" w:line="37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Consideratons in Evaluatng Director Nominees</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Nominatng and Governance Commitee uses a variety of methods for identfying and evaluatng potental director candidates. In its evaluaton of director candidates, including the current directors eligible for re-electon, our Nominatng and Governance Commitee will consider the current size and compositon of our Board and the needs of our Board and the respectve commitees of our Board. Some of the qualifcatons that our Nominatng and Governance Commitee considers include, without limitaton, experience of partcular relevance to us and the Board, accomplishments, superior credentals, independence, area of expertse, and the highest ethical and moral standards. Although our Board does not maintain a specifc policy with respect to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diversity, our Board believes that the board should be a diverse body, and the Nominatng and Governance Commitee considers a broad range of backgrounds and experiences. In making determinatons regarding nominatons of directors, the Nominatng and Governance Commitee may take into account the benefts of diverse viewpoints. Any search frm retained by our Nominatng and Governance Commitee to fnd director candidates would be instructed to take into account all of the consideratons used by our Nominatng and Governance Commitee. Afer completng its review and evaluaton of director candidates, our Nominatng and Governance Commitee recommends to our full Board the director nominees for selecton.</w:t>
      </w:r>
    </w:p>
    <w:p>
      <w:pPr>
        <w:spacing w:after="0" w:line="200" w:lineRule="exact"/>
        <w:rPr>
          <w:sz w:val="20"/>
          <w:szCs w:val="20"/>
          <w:color w:val="auto"/>
        </w:rPr>
      </w:pPr>
    </w:p>
    <w:p>
      <w:pPr>
        <w:sectPr>
          <w:pgSz w:w="11900" w:h="16838" w:orient="portrait"/>
          <w:cols w:equalWidth="0" w:num="2">
            <w:col w:w="5420" w:space="300"/>
            <w:col w:w="5400"/>
          </w:cols>
          <w:pgMar w:left="320" w:top="1440" w:right="459" w:bottom="1440" w:gutter="0" w:footer="0" w:header="0"/>
        </w:sectPr>
      </w:pPr>
    </w:p>
    <w:p>
      <w:pPr>
        <w:spacing w:after="0" w:line="15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Stockholder Recommendatons for Nominatons to the Board of Directors</w:t>
      </w:r>
    </w:p>
    <w:p>
      <w:pPr>
        <w:sectPr>
          <w:pgSz w:w="11900" w:h="16838" w:orient="portrait"/>
          <w:cols w:equalWidth="0" w:num="1">
            <w:col w:w="11120"/>
          </w:cols>
          <w:pgMar w:left="320" w:top="1440" w:right="459" w:bottom="1440" w:gutter="0" w:footer="0" w:header="0"/>
          <w:type w:val="continuous"/>
        </w:sectPr>
      </w:pP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Nominatng and Governance Commitee considers director candidates recommended by stockholders. Stockholders may recommend a candidate by writng to the Corporate Secretary at the Company’s address listed on the frst page of this proxy statement, and including all informaton that our bylaws require for director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nominatons. The Nominatng and Governance Commitee evaluates director candidates submited by stockholders in the same manner in which it evaluates other director candidates.</w:t>
      </w:r>
    </w:p>
    <w:p>
      <w:pPr>
        <w:spacing w:after="0" w:line="630" w:lineRule="exact"/>
        <w:rPr>
          <w:sz w:val="20"/>
          <w:szCs w:val="20"/>
          <w:color w:val="auto"/>
        </w:rPr>
      </w:pPr>
    </w:p>
    <w:p>
      <w:pPr>
        <w:sectPr>
          <w:pgSz w:w="11900" w:h="16838" w:orient="portrait"/>
          <w:cols w:equalWidth="0" w:num="2">
            <w:col w:w="5420" w:space="300"/>
            <w:col w:w="5400"/>
          </w:cols>
          <w:pgMar w:left="320" w:top="1440" w:right="459"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Outreach</w:t>
      </w:r>
    </w:p>
    <w:p>
      <w:pPr>
        <w:spacing w:after="0" w:line="2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seek regular engagement with investors to communicate our strategy and solicit feedback from the investment community. Management periodically engages a third-party consultant to obtain independent feedback from our investors. In fscal 2022, management partcipated in a number of investor conferences and meetngs, both virtual and in-person. These meetngs were atended by various members of the Company’s senior management, including our Chief Executve Ofcer,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Chief Financial Ofcer, and/or Senior Vice Presidents. Management periodically discusses feedback, including key themes and other insights gained from the investor outreach meetngs, at the Company’s Board and commitee meetngs, as appropriate. Our Board of Directors, as well as our management team, values the perspectves of our investors as it helps us to understand and evaluate the efectveness of our investor communicatons.</w:t>
      </w:r>
    </w:p>
    <w:p>
      <w:pPr>
        <w:spacing w:after="0" w:line="403" w:lineRule="exact"/>
        <w:rPr>
          <w:sz w:val="20"/>
          <w:szCs w:val="20"/>
          <w:color w:val="auto"/>
        </w:rPr>
      </w:pPr>
    </w:p>
    <w:p>
      <w:pPr>
        <w:sectPr>
          <w:pgSz w:w="11900" w:h="16838" w:orient="portrait"/>
          <w:cols w:equalWidth="0" w:num="2">
            <w:col w:w="5420" w:space="300"/>
            <w:col w:w="5400"/>
          </w:cols>
          <w:pgMar w:left="320" w:top="1440" w:right="4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Communicatons with the Board of Directors</w:t>
      </w: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Interested partes wishing to communicate with our independent directors may do so by writng to the Board or to the partcular member or members of our Board and mailing the correspondence to our Chief Legal Ofcer at the Company’s address listed on the frst page of this proxy statement. Our Chief Legal Ofcer or Legal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Department, in consultaton with appropriate members of our Board, as necessary, will review all incoming communicatons and, if appropriate, all such communicatons will be forwarded to the appropriate member or members of our Board, or if none is specifed, to the Chairman of our Board.</w:t>
      </w:r>
    </w:p>
    <w:p>
      <w:pPr>
        <w:spacing w:after="0" w:line="200" w:lineRule="exact"/>
        <w:rPr>
          <w:sz w:val="20"/>
          <w:szCs w:val="20"/>
          <w:color w:val="auto"/>
        </w:rPr>
      </w:pPr>
    </w:p>
    <w:p>
      <w:pPr>
        <w:sectPr>
          <w:pgSz w:w="11900" w:h="16838" w:orient="portrait"/>
          <w:cols w:equalWidth="0" w:num="2">
            <w:col w:w="5420" w:space="300"/>
            <w:col w:w="5400"/>
          </w:cols>
          <w:pgMar w:left="320" w:top="1440" w:right="459"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Corporate Governance Guidelines and Code of Ethics and Business Conduct</w:t>
      </w:r>
    </w:p>
    <w:p>
      <w:pPr>
        <w:sectPr>
          <w:pgSz w:w="11900" w:h="16838" w:orient="portrait"/>
          <w:cols w:equalWidth="0" w:num="1">
            <w:col w:w="11120"/>
          </w:cols>
          <w:pgMar w:left="320" w:top="1440" w:right="459" w:bottom="1440" w:gutter="0" w:footer="0" w:header="0"/>
          <w:type w:val="continuous"/>
        </w:sectPr>
      </w:pP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adopted Corporate Governance Guidelines. These guidelines address items such as the qualifcatons and responsibilites of our directors and director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candidates and corporate governance policies and standards applicable to us in general. In additon, our Board has adopted a Code of Ethics and Business Conduct</w:t>
      </w:r>
    </w:p>
    <w:p>
      <w:pPr>
        <w:spacing w:after="0" w:line="200" w:lineRule="exact"/>
        <w:rPr>
          <w:sz w:val="20"/>
          <w:szCs w:val="20"/>
          <w:color w:val="auto"/>
        </w:rPr>
      </w:pPr>
    </w:p>
    <w:p>
      <w:pPr>
        <w:sectPr>
          <w:pgSz w:w="11900" w:h="16838" w:orient="portrait"/>
          <w:cols w:equalWidth="0" w:num="2">
            <w:col w:w="5420" w:space="300"/>
            <w:col w:w="5400"/>
          </w:cols>
          <w:pgMar w:left="32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13</w:t>
      </w:r>
    </w:p>
    <w:p>
      <w:pPr>
        <w:sectPr>
          <w:pgSz w:w="11900" w:h="16838" w:orient="portrait"/>
          <w:cols w:equalWidth="0" w:num="1">
            <w:col w:w="11120"/>
          </w:cols>
          <w:pgMar w:left="320" w:top="1440" w:right="459" w:bottom="1440" w:gutter="0" w:footer="0" w:header="0"/>
          <w:type w:val="continuous"/>
        </w:sectPr>
      </w:pPr>
    </w:p>
    <w:bookmarkStart w:id="17" w:name="page18"/>
    <w:bookmarkEnd w:id="17"/>
    <w:p>
      <w:pPr>
        <w:jc w:val="both"/>
        <w:spacing w:after="0" w:line="235" w:lineRule="auto"/>
        <w:rPr>
          <w:sz w:val="20"/>
          <w:szCs w:val="20"/>
          <w:color w:val="auto"/>
        </w:rPr>
      </w:pPr>
      <w:r>
        <w:rPr>
          <w:rFonts w:ascii="Calibri" w:cs="Calibri" w:eastAsia="Calibri" w:hAnsi="Calibri"/>
          <w:sz w:val="18"/>
          <w:szCs w:val="18"/>
          <w:color w:val="auto"/>
        </w:rPr>
        <w:t>that applies to all of our employees, ofcers and directors, including our CEO, Chief Financial Ofcer, and other executve and senior fnancial ofcers. The full text of our Corporate Governance Guidelines and our Code of Ethics and Business Conduct is posted on our investor relatons</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webpage at investors.afrm.com in the “</w:t>
      </w:r>
      <w:r>
        <w:rPr>
          <w:rFonts w:ascii="Calibri" w:cs="Calibri" w:eastAsia="Calibri" w:hAnsi="Calibri"/>
          <w:sz w:val="18"/>
          <w:szCs w:val="18"/>
          <w:i w:val="1"/>
          <w:iCs w:val="1"/>
          <w:color w:val="auto"/>
        </w:rPr>
        <w:t>Corporate Governance</w:t>
      </w:r>
      <w:r>
        <w:rPr>
          <w:rFonts w:ascii="Calibri" w:cs="Calibri" w:eastAsia="Calibri" w:hAnsi="Calibri"/>
          <w:sz w:val="18"/>
          <w:szCs w:val="18"/>
          <w:color w:val="auto"/>
        </w:rPr>
        <w:t>” secton. We intend to post any amendments to our Code of Ethics and Business Conduct, and any waivers of our Code of Ethics and Business Conduct for directors and executve ofcers, on the same website.</w:t>
      </w:r>
    </w:p>
    <w:p>
      <w:pPr>
        <w:spacing w:after="0" w:line="200" w:lineRule="exact"/>
        <w:rPr>
          <w:sz w:val="20"/>
          <w:szCs w:val="20"/>
          <w:color w:val="auto"/>
        </w:rPr>
      </w:pPr>
    </w:p>
    <w:p>
      <w:pPr>
        <w:sectPr>
          <w:pgSz w:w="11900" w:h="16838" w:orient="portrait"/>
          <w:cols w:equalWidth="0" w:num="2">
            <w:col w:w="5420" w:space="300"/>
            <w:col w:w="5520"/>
          </w:cols>
          <w:pgMar w:left="320" w:top="1413" w:right="339" w:bottom="1440" w:gutter="0" w:footer="0" w:header="0"/>
        </w:sectPr>
      </w:pPr>
    </w:p>
    <w:p>
      <w:pPr>
        <w:spacing w:after="0" w:line="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Role of the Board in Risk Oversight</w:t>
      </w: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One of the key functons of our Board is informed oversight of our risk management process which risks include, among others, strategic, fnancial, business and operatonal, cybersecurity, legal and regulatory compliance, and reputatonal risks. Our Board does not have a standing risk management commitee, but rather administers this oversight functon directly through the Board as a whole, as well as through its standing commitees that address risks inherent in their respectve areas of oversight. In partcular, our Board is responsible for monitoring and assessing strategic risk exposure. Our Audit Commitee is responsible for discussing our major litgaton and fnancial risk exposures and the steps our management has taken to monitor and control these exposures, including guidelines and policies with respect to risk assessment and risk management. In additon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oversight of the performance of our external audit functon, our Audit Commitee also monitors compliance with legal and regulatory requirements and reviews related party transactons. Our Nominatng and Governance Commitee develops and reviews our Corporate Governance Guidelines and oversees our ESG actvites and programs. Our Compensaton Commitee reviews with management our compensaton arrangements to evaluate whether any of our compensaton policies and programs has the potental to encourage excessive risk-taking and reviews the relatonship between risk management policies and practce, corporate strategy and our compensaton arrangements.</w:t>
      </w:r>
    </w:p>
    <w:p>
      <w:pPr>
        <w:spacing w:after="0" w:line="845"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Non-Employee Director Compensaton</w:t>
      </w:r>
    </w:p>
    <w:p>
      <w:pPr>
        <w:sectPr>
          <w:pgSz w:w="11900" w:h="16838" w:orient="portrait"/>
          <w:cols w:equalWidth="0" w:num="1">
            <w:col w:w="11240"/>
          </w:cols>
          <w:pgMar w:left="320" w:top="1413" w:right="339" w:bottom="1440" w:gutter="0" w:footer="0" w:header="0"/>
          <w:type w:val="continuous"/>
        </w:sectPr>
      </w:pP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maintains a compensaton policy for our non-employee directors (the “director compensaton policy”) pursuant to which our non-employee directors receive the compensaton described in the table below. The director compensaton policy was developed with input from the Compensaton Commitee’s independent compensaton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consultant, Compensia, Inc., regarding practces and compensaton levels at comparable companies. The director compensaton policy is designed to atract, retain and reward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573405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Cash Compensaton</w:t>
      </w:r>
      <w:r>
        <w:rPr>
          <w:rFonts w:ascii="Calibri" w:cs="Calibri" w:eastAsia="Calibri" w:hAnsi="Calibri"/>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5980" w:type="dxa"/>
            <w:vAlign w:val="bottom"/>
          </w:tcPr>
          <w:p>
            <w:pPr>
              <w:ind w:left="20"/>
              <w:spacing w:after="0"/>
              <w:rPr>
                <w:sz w:val="20"/>
                <w:szCs w:val="20"/>
                <w:color w:val="auto"/>
              </w:rPr>
            </w:pPr>
            <w:r>
              <w:rPr>
                <w:rFonts w:ascii="Calibri" w:cs="Calibri" w:eastAsia="Calibri" w:hAnsi="Calibri"/>
                <w:sz w:val="16"/>
                <w:szCs w:val="16"/>
                <w:color w:val="auto"/>
              </w:rPr>
              <w:t>Annual retainer</w:t>
            </w:r>
          </w:p>
        </w:tc>
        <w:tc>
          <w:tcPr>
            <w:tcW w:w="37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color w:val="auto"/>
              </w:rPr>
              <w:t>$45,000</w:t>
            </w:r>
          </w:p>
        </w:tc>
      </w:tr>
      <w:tr>
        <w:trPr>
          <w:trHeight w:val="243"/>
        </w:trPr>
        <w:tc>
          <w:tcPr>
            <w:tcW w:w="5980" w:type="dxa"/>
            <w:vAlign w:val="bottom"/>
          </w:tcPr>
          <w:p>
            <w:pPr>
              <w:ind w:left="20"/>
              <w:spacing w:after="0"/>
              <w:rPr>
                <w:sz w:val="20"/>
                <w:szCs w:val="20"/>
                <w:color w:val="auto"/>
              </w:rPr>
            </w:pPr>
            <w:r>
              <w:rPr>
                <w:rFonts w:ascii="Calibri" w:cs="Calibri" w:eastAsia="Calibri" w:hAnsi="Calibri"/>
                <w:sz w:val="16"/>
                <w:szCs w:val="16"/>
                <w:color w:val="auto"/>
              </w:rPr>
              <w:t>Lead Independent Director retainer</w:t>
            </w:r>
          </w:p>
        </w:tc>
        <w:tc>
          <w:tcPr>
            <w:tcW w:w="3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color w:val="auto"/>
              </w:rPr>
              <w:t>$28,000</w:t>
            </w:r>
          </w:p>
        </w:tc>
      </w:tr>
      <w:tr>
        <w:trPr>
          <w:trHeight w:val="243"/>
        </w:trPr>
        <w:tc>
          <w:tcPr>
            <w:tcW w:w="5980" w:type="dxa"/>
            <w:vAlign w:val="bottom"/>
          </w:tcPr>
          <w:p>
            <w:pPr>
              <w:ind w:left="20"/>
              <w:spacing w:after="0"/>
              <w:rPr>
                <w:sz w:val="20"/>
                <w:szCs w:val="20"/>
                <w:color w:val="auto"/>
              </w:rPr>
            </w:pPr>
            <w:r>
              <w:rPr>
                <w:rFonts w:ascii="Calibri" w:cs="Calibri" w:eastAsia="Calibri" w:hAnsi="Calibri"/>
                <w:sz w:val="16"/>
                <w:szCs w:val="16"/>
                <w:color w:val="auto"/>
              </w:rPr>
              <w:t>Additonal annual retainers for commitee service</w:t>
            </w:r>
          </w:p>
        </w:tc>
        <w:tc>
          <w:tcPr>
            <w:tcW w:w="3780" w:type="dxa"/>
            <w:vAlign w:val="bottom"/>
          </w:tcPr>
          <w:p>
            <w:pPr>
              <w:jc w:val="right"/>
              <w:ind w:right="639"/>
              <w:spacing w:after="0"/>
              <w:rPr>
                <w:sz w:val="20"/>
                <w:szCs w:val="20"/>
                <w:color w:val="auto"/>
              </w:rPr>
            </w:pPr>
            <w:r>
              <w:rPr>
                <w:rFonts w:ascii="Calibri" w:cs="Calibri" w:eastAsia="Calibri" w:hAnsi="Calibri"/>
                <w:sz w:val="16"/>
                <w:szCs w:val="16"/>
                <w:b w:val="1"/>
                <w:bCs w:val="1"/>
                <w:color w:val="auto"/>
              </w:rPr>
              <w:t>Chair</w:t>
            </w:r>
          </w:p>
        </w:tc>
        <w:tc>
          <w:tcPr>
            <w:tcW w:w="14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Member</w:t>
            </w:r>
          </w:p>
        </w:tc>
      </w:tr>
      <w:tr>
        <w:trPr>
          <w:trHeight w:val="41"/>
        </w:trPr>
        <w:tc>
          <w:tcPr>
            <w:tcW w:w="598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95"/>
        </w:trPr>
        <w:tc>
          <w:tcPr>
            <w:tcW w:w="5980" w:type="dxa"/>
            <w:vAlign w:val="bottom"/>
          </w:tcPr>
          <w:p>
            <w:pPr>
              <w:ind w:left="20"/>
              <w:spacing w:after="0"/>
              <w:rPr>
                <w:sz w:val="20"/>
                <w:szCs w:val="20"/>
                <w:color w:val="auto"/>
              </w:rPr>
            </w:pPr>
            <w:r>
              <w:rPr>
                <w:rFonts w:ascii="Calibri" w:cs="Calibri" w:eastAsia="Calibri" w:hAnsi="Calibri"/>
                <w:sz w:val="16"/>
                <w:szCs w:val="16"/>
                <w:color w:val="auto"/>
              </w:rPr>
              <w:t>Audit Commitee</w:t>
            </w:r>
          </w:p>
        </w:tc>
        <w:tc>
          <w:tcPr>
            <w:tcW w:w="3780" w:type="dxa"/>
            <w:vAlign w:val="bottom"/>
          </w:tcPr>
          <w:p>
            <w:pPr>
              <w:jc w:val="right"/>
              <w:ind w:right="219"/>
              <w:spacing w:after="0"/>
              <w:rPr>
                <w:sz w:val="20"/>
                <w:szCs w:val="20"/>
                <w:color w:val="auto"/>
              </w:rPr>
            </w:pPr>
            <w:r>
              <w:rPr>
                <w:rFonts w:ascii="Calibri" w:cs="Calibri" w:eastAsia="Calibri" w:hAnsi="Calibri"/>
                <w:sz w:val="16"/>
                <w:szCs w:val="16"/>
                <w:color w:val="auto"/>
              </w:rPr>
              <w:t>$25,000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$12,500</w:t>
            </w:r>
          </w:p>
        </w:tc>
      </w:tr>
      <w:tr>
        <w:trPr>
          <w:trHeight w:val="243"/>
        </w:trPr>
        <w:tc>
          <w:tcPr>
            <w:tcW w:w="5980" w:type="dxa"/>
            <w:vAlign w:val="bottom"/>
          </w:tcPr>
          <w:p>
            <w:pPr>
              <w:ind w:left="20"/>
              <w:spacing w:after="0"/>
              <w:rPr>
                <w:sz w:val="20"/>
                <w:szCs w:val="20"/>
                <w:color w:val="auto"/>
              </w:rPr>
            </w:pPr>
            <w:r>
              <w:rPr>
                <w:rFonts w:ascii="Calibri" w:cs="Calibri" w:eastAsia="Calibri" w:hAnsi="Calibri"/>
                <w:sz w:val="16"/>
                <w:szCs w:val="16"/>
                <w:color w:val="auto"/>
              </w:rPr>
              <w:t>Compensaton Commitee</w:t>
            </w:r>
          </w:p>
        </w:tc>
        <w:tc>
          <w:tcPr>
            <w:tcW w:w="3780" w:type="dxa"/>
            <w:vAlign w:val="bottom"/>
          </w:tcPr>
          <w:p>
            <w:pPr>
              <w:jc w:val="right"/>
              <w:ind w:right="219"/>
              <w:spacing w:after="0"/>
              <w:rPr>
                <w:sz w:val="20"/>
                <w:szCs w:val="20"/>
                <w:color w:val="auto"/>
              </w:rPr>
            </w:pPr>
            <w:r>
              <w:rPr>
                <w:rFonts w:ascii="Calibri" w:cs="Calibri" w:eastAsia="Calibri" w:hAnsi="Calibri"/>
                <w:sz w:val="16"/>
                <w:szCs w:val="16"/>
                <w:color w:val="auto"/>
              </w:rPr>
              <w:t>$18,000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$9,000</w:t>
            </w:r>
          </w:p>
        </w:tc>
      </w:tr>
      <w:tr>
        <w:trPr>
          <w:trHeight w:val="243"/>
        </w:trPr>
        <w:tc>
          <w:tcPr>
            <w:tcW w:w="5980" w:type="dxa"/>
            <w:vAlign w:val="bottom"/>
          </w:tcPr>
          <w:p>
            <w:pPr>
              <w:ind w:left="20"/>
              <w:spacing w:after="0"/>
              <w:rPr>
                <w:sz w:val="20"/>
                <w:szCs w:val="20"/>
                <w:color w:val="auto"/>
              </w:rPr>
            </w:pPr>
            <w:r>
              <w:rPr>
                <w:rFonts w:ascii="Calibri" w:cs="Calibri" w:eastAsia="Calibri" w:hAnsi="Calibri"/>
                <w:sz w:val="16"/>
                <w:szCs w:val="16"/>
                <w:color w:val="auto"/>
              </w:rPr>
              <w:t>Nominatng and Governance Commitee</w:t>
            </w:r>
          </w:p>
        </w:tc>
        <w:tc>
          <w:tcPr>
            <w:tcW w:w="3780" w:type="dxa"/>
            <w:vAlign w:val="bottom"/>
          </w:tcPr>
          <w:p>
            <w:pPr>
              <w:jc w:val="right"/>
              <w:ind w:right="219"/>
              <w:spacing w:after="0"/>
              <w:rPr>
                <w:sz w:val="20"/>
                <w:szCs w:val="20"/>
                <w:color w:val="auto"/>
              </w:rPr>
            </w:pPr>
            <w:r>
              <w:rPr>
                <w:rFonts w:ascii="Calibri" w:cs="Calibri" w:eastAsia="Calibri" w:hAnsi="Calibri"/>
                <w:sz w:val="16"/>
                <w:szCs w:val="16"/>
                <w:color w:val="auto"/>
              </w:rPr>
              <w:t>$10,000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$5,000</w:t>
            </w:r>
          </w:p>
        </w:tc>
      </w:tr>
      <w:tr>
        <w:trPr>
          <w:trHeight w:val="41"/>
        </w:trPr>
        <w:tc>
          <w:tcPr>
            <w:tcW w:w="59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486"/>
        </w:trPr>
        <w:tc>
          <w:tcPr>
            <w:tcW w:w="5980" w:type="dxa"/>
            <w:vAlign w:val="bottom"/>
            <w:tcBorders>
              <w:bottom w:val="single" w:sz="8" w:color="auto"/>
            </w:tcBorders>
            <w:shd w:val="clear" w:color="auto" w:fill="DBDBDB"/>
          </w:tcPr>
          <w:p>
            <w:pPr>
              <w:ind w:left="20"/>
              <w:spacing w:after="0"/>
              <w:rPr>
                <w:sz w:val="20"/>
                <w:szCs w:val="20"/>
                <w:color w:val="auto"/>
              </w:rPr>
            </w:pPr>
            <w:r>
              <w:rPr>
                <w:rFonts w:ascii="Calibri" w:cs="Calibri" w:eastAsia="Calibri" w:hAnsi="Calibri"/>
                <w:sz w:val="16"/>
                <w:szCs w:val="16"/>
                <w:b w:val="1"/>
                <w:bCs w:val="1"/>
                <w:color w:val="auto"/>
              </w:rPr>
              <w:t>Equity Compensaton</w:t>
            </w:r>
            <w:r>
              <w:rPr>
                <w:rFonts w:ascii="Calibri" w:cs="Calibri" w:eastAsia="Calibri" w:hAnsi="Calibri"/>
                <w:sz w:val="21"/>
                <w:szCs w:val="21"/>
                <w:color w:val="auto"/>
                <w:vertAlign w:val="superscript"/>
              </w:rPr>
              <w:t>(2)</w:t>
            </w:r>
          </w:p>
        </w:tc>
        <w:tc>
          <w:tcPr>
            <w:tcW w:w="3780" w:type="dxa"/>
            <w:vAlign w:val="bottom"/>
            <w:tcBorders>
              <w:bottom w:val="single" w:sz="8" w:color="auto"/>
            </w:tcBorders>
            <w:shd w:val="clear" w:color="auto" w:fill="DBDBDB"/>
          </w:tcPr>
          <w:p>
            <w:pPr>
              <w:spacing w:after="0"/>
              <w:rPr>
                <w:sz w:val="24"/>
                <w:szCs w:val="24"/>
                <w:color w:val="auto"/>
              </w:rPr>
            </w:pPr>
          </w:p>
        </w:tc>
        <w:tc>
          <w:tcPr>
            <w:tcW w:w="1480" w:type="dxa"/>
            <w:vAlign w:val="bottom"/>
            <w:tcBorders>
              <w:bottom w:val="single" w:sz="8" w:color="auto"/>
            </w:tcBorders>
            <w:shd w:val="clear" w:color="auto" w:fill="DBDBDB"/>
          </w:tcPr>
          <w:p>
            <w:pPr>
              <w:spacing w:after="0"/>
              <w:rPr>
                <w:sz w:val="24"/>
                <w:szCs w:val="24"/>
                <w:color w:val="auto"/>
              </w:rPr>
            </w:pPr>
          </w:p>
        </w:tc>
      </w:tr>
      <w:tr>
        <w:trPr>
          <w:trHeight w:val="245"/>
        </w:trPr>
        <w:tc>
          <w:tcPr>
            <w:tcW w:w="5980" w:type="dxa"/>
            <w:vAlign w:val="bottom"/>
          </w:tcPr>
          <w:p>
            <w:pPr>
              <w:ind w:left="20"/>
              <w:spacing w:after="0" w:line="245" w:lineRule="exact"/>
              <w:rPr>
                <w:sz w:val="20"/>
                <w:szCs w:val="20"/>
                <w:color w:val="auto"/>
              </w:rPr>
            </w:pPr>
            <w:r>
              <w:rPr>
                <w:rFonts w:ascii="Calibri" w:cs="Calibri" w:eastAsia="Calibri" w:hAnsi="Calibri"/>
                <w:sz w:val="16"/>
                <w:szCs w:val="16"/>
                <w:color w:val="auto"/>
              </w:rPr>
              <w:t>Inital grant of RSUs</w:t>
            </w:r>
            <w:r>
              <w:rPr>
                <w:rFonts w:ascii="Calibri" w:cs="Calibri" w:eastAsia="Calibri" w:hAnsi="Calibri"/>
                <w:sz w:val="21"/>
                <w:szCs w:val="21"/>
                <w:color w:val="auto"/>
                <w:vertAlign w:val="superscript"/>
              </w:rPr>
              <w:t>(3)</w:t>
            </w:r>
          </w:p>
        </w:tc>
        <w:tc>
          <w:tcPr>
            <w:tcW w:w="37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color w:val="auto"/>
              </w:rPr>
              <w:t>$500,000</w:t>
            </w:r>
          </w:p>
        </w:tc>
      </w:tr>
      <w:tr>
        <w:trPr>
          <w:trHeight w:val="235"/>
        </w:trPr>
        <w:tc>
          <w:tcPr>
            <w:tcW w:w="5980" w:type="dxa"/>
            <w:vAlign w:val="bottom"/>
            <w:tcBorders>
              <w:bottom w:val="single" w:sz="8" w:color="auto"/>
            </w:tcBorders>
          </w:tcPr>
          <w:p>
            <w:pPr>
              <w:ind w:left="20"/>
              <w:spacing w:after="0" w:line="234" w:lineRule="exact"/>
              <w:rPr>
                <w:sz w:val="20"/>
                <w:szCs w:val="20"/>
                <w:color w:val="auto"/>
              </w:rPr>
            </w:pPr>
            <w:r>
              <w:rPr>
                <w:rFonts w:ascii="Calibri" w:cs="Calibri" w:eastAsia="Calibri" w:hAnsi="Calibri"/>
                <w:sz w:val="16"/>
                <w:szCs w:val="16"/>
                <w:color w:val="auto"/>
              </w:rPr>
              <w:t>Annual grant of RSUs</w:t>
            </w:r>
            <w:r>
              <w:rPr>
                <w:rFonts w:ascii="Calibri" w:cs="Calibri" w:eastAsia="Calibri" w:hAnsi="Calibri"/>
                <w:sz w:val="21"/>
                <w:szCs w:val="21"/>
                <w:color w:val="auto"/>
                <w:vertAlign w:val="superscript"/>
              </w:rPr>
              <w:t>(4)</w:t>
            </w:r>
          </w:p>
        </w:tc>
        <w:tc>
          <w:tcPr>
            <w:tcW w:w="3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$200,000</w:t>
            </w:r>
          </w:p>
        </w:tc>
      </w:tr>
    </w:tbl>
    <w:p>
      <w:pPr>
        <w:spacing w:after="0" w:line="66" w:lineRule="exact"/>
        <w:rPr>
          <w:sz w:val="20"/>
          <w:szCs w:val="20"/>
          <w:color w:val="auto"/>
        </w:rPr>
      </w:pPr>
    </w:p>
    <w:p>
      <w:pPr>
        <w:ind w:left="340" w:hanging="332"/>
        <w:spacing w:after="0"/>
        <w:tabs>
          <w:tab w:leader="none" w:pos="34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Paid in quarterly installments in arrears and pro-rated for directors whose service commences during the year.</w:t>
      </w:r>
    </w:p>
    <w:p>
      <w:pPr>
        <w:spacing w:after="0" w:line="32" w:lineRule="exact"/>
        <w:rPr>
          <w:rFonts w:ascii="Calibri" w:cs="Calibri" w:eastAsia="Calibri" w:hAnsi="Calibri"/>
          <w:sz w:val="14"/>
          <w:szCs w:val="14"/>
          <w:color w:val="auto"/>
        </w:rPr>
      </w:pPr>
    </w:p>
    <w:p>
      <w:pPr>
        <w:ind w:left="340" w:right="20" w:hanging="332"/>
        <w:spacing w:after="0" w:line="245" w:lineRule="auto"/>
        <w:tabs>
          <w:tab w:leader="none" w:pos="338"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Amounts represent the approximate grant date fair value of RSUs that will be setled in shares of our Class A common stock. All equity awards granted pursuant to the director compensaton policy vest, in additon to the schedules below, upon a change in control of the Company.</w:t>
      </w:r>
    </w:p>
    <w:p>
      <w:pPr>
        <w:spacing w:after="0" w:line="41" w:lineRule="exact"/>
        <w:rPr>
          <w:rFonts w:ascii="Calibri" w:cs="Calibri" w:eastAsia="Calibri" w:hAnsi="Calibri"/>
          <w:sz w:val="14"/>
          <w:szCs w:val="14"/>
          <w:color w:val="auto"/>
        </w:rPr>
      </w:pPr>
    </w:p>
    <w:p>
      <w:pPr>
        <w:ind w:left="340" w:hanging="332"/>
        <w:spacing w:after="0"/>
        <w:tabs>
          <w:tab w:leader="none" w:pos="34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Award vests, subject to the director’s contnued service, in equal annual installments on the frst three anniversaries of the director’s commencement of service.</w:t>
      </w:r>
    </w:p>
    <w:p>
      <w:pPr>
        <w:spacing w:after="0" w:line="32" w:lineRule="exact"/>
        <w:rPr>
          <w:rFonts w:ascii="Calibri" w:cs="Calibri" w:eastAsia="Calibri" w:hAnsi="Calibri"/>
          <w:sz w:val="14"/>
          <w:szCs w:val="14"/>
          <w:color w:val="auto"/>
        </w:rPr>
      </w:pPr>
    </w:p>
    <w:p>
      <w:pPr>
        <w:jc w:val="both"/>
        <w:ind w:left="340" w:hanging="332"/>
        <w:spacing w:after="0" w:line="245" w:lineRule="auto"/>
        <w:tabs>
          <w:tab w:leader="none" w:pos="338"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Award vests, subject to the director’s contnued service, in full on the earlier of (i) the date of our next annual meetng of our stockholders (or the date immediately prior to our next annual meetng of our stockholders if the non-employee director’s service as a director ends at such meetng due to the director’s failure to be re-elected or the director not standing for re-electon); or (ii) the frst anniversary of the date of grant.</w:t>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14</w:t>
      </w:r>
    </w:p>
    <w:p>
      <w:pPr>
        <w:sectPr>
          <w:pgSz w:w="11900" w:h="16838" w:orient="portrait"/>
          <w:cols w:equalWidth="0" w:num="1">
            <w:col w:w="11240"/>
          </w:cols>
          <w:pgMar w:left="320" w:top="1413" w:right="339" w:bottom="1440" w:gutter="0" w:footer="0" w:header="0"/>
          <w:type w:val="continuous"/>
        </w:sectPr>
      </w:pPr>
    </w:p>
    <w:bookmarkStart w:id="18" w:name="page19"/>
    <w:bookmarkEnd w:id="18"/>
    <w:p>
      <w:pPr>
        <w:jc w:val="both"/>
        <w:spacing w:after="0" w:line="235" w:lineRule="auto"/>
        <w:rPr>
          <w:sz w:val="20"/>
          <w:szCs w:val="20"/>
          <w:color w:val="auto"/>
        </w:rPr>
      </w:pPr>
      <w:r>
        <w:rPr>
          <w:rFonts w:ascii="Calibri" w:cs="Calibri" w:eastAsia="Calibri" w:hAnsi="Calibri"/>
          <w:sz w:val="18"/>
          <w:szCs w:val="18"/>
          <w:color w:val="auto"/>
        </w:rPr>
        <w:t>We reimburse each non-employee director for ordinary, necessary, and reasonable out-of-pocket travel expenses to cover in-person atendance at and partcipaton in meetngs of our Board and any commitee of the Board. Our directors who are also employees, Messrs. Levchin and Michalek, do not receive any additonal compensaton</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for their services as a director. The following table sets forth informaton regarding compensaton earned by or paid to our non-employee directors during fscal 2022. Mr. Watson was not a director during fscal 2022 and, therefore, did not receive any non-employee director compensaton in fscal 2022.</w:t>
      </w:r>
    </w:p>
    <w:p>
      <w:pPr>
        <w:spacing w:after="0" w:line="200" w:lineRule="exact"/>
        <w:rPr>
          <w:sz w:val="20"/>
          <w:szCs w:val="20"/>
          <w:color w:val="auto"/>
        </w:rPr>
      </w:pPr>
    </w:p>
    <w:p>
      <w:pPr>
        <w:sectPr>
          <w:pgSz w:w="11900" w:h="16838" w:orient="portrait"/>
          <w:cols w:equalWidth="0" w:num="2">
            <w:col w:w="5420" w:space="300"/>
            <w:col w:w="5520"/>
          </w:cols>
          <w:pgMar w:left="320" w:top="1413"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u w:val="single" w:color="auto"/>
          <w:color w:val="auto"/>
        </w:rPr>
        <w:t>Fiscal 2022 Director Compensaton Table</w:t>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840" w:type="dxa"/>
            <w:vAlign w:val="bottom"/>
          </w:tcPr>
          <w:p>
            <w:pPr>
              <w:jc w:val="center"/>
              <w:ind w:right="119"/>
              <w:spacing w:after="0"/>
              <w:rPr>
                <w:sz w:val="20"/>
                <w:szCs w:val="20"/>
                <w:color w:val="auto"/>
              </w:rPr>
            </w:pPr>
            <w:r>
              <w:rPr>
                <w:rFonts w:ascii="Calibri" w:cs="Calibri" w:eastAsia="Calibri" w:hAnsi="Calibri"/>
                <w:sz w:val="16"/>
                <w:szCs w:val="16"/>
                <w:b w:val="1"/>
                <w:bCs w:val="1"/>
                <w:color w:val="auto"/>
              </w:rPr>
              <w:t>Fees Earned or</w:t>
            </w:r>
          </w:p>
        </w:tc>
        <w:tc>
          <w:tcPr>
            <w:tcW w:w="16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4400" w:type="dxa"/>
            <w:vAlign w:val="bottom"/>
          </w:tcPr>
          <w:p>
            <w:pPr>
              <w:spacing w:after="0"/>
              <w:rPr>
                <w:sz w:val="16"/>
                <w:szCs w:val="16"/>
                <w:color w:val="auto"/>
              </w:rPr>
            </w:pPr>
          </w:p>
        </w:tc>
        <w:tc>
          <w:tcPr>
            <w:tcW w:w="1840" w:type="dxa"/>
            <w:vAlign w:val="bottom"/>
          </w:tcPr>
          <w:p>
            <w:pPr>
              <w:jc w:val="center"/>
              <w:ind w:right="159"/>
              <w:spacing w:after="0" w:line="189" w:lineRule="exact"/>
              <w:rPr>
                <w:sz w:val="20"/>
                <w:szCs w:val="20"/>
                <w:color w:val="auto"/>
              </w:rPr>
            </w:pPr>
            <w:r>
              <w:rPr>
                <w:rFonts w:ascii="Calibri" w:cs="Calibri" w:eastAsia="Calibri" w:hAnsi="Calibri"/>
                <w:sz w:val="16"/>
                <w:szCs w:val="16"/>
                <w:b w:val="1"/>
                <w:bCs w:val="1"/>
                <w:color w:val="auto"/>
                <w:w w:val="99"/>
              </w:rPr>
              <w:t>Paid in Cash</w:t>
            </w:r>
          </w:p>
        </w:tc>
        <w:tc>
          <w:tcPr>
            <w:tcW w:w="1620" w:type="dxa"/>
            <w:vAlign w:val="bottom"/>
          </w:tcPr>
          <w:p>
            <w:pPr>
              <w:jc w:val="right"/>
              <w:ind w:right="379"/>
              <w:spacing w:after="0" w:line="189" w:lineRule="exact"/>
              <w:rPr>
                <w:sz w:val="20"/>
                <w:szCs w:val="20"/>
                <w:color w:val="auto"/>
              </w:rPr>
            </w:pPr>
            <w:r>
              <w:rPr>
                <w:rFonts w:ascii="Calibri" w:cs="Calibri" w:eastAsia="Calibri" w:hAnsi="Calibri"/>
                <w:sz w:val="16"/>
                <w:szCs w:val="16"/>
                <w:b w:val="1"/>
                <w:bCs w:val="1"/>
                <w:color w:val="auto"/>
              </w:rPr>
              <w:t>Stock Awards</w:t>
            </w:r>
          </w:p>
        </w:tc>
        <w:tc>
          <w:tcPr>
            <w:tcW w:w="1680" w:type="dxa"/>
            <w:vAlign w:val="bottom"/>
          </w:tcPr>
          <w:p>
            <w:pPr>
              <w:ind w:left="20"/>
              <w:spacing w:after="0" w:line="189" w:lineRule="exact"/>
              <w:rPr>
                <w:sz w:val="20"/>
                <w:szCs w:val="20"/>
                <w:color w:val="auto"/>
              </w:rPr>
            </w:pPr>
            <w:r>
              <w:rPr>
                <w:rFonts w:ascii="Calibri" w:cs="Calibri" w:eastAsia="Calibri" w:hAnsi="Calibri"/>
                <w:sz w:val="16"/>
                <w:szCs w:val="16"/>
                <w:b w:val="1"/>
                <w:bCs w:val="1"/>
                <w:color w:val="auto"/>
              </w:rPr>
              <w:t>All Other Compensaton</w:t>
            </w:r>
          </w:p>
        </w:tc>
        <w:tc>
          <w:tcPr>
            <w:tcW w:w="1500" w:type="dxa"/>
            <w:vAlign w:val="bottom"/>
          </w:tcPr>
          <w:p>
            <w:pPr>
              <w:jc w:val="right"/>
              <w:ind w:right="499"/>
              <w:spacing w:after="0" w:line="189" w:lineRule="exact"/>
              <w:rPr>
                <w:sz w:val="20"/>
                <w:szCs w:val="20"/>
                <w:color w:val="auto"/>
              </w:rPr>
            </w:pPr>
            <w:r>
              <w:rPr>
                <w:rFonts w:ascii="Calibri" w:cs="Calibri" w:eastAsia="Calibri" w:hAnsi="Calibri"/>
                <w:sz w:val="16"/>
                <w:szCs w:val="16"/>
                <w:b w:val="1"/>
                <w:bCs w:val="1"/>
                <w:color w:val="auto"/>
              </w:rPr>
              <w:t>Total</w:t>
            </w:r>
          </w:p>
        </w:tc>
      </w:tr>
      <w:tr>
        <w:trPr>
          <w:trHeight w:val="246"/>
        </w:trPr>
        <w:tc>
          <w:tcPr>
            <w:tcW w:w="4400" w:type="dxa"/>
            <w:vAlign w:val="bottom"/>
            <w:tcBorders>
              <w:bottom w:val="single" w:sz="8" w:color="auto"/>
            </w:tcBorders>
          </w:tcPr>
          <w:p>
            <w:pPr>
              <w:ind w:left="80"/>
              <w:spacing w:after="0"/>
              <w:rPr>
                <w:sz w:val="20"/>
                <w:szCs w:val="20"/>
                <w:color w:val="auto"/>
              </w:rPr>
            </w:pPr>
            <w:r>
              <w:rPr>
                <w:rFonts w:ascii="Calibri" w:cs="Calibri" w:eastAsia="Calibri" w:hAnsi="Calibri"/>
                <w:sz w:val="16"/>
                <w:szCs w:val="16"/>
                <w:b w:val="1"/>
                <w:bCs w:val="1"/>
                <w:color w:val="auto"/>
              </w:rPr>
              <w:t>Name</w:t>
            </w:r>
          </w:p>
        </w:tc>
        <w:tc>
          <w:tcPr>
            <w:tcW w:w="1840" w:type="dxa"/>
            <w:vAlign w:val="bottom"/>
            <w:tcBorders>
              <w:bottom w:val="single" w:sz="8" w:color="auto"/>
            </w:tcBorders>
          </w:tcPr>
          <w:p>
            <w:pPr>
              <w:jc w:val="center"/>
              <w:ind w:right="119"/>
              <w:spacing w:after="0"/>
              <w:rPr>
                <w:sz w:val="20"/>
                <w:szCs w:val="20"/>
                <w:color w:val="auto"/>
              </w:rPr>
            </w:pPr>
            <w:r>
              <w:rPr>
                <w:rFonts w:ascii="Calibri" w:cs="Calibri" w:eastAsia="Calibri" w:hAnsi="Calibri"/>
                <w:sz w:val="16"/>
                <w:szCs w:val="16"/>
                <w:b w:val="1"/>
                <w:bCs w:val="1"/>
                <w:color w:val="auto"/>
              </w:rPr>
              <w:t>($)</w:t>
            </w:r>
          </w:p>
        </w:tc>
        <w:tc>
          <w:tcPr>
            <w:tcW w:w="1620" w:type="dxa"/>
            <w:vAlign w:val="bottom"/>
            <w:tcBorders>
              <w:bottom w:val="single" w:sz="8" w:color="auto"/>
            </w:tcBorders>
          </w:tcPr>
          <w:p>
            <w:pPr>
              <w:jc w:val="right"/>
              <w:ind w:right="679"/>
              <w:spacing w:after="0" w:line="244" w:lineRule="exact"/>
              <w:rPr>
                <w:sz w:val="20"/>
                <w:szCs w:val="20"/>
                <w:color w:val="auto"/>
              </w:rPr>
            </w:pPr>
            <w:r>
              <w:rPr>
                <w:rFonts w:ascii="Calibri" w:cs="Calibri" w:eastAsia="Calibri" w:hAnsi="Calibri"/>
                <w:sz w:val="16"/>
                <w:szCs w:val="16"/>
                <w:b w:val="1"/>
                <w:bCs w:val="1"/>
                <w:color w:val="auto"/>
              </w:rPr>
              <w:t>($)</w:t>
            </w:r>
            <w:r>
              <w:rPr>
                <w:rFonts w:ascii="Calibri" w:cs="Calibri" w:eastAsia="Calibri" w:hAnsi="Calibri"/>
                <w:sz w:val="21"/>
                <w:szCs w:val="21"/>
                <w:b w:val="1"/>
                <w:bCs w:val="1"/>
                <w:color w:val="auto"/>
                <w:vertAlign w:val="superscript"/>
              </w:rPr>
              <w:t>(1)</w:t>
            </w:r>
          </w:p>
        </w:tc>
        <w:tc>
          <w:tcPr>
            <w:tcW w:w="1680" w:type="dxa"/>
            <w:vAlign w:val="bottom"/>
            <w:tcBorders>
              <w:bottom w:val="single" w:sz="8" w:color="auto"/>
            </w:tcBorders>
          </w:tcPr>
          <w:p>
            <w:pPr>
              <w:ind w:left="760"/>
              <w:spacing w:after="0" w:line="193" w:lineRule="exact"/>
              <w:rPr>
                <w:sz w:val="20"/>
                <w:szCs w:val="20"/>
                <w:color w:val="auto"/>
              </w:rPr>
            </w:pPr>
            <w:r>
              <w:rPr>
                <w:rFonts w:ascii="Calibri" w:cs="Calibri" w:eastAsia="Calibri" w:hAnsi="Calibri"/>
                <w:sz w:val="16"/>
                <w:szCs w:val="16"/>
                <w:b w:val="1"/>
                <w:bCs w:val="1"/>
                <w:color w:val="auto"/>
              </w:rPr>
              <w:t>($)</w:t>
            </w:r>
          </w:p>
        </w:tc>
        <w:tc>
          <w:tcPr>
            <w:tcW w:w="1500" w:type="dxa"/>
            <w:vAlign w:val="bottom"/>
            <w:tcBorders>
              <w:bottom w:val="single" w:sz="8" w:color="auto"/>
            </w:tcBorders>
          </w:tcPr>
          <w:p>
            <w:pPr>
              <w:jc w:val="right"/>
              <w:ind w:right="579"/>
              <w:spacing w:after="0" w:line="193" w:lineRule="exact"/>
              <w:rPr>
                <w:sz w:val="20"/>
                <w:szCs w:val="20"/>
                <w:color w:val="auto"/>
              </w:rPr>
            </w:pPr>
            <w:r>
              <w:rPr>
                <w:rFonts w:ascii="Calibri" w:cs="Calibri" w:eastAsia="Calibri" w:hAnsi="Calibri"/>
                <w:sz w:val="16"/>
                <w:szCs w:val="16"/>
                <w:b w:val="1"/>
                <w:bCs w:val="1"/>
                <w:color w:val="auto"/>
              </w:rPr>
              <w:t>($)</w:t>
            </w:r>
          </w:p>
        </w:tc>
      </w:tr>
      <w:tr>
        <w:trPr>
          <w:trHeight w:val="232"/>
        </w:trPr>
        <w:tc>
          <w:tcPr>
            <w:tcW w:w="44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Jeremy Liew</w:t>
            </w:r>
          </w:p>
        </w:tc>
        <w:tc>
          <w:tcPr>
            <w:tcW w:w="1840" w:type="dxa"/>
            <w:vAlign w:val="bottom"/>
            <w:tcBorders>
              <w:bottom w:val="single" w:sz="8" w:color="DBDBDB"/>
            </w:tcBorders>
            <w:shd w:val="clear" w:color="auto" w:fill="DBDBDB"/>
          </w:tcPr>
          <w:p>
            <w:pPr>
              <w:jc w:val="right"/>
              <w:ind w:right="179"/>
              <w:spacing w:after="0"/>
              <w:rPr>
                <w:sz w:val="20"/>
                <w:szCs w:val="20"/>
                <w:color w:val="auto"/>
              </w:rPr>
            </w:pPr>
            <w:r>
              <w:rPr>
                <w:rFonts w:ascii="Calibri" w:cs="Calibri" w:eastAsia="Calibri" w:hAnsi="Calibri"/>
                <w:sz w:val="16"/>
                <w:szCs w:val="16"/>
                <w:color w:val="auto"/>
              </w:rPr>
              <w:t>68,000</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199,895</w:t>
            </w:r>
          </w:p>
        </w:tc>
        <w:tc>
          <w:tcPr>
            <w:tcW w:w="1680" w:type="dxa"/>
            <w:vAlign w:val="bottom"/>
            <w:tcBorders>
              <w:bottom w:val="single" w:sz="8" w:color="DBDBDB"/>
            </w:tcBorders>
            <w:shd w:val="clear" w:color="auto" w:fill="DBDBDB"/>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267,895</w:t>
            </w:r>
          </w:p>
        </w:tc>
      </w:tr>
      <w:tr>
        <w:trPr>
          <w:trHeight w:val="202"/>
        </w:trPr>
        <w:tc>
          <w:tcPr>
            <w:tcW w:w="4400" w:type="dxa"/>
            <w:vAlign w:val="bottom"/>
          </w:tcPr>
          <w:p>
            <w:pPr>
              <w:ind w:left="20"/>
              <w:spacing w:after="0"/>
              <w:rPr>
                <w:sz w:val="20"/>
                <w:szCs w:val="20"/>
                <w:color w:val="auto"/>
              </w:rPr>
            </w:pPr>
            <w:r>
              <w:rPr>
                <w:rFonts w:ascii="Calibri" w:cs="Calibri" w:eastAsia="Calibri" w:hAnsi="Calibri"/>
                <w:sz w:val="16"/>
                <w:szCs w:val="16"/>
                <w:color w:val="auto"/>
              </w:rPr>
              <w:t>Jenny J. Ming</w:t>
            </w:r>
          </w:p>
        </w:tc>
        <w:tc>
          <w:tcPr>
            <w:tcW w:w="1840" w:type="dxa"/>
            <w:vAlign w:val="bottom"/>
          </w:tcPr>
          <w:p>
            <w:pPr>
              <w:jc w:val="right"/>
              <w:ind w:right="179"/>
              <w:spacing w:after="0"/>
              <w:rPr>
                <w:sz w:val="20"/>
                <w:szCs w:val="20"/>
                <w:color w:val="auto"/>
              </w:rPr>
            </w:pPr>
            <w:r>
              <w:rPr>
                <w:rFonts w:ascii="Calibri" w:cs="Calibri" w:eastAsia="Calibri" w:hAnsi="Calibri"/>
                <w:sz w:val="16"/>
                <w:szCs w:val="16"/>
                <w:color w:val="auto"/>
              </w:rPr>
              <w:t>62,500</w:t>
            </w:r>
          </w:p>
        </w:tc>
        <w:tc>
          <w:tcPr>
            <w:tcW w:w="1620" w:type="dxa"/>
            <w:vAlign w:val="bottom"/>
          </w:tcPr>
          <w:p>
            <w:pPr>
              <w:jc w:val="right"/>
              <w:spacing w:after="0"/>
              <w:rPr>
                <w:sz w:val="20"/>
                <w:szCs w:val="20"/>
                <w:color w:val="auto"/>
              </w:rPr>
            </w:pPr>
            <w:r>
              <w:rPr>
                <w:rFonts w:ascii="Calibri" w:cs="Calibri" w:eastAsia="Calibri" w:hAnsi="Calibri"/>
                <w:sz w:val="16"/>
                <w:szCs w:val="16"/>
                <w:color w:val="auto"/>
              </w:rPr>
              <w:t>199,895</w:t>
            </w:r>
          </w:p>
        </w:tc>
        <w:tc>
          <w:tcPr>
            <w:tcW w:w="1680" w:type="dxa"/>
            <w:vAlign w:val="bottom"/>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262,395</w:t>
            </w:r>
          </w:p>
        </w:tc>
      </w:tr>
      <w:tr>
        <w:trPr>
          <w:trHeight w:val="41"/>
        </w:trPr>
        <w:tc>
          <w:tcPr>
            <w:tcW w:w="4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440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Jeremy G. Philips</w:t>
            </w:r>
            <w:r>
              <w:rPr>
                <w:rFonts w:ascii="Calibri" w:cs="Calibri" w:eastAsia="Calibri" w:hAnsi="Calibri"/>
                <w:sz w:val="21"/>
                <w:szCs w:val="21"/>
                <w:color w:val="auto"/>
                <w:vertAlign w:val="superscript"/>
              </w:rPr>
              <w:t>(2)</w:t>
            </w:r>
          </w:p>
        </w:tc>
        <w:tc>
          <w:tcPr>
            <w:tcW w:w="1840" w:type="dxa"/>
            <w:vAlign w:val="bottom"/>
            <w:shd w:val="clear" w:color="auto" w:fill="DBDBDB"/>
          </w:tcPr>
          <w:p>
            <w:pPr>
              <w:jc w:val="right"/>
              <w:ind w:right="179"/>
              <w:spacing w:after="0"/>
              <w:rPr>
                <w:sz w:val="20"/>
                <w:szCs w:val="20"/>
                <w:color w:val="auto"/>
              </w:rPr>
            </w:pPr>
            <w:r>
              <w:rPr>
                <w:rFonts w:ascii="Calibri" w:cs="Calibri" w:eastAsia="Calibri" w:hAnsi="Calibri"/>
                <w:sz w:val="16"/>
                <w:szCs w:val="16"/>
                <w:color w:val="auto"/>
              </w:rPr>
              <w:t>21,196</w:t>
            </w:r>
          </w:p>
        </w:tc>
        <w:tc>
          <w:tcPr>
            <w:tcW w:w="16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1680" w:type="dxa"/>
            <w:vAlign w:val="bottom"/>
            <w:shd w:val="clear" w:color="auto" w:fill="DBDBDB"/>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21,196</w:t>
            </w:r>
          </w:p>
        </w:tc>
      </w:tr>
      <w:tr>
        <w:trPr>
          <w:trHeight w:val="202"/>
        </w:trPr>
        <w:tc>
          <w:tcPr>
            <w:tcW w:w="4400" w:type="dxa"/>
            <w:vAlign w:val="bottom"/>
          </w:tcPr>
          <w:p>
            <w:pPr>
              <w:ind w:left="20"/>
              <w:spacing w:after="0"/>
              <w:rPr>
                <w:sz w:val="20"/>
                <w:szCs w:val="20"/>
                <w:color w:val="auto"/>
              </w:rPr>
            </w:pPr>
            <w:r>
              <w:rPr>
                <w:rFonts w:ascii="Calibri" w:cs="Calibri" w:eastAsia="Calibri" w:hAnsi="Calibri"/>
                <w:sz w:val="16"/>
                <w:szCs w:val="16"/>
                <w:color w:val="auto"/>
              </w:rPr>
              <w:t>Christa S. Quarles</w:t>
            </w:r>
          </w:p>
        </w:tc>
        <w:tc>
          <w:tcPr>
            <w:tcW w:w="1840" w:type="dxa"/>
            <w:vAlign w:val="bottom"/>
          </w:tcPr>
          <w:p>
            <w:pPr>
              <w:jc w:val="right"/>
              <w:ind w:right="179"/>
              <w:spacing w:after="0"/>
              <w:rPr>
                <w:sz w:val="20"/>
                <w:szCs w:val="20"/>
                <w:color w:val="auto"/>
              </w:rPr>
            </w:pPr>
            <w:r>
              <w:rPr>
                <w:rFonts w:ascii="Calibri" w:cs="Calibri" w:eastAsia="Calibri" w:hAnsi="Calibri"/>
                <w:sz w:val="16"/>
                <w:szCs w:val="16"/>
                <w:color w:val="auto"/>
              </w:rPr>
              <w:t>34,000</w:t>
            </w:r>
          </w:p>
        </w:tc>
        <w:tc>
          <w:tcPr>
            <w:tcW w:w="1620" w:type="dxa"/>
            <w:vAlign w:val="bottom"/>
          </w:tcPr>
          <w:p>
            <w:pPr>
              <w:jc w:val="right"/>
              <w:spacing w:after="0"/>
              <w:rPr>
                <w:sz w:val="20"/>
                <w:szCs w:val="20"/>
                <w:color w:val="auto"/>
              </w:rPr>
            </w:pPr>
            <w:r>
              <w:rPr>
                <w:rFonts w:ascii="Calibri" w:cs="Calibri" w:eastAsia="Calibri" w:hAnsi="Calibri"/>
                <w:sz w:val="16"/>
                <w:szCs w:val="16"/>
                <w:color w:val="auto"/>
              </w:rPr>
              <w:t>244,883</w:t>
            </w:r>
          </w:p>
        </w:tc>
        <w:tc>
          <w:tcPr>
            <w:tcW w:w="1680" w:type="dxa"/>
            <w:vAlign w:val="bottom"/>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278,883</w:t>
            </w:r>
          </w:p>
        </w:tc>
      </w:tr>
      <w:tr>
        <w:trPr>
          <w:trHeight w:val="41"/>
        </w:trPr>
        <w:tc>
          <w:tcPr>
            <w:tcW w:w="4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70"/>
        </w:trPr>
        <w:tc>
          <w:tcPr>
            <w:tcW w:w="440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Keith Rabois</w:t>
            </w:r>
            <w:r>
              <w:rPr>
                <w:rFonts w:ascii="Calibri" w:cs="Calibri" w:eastAsia="Calibri" w:hAnsi="Calibri"/>
                <w:sz w:val="21"/>
                <w:szCs w:val="21"/>
                <w:color w:val="auto"/>
                <w:vertAlign w:val="superscript"/>
              </w:rPr>
              <w:t>(3)</w:t>
            </w:r>
          </w:p>
        </w:tc>
        <w:tc>
          <w:tcPr>
            <w:tcW w:w="1840" w:type="dxa"/>
            <w:vAlign w:val="bottom"/>
            <w:shd w:val="clear" w:color="auto" w:fill="DBDBDB"/>
          </w:tcPr>
          <w:p>
            <w:pPr>
              <w:jc w:val="right"/>
              <w:ind w:right="179"/>
              <w:spacing w:after="0"/>
              <w:rPr>
                <w:sz w:val="20"/>
                <w:szCs w:val="20"/>
                <w:color w:val="auto"/>
              </w:rPr>
            </w:pPr>
            <w:r>
              <w:rPr>
                <w:rFonts w:ascii="Calibri" w:cs="Calibri" w:eastAsia="Calibri" w:hAnsi="Calibri"/>
                <w:sz w:val="16"/>
                <w:szCs w:val="16"/>
                <w:color w:val="auto"/>
              </w:rPr>
              <w:t>—</w:t>
            </w:r>
          </w:p>
        </w:tc>
        <w:tc>
          <w:tcPr>
            <w:tcW w:w="16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1680" w:type="dxa"/>
            <w:vAlign w:val="bottom"/>
            <w:shd w:val="clear" w:color="auto" w:fill="DBDBDB"/>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r>
      <w:tr>
        <w:trPr>
          <w:trHeight w:val="202"/>
        </w:trPr>
        <w:tc>
          <w:tcPr>
            <w:tcW w:w="4400" w:type="dxa"/>
            <w:vAlign w:val="bottom"/>
          </w:tcPr>
          <w:p>
            <w:pPr>
              <w:ind w:left="20"/>
              <w:spacing w:after="0"/>
              <w:rPr>
                <w:sz w:val="20"/>
                <w:szCs w:val="20"/>
                <w:color w:val="auto"/>
              </w:rPr>
            </w:pPr>
            <w:r>
              <w:rPr>
                <w:rFonts w:ascii="Calibri" w:cs="Calibri" w:eastAsia="Calibri" w:hAnsi="Calibri"/>
                <w:sz w:val="16"/>
                <w:szCs w:val="16"/>
                <w:color w:val="auto"/>
              </w:rPr>
              <w:t>Jacqueline D. Reses</w:t>
            </w:r>
          </w:p>
        </w:tc>
        <w:tc>
          <w:tcPr>
            <w:tcW w:w="1840" w:type="dxa"/>
            <w:vAlign w:val="bottom"/>
          </w:tcPr>
          <w:p>
            <w:pPr>
              <w:jc w:val="right"/>
              <w:ind w:right="179"/>
              <w:spacing w:after="0"/>
              <w:rPr>
                <w:sz w:val="20"/>
                <w:szCs w:val="20"/>
                <w:color w:val="auto"/>
              </w:rPr>
            </w:pPr>
            <w:r>
              <w:rPr>
                <w:rFonts w:ascii="Calibri" w:cs="Calibri" w:eastAsia="Calibri" w:hAnsi="Calibri"/>
                <w:sz w:val="16"/>
                <w:szCs w:val="16"/>
                <w:color w:val="auto"/>
              </w:rPr>
              <w:t>21,500</w:t>
            </w:r>
          </w:p>
        </w:tc>
        <w:tc>
          <w:tcPr>
            <w:tcW w:w="1620" w:type="dxa"/>
            <w:vAlign w:val="bottom"/>
          </w:tcPr>
          <w:p>
            <w:pPr>
              <w:jc w:val="right"/>
              <w:spacing w:after="0"/>
              <w:rPr>
                <w:sz w:val="20"/>
                <w:szCs w:val="20"/>
                <w:color w:val="auto"/>
              </w:rPr>
            </w:pPr>
            <w:r>
              <w:rPr>
                <w:rFonts w:ascii="Calibri" w:cs="Calibri" w:eastAsia="Calibri" w:hAnsi="Calibri"/>
                <w:sz w:val="16"/>
                <w:szCs w:val="16"/>
                <w:color w:val="auto"/>
              </w:rPr>
              <w:t>244,883</w:t>
            </w:r>
          </w:p>
        </w:tc>
        <w:tc>
          <w:tcPr>
            <w:tcW w:w="1680" w:type="dxa"/>
            <w:vAlign w:val="bottom"/>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266,383</w:t>
            </w:r>
          </w:p>
        </w:tc>
      </w:tr>
      <w:tr>
        <w:trPr>
          <w:trHeight w:val="41"/>
        </w:trPr>
        <w:tc>
          <w:tcPr>
            <w:tcW w:w="44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37"/>
        </w:trPr>
        <w:tc>
          <w:tcPr>
            <w:tcW w:w="44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James D. White</w:t>
            </w:r>
          </w:p>
        </w:tc>
        <w:tc>
          <w:tcPr>
            <w:tcW w:w="1840" w:type="dxa"/>
            <w:vAlign w:val="bottom"/>
            <w:tcBorders>
              <w:bottom w:val="single" w:sz="8" w:color="DBDBDB"/>
            </w:tcBorders>
            <w:shd w:val="clear" w:color="auto" w:fill="DBDBDB"/>
          </w:tcPr>
          <w:p>
            <w:pPr>
              <w:jc w:val="right"/>
              <w:ind w:right="179"/>
              <w:spacing w:after="0"/>
              <w:rPr>
                <w:sz w:val="20"/>
                <w:szCs w:val="20"/>
                <w:color w:val="auto"/>
              </w:rPr>
            </w:pPr>
            <w:r>
              <w:rPr>
                <w:rFonts w:ascii="Calibri" w:cs="Calibri" w:eastAsia="Calibri" w:hAnsi="Calibri"/>
                <w:sz w:val="16"/>
                <w:szCs w:val="16"/>
                <w:color w:val="auto"/>
              </w:rPr>
              <w:t>42,207</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244,883</w:t>
            </w:r>
          </w:p>
        </w:tc>
        <w:tc>
          <w:tcPr>
            <w:tcW w:w="1680" w:type="dxa"/>
            <w:vAlign w:val="bottom"/>
            <w:tcBorders>
              <w:bottom w:val="single" w:sz="8" w:color="DBDBDB"/>
            </w:tcBorders>
            <w:shd w:val="clear" w:color="auto" w:fill="DBDBDB"/>
          </w:tcPr>
          <w:p>
            <w:pPr>
              <w:ind w:left="1480"/>
              <w:spacing w:after="0"/>
              <w:rPr>
                <w:sz w:val="20"/>
                <w:szCs w:val="20"/>
                <w:color w:val="auto"/>
              </w:rPr>
            </w:pPr>
            <w:r>
              <w:rPr>
                <w:rFonts w:ascii="Calibri" w:cs="Calibri" w:eastAsia="Calibri" w:hAnsi="Calibri"/>
                <w:sz w:val="16"/>
                <w:szCs w:val="16"/>
                <w:color w:val="auto"/>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287,090</w:t>
            </w:r>
          </w:p>
        </w:tc>
      </w:tr>
      <w:tr>
        <w:trPr>
          <w:trHeight w:val="20"/>
        </w:trPr>
        <w:tc>
          <w:tcPr>
            <w:tcW w:w="44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39" w:lineRule="auto"/>
        <w:tabs>
          <w:tab w:leader="none" w:pos="376"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Reported amounts represent the aggregate grant date fair value of RSUs granted during fscal 2022, as computed in accordance with Financial Accountng Standards Board (“FASB”) Accountng Standards Codifcaton (“ASC”) Topic 718. See Notes to Consolidated Financial Statements included in our Annual Report on Form 10-K for fscal 2022 for the assumptons used in calculatng the grant date fair value. The grant date fair value does not necessarily correspond to the actual economic value that may be realized for these awards. As of June 30, 2022, our non-employee directors had the following RSUs outstanding: Mr. Liew-1,864, Ms. Ming-8,668, Ms. Quarles-1,864, Mr. Rabois-0, Ms. Reses-8,668, and Mr. White-8,668.</w:t>
      </w:r>
    </w:p>
    <w:p>
      <w:pPr>
        <w:spacing w:after="0" w:line="47" w:lineRule="exact"/>
        <w:rPr>
          <w:rFonts w:ascii="Calibri" w:cs="Calibri" w:eastAsia="Calibri" w:hAnsi="Calibri"/>
          <w:sz w:val="14"/>
          <w:szCs w:val="14"/>
          <w:color w:val="auto"/>
        </w:rPr>
      </w:pPr>
    </w:p>
    <w:p>
      <w:pPr>
        <w:ind w:left="300" w:hanging="292"/>
        <w:spacing w:after="0"/>
        <w:tabs>
          <w:tab w:leader="none" w:pos="30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Mr. Philips did not stand for re-electon at our 2021 annual meetng held in December 2021. Therefore, his compensaton refects his service for a porton of fscal 2022.</w:t>
      </w:r>
    </w:p>
    <w:p>
      <w:pPr>
        <w:spacing w:after="0" w:line="31" w:lineRule="exact"/>
        <w:rPr>
          <w:rFonts w:ascii="Calibri" w:cs="Calibri" w:eastAsia="Calibri" w:hAnsi="Calibri"/>
          <w:sz w:val="14"/>
          <w:szCs w:val="14"/>
          <w:color w:val="auto"/>
        </w:rPr>
      </w:pPr>
    </w:p>
    <w:p>
      <w:pPr>
        <w:ind w:left="300" w:hanging="292"/>
        <w:spacing w:after="0"/>
        <w:tabs>
          <w:tab w:leader="none" w:pos="30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Mr. Rabois waived his right to any non-employee director compensaton in fscal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ectPr>
          <w:pgSz w:w="11900" w:h="16838" w:orient="portrait"/>
          <w:cols w:equalWidth="0" w:num="1">
            <w:col w:w="11240"/>
          </w:cols>
          <w:pgMar w:left="320" w:top="1413" w:right="3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29"/>
          <w:szCs w:val="29"/>
          <w:b w:val="1"/>
          <w:bCs w:val="1"/>
          <w:color w:val="auto"/>
        </w:rPr>
        <w:t>PROPOSAL NO. 1: ELECTION OF DIRECTORS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is currently composed of nine members. In accordance with our certfcate of incorporaton, our Board is divided into three classes with staggered three-year terms. One class is elected each year at the annual meetng of stockholders for a term of three years. At the Annual Meetng, three Class II directors will be elected for</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Nominees</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has nominated Jenny J. Ming, Christa S. Quarles, and Keith Rabois for electon as Class II directors at the Annual Meetng. If elected, each of Ms. Ming, Ms. Quarles, and Mr. Rabois will serve as Class II directors untl the 2025 Annual Meetng of stockholders and untl their successors are elected and qualifed or their earlier death, resignaton or removal. Each of the nominees is currently a director of the Company. For informaton concerning the nominees, see the secton enttled “</w:t>
      </w:r>
      <w:r>
        <w:rPr>
          <w:rFonts w:ascii="Calibri" w:cs="Calibri" w:eastAsia="Calibri" w:hAnsi="Calibri"/>
          <w:sz w:val="18"/>
          <w:szCs w:val="18"/>
          <w:i w:val="1"/>
          <w:iCs w:val="1"/>
          <w:color w:val="auto"/>
        </w:rPr>
        <w:t>Board of Directors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Corporate Governance.</w:t>
      </w:r>
      <w:r>
        <w:rPr>
          <w:rFonts w:ascii="Calibri" w:cs="Calibri" w:eastAsia="Calibri" w:hAnsi="Calibri"/>
          <w:sz w:val="18"/>
          <w:szCs w:val="18"/>
          <w:color w:val="auto"/>
        </w:rPr>
        <w:t>”</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are a stockholder of record and you sign your proxy card or vote over the internet or by telephone but do not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color w:val="auto"/>
        </w:rPr>
        <w:t>a three-year term to succeed the same class whose term is then expiring. Each director’s term contnues untl the electon and qualifcaton of such director’s successor, or such director’s earlier death, resignaton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give instructons with respect to the votng of directors, your shares will be voted FOR the electon of Ms. Ming, Ms. Quarles, and Mr. Rabois. We expect that Ms. Ming, Ms. Quarles, and Mr. Rabois will accept such nominaton; however, in the event that a director nominee is unable or declines to serve as a director at the tme of the Annual Meetng, the proxies will be voted for any nominee who shall be designated by our Board to fll such vacancy. If you are a benefcial owner of shares of our common stock and you do not give votng instructons to your broker, bank or other nominee, then your broker, bank or other nominee will leave your shares unvoted on this mater.</w:t>
      </w:r>
    </w:p>
    <w:p>
      <w:pPr>
        <w:spacing w:after="0" w:line="382" w:lineRule="exact"/>
        <w:rPr>
          <w:sz w:val="20"/>
          <w:szCs w:val="20"/>
          <w:color w:val="auto"/>
        </w:rPr>
      </w:pPr>
    </w:p>
    <w:p>
      <w:pPr>
        <w:sectPr>
          <w:pgSz w:w="11900" w:h="16838" w:orient="portrait"/>
          <w:cols w:equalWidth="0" w:num="2">
            <w:col w:w="5420" w:space="300"/>
            <w:col w:w="5520"/>
          </w:cols>
          <w:pgMar w:left="320" w:top="1394" w:right="339" w:bottom="1440" w:gutter="0" w:footer="0" w:header="0"/>
        </w:sectPr>
      </w:pPr>
    </w:p>
    <w:p>
      <w:pPr>
        <w:spacing w:after="0" w:line="3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Vote Required</w:t>
      </w:r>
    </w:p>
    <w:p>
      <w:pPr>
        <w:spacing w:after="0" w:line="194"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electon of Class II directors requires a plurality vote of the votng power of the shares of our common stock present in person or by proxy at the Annual Meetng and enttled to vote thereon to be approved. Accordingly, the three nominees receiving the highest number of votes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“FOR” will be elected. Any shares voted “WITHHOLD” and broker non-votes are not considered votes cast for the foregoing purpose and will have no efect on the outcome of the electon.</w:t>
      </w:r>
    </w:p>
    <w:p>
      <w:pPr>
        <w:spacing w:after="0" w:line="426" w:lineRule="exact"/>
        <w:rPr>
          <w:sz w:val="20"/>
          <w:szCs w:val="20"/>
          <w:color w:val="auto"/>
        </w:rPr>
      </w:pPr>
    </w:p>
    <w:p>
      <w:pPr>
        <w:sectPr>
          <w:pgSz w:w="11900" w:h="16838" w:orient="portrait"/>
          <w:cols w:equalWidth="0" w:num="2">
            <w:col w:w="5420" w:space="300"/>
            <w:col w:w="5520"/>
          </w:cols>
          <w:pgMar w:left="320" w:top="1394" w:right="339" w:bottom="1440" w:gutter="0" w:footer="0" w:header="0"/>
          <w:type w:val="continuous"/>
        </w:sectPr>
      </w:pPr>
    </w:p>
    <w:p>
      <w:pPr>
        <w:spacing w:after="0" w:line="380" w:lineRule="exact"/>
        <w:rPr>
          <w:sz w:val="20"/>
          <w:szCs w:val="20"/>
          <w:color w:val="auto"/>
        </w:rPr>
      </w:pPr>
    </w:p>
    <w:p>
      <w:pPr>
        <w:spacing w:after="0" w:line="229" w:lineRule="auto"/>
        <w:rPr>
          <w:sz w:val="20"/>
          <w:szCs w:val="20"/>
          <w:color w:val="auto"/>
        </w:rPr>
      </w:pPr>
      <w:r>
        <w:rPr>
          <w:rFonts w:ascii="Calibri" w:cs="Calibri" w:eastAsia="Calibri" w:hAnsi="Calibri"/>
          <w:sz w:val="22"/>
          <w:szCs w:val="22"/>
          <w:b w:val="1"/>
          <w:bCs w:val="1"/>
          <w:color w:val="auto"/>
        </w:rPr>
        <w:t>The Board of Directors recommends a vote FOR the electon of each of the nominees named in this Proxy Statement as Class II Directors to serve for a three-year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ectPr>
          <w:pgSz w:w="11900" w:h="16838" w:orient="portrait"/>
          <w:cols w:equalWidth="0" w:num="1">
            <w:col w:w="11240"/>
          </w:cols>
          <w:pgMar w:left="320" w:top="1394" w:right="339" w:bottom="1440" w:gutter="0" w:footer="0" w:header="0"/>
          <w:type w:val="continuous"/>
        </w:sectPr>
      </w:pPr>
    </w:p>
    <w:bookmarkStart w:id="20" w:name="page21"/>
    <w:bookmarkEnd w:id="20"/>
    <w:p>
      <w:pPr>
        <w:ind w:right="520"/>
        <w:spacing w:after="0" w:line="235" w:lineRule="auto"/>
        <w:rPr>
          <w:sz w:val="20"/>
          <w:szCs w:val="20"/>
          <w:color w:val="auto"/>
        </w:rPr>
      </w:pPr>
      <w:r>
        <w:rPr>
          <w:rFonts w:ascii="Calibri" w:cs="Calibri" w:eastAsia="Calibri" w:hAnsi="Calibri"/>
          <w:sz w:val="29"/>
          <w:szCs w:val="29"/>
          <w:b w:val="1"/>
          <w:bCs w:val="1"/>
          <w:color w:val="auto"/>
        </w:rPr>
        <w:t>PROPOSAL NO. 2: RATIFICATION OF APPOINTMENT OF INDEPENDENT REGISTERED PUBLIC ACCOUNTING FIRM</w:t>
      </w:r>
    </w:p>
    <w:p>
      <w:pPr>
        <w:sectPr>
          <w:pgSz w:w="11900" w:h="16838" w:orient="portrait"/>
          <w:cols w:equalWidth="0" w:num="1">
            <w:col w:w="11240"/>
          </w:cols>
          <w:pgMar w:left="320" w:top="1405" w:right="339" w:bottom="1440" w:gutter="0" w:footer="0" w:header="0"/>
        </w:sectPr>
      </w:pP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Commitee has appointed Deloite &amp; Touche LLP, as our independent registered public accountng frm to audit our consolidated fnancial statements for our fscal year ending June 30, 2023. Deloite &amp; Touche LLP has served as our independent registered public accountng frm since 2020.</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the Annual Meetng, stockholders are being asked to ratfy the appointment of Deloite &amp; Touche LLP as our independent registered public accountng frm for our fscal year ending June 30, 2023. Stockholder ratfcaton of the appointment of Deloite &amp; Touche LLP is not required by our bylaws or other applicable legal requirements. However, our Board is submitng the appointment of Deloite &amp; Touche LLP to our stockholders for ratfcaton as a mater of good corporate governance. In the event that this appointment is not ratfed by the afrmatve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vote of a majority of the shares present in person or by proxy at the Annual Meetng and enttled to vote, our Audit Commitee will consider the outcome of the vote in determining whether to retain this frm for our fscal year ending June 30, 2023. Even if the appointment is ratfed, our Audit Commitee, in its sole discreton, may appoint another independent registered public accountng frm at any tme during our fscal year ending June 30, 2023 if our Audit Commitee believes that such a change would be in the best interests of the Company and its stockholders. A representatve of Deloite &amp; Touche LLP is expected to be present at the Annual Meetng, will have an opportunity to make a statement if he or she wishes to do so, and is expected to be available to respond to appropriate questons from stockholders.</w:t>
      </w:r>
    </w:p>
    <w:p>
      <w:pPr>
        <w:spacing w:after="0" w:line="594" w:lineRule="exact"/>
        <w:rPr>
          <w:sz w:val="20"/>
          <w:szCs w:val="20"/>
          <w:color w:val="auto"/>
        </w:rPr>
      </w:pPr>
    </w:p>
    <w:p>
      <w:pPr>
        <w:sectPr>
          <w:pgSz w:w="11900" w:h="16838" w:orient="portrait"/>
          <w:cols w:equalWidth="0" w:num="2">
            <w:col w:w="5420" w:space="300"/>
            <w:col w:w="5520"/>
          </w:cols>
          <w:pgMar w:left="320" w:top="1405" w:right="3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Fees Paid to the Independent Registered Public Accountng Firm</w:t>
      </w:r>
    </w:p>
    <w:p>
      <w:pPr>
        <w:spacing w:after="0" w:line="18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presents fees for professional audit services and other services rendered to us by Deloite &amp; Touche LLP for our fscal years ended June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Calibri" w:cs="Calibri" w:eastAsia="Calibri" w:hAnsi="Calibri"/>
                <w:sz w:val="16"/>
                <w:szCs w:val="16"/>
                <w:b w:val="1"/>
                <w:bCs w:val="1"/>
                <w:color w:val="auto"/>
              </w:rPr>
              <w:t>Fiscal 2022</w:t>
            </w:r>
          </w:p>
        </w:tc>
        <w:tc>
          <w:tcPr>
            <w:tcW w:w="300" w:type="dxa"/>
            <w:vAlign w:val="bottom"/>
          </w:tcPr>
          <w:p>
            <w:pPr>
              <w:spacing w:after="0"/>
              <w:rPr>
                <w:sz w:val="16"/>
                <w:szCs w:val="16"/>
                <w:color w:val="auto"/>
              </w:rPr>
            </w:pPr>
          </w:p>
        </w:tc>
        <w:tc>
          <w:tcPr>
            <w:tcW w:w="1220" w:type="dxa"/>
            <w:vAlign w:val="bottom"/>
          </w:tcPr>
          <w:p>
            <w:pPr>
              <w:jc w:val="right"/>
              <w:ind w:right="319"/>
              <w:spacing w:after="0"/>
              <w:rPr>
                <w:sz w:val="20"/>
                <w:szCs w:val="20"/>
                <w:color w:val="auto"/>
              </w:rPr>
            </w:pPr>
            <w:r>
              <w:rPr>
                <w:rFonts w:ascii="Calibri" w:cs="Calibri" w:eastAsia="Calibri" w:hAnsi="Calibri"/>
                <w:sz w:val="16"/>
                <w:szCs w:val="16"/>
                <w:b w:val="1"/>
                <w:bCs w:val="1"/>
                <w:color w:val="auto"/>
              </w:rPr>
              <w:t>Fiscal 2021</w:t>
            </w:r>
          </w:p>
        </w:tc>
      </w:tr>
      <w:tr>
        <w:trPr>
          <w:trHeight w:val="41"/>
        </w:trPr>
        <w:tc>
          <w:tcPr>
            <w:tcW w:w="8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84"/>
        </w:trPr>
        <w:tc>
          <w:tcPr>
            <w:tcW w:w="8060" w:type="dxa"/>
            <w:vAlign w:val="bottom"/>
            <w:tcBorders>
              <w:bottom w:val="single" w:sz="8" w:color="DBDBDB"/>
            </w:tcBorders>
            <w:shd w:val="clear" w:color="auto" w:fill="DBDBDB"/>
          </w:tcPr>
          <w:p>
            <w:pPr>
              <w:ind w:left="60"/>
              <w:spacing w:after="0" w:line="246" w:lineRule="exact"/>
              <w:rPr>
                <w:sz w:val="20"/>
                <w:szCs w:val="20"/>
                <w:color w:val="auto"/>
              </w:rPr>
            </w:pPr>
            <w:r>
              <w:rPr>
                <w:rFonts w:ascii="Calibri" w:cs="Calibri" w:eastAsia="Calibri" w:hAnsi="Calibri"/>
                <w:sz w:val="16"/>
                <w:szCs w:val="16"/>
                <w:color w:val="auto"/>
              </w:rPr>
              <w:t>Audit Fees</w:t>
            </w:r>
            <w:r>
              <w:rPr>
                <w:rFonts w:ascii="Calibri" w:cs="Calibri" w:eastAsia="Calibri" w:hAnsi="Calibri"/>
                <w:sz w:val="21"/>
                <w:szCs w:val="21"/>
                <w:color w:val="auto"/>
                <w:vertAlign w:val="superscript"/>
              </w:rPr>
              <w:t>(1)</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3,446,463</w:t>
            </w:r>
          </w:p>
        </w:tc>
        <w:tc>
          <w:tcPr>
            <w:tcW w:w="1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jc w:val="right"/>
              <w:ind w:right="19"/>
              <w:spacing w:after="0"/>
              <w:rPr>
                <w:sz w:val="20"/>
                <w:szCs w:val="20"/>
                <w:color w:val="auto"/>
              </w:rPr>
            </w:pPr>
            <w:r>
              <w:rPr>
                <w:rFonts w:ascii="Calibri" w:cs="Calibri" w:eastAsia="Calibri" w:hAnsi="Calibri"/>
                <w:sz w:val="16"/>
                <w:szCs w:val="16"/>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3,142,438</w:t>
            </w:r>
          </w:p>
        </w:tc>
      </w:tr>
      <w:tr>
        <w:trPr>
          <w:trHeight w:val="252"/>
        </w:trPr>
        <w:tc>
          <w:tcPr>
            <w:tcW w:w="8060" w:type="dxa"/>
            <w:vAlign w:val="bottom"/>
          </w:tcPr>
          <w:p>
            <w:pPr>
              <w:ind w:left="20"/>
              <w:spacing w:after="0" w:line="253" w:lineRule="exact"/>
              <w:rPr>
                <w:sz w:val="20"/>
                <w:szCs w:val="20"/>
                <w:color w:val="auto"/>
              </w:rPr>
            </w:pPr>
            <w:r>
              <w:rPr>
                <w:rFonts w:ascii="Calibri" w:cs="Calibri" w:eastAsia="Calibri" w:hAnsi="Calibri"/>
                <w:sz w:val="16"/>
                <w:szCs w:val="16"/>
                <w:color w:val="auto"/>
              </w:rPr>
              <w:t>Audit-Related Fees</w:t>
            </w:r>
            <w:r>
              <w:rPr>
                <w:rFonts w:ascii="Calibri" w:cs="Calibri" w:eastAsia="Calibri" w:hAnsi="Calibri"/>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750,418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874,715</w:t>
            </w:r>
          </w:p>
        </w:tc>
      </w:tr>
      <w:tr>
        <w:trPr>
          <w:trHeight w:val="58"/>
        </w:trPr>
        <w:tc>
          <w:tcPr>
            <w:tcW w:w="8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90"/>
        </w:trPr>
        <w:tc>
          <w:tcPr>
            <w:tcW w:w="8060" w:type="dxa"/>
            <w:vAlign w:val="bottom"/>
            <w:tcBorders>
              <w:bottom w:val="single" w:sz="8" w:color="DBDBDB"/>
            </w:tcBorders>
            <w:shd w:val="clear" w:color="auto" w:fill="DBDBDB"/>
          </w:tcPr>
          <w:p>
            <w:pPr>
              <w:ind w:left="20"/>
              <w:spacing w:after="0" w:line="253" w:lineRule="exact"/>
              <w:rPr>
                <w:sz w:val="20"/>
                <w:szCs w:val="20"/>
                <w:color w:val="auto"/>
              </w:rPr>
            </w:pPr>
            <w:r>
              <w:rPr>
                <w:rFonts w:ascii="Calibri" w:cs="Calibri" w:eastAsia="Calibri" w:hAnsi="Calibri"/>
                <w:sz w:val="16"/>
                <w:szCs w:val="16"/>
                <w:color w:val="auto"/>
              </w:rPr>
              <w:t>Tax Fees</w:t>
            </w:r>
            <w:r>
              <w:rPr>
                <w:rFonts w:ascii="Calibri" w:cs="Calibri" w:eastAsia="Calibri" w:hAnsi="Calibri"/>
                <w:sz w:val="21"/>
                <w:szCs w:val="21"/>
                <w:color w:val="auto"/>
                <w:vertAlign w:val="superscript"/>
              </w:rPr>
              <w:t>(3)</w:t>
            </w:r>
          </w:p>
        </w:tc>
        <w:tc>
          <w:tcPr>
            <w:tcW w:w="220" w:type="dxa"/>
            <w:vAlign w:val="bottom"/>
            <w:tcBorders>
              <w:bottom w:val="single" w:sz="8" w:color="DBDBDB"/>
            </w:tcBorders>
            <w:shd w:val="clear" w:color="auto" w:fill="DBDBDB"/>
          </w:tcPr>
          <w:p>
            <w:pPr>
              <w:spacing w:after="0"/>
              <w:rPr>
                <w:sz w:val="24"/>
                <w:szCs w:val="24"/>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914,261</w:t>
            </w:r>
          </w:p>
        </w:tc>
        <w:tc>
          <w:tcPr>
            <w:tcW w:w="1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spacing w:after="0"/>
              <w:rPr>
                <w:sz w:val="24"/>
                <w:szCs w:val="24"/>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633,314</w:t>
            </w:r>
          </w:p>
        </w:tc>
      </w:tr>
      <w:tr>
        <w:trPr>
          <w:trHeight w:val="216"/>
        </w:trPr>
        <w:tc>
          <w:tcPr>
            <w:tcW w:w="8060" w:type="dxa"/>
            <w:vAlign w:val="bottom"/>
          </w:tcPr>
          <w:p>
            <w:pPr>
              <w:ind w:left="20"/>
              <w:spacing w:after="0"/>
              <w:rPr>
                <w:sz w:val="20"/>
                <w:szCs w:val="20"/>
                <w:color w:val="auto"/>
              </w:rPr>
            </w:pPr>
            <w:r>
              <w:rPr>
                <w:rFonts w:ascii="Calibri" w:cs="Calibri" w:eastAsia="Calibri" w:hAnsi="Calibri"/>
                <w:sz w:val="16"/>
                <w:szCs w:val="16"/>
                <w:color w:val="auto"/>
              </w:rPr>
              <w:t>All Other Fees</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41"/>
        </w:trPr>
        <w:tc>
          <w:tcPr>
            <w:tcW w:w="8060" w:type="dxa"/>
            <w:vAlign w:val="bottom"/>
            <w:tcBorders>
              <w:bottom w:val="single" w:sz="8" w:color="DBDBDB"/>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DBDBDB"/>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84"/>
        </w:trPr>
        <w:tc>
          <w:tcPr>
            <w:tcW w:w="80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Total Fees</w:t>
            </w:r>
          </w:p>
        </w:tc>
        <w:tc>
          <w:tcPr>
            <w:tcW w:w="220" w:type="dxa"/>
            <w:vAlign w:val="bottom"/>
            <w:tcBorders>
              <w:bottom w:val="single" w:sz="8" w:color="DBDBDB"/>
            </w:tcBorders>
            <w:shd w:val="clear" w:color="auto" w:fill="DBDBDB"/>
          </w:tcPr>
          <w:p>
            <w:pPr>
              <w:jc w:val="right"/>
              <w:ind w:right="39"/>
              <w:spacing w:after="0"/>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5,111,142</w:t>
            </w:r>
          </w:p>
        </w:tc>
        <w:tc>
          <w:tcPr>
            <w:tcW w:w="14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jc w:val="right"/>
              <w:ind w:right="19"/>
              <w:spacing w:after="0"/>
              <w:rPr>
                <w:sz w:val="20"/>
                <w:szCs w:val="20"/>
                <w:color w:val="auto"/>
              </w:rPr>
            </w:pPr>
            <w:r>
              <w:rPr>
                <w:rFonts w:ascii="Calibri" w:cs="Calibri" w:eastAsia="Calibri" w:hAnsi="Calibri"/>
                <w:sz w:val="16"/>
                <w:szCs w:val="16"/>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4,650,468</w:t>
            </w:r>
          </w:p>
        </w:tc>
      </w:tr>
      <w:tr>
        <w:trPr>
          <w:trHeight w:val="20"/>
        </w:trPr>
        <w:tc>
          <w:tcPr>
            <w:tcW w:w="8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45" w:lineRule="auto"/>
        <w:tabs>
          <w:tab w:leader="none" w:pos="338"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“Audit Fees” consisted of fees for professional services provided in connecton with the annual audit of our consolidated fnancial statements (including the adopton of new accountng standards and certain other accountng consultatons), quarterly reviews of interim condensed consolidated fnancial statements, SEC registraton statements (including our IPO), and related administratve charges.</w:t>
      </w:r>
    </w:p>
    <w:p>
      <w:pPr>
        <w:spacing w:after="0" w:line="43" w:lineRule="exact"/>
        <w:rPr>
          <w:rFonts w:ascii="Calibri" w:cs="Calibri" w:eastAsia="Calibri" w:hAnsi="Calibri"/>
          <w:sz w:val="14"/>
          <w:szCs w:val="14"/>
          <w:color w:val="auto"/>
        </w:rPr>
      </w:pPr>
    </w:p>
    <w:p>
      <w:pPr>
        <w:ind w:left="340" w:right="20" w:hanging="332"/>
        <w:spacing w:after="0" w:line="245" w:lineRule="auto"/>
        <w:tabs>
          <w:tab w:leader="none" w:pos="338"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“Audit-Related Fees” consisted of fees for professional services that are reasonably related to the performance of the audit or review of our fnancial statements not reported as “Audit Fees.” This category includes fees related to acquisiton support due diligence procedures and fees related to service organizaton controls reportng.</w:t>
      </w:r>
    </w:p>
    <w:p>
      <w:pPr>
        <w:spacing w:after="0" w:line="56" w:lineRule="exact"/>
        <w:rPr>
          <w:rFonts w:ascii="Calibri" w:cs="Calibri" w:eastAsia="Calibri" w:hAnsi="Calibri"/>
          <w:sz w:val="14"/>
          <w:szCs w:val="14"/>
          <w:color w:val="auto"/>
        </w:rPr>
      </w:pPr>
    </w:p>
    <w:p>
      <w:pPr>
        <w:ind w:left="340" w:hanging="332"/>
        <w:spacing w:after="0" w:line="242" w:lineRule="auto"/>
        <w:tabs>
          <w:tab w:leader="none" w:pos="338"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“Tax Fees” related to professional services rendered in connecton with tax compliance and preparaton relatng to tax returns and tax audits, as well as for tax consultng and planning services.</w:t>
      </w:r>
    </w:p>
    <w:p>
      <w:pPr>
        <w:spacing w:after="0" w:line="3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Auditor Independence</w:t>
      </w:r>
    </w:p>
    <w:p>
      <w:pPr>
        <w:spacing w:after="0" w:line="194" w:lineRule="exact"/>
        <w:rPr>
          <w:sz w:val="20"/>
          <w:szCs w:val="20"/>
          <w:color w:val="auto"/>
        </w:rPr>
      </w:pPr>
    </w:p>
    <w:p>
      <w:pPr>
        <w:ind w:right="120"/>
        <w:spacing w:after="0"/>
        <w:rPr>
          <w:sz w:val="20"/>
          <w:szCs w:val="20"/>
          <w:color w:val="auto"/>
        </w:rPr>
      </w:pPr>
      <w:r>
        <w:rPr>
          <w:rFonts w:ascii="Calibri" w:cs="Calibri" w:eastAsia="Calibri" w:hAnsi="Calibri"/>
          <w:sz w:val="18"/>
          <w:szCs w:val="18"/>
          <w:color w:val="auto"/>
        </w:rPr>
        <w:t>In the fscal year ended June 30, 2022, there were no other professional consider their compatbility with maintaining the independence of services provided by Deloite &amp; Touche LLP that would have required our Deloite &amp; Touche LLP. Audit Commitee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29" w:lineRule="auto"/>
        <w:rPr>
          <w:sz w:val="20"/>
          <w:szCs w:val="20"/>
          <w:color w:val="auto"/>
        </w:rPr>
      </w:pPr>
      <w:r>
        <w:rPr>
          <w:rFonts w:ascii="Calibri" w:cs="Calibri" w:eastAsia="Calibri" w:hAnsi="Calibri"/>
          <w:sz w:val="22"/>
          <w:szCs w:val="22"/>
          <w:b w:val="1"/>
          <w:bCs w:val="1"/>
          <w:color w:val="auto"/>
        </w:rPr>
        <w:t>Audit Commitee Policy on Pre-Approval of Audit and Permissible Non-Audit Services of Independent Registered Public Accountng Firm</w:t>
      </w:r>
    </w:p>
    <w:p>
      <w:pPr>
        <w:sectPr>
          <w:pgSz w:w="11900" w:h="16838" w:orient="portrait"/>
          <w:cols w:equalWidth="0" w:num="1">
            <w:col w:w="11240"/>
          </w:cols>
          <w:pgMar w:left="320" w:top="1405" w:right="339" w:bottom="1440" w:gutter="0" w:footer="0" w:header="0"/>
          <w:type w:val="continuous"/>
        </w:sectPr>
      </w:pP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Commitee has established a policy governing our use of the services of our independent registered public accountng frm. Under the policy, our Audit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Commitee is required to pre-approve all audit and permissible non-audit services performed by our independent registered public accountng frm in order to</w:t>
      </w:r>
    </w:p>
    <w:p>
      <w:pPr>
        <w:spacing w:after="0" w:line="200" w:lineRule="exact"/>
        <w:rPr>
          <w:sz w:val="20"/>
          <w:szCs w:val="20"/>
          <w:color w:val="auto"/>
        </w:rPr>
      </w:pPr>
    </w:p>
    <w:p>
      <w:pPr>
        <w:sectPr>
          <w:pgSz w:w="11900" w:h="16838" w:orient="portrait"/>
          <w:cols w:equalWidth="0" w:num="2">
            <w:col w:w="5420" w:space="300"/>
            <w:col w:w="5520"/>
          </w:cols>
          <w:pgMar w:left="320" w:top="1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17</w:t>
      </w:r>
    </w:p>
    <w:p>
      <w:pPr>
        <w:sectPr>
          <w:pgSz w:w="11900" w:h="16838" w:orient="portrait"/>
          <w:cols w:equalWidth="0" w:num="1">
            <w:col w:w="11240"/>
          </w:cols>
          <w:pgMar w:left="320" w:top="1405" w:right="339" w:bottom="1440" w:gutter="0" w:footer="0" w:header="0"/>
          <w:type w:val="continuous"/>
        </w:sectPr>
      </w:pPr>
    </w:p>
    <w:bookmarkStart w:id="21" w:name="page22"/>
    <w:bookmarkEnd w:id="21"/>
    <w:p>
      <w:pPr>
        <w:jc w:val="both"/>
        <w:spacing w:after="0" w:line="235" w:lineRule="auto"/>
        <w:rPr>
          <w:sz w:val="20"/>
          <w:szCs w:val="20"/>
          <w:color w:val="auto"/>
        </w:rPr>
      </w:pPr>
      <w:r>
        <w:rPr>
          <w:rFonts w:ascii="Calibri" w:cs="Calibri" w:eastAsia="Calibri" w:hAnsi="Calibri"/>
          <w:sz w:val="18"/>
          <w:szCs w:val="18"/>
          <w:color w:val="auto"/>
        </w:rPr>
        <w:t>ensure that the provision of such services does not impair such accountng frm’s independence. All fees paid to Deloite &amp; Touche LLP for our fscal years ended June 30,</w:t>
      </w:r>
    </w:p>
    <w:p>
      <w:pPr>
        <w:spacing w:after="0" w:line="20" w:lineRule="exact"/>
        <w:rPr>
          <w:sz w:val="20"/>
          <w:szCs w:val="20"/>
          <w:color w:val="auto"/>
        </w:rPr>
      </w:pPr>
      <w:r>
        <w:rPr>
          <w:sz w:val="20"/>
          <w:szCs w:val="20"/>
          <w:color w:val="auto"/>
        </w:rPr>
        <w:br w:type="column"/>
      </w:r>
    </w:p>
    <w:p>
      <w:pPr>
        <w:ind w:right="120"/>
        <w:spacing w:after="0" w:line="235" w:lineRule="auto"/>
        <w:rPr>
          <w:sz w:val="20"/>
          <w:szCs w:val="20"/>
          <w:color w:val="auto"/>
        </w:rPr>
      </w:pPr>
      <w:r>
        <w:rPr>
          <w:rFonts w:ascii="Calibri" w:cs="Calibri" w:eastAsia="Calibri" w:hAnsi="Calibri"/>
          <w:sz w:val="18"/>
          <w:szCs w:val="18"/>
          <w:color w:val="auto"/>
        </w:rPr>
        <w:t>2022 and 2021 were pre-approved by our Audit Commitee or, prior to the formaton of our Audit Commitee, the Board.</w:t>
      </w:r>
    </w:p>
    <w:p>
      <w:pPr>
        <w:spacing w:after="0" w:line="415" w:lineRule="exact"/>
        <w:rPr>
          <w:sz w:val="20"/>
          <w:szCs w:val="20"/>
          <w:color w:val="auto"/>
        </w:rPr>
      </w:pPr>
    </w:p>
    <w:p>
      <w:pPr>
        <w:sectPr>
          <w:pgSz w:w="11900" w:h="16838" w:orient="portrait"/>
          <w:cols w:equalWidth="0" w:num="2">
            <w:col w:w="5420" w:space="300"/>
            <w:col w:w="5520"/>
          </w:cols>
          <w:pgMar w:left="320" w:top="1413" w:right="339" w:bottom="1440" w:gutter="0" w:footer="0" w:header="0"/>
        </w:sectPr>
      </w:pPr>
    </w:p>
    <w:p>
      <w:pPr>
        <w:spacing w:after="0" w:line="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Vote Required</w:t>
      </w: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ratfcaton of the appointment of Deloite &amp; Touche LLP requires the afrmatve vote of a majority of the votng power of the shares of our common stock present in person or by proxy at the Annual Meetng and enttled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to vote thereon. Abstentons will have the efect of a vote AGAINST the proposal.</w:t>
      </w:r>
    </w:p>
    <w:p>
      <w:pPr>
        <w:spacing w:after="0" w:line="630"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391" w:lineRule="exact"/>
        <w:rPr>
          <w:sz w:val="20"/>
          <w:szCs w:val="20"/>
          <w:color w:val="auto"/>
        </w:rPr>
      </w:pPr>
    </w:p>
    <w:p>
      <w:pPr>
        <w:spacing w:after="0" w:line="229" w:lineRule="auto"/>
        <w:rPr>
          <w:sz w:val="20"/>
          <w:szCs w:val="20"/>
          <w:color w:val="auto"/>
        </w:rPr>
      </w:pPr>
      <w:r>
        <w:rPr>
          <w:rFonts w:ascii="Calibri" w:cs="Calibri" w:eastAsia="Calibri" w:hAnsi="Calibri"/>
          <w:sz w:val="22"/>
          <w:szCs w:val="22"/>
          <w:b w:val="1"/>
          <w:bCs w:val="1"/>
          <w:color w:val="auto"/>
        </w:rPr>
        <w:t>The Board of Directors recommends a vote FOR the ratfcaton of the appointment of Deloite &amp; Touche LLP as our independent registered public accountng frm for our fscal year ending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ectPr>
          <w:pgSz w:w="11900" w:h="16838" w:orient="portrait"/>
          <w:cols w:equalWidth="0" w:num="1">
            <w:col w:w="11240"/>
          </w:cols>
          <w:pgMar w:left="320" w:top="1413" w:right="33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28"/>
          <w:szCs w:val="28"/>
          <w:b w:val="1"/>
          <w:bCs w:val="1"/>
          <w:color w:val="auto"/>
        </w:rPr>
        <w:t>AUDIT COMMITTEE REPORT</w:t>
      </w:r>
    </w:p>
    <w:p>
      <w:pPr>
        <w:sectPr>
          <w:pgSz w:w="11900" w:h="16838" w:orient="portrait"/>
          <w:cols w:equalWidth="0" w:num="1">
            <w:col w:w="11120"/>
          </w:cols>
          <w:pgMar w:left="320" w:top="1405" w:right="459" w:bottom="1440" w:gutter="0" w:footer="0" w:header="0"/>
        </w:sectPr>
      </w:pP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The informaton contained in this Audit Commitee report shall not be deemed to be “solicitng material,” “fled” with the SEC, subject to Regulatons 14A or 14C of the Exchange Act, or subject to the liabilites of Secton 18 of the Exchange Act. No porton of this Audit Commitee report shall be deemed to be incorporated by reference into any fling under the Securites Act or the Exchange Act through any general statement incorporatng by reference in its entrety the proxy statement in which this report appears, except to the extent that Afrm specifcally incorporates this report or a porton of it by reference.</w:t>
      </w:r>
    </w:p>
    <w:p>
      <w:pPr>
        <w:spacing w:after="0" w:line="183"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The Audit Commitee assists our Board in oversight of (1) our accountng and fnancial reportng processes and the audits of our fnancial statements;</w:t>
      </w:r>
    </w:p>
    <w:p>
      <w:pPr>
        <w:spacing w:after="0" w:line="1" w:lineRule="exact"/>
        <w:rPr>
          <w:sz w:val="20"/>
          <w:szCs w:val="20"/>
          <w:color w:val="auto"/>
        </w:rPr>
      </w:pPr>
    </w:p>
    <w:p>
      <w:pPr>
        <w:jc w:val="both"/>
        <w:ind w:firstLine="8"/>
        <w:spacing w:after="0" w:line="249" w:lineRule="auto"/>
        <w:tabs>
          <w:tab w:leader="none" w:pos="381"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the independent auditor’s qualifcatons, independence, and performance; (3) our internal audit functon and the performance of our internal controls; (4) fnancial, operatonal, and security risk exposures; and</w:t>
      </w:r>
    </w:p>
    <w:p>
      <w:pPr>
        <w:spacing w:after="0" w:line="2" w:lineRule="exact"/>
        <w:rPr>
          <w:rFonts w:ascii="Calibri" w:cs="Calibri" w:eastAsia="Calibri" w:hAnsi="Calibri"/>
          <w:sz w:val="17"/>
          <w:szCs w:val="17"/>
          <w:color w:val="auto"/>
        </w:rPr>
      </w:pPr>
    </w:p>
    <w:p>
      <w:pPr>
        <w:jc w:val="both"/>
        <w:ind w:firstLine="8"/>
        <w:spacing w:after="0" w:line="235" w:lineRule="auto"/>
        <w:tabs>
          <w:tab w:leader="none" w:pos="28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our compliance with legal and regulatory requirements. Deloite &amp; Touche LLP, the Company’s independent registered public accountng frm, was responsible for auditng the fnancial statements prepared by our management for the fscal year ended June 30, 2022.</w:t>
      </w:r>
    </w:p>
    <w:p>
      <w:pPr>
        <w:spacing w:after="0" w:line="192"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In connecton with our review of our audited fnancial statements for the fscal year ended June 30, 2022, we relied on reports received from Deloite</w:t>
      </w:r>
    </w:p>
    <w:p>
      <w:pPr>
        <w:spacing w:after="0" w:line="1" w:lineRule="exact"/>
        <w:rPr>
          <w:sz w:val="20"/>
          <w:szCs w:val="20"/>
          <w:color w:val="auto"/>
        </w:rPr>
      </w:pPr>
    </w:p>
    <w:p>
      <w:pPr>
        <w:jc w:val="both"/>
        <w:ind w:firstLine="8"/>
        <w:spacing w:after="0" w:line="235" w:lineRule="auto"/>
        <w:tabs>
          <w:tab w:leader="none" w:pos="192"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Touche LLP as well as the advice and informaton we received during discussions with our management. In this context, we hereby report as follows: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ind w:left="500" w:hanging="244"/>
        <w:spacing w:after="0" w:line="235" w:lineRule="auto"/>
        <w:tabs>
          <w:tab w:leader="none" w:pos="4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Audit Commitee has reviewed and discussed the audited fnancial statements for the fscal year ended June 30, 2022 with our management;</w:t>
      </w:r>
    </w:p>
    <w:p>
      <w:pPr>
        <w:spacing w:after="0" w:line="70" w:lineRule="exact"/>
        <w:rPr>
          <w:rFonts w:ascii="Calibri" w:cs="Calibri" w:eastAsia="Calibri" w:hAnsi="Calibri"/>
          <w:sz w:val="18"/>
          <w:szCs w:val="18"/>
          <w:color w:val="auto"/>
        </w:rPr>
      </w:pPr>
    </w:p>
    <w:p>
      <w:pPr>
        <w:jc w:val="both"/>
        <w:ind w:left="500" w:hanging="244"/>
        <w:spacing w:after="0" w:line="235" w:lineRule="auto"/>
        <w:tabs>
          <w:tab w:leader="none" w:pos="488"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Audit Commitee has discussed with Deloite &amp; Touche LLP, the maters required to be discussed under the rules adopted by the Public Company Accountng Oversight Board (“PCAOB”) and the SEC;</w:t>
      </w:r>
    </w:p>
    <w:p>
      <w:pPr>
        <w:spacing w:after="0" w:line="83" w:lineRule="exact"/>
        <w:rPr>
          <w:rFonts w:ascii="Calibri" w:cs="Calibri" w:eastAsia="Calibri" w:hAnsi="Calibri"/>
          <w:sz w:val="18"/>
          <w:szCs w:val="18"/>
          <w:color w:val="auto"/>
        </w:rPr>
      </w:pPr>
    </w:p>
    <w:p>
      <w:pPr>
        <w:jc w:val="both"/>
        <w:ind w:left="500" w:hanging="244"/>
        <w:spacing w:after="0" w:line="235" w:lineRule="auto"/>
        <w:tabs>
          <w:tab w:leader="none" w:pos="497"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Audit Commitee has received and reviewed the writen disclosures and the leter from Deloite &amp; Touche LLP, required by applicable requirements of the PCAOB regarding the independent registered public accountng frm’s communicatons with the Audit Commitee concerning independence, and has discussed with Deloite &amp; Touche LLP its independence from the Company; and</w:t>
      </w:r>
    </w:p>
    <w:p>
      <w:pPr>
        <w:spacing w:after="0" w:line="72" w:lineRule="exact"/>
        <w:rPr>
          <w:rFonts w:ascii="Calibri" w:cs="Calibri" w:eastAsia="Calibri" w:hAnsi="Calibri"/>
          <w:sz w:val="18"/>
          <w:szCs w:val="18"/>
          <w:color w:val="auto"/>
        </w:rPr>
      </w:pPr>
    </w:p>
    <w:p>
      <w:pPr>
        <w:jc w:val="both"/>
        <w:ind w:left="500" w:hanging="244"/>
        <w:spacing w:after="0" w:line="235" w:lineRule="auto"/>
        <w:tabs>
          <w:tab w:leader="none" w:pos="488"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based on the review and discussion referred to in paragraphs (a) through (c) above, the Audit Commitee recommended to our Board that the audited fnancial statements be included in our Annual Report on Form 10-K for the fscal year ended June 30, 2022, for fling with the SEC.</w:t>
      </w:r>
    </w:p>
    <w:p>
      <w:pPr>
        <w:spacing w:after="0" w:line="391" w:lineRule="exact"/>
        <w:rPr>
          <w:sz w:val="20"/>
          <w:szCs w:val="20"/>
          <w:color w:val="auto"/>
        </w:rPr>
      </w:pPr>
    </w:p>
    <w:p>
      <w:pPr>
        <w:ind w:left="1640"/>
        <w:spacing w:after="0"/>
        <w:rPr>
          <w:sz w:val="20"/>
          <w:szCs w:val="20"/>
          <w:color w:val="auto"/>
        </w:rPr>
      </w:pPr>
      <w:r>
        <w:rPr>
          <w:rFonts w:ascii="Calibri" w:cs="Calibri" w:eastAsia="Calibri" w:hAnsi="Calibri"/>
          <w:sz w:val="18"/>
          <w:szCs w:val="18"/>
          <w:b w:val="1"/>
          <w:bCs w:val="1"/>
          <w:color w:val="auto"/>
        </w:rPr>
        <w:t>Members of the Audit Commitee:</w:t>
      </w:r>
    </w:p>
    <w:p>
      <w:pPr>
        <w:spacing w:after="0" w:line="172" w:lineRule="exact"/>
        <w:rPr>
          <w:sz w:val="20"/>
          <w:szCs w:val="20"/>
          <w:color w:val="auto"/>
        </w:rPr>
      </w:pPr>
    </w:p>
    <w:p>
      <w:pPr>
        <w:ind w:left="1640"/>
        <w:spacing w:after="0"/>
        <w:rPr>
          <w:sz w:val="20"/>
          <w:szCs w:val="20"/>
          <w:color w:val="auto"/>
        </w:rPr>
      </w:pPr>
      <w:r>
        <w:rPr>
          <w:rFonts w:ascii="Calibri" w:cs="Calibri" w:eastAsia="Calibri" w:hAnsi="Calibri"/>
          <w:sz w:val="18"/>
          <w:szCs w:val="18"/>
          <w:color w:val="auto"/>
        </w:rPr>
        <w:t>Christa S. Quarles (Chair)</w:t>
      </w:r>
    </w:p>
    <w:p>
      <w:pPr>
        <w:ind w:left="1640"/>
        <w:spacing w:after="0" w:line="235" w:lineRule="auto"/>
        <w:rPr>
          <w:sz w:val="20"/>
          <w:szCs w:val="20"/>
          <w:color w:val="auto"/>
        </w:rPr>
      </w:pPr>
      <w:r>
        <w:rPr>
          <w:rFonts w:ascii="Calibri" w:cs="Calibri" w:eastAsia="Calibri" w:hAnsi="Calibri"/>
          <w:sz w:val="18"/>
          <w:szCs w:val="18"/>
          <w:color w:val="auto"/>
        </w:rPr>
        <w:t>Jenny J. Ming</w:t>
      </w:r>
    </w:p>
    <w:p>
      <w:pPr>
        <w:ind w:left="1640"/>
        <w:spacing w:after="0" w:line="236" w:lineRule="auto"/>
        <w:rPr>
          <w:sz w:val="20"/>
          <w:szCs w:val="20"/>
          <w:color w:val="auto"/>
        </w:rPr>
      </w:pPr>
      <w:r>
        <w:rPr>
          <w:rFonts w:ascii="Calibri" w:cs="Calibri" w:eastAsia="Calibri" w:hAnsi="Calibri"/>
          <w:sz w:val="18"/>
          <w:szCs w:val="18"/>
          <w:color w:val="auto"/>
        </w:rPr>
        <w:t>Keith Rabois</w:t>
      </w:r>
    </w:p>
    <w:p>
      <w:pPr>
        <w:ind w:left="1640"/>
        <w:spacing w:after="0" w:line="236" w:lineRule="auto"/>
        <w:rPr>
          <w:sz w:val="20"/>
          <w:szCs w:val="20"/>
          <w:color w:val="auto"/>
        </w:rPr>
      </w:pPr>
      <w:r>
        <w:rPr>
          <w:rFonts w:ascii="Calibri" w:cs="Calibri" w:eastAsia="Calibri" w:hAnsi="Calibri"/>
          <w:sz w:val="18"/>
          <w:szCs w:val="18"/>
          <w:color w:val="auto"/>
        </w:rPr>
        <w:t>Jacqueline D. Reses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alibri" w:cs="Calibri" w:eastAsia="Calibri" w:hAnsi="Calibri"/>
          <w:sz w:val="18"/>
          <w:szCs w:val="18"/>
          <w:color w:val="auto"/>
        </w:rPr>
        <w:t>19</w:t>
      </w:r>
    </w:p>
    <w:p>
      <w:pPr>
        <w:sectPr>
          <w:pgSz w:w="11900" w:h="16838" w:orient="portrait"/>
          <w:cols w:equalWidth="0" w:num="2">
            <w:col w:w="5420" w:space="120"/>
            <w:col w:w="5580"/>
          </w:cols>
          <w:pgMar w:left="320" w:top="1405" w:right="45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29"/>
          <w:szCs w:val="29"/>
          <w:b w:val="1"/>
          <w:bCs w:val="1"/>
          <w:color w:val="auto"/>
        </w:rPr>
        <w:t>EXECUTIVE OFFICERS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sets forth certain informaton about our executve ofcers and their respectve ages as of October 1, 2022. Ofcers are elected by the Board to hold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ofce untl their successors are elected and qualifed or such ofcer’s earlier death, resignaton or removal.</w:t>
      </w:r>
    </w:p>
    <w:p>
      <w:pPr>
        <w:spacing w:after="0" w:line="415" w:lineRule="exact"/>
        <w:rPr>
          <w:sz w:val="20"/>
          <w:szCs w:val="20"/>
          <w:color w:val="auto"/>
        </w:rPr>
      </w:pPr>
    </w:p>
    <w:p>
      <w:pPr>
        <w:sectPr>
          <w:pgSz w:w="11900" w:h="16838" w:orient="portrait"/>
          <w:cols w:equalWidth="0" w:num="2">
            <w:col w:w="5420" w:space="300"/>
            <w:col w:w="5520"/>
          </w:cols>
          <w:pgMar w:left="320" w:top="1394" w:right="33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20" w:type="dxa"/>
            <w:vAlign w:val="bottom"/>
          </w:tcPr>
          <w:p>
            <w:pPr>
              <w:ind w:left="20"/>
              <w:spacing w:after="0"/>
              <w:rPr>
                <w:sz w:val="20"/>
                <w:szCs w:val="20"/>
                <w:color w:val="auto"/>
              </w:rPr>
            </w:pPr>
            <w:r>
              <w:rPr>
                <w:rFonts w:ascii="Calibri" w:cs="Calibri" w:eastAsia="Calibri" w:hAnsi="Calibri"/>
                <w:sz w:val="18"/>
                <w:szCs w:val="18"/>
                <w:b w:val="1"/>
                <w:bCs w:val="1"/>
                <w:color w:val="auto"/>
              </w:rPr>
              <w:t>Name</w:t>
            </w:r>
          </w:p>
        </w:tc>
        <w:tc>
          <w:tcPr>
            <w:tcW w:w="1280" w:type="dxa"/>
            <w:vAlign w:val="bottom"/>
          </w:tcPr>
          <w:p>
            <w:pPr>
              <w:jc w:val="center"/>
              <w:ind w:left="470"/>
              <w:spacing w:after="0"/>
              <w:rPr>
                <w:sz w:val="20"/>
                <w:szCs w:val="20"/>
                <w:color w:val="auto"/>
              </w:rPr>
            </w:pPr>
            <w:r>
              <w:rPr>
                <w:rFonts w:ascii="Calibri" w:cs="Calibri" w:eastAsia="Calibri" w:hAnsi="Calibri"/>
                <w:sz w:val="18"/>
                <w:szCs w:val="18"/>
                <w:b w:val="1"/>
                <w:bCs w:val="1"/>
                <w:color w:val="auto"/>
                <w:w w:val="98"/>
              </w:rPr>
              <w:t>Age</w:t>
            </w:r>
          </w:p>
        </w:tc>
        <w:tc>
          <w:tcPr>
            <w:tcW w:w="7880" w:type="dxa"/>
            <w:vAlign w:val="bottom"/>
          </w:tcPr>
          <w:p>
            <w:pPr>
              <w:ind w:left="240"/>
              <w:spacing w:after="0"/>
              <w:rPr>
                <w:sz w:val="20"/>
                <w:szCs w:val="20"/>
                <w:color w:val="auto"/>
              </w:rPr>
            </w:pPr>
            <w:r>
              <w:rPr>
                <w:rFonts w:ascii="Calibri" w:cs="Calibri" w:eastAsia="Calibri" w:hAnsi="Calibri"/>
                <w:sz w:val="18"/>
                <w:szCs w:val="18"/>
                <w:b w:val="1"/>
                <w:bCs w:val="1"/>
                <w:color w:val="auto"/>
              </w:rPr>
              <w:t>Positon</w:t>
            </w:r>
          </w:p>
        </w:tc>
      </w:tr>
      <w:tr>
        <w:trPr>
          <w:trHeight w:val="51"/>
        </w:trPr>
        <w:tc>
          <w:tcPr>
            <w:tcW w:w="20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r>
      <w:tr>
        <w:trPr>
          <w:trHeight w:val="213"/>
        </w:trPr>
        <w:tc>
          <w:tcPr>
            <w:tcW w:w="2020" w:type="dxa"/>
            <w:vAlign w:val="bottom"/>
          </w:tcPr>
          <w:p>
            <w:pPr>
              <w:ind w:left="20"/>
              <w:spacing w:after="0" w:line="213" w:lineRule="exact"/>
              <w:rPr>
                <w:sz w:val="20"/>
                <w:szCs w:val="20"/>
                <w:color w:val="auto"/>
              </w:rPr>
            </w:pPr>
            <w:r>
              <w:rPr>
                <w:rFonts w:ascii="Calibri" w:cs="Calibri" w:eastAsia="Calibri" w:hAnsi="Calibri"/>
                <w:sz w:val="18"/>
                <w:szCs w:val="18"/>
                <w:color w:val="auto"/>
              </w:rPr>
              <w:t>Max Levchin</w:t>
            </w:r>
          </w:p>
        </w:tc>
        <w:tc>
          <w:tcPr>
            <w:tcW w:w="1280" w:type="dxa"/>
            <w:vAlign w:val="bottom"/>
          </w:tcPr>
          <w:p>
            <w:pPr>
              <w:jc w:val="center"/>
              <w:ind w:left="450"/>
              <w:spacing w:after="0" w:line="213" w:lineRule="exact"/>
              <w:rPr>
                <w:sz w:val="20"/>
                <w:szCs w:val="20"/>
                <w:color w:val="auto"/>
              </w:rPr>
            </w:pPr>
            <w:r>
              <w:rPr>
                <w:rFonts w:ascii="Calibri" w:cs="Calibri" w:eastAsia="Calibri" w:hAnsi="Calibri"/>
                <w:sz w:val="18"/>
                <w:szCs w:val="18"/>
                <w:color w:val="auto"/>
                <w:w w:val="98"/>
              </w:rPr>
              <w:t>47</w:t>
            </w:r>
          </w:p>
        </w:tc>
        <w:tc>
          <w:tcPr>
            <w:tcW w:w="7880" w:type="dxa"/>
            <w:vAlign w:val="bottom"/>
          </w:tcPr>
          <w:p>
            <w:pPr>
              <w:ind w:left="240"/>
              <w:spacing w:after="0" w:line="213" w:lineRule="exact"/>
              <w:rPr>
                <w:sz w:val="20"/>
                <w:szCs w:val="20"/>
                <w:color w:val="auto"/>
              </w:rPr>
            </w:pPr>
            <w:r>
              <w:rPr>
                <w:rFonts w:ascii="Calibri" w:cs="Calibri" w:eastAsia="Calibri" w:hAnsi="Calibri"/>
                <w:sz w:val="18"/>
                <w:szCs w:val="18"/>
                <w:color w:val="auto"/>
              </w:rPr>
              <w:t>Founder, CEO and Chairman of Afrm Holdings, Inc.</w:t>
            </w:r>
          </w:p>
        </w:tc>
      </w:tr>
      <w:tr>
        <w:trPr>
          <w:trHeight w:val="51"/>
        </w:trPr>
        <w:tc>
          <w:tcPr>
            <w:tcW w:w="2020" w:type="dxa"/>
            <w:vAlign w:val="bottom"/>
            <w:tcBorders>
              <w:bottom w:val="single" w:sz="8" w:color="B6B6B6"/>
            </w:tcBorders>
          </w:tcPr>
          <w:p>
            <w:pPr>
              <w:spacing w:after="0"/>
              <w:rPr>
                <w:sz w:val="4"/>
                <w:szCs w:val="4"/>
                <w:color w:val="auto"/>
              </w:rPr>
            </w:pPr>
          </w:p>
        </w:tc>
        <w:tc>
          <w:tcPr>
            <w:tcW w:w="1280" w:type="dxa"/>
            <w:vAlign w:val="bottom"/>
            <w:tcBorders>
              <w:bottom w:val="single" w:sz="8" w:color="B6B6B6"/>
            </w:tcBorders>
          </w:tcPr>
          <w:p>
            <w:pPr>
              <w:spacing w:after="0"/>
              <w:rPr>
                <w:sz w:val="4"/>
                <w:szCs w:val="4"/>
                <w:color w:val="auto"/>
              </w:rPr>
            </w:pPr>
          </w:p>
        </w:tc>
        <w:tc>
          <w:tcPr>
            <w:tcW w:w="7880" w:type="dxa"/>
            <w:vAlign w:val="bottom"/>
            <w:tcBorders>
              <w:bottom w:val="single" w:sz="8" w:color="B6B6B6"/>
            </w:tcBorders>
          </w:tcPr>
          <w:p>
            <w:pPr>
              <w:spacing w:after="0"/>
              <w:rPr>
                <w:sz w:val="4"/>
                <w:szCs w:val="4"/>
                <w:color w:val="auto"/>
              </w:rPr>
            </w:pPr>
          </w:p>
        </w:tc>
      </w:tr>
      <w:tr>
        <w:trPr>
          <w:trHeight w:val="213"/>
        </w:trPr>
        <w:tc>
          <w:tcPr>
            <w:tcW w:w="2020" w:type="dxa"/>
            <w:vAlign w:val="bottom"/>
          </w:tcPr>
          <w:p>
            <w:pPr>
              <w:ind w:left="20"/>
              <w:spacing w:after="0" w:line="213" w:lineRule="exact"/>
              <w:rPr>
                <w:sz w:val="20"/>
                <w:szCs w:val="20"/>
                <w:color w:val="auto"/>
              </w:rPr>
            </w:pPr>
            <w:r>
              <w:rPr>
                <w:rFonts w:ascii="Calibri" w:cs="Calibri" w:eastAsia="Calibri" w:hAnsi="Calibri"/>
                <w:sz w:val="18"/>
                <w:szCs w:val="18"/>
                <w:color w:val="auto"/>
              </w:rPr>
              <w:t>Michael Linford</w:t>
            </w:r>
          </w:p>
        </w:tc>
        <w:tc>
          <w:tcPr>
            <w:tcW w:w="1280" w:type="dxa"/>
            <w:vAlign w:val="bottom"/>
          </w:tcPr>
          <w:p>
            <w:pPr>
              <w:jc w:val="center"/>
              <w:ind w:left="450"/>
              <w:spacing w:after="0" w:line="213" w:lineRule="exact"/>
              <w:rPr>
                <w:sz w:val="20"/>
                <w:szCs w:val="20"/>
                <w:color w:val="auto"/>
              </w:rPr>
            </w:pPr>
            <w:r>
              <w:rPr>
                <w:rFonts w:ascii="Calibri" w:cs="Calibri" w:eastAsia="Calibri" w:hAnsi="Calibri"/>
                <w:sz w:val="18"/>
                <w:szCs w:val="18"/>
                <w:color w:val="auto"/>
                <w:w w:val="98"/>
              </w:rPr>
              <w:t>39</w:t>
            </w:r>
          </w:p>
        </w:tc>
        <w:tc>
          <w:tcPr>
            <w:tcW w:w="7880" w:type="dxa"/>
            <w:vAlign w:val="bottom"/>
          </w:tcPr>
          <w:p>
            <w:pPr>
              <w:ind w:left="240"/>
              <w:spacing w:after="0" w:line="213" w:lineRule="exact"/>
              <w:rPr>
                <w:sz w:val="20"/>
                <w:szCs w:val="20"/>
                <w:color w:val="auto"/>
              </w:rPr>
            </w:pPr>
            <w:r>
              <w:rPr>
                <w:rFonts w:ascii="Calibri" w:cs="Calibri" w:eastAsia="Calibri" w:hAnsi="Calibri"/>
                <w:sz w:val="18"/>
                <w:szCs w:val="18"/>
                <w:color w:val="auto"/>
              </w:rPr>
              <w:t>Chief Financial Ofcer</w:t>
            </w:r>
          </w:p>
        </w:tc>
      </w:tr>
      <w:tr>
        <w:trPr>
          <w:trHeight w:val="50"/>
        </w:trPr>
        <w:tc>
          <w:tcPr>
            <w:tcW w:w="2020" w:type="dxa"/>
            <w:vAlign w:val="bottom"/>
            <w:tcBorders>
              <w:bottom w:val="single" w:sz="8" w:color="B6B6B6"/>
            </w:tcBorders>
          </w:tcPr>
          <w:p>
            <w:pPr>
              <w:spacing w:after="0"/>
              <w:rPr>
                <w:sz w:val="4"/>
                <w:szCs w:val="4"/>
                <w:color w:val="auto"/>
              </w:rPr>
            </w:pPr>
          </w:p>
        </w:tc>
        <w:tc>
          <w:tcPr>
            <w:tcW w:w="1280" w:type="dxa"/>
            <w:vAlign w:val="bottom"/>
            <w:tcBorders>
              <w:bottom w:val="single" w:sz="8" w:color="B6B6B6"/>
            </w:tcBorders>
          </w:tcPr>
          <w:p>
            <w:pPr>
              <w:spacing w:after="0"/>
              <w:rPr>
                <w:sz w:val="4"/>
                <w:szCs w:val="4"/>
                <w:color w:val="auto"/>
              </w:rPr>
            </w:pPr>
          </w:p>
        </w:tc>
        <w:tc>
          <w:tcPr>
            <w:tcW w:w="7880" w:type="dxa"/>
            <w:vAlign w:val="bottom"/>
            <w:tcBorders>
              <w:bottom w:val="single" w:sz="8" w:color="B6B6B6"/>
            </w:tcBorders>
          </w:tcPr>
          <w:p>
            <w:pPr>
              <w:spacing w:after="0"/>
              <w:rPr>
                <w:sz w:val="4"/>
                <w:szCs w:val="4"/>
                <w:color w:val="auto"/>
              </w:rPr>
            </w:pPr>
          </w:p>
        </w:tc>
      </w:tr>
      <w:tr>
        <w:trPr>
          <w:trHeight w:val="213"/>
        </w:trPr>
        <w:tc>
          <w:tcPr>
            <w:tcW w:w="2020" w:type="dxa"/>
            <w:vAlign w:val="bottom"/>
          </w:tcPr>
          <w:p>
            <w:pPr>
              <w:ind w:left="20"/>
              <w:spacing w:after="0" w:line="213" w:lineRule="exact"/>
              <w:rPr>
                <w:sz w:val="20"/>
                <w:szCs w:val="20"/>
                <w:color w:val="auto"/>
              </w:rPr>
            </w:pPr>
            <w:r>
              <w:rPr>
                <w:rFonts w:ascii="Calibri" w:cs="Calibri" w:eastAsia="Calibri" w:hAnsi="Calibri"/>
                <w:sz w:val="18"/>
                <w:szCs w:val="18"/>
                <w:color w:val="auto"/>
              </w:rPr>
              <w:t>Katherine Adkins</w:t>
            </w:r>
          </w:p>
        </w:tc>
        <w:tc>
          <w:tcPr>
            <w:tcW w:w="1280" w:type="dxa"/>
            <w:vAlign w:val="bottom"/>
          </w:tcPr>
          <w:p>
            <w:pPr>
              <w:jc w:val="center"/>
              <w:ind w:left="450"/>
              <w:spacing w:after="0" w:line="213" w:lineRule="exact"/>
              <w:rPr>
                <w:sz w:val="20"/>
                <w:szCs w:val="20"/>
                <w:color w:val="auto"/>
              </w:rPr>
            </w:pPr>
            <w:r>
              <w:rPr>
                <w:rFonts w:ascii="Calibri" w:cs="Calibri" w:eastAsia="Calibri" w:hAnsi="Calibri"/>
                <w:sz w:val="18"/>
                <w:szCs w:val="18"/>
                <w:color w:val="auto"/>
                <w:w w:val="98"/>
              </w:rPr>
              <w:t>60</w:t>
            </w:r>
          </w:p>
        </w:tc>
        <w:tc>
          <w:tcPr>
            <w:tcW w:w="7880" w:type="dxa"/>
            <w:vAlign w:val="bottom"/>
          </w:tcPr>
          <w:p>
            <w:pPr>
              <w:ind w:left="240"/>
              <w:spacing w:after="0" w:line="213" w:lineRule="exact"/>
              <w:rPr>
                <w:sz w:val="20"/>
                <w:szCs w:val="20"/>
                <w:color w:val="auto"/>
              </w:rPr>
            </w:pPr>
            <w:r>
              <w:rPr>
                <w:rFonts w:ascii="Calibri" w:cs="Calibri" w:eastAsia="Calibri" w:hAnsi="Calibri"/>
                <w:sz w:val="18"/>
                <w:szCs w:val="18"/>
                <w:color w:val="auto"/>
              </w:rPr>
              <w:t>Chief Legal Ofcer</w:t>
            </w:r>
          </w:p>
        </w:tc>
      </w:tr>
      <w:tr>
        <w:trPr>
          <w:trHeight w:val="50"/>
        </w:trPr>
        <w:tc>
          <w:tcPr>
            <w:tcW w:w="2020" w:type="dxa"/>
            <w:vAlign w:val="bottom"/>
            <w:tcBorders>
              <w:bottom w:val="single" w:sz="8" w:color="B6B6B6"/>
            </w:tcBorders>
          </w:tcPr>
          <w:p>
            <w:pPr>
              <w:spacing w:after="0"/>
              <w:rPr>
                <w:sz w:val="4"/>
                <w:szCs w:val="4"/>
                <w:color w:val="auto"/>
              </w:rPr>
            </w:pPr>
          </w:p>
        </w:tc>
        <w:tc>
          <w:tcPr>
            <w:tcW w:w="1280" w:type="dxa"/>
            <w:vAlign w:val="bottom"/>
            <w:tcBorders>
              <w:bottom w:val="single" w:sz="8" w:color="B6B6B6"/>
            </w:tcBorders>
          </w:tcPr>
          <w:p>
            <w:pPr>
              <w:spacing w:after="0"/>
              <w:rPr>
                <w:sz w:val="4"/>
                <w:szCs w:val="4"/>
                <w:color w:val="auto"/>
              </w:rPr>
            </w:pPr>
          </w:p>
        </w:tc>
        <w:tc>
          <w:tcPr>
            <w:tcW w:w="7880" w:type="dxa"/>
            <w:vAlign w:val="bottom"/>
            <w:tcBorders>
              <w:bottom w:val="single" w:sz="8" w:color="B6B6B6"/>
            </w:tcBorders>
          </w:tcPr>
          <w:p>
            <w:pPr>
              <w:spacing w:after="0"/>
              <w:rPr>
                <w:sz w:val="4"/>
                <w:szCs w:val="4"/>
                <w:color w:val="auto"/>
              </w:rPr>
            </w:pPr>
          </w:p>
        </w:tc>
      </w:tr>
      <w:tr>
        <w:trPr>
          <w:trHeight w:val="213"/>
        </w:trPr>
        <w:tc>
          <w:tcPr>
            <w:tcW w:w="2020" w:type="dxa"/>
            <w:vAlign w:val="bottom"/>
          </w:tcPr>
          <w:p>
            <w:pPr>
              <w:ind w:left="20"/>
              <w:spacing w:after="0" w:line="213" w:lineRule="exact"/>
              <w:rPr>
                <w:sz w:val="20"/>
                <w:szCs w:val="20"/>
                <w:color w:val="auto"/>
              </w:rPr>
            </w:pPr>
            <w:r>
              <w:rPr>
                <w:rFonts w:ascii="Calibri" w:cs="Calibri" w:eastAsia="Calibri" w:hAnsi="Calibri"/>
                <w:sz w:val="18"/>
                <w:szCs w:val="18"/>
                <w:color w:val="auto"/>
              </w:rPr>
              <w:t>Libor Michalek</w:t>
            </w:r>
          </w:p>
        </w:tc>
        <w:tc>
          <w:tcPr>
            <w:tcW w:w="1280" w:type="dxa"/>
            <w:vAlign w:val="bottom"/>
          </w:tcPr>
          <w:p>
            <w:pPr>
              <w:jc w:val="center"/>
              <w:ind w:left="450"/>
              <w:spacing w:after="0" w:line="213" w:lineRule="exact"/>
              <w:rPr>
                <w:sz w:val="20"/>
                <w:szCs w:val="20"/>
                <w:color w:val="auto"/>
              </w:rPr>
            </w:pPr>
            <w:r>
              <w:rPr>
                <w:rFonts w:ascii="Calibri" w:cs="Calibri" w:eastAsia="Calibri" w:hAnsi="Calibri"/>
                <w:sz w:val="18"/>
                <w:szCs w:val="18"/>
                <w:color w:val="auto"/>
                <w:w w:val="98"/>
              </w:rPr>
              <w:t>49</w:t>
            </w:r>
          </w:p>
        </w:tc>
        <w:tc>
          <w:tcPr>
            <w:tcW w:w="7880" w:type="dxa"/>
            <w:vAlign w:val="bottom"/>
          </w:tcPr>
          <w:p>
            <w:pPr>
              <w:ind w:left="240"/>
              <w:spacing w:after="0" w:line="213" w:lineRule="exact"/>
              <w:rPr>
                <w:sz w:val="20"/>
                <w:szCs w:val="20"/>
                <w:color w:val="auto"/>
              </w:rPr>
            </w:pPr>
            <w:r>
              <w:rPr>
                <w:rFonts w:ascii="Calibri" w:cs="Calibri" w:eastAsia="Calibri" w:hAnsi="Calibri"/>
                <w:sz w:val="18"/>
                <w:szCs w:val="18"/>
                <w:color w:val="auto"/>
              </w:rPr>
              <w:t>President, Technology, Risk and Operatons</w:t>
            </w:r>
          </w:p>
        </w:tc>
      </w:tr>
      <w:tr>
        <w:trPr>
          <w:trHeight w:val="50"/>
        </w:trPr>
        <w:tc>
          <w:tcPr>
            <w:tcW w:w="20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r>
    </w:tbl>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For the biographies of Messrs. Levchin and Michalek, see “</w:t>
      </w:r>
      <w:r>
        <w:rPr>
          <w:rFonts w:ascii="Calibri" w:cs="Calibri" w:eastAsia="Calibri" w:hAnsi="Calibri"/>
          <w:sz w:val="18"/>
          <w:szCs w:val="18"/>
          <w:i w:val="1"/>
          <w:iCs w:val="1"/>
          <w:color w:val="auto"/>
        </w:rPr>
        <w:t>Board of Directors and Corporate Governance—Contnuing Directors</w:t>
      </w:r>
      <w:r>
        <w:rPr>
          <w:rFonts w:ascii="Calibri" w:cs="Calibri" w:eastAsia="Calibri" w:hAnsi="Calibri"/>
          <w:sz w:val="18"/>
          <w:szCs w:val="18"/>
          <w:color w:val="auto"/>
        </w:rPr>
        <w:t>.”</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Michael Linford </w:t>
      </w:r>
      <w:r>
        <w:rPr>
          <w:rFonts w:ascii="Calibri" w:cs="Calibri" w:eastAsia="Calibri" w:hAnsi="Calibri"/>
          <w:sz w:val="18"/>
          <w:szCs w:val="18"/>
          <w:color w:val="auto"/>
        </w:rPr>
        <w:t>has served as our Chief Financial Ofcer since August 2018. Prior to joining Afrm, Mr. Linford held various leadership roles at HP Inc. (“HP”),</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 global provider of personal computng devices, and Hewlet Packard Enterprise Company (“HPE”), an enterprise informaton technology company, including Chief Financial Ofcer of HPE Sofware from March 2017 to May 2018 and Vice President of M&amp;A Integraton at HPE from 2015 to March 2017. Mr. Linford also served as Vice President, License Verifcaton and Strategic Deals of Micro Focus Internatonal plc, a sofware and informaton technology company, from September 2017 to May 2018. Prior to HP, Mr. Linford served as a Principal at KKR &amp; Co., a global investment company, focusing on retail and consumer private equity, and as a Business Analyst at McKinsey &amp; Company, focusing on the consumer, retail and energy sectors. Mr. Linford earned a B.S. in Mechanical Engineering with Highest Honors from The University of Texas at Austn.</w:t>
      </w:r>
    </w:p>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Katherine Adkins </w:t>
      </w:r>
      <w:r>
        <w:rPr>
          <w:rFonts w:ascii="Calibri" w:cs="Calibri" w:eastAsia="Calibri" w:hAnsi="Calibri"/>
          <w:sz w:val="18"/>
          <w:szCs w:val="18"/>
          <w:color w:val="auto"/>
        </w:rPr>
        <w:t>has served as our Chief Legal Ofcer since July 2021. Prior to her appointment as Chief Legal Ofcer, Ms. Adkins served as Vice President,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Legal and Bank Strategy and Deputy General Counsel, Legal Platorms from 2019 to July 2021. Prior to joining Afrm, Ms. Adkins served as Group Vice President, General Counsel and Secretary of Toyota Financial Services from 2009 to 2019. Ms. Adkins has 30 years of experience in the automotve, fnancial services, and fnancial technology industries. Ms. Adkins earned her B.A. in Internatonal Studies and Economics from the University of Nebraska, Lincoln and J.D. from Loyola University of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20</w:t>
      </w:r>
    </w:p>
    <w:p>
      <w:pPr>
        <w:sectPr>
          <w:pgSz w:w="11900" w:h="16838" w:orient="portrait"/>
          <w:cols w:equalWidth="0" w:num="1">
            <w:col w:w="11240"/>
          </w:cols>
          <w:pgMar w:left="320" w:top="1394" w:right="339" w:bottom="1440" w:gutter="0" w:footer="0" w:header="0"/>
          <w:type w:val="continuous"/>
        </w:sectPr>
      </w:pPr>
    </w:p>
    <w:bookmarkStart w:id="24" w:name="page25"/>
    <w:bookmarkEnd w:id="24"/>
    <w:p>
      <w:pPr>
        <w:jc w:val="center"/>
        <w:ind w:right="-139"/>
        <w:spacing w:after="0"/>
        <w:rPr>
          <w:sz w:val="20"/>
          <w:szCs w:val="20"/>
          <w:color w:val="auto"/>
        </w:rPr>
      </w:pPr>
      <w:r>
        <w:rPr>
          <w:rFonts w:ascii="Calibri" w:cs="Calibri" w:eastAsia="Calibri" w:hAnsi="Calibri"/>
          <w:sz w:val="28"/>
          <w:szCs w:val="28"/>
          <w:b w:val="1"/>
          <w:bCs w:val="1"/>
          <w:color w:val="auto"/>
        </w:rPr>
        <w:t>EXECUTIVE COMPENSATION</w:t>
      </w:r>
    </w:p>
    <w:p>
      <w:pPr>
        <w:sectPr>
          <w:pgSz w:w="11900" w:h="16838" w:orient="portrait"/>
          <w:cols w:equalWidth="0" w:num="1">
            <w:col w:w="11120"/>
          </w:cols>
          <w:pgMar w:left="320" w:top="1405" w:right="459" w:bottom="1440" w:gutter="0" w:footer="0" w:header="0"/>
        </w:sectPr>
      </w:pPr>
    </w:p>
    <w:p>
      <w:pPr>
        <w:spacing w:after="0" w:line="17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Compensaton Discussion and Analysis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Compensaton Discussion and Analysis describes the compensaton program for our CEO, our Chief Financial Ofcer, and our next three most highly compensated executve ofcers (other than our CEO and Chief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Ofcer), whom we refer to as our named executve ofcers. For fscal 2022, our named executve ofcers were:</w:t>
      </w:r>
    </w:p>
    <w:p>
      <w:pPr>
        <w:spacing w:after="0" w:line="630" w:lineRule="exact"/>
        <w:rPr>
          <w:sz w:val="20"/>
          <w:szCs w:val="20"/>
          <w:color w:val="auto"/>
        </w:rPr>
      </w:pPr>
    </w:p>
    <w:p>
      <w:pPr>
        <w:sectPr>
          <w:pgSz w:w="11900" w:h="16838" w:orient="portrait"/>
          <w:cols w:equalWidth="0" w:num="2">
            <w:col w:w="5420" w:space="300"/>
            <w:col w:w="5400"/>
          </w:cols>
          <w:pgMar w:left="320" w:top="1405" w:right="459" w:bottom="1440" w:gutter="0" w:footer="0" w:header="0"/>
          <w:type w:val="continuous"/>
        </w:sect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00" w:type="dxa"/>
            <w:vAlign w:val="bottom"/>
          </w:tcPr>
          <w:p>
            <w:pPr>
              <w:ind w:left="20"/>
              <w:spacing w:after="0"/>
              <w:rPr>
                <w:sz w:val="20"/>
                <w:szCs w:val="20"/>
                <w:color w:val="auto"/>
              </w:rPr>
            </w:pPr>
            <w:r>
              <w:rPr>
                <w:rFonts w:ascii="Calibri" w:cs="Calibri" w:eastAsia="Calibri" w:hAnsi="Calibri"/>
                <w:sz w:val="18"/>
                <w:szCs w:val="18"/>
                <w:b w:val="1"/>
                <w:bCs w:val="1"/>
                <w:color w:val="auto"/>
              </w:rPr>
              <w:t>Name</w:t>
            </w:r>
          </w:p>
        </w:tc>
        <w:tc>
          <w:tcPr>
            <w:tcW w:w="9080" w:type="dxa"/>
            <w:vAlign w:val="bottom"/>
          </w:tcPr>
          <w:p>
            <w:pPr>
              <w:ind w:left="600"/>
              <w:spacing w:after="0"/>
              <w:rPr>
                <w:sz w:val="20"/>
                <w:szCs w:val="20"/>
                <w:color w:val="auto"/>
              </w:rPr>
            </w:pPr>
            <w:r>
              <w:rPr>
                <w:rFonts w:ascii="Calibri" w:cs="Calibri" w:eastAsia="Calibri" w:hAnsi="Calibri"/>
                <w:sz w:val="18"/>
                <w:szCs w:val="18"/>
                <w:b w:val="1"/>
                <w:bCs w:val="1"/>
                <w:color w:val="auto"/>
              </w:rPr>
              <w:t>Positon</w:t>
            </w:r>
          </w:p>
        </w:tc>
      </w:tr>
      <w:tr>
        <w:trPr>
          <w:trHeight w:val="51"/>
        </w:trPr>
        <w:tc>
          <w:tcPr>
            <w:tcW w:w="1900" w:type="dxa"/>
            <w:vAlign w:val="bottom"/>
            <w:tcBorders>
              <w:bottom w:val="single" w:sz="8" w:color="auto"/>
            </w:tcBorders>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r>
      <w:tr>
        <w:trPr>
          <w:trHeight w:val="213"/>
        </w:trPr>
        <w:tc>
          <w:tcPr>
            <w:tcW w:w="1900" w:type="dxa"/>
            <w:vAlign w:val="bottom"/>
          </w:tcPr>
          <w:p>
            <w:pPr>
              <w:ind w:left="20"/>
              <w:spacing w:after="0" w:line="213" w:lineRule="exact"/>
              <w:rPr>
                <w:sz w:val="20"/>
                <w:szCs w:val="20"/>
                <w:color w:val="auto"/>
              </w:rPr>
            </w:pPr>
            <w:r>
              <w:rPr>
                <w:rFonts w:ascii="Calibri" w:cs="Calibri" w:eastAsia="Calibri" w:hAnsi="Calibri"/>
                <w:sz w:val="18"/>
                <w:szCs w:val="18"/>
                <w:color w:val="auto"/>
              </w:rPr>
              <w:t>Max Levchin</w:t>
            </w:r>
          </w:p>
        </w:tc>
        <w:tc>
          <w:tcPr>
            <w:tcW w:w="9080" w:type="dxa"/>
            <w:vAlign w:val="bottom"/>
          </w:tcPr>
          <w:p>
            <w:pPr>
              <w:ind w:left="600"/>
              <w:spacing w:after="0" w:line="213" w:lineRule="exact"/>
              <w:rPr>
                <w:sz w:val="20"/>
                <w:szCs w:val="20"/>
                <w:color w:val="auto"/>
              </w:rPr>
            </w:pPr>
            <w:r>
              <w:rPr>
                <w:rFonts w:ascii="Calibri" w:cs="Calibri" w:eastAsia="Calibri" w:hAnsi="Calibri"/>
                <w:sz w:val="18"/>
                <w:szCs w:val="18"/>
                <w:color w:val="auto"/>
              </w:rPr>
              <w:t>Founder, CEO and Chairman of the Board of Directors</w:t>
            </w:r>
          </w:p>
        </w:tc>
      </w:tr>
      <w:tr>
        <w:trPr>
          <w:trHeight w:val="51"/>
        </w:trPr>
        <w:tc>
          <w:tcPr>
            <w:tcW w:w="1900" w:type="dxa"/>
            <w:vAlign w:val="bottom"/>
            <w:tcBorders>
              <w:bottom w:val="single" w:sz="8" w:color="B6B6B6"/>
            </w:tcBorders>
          </w:tcPr>
          <w:p>
            <w:pPr>
              <w:spacing w:after="0"/>
              <w:rPr>
                <w:sz w:val="4"/>
                <w:szCs w:val="4"/>
                <w:color w:val="auto"/>
              </w:rPr>
            </w:pPr>
          </w:p>
        </w:tc>
        <w:tc>
          <w:tcPr>
            <w:tcW w:w="9080" w:type="dxa"/>
            <w:vAlign w:val="bottom"/>
            <w:tcBorders>
              <w:bottom w:val="single" w:sz="8" w:color="B6B6B6"/>
            </w:tcBorders>
          </w:tcPr>
          <w:p>
            <w:pPr>
              <w:spacing w:after="0"/>
              <w:rPr>
                <w:sz w:val="4"/>
                <w:szCs w:val="4"/>
                <w:color w:val="auto"/>
              </w:rPr>
            </w:pPr>
          </w:p>
        </w:tc>
      </w:tr>
      <w:tr>
        <w:trPr>
          <w:trHeight w:val="213"/>
        </w:trPr>
        <w:tc>
          <w:tcPr>
            <w:tcW w:w="1900" w:type="dxa"/>
            <w:vAlign w:val="bottom"/>
          </w:tcPr>
          <w:p>
            <w:pPr>
              <w:ind w:left="20"/>
              <w:spacing w:after="0" w:line="213" w:lineRule="exact"/>
              <w:rPr>
                <w:sz w:val="20"/>
                <w:szCs w:val="20"/>
                <w:color w:val="auto"/>
              </w:rPr>
            </w:pPr>
            <w:r>
              <w:rPr>
                <w:rFonts w:ascii="Calibri" w:cs="Calibri" w:eastAsia="Calibri" w:hAnsi="Calibri"/>
                <w:sz w:val="18"/>
                <w:szCs w:val="18"/>
                <w:color w:val="auto"/>
              </w:rPr>
              <w:t>Michael Linford</w:t>
            </w:r>
          </w:p>
        </w:tc>
        <w:tc>
          <w:tcPr>
            <w:tcW w:w="9080" w:type="dxa"/>
            <w:vAlign w:val="bottom"/>
          </w:tcPr>
          <w:p>
            <w:pPr>
              <w:ind w:left="600"/>
              <w:spacing w:after="0" w:line="213" w:lineRule="exact"/>
              <w:rPr>
                <w:sz w:val="20"/>
                <w:szCs w:val="20"/>
                <w:color w:val="auto"/>
              </w:rPr>
            </w:pPr>
            <w:r>
              <w:rPr>
                <w:rFonts w:ascii="Calibri" w:cs="Calibri" w:eastAsia="Calibri" w:hAnsi="Calibri"/>
                <w:sz w:val="18"/>
                <w:szCs w:val="18"/>
                <w:color w:val="auto"/>
              </w:rPr>
              <w:t>Chief Financial Ofcer</w:t>
            </w:r>
          </w:p>
        </w:tc>
      </w:tr>
      <w:tr>
        <w:trPr>
          <w:trHeight w:val="50"/>
        </w:trPr>
        <w:tc>
          <w:tcPr>
            <w:tcW w:w="1900" w:type="dxa"/>
            <w:vAlign w:val="bottom"/>
            <w:tcBorders>
              <w:bottom w:val="single" w:sz="8" w:color="B6B6B6"/>
            </w:tcBorders>
          </w:tcPr>
          <w:p>
            <w:pPr>
              <w:spacing w:after="0"/>
              <w:rPr>
                <w:sz w:val="4"/>
                <w:szCs w:val="4"/>
                <w:color w:val="auto"/>
              </w:rPr>
            </w:pPr>
          </w:p>
        </w:tc>
        <w:tc>
          <w:tcPr>
            <w:tcW w:w="9080" w:type="dxa"/>
            <w:vAlign w:val="bottom"/>
            <w:tcBorders>
              <w:bottom w:val="single" w:sz="8" w:color="B6B6B6"/>
            </w:tcBorders>
          </w:tcPr>
          <w:p>
            <w:pPr>
              <w:spacing w:after="0"/>
              <w:rPr>
                <w:sz w:val="4"/>
                <w:szCs w:val="4"/>
                <w:color w:val="auto"/>
              </w:rPr>
            </w:pPr>
          </w:p>
        </w:tc>
      </w:tr>
      <w:tr>
        <w:trPr>
          <w:trHeight w:val="213"/>
        </w:trPr>
        <w:tc>
          <w:tcPr>
            <w:tcW w:w="1900" w:type="dxa"/>
            <w:vAlign w:val="bottom"/>
          </w:tcPr>
          <w:p>
            <w:pPr>
              <w:ind w:left="20"/>
              <w:spacing w:after="0" w:line="213" w:lineRule="exact"/>
              <w:rPr>
                <w:sz w:val="20"/>
                <w:szCs w:val="20"/>
                <w:color w:val="auto"/>
              </w:rPr>
            </w:pPr>
            <w:r>
              <w:rPr>
                <w:rFonts w:ascii="Calibri" w:cs="Calibri" w:eastAsia="Calibri" w:hAnsi="Calibri"/>
                <w:sz w:val="18"/>
                <w:szCs w:val="18"/>
                <w:color w:val="auto"/>
              </w:rPr>
              <w:t>Katherine Adkins</w:t>
            </w:r>
          </w:p>
        </w:tc>
        <w:tc>
          <w:tcPr>
            <w:tcW w:w="9080" w:type="dxa"/>
            <w:vAlign w:val="bottom"/>
          </w:tcPr>
          <w:p>
            <w:pPr>
              <w:ind w:left="600"/>
              <w:spacing w:after="0" w:line="213" w:lineRule="exact"/>
              <w:rPr>
                <w:sz w:val="20"/>
                <w:szCs w:val="20"/>
                <w:color w:val="auto"/>
              </w:rPr>
            </w:pPr>
            <w:r>
              <w:rPr>
                <w:rFonts w:ascii="Calibri" w:cs="Calibri" w:eastAsia="Calibri" w:hAnsi="Calibri"/>
                <w:sz w:val="18"/>
                <w:szCs w:val="18"/>
                <w:color w:val="auto"/>
              </w:rPr>
              <w:t>Chief Legal Ofcer</w:t>
            </w:r>
          </w:p>
        </w:tc>
      </w:tr>
      <w:tr>
        <w:trPr>
          <w:trHeight w:val="50"/>
        </w:trPr>
        <w:tc>
          <w:tcPr>
            <w:tcW w:w="1900" w:type="dxa"/>
            <w:vAlign w:val="bottom"/>
            <w:tcBorders>
              <w:bottom w:val="single" w:sz="8" w:color="B6B6B6"/>
            </w:tcBorders>
          </w:tcPr>
          <w:p>
            <w:pPr>
              <w:spacing w:after="0"/>
              <w:rPr>
                <w:sz w:val="4"/>
                <w:szCs w:val="4"/>
                <w:color w:val="auto"/>
              </w:rPr>
            </w:pPr>
          </w:p>
        </w:tc>
        <w:tc>
          <w:tcPr>
            <w:tcW w:w="9080" w:type="dxa"/>
            <w:vAlign w:val="bottom"/>
            <w:tcBorders>
              <w:bottom w:val="single" w:sz="8" w:color="B6B6B6"/>
            </w:tcBorders>
          </w:tcPr>
          <w:p>
            <w:pPr>
              <w:spacing w:after="0"/>
              <w:rPr>
                <w:sz w:val="4"/>
                <w:szCs w:val="4"/>
                <w:color w:val="auto"/>
              </w:rPr>
            </w:pPr>
          </w:p>
        </w:tc>
      </w:tr>
      <w:tr>
        <w:trPr>
          <w:trHeight w:val="213"/>
        </w:trPr>
        <w:tc>
          <w:tcPr>
            <w:tcW w:w="1900" w:type="dxa"/>
            <w:vAlign w:val="bottom"/>
          </w:tcPr>
          <w:p>
            <w:pPr>
              <w:ind w:left="20"/>
              <w:spacing w:after="0" w:line="213" w:lineRule="exact"/>
              <w:rPr>
                <w:sz w:val="20"/>
                <w:szCs w:val="20"/>
                <w:color w:val="auto"/>
              </w:rPr>
            </w:pPr>
            <w:r>
              <w:rPr>
                <w:rFonts w:ascii="Calibri" w:cs="Calibri" w:eastAsia="Calibri" w:hAnsi="Calibri"/>
                <w:sz w:val="18"/>
                <w:szCs w:val="18"/>
                <w:color w:val="auto"/>
              </w:rPr>
              <w:t>Libor Michalek</w:t>
            </w:r>
          </w:p>
        </w:tc>
        <w:tc>
          <w:tcPr>
            <w:tcW w:w="9080" w:type="dxa"/>
            <w:vAlign w:val="bottom"/>
          </w:tcPr>
          <w:p>
            <w:pPr>
              <w:ind w:left="600"/>
              <w:spacing w:after="0" w:line="213" w:lineRule="exact"/>
              <w:rPr>
                <w:sz w:val="20"/>
                <w:szCs w:val="20"/>
                <w:color w:val="auto"/>
              </w:rPr>
            </w:pPr>
            <w:r>
              <w:rPr>
                <w:rFonts w:ascii="Calibri" w:cs="Calibri" w:eastAsia="Calibri" w:hAnsi="Calibri"/>
                <w:sz w:val="18"/>
                <w:szCs w:val="18"/>
                <w:color w:val="auto"/>
              </w:rPr>
              <w:t>President, Technology, Risk and Operatons</w:t>
            </w:r>
          </w:p>
        </w:tc>
      </w:tr>
      <w:tr>
        <w:trPr>
          <w:trHeight w:val="50"/>
        </w:trPr>
        <w:tc>
          <w:tcPr>
            <w:tcW w:w="1900" w:type="dxa"/>
            <w:vAlign w:val="bottom"/>
            <w:tcBorders>
              <w:bottom w:val="single" w:sz="8" w:color="B6B6B6"/>
            </w:tcBorders>
          </w:tcPr>
          <w:p>
            <w:pPr>
              <w:spacing w:after="0"/>
              <w:rPr>
                <w:sz w:val="4"/>
                <w:szCs w:val="4"/>
                <w:color w:val="auto"/>
              </w:rPr>
            </w:pPr>
          </w:p>
        </w:tc>
        <w:tc>
          <w:tcPr>
            <w:tcW w:w="9080" w:type="dxa"/>
            <w:vAlign w:val="bottom"/>
            <w:tcBorders>
              <w:bottom w:val="single" w:sz="8" w:color="B6B6B6"/>
            </w:tcBorders>
          </w:tcPr>
          <w:p>
            <w:pPr>
              <w:spacing w:after="0"/>
              <w:rPr>
                <w:sz w:val="4"/>
                <w:szCs w:val="4"/>
                <w:color w:val="auto"/>
              </w:rPr>
            </w:pPr>
          </w:p>
        </w:tc>
      </w:tr>
      <w:tr>
        <w:trPr>
          <w:trHeight w:val="213"/>
        </w:trPr>
        <w:tc>
          <w:tcPr>
            <w:tcW w:w="1900" w:type="dxa"/>
            <w:vAlign w:val="bottom"/>
          </w:tcPr>
          <w:p>
            <w:pPr>
              <w:ind w:left="20"/>
              <w:spacing w:after="0" w:line="213" w:lineRule="exact"/>
              <w:rPr>
                <w:sz w:val="20"/>
                <w:szCs w:val="20"/>
                <w:color w:val="auto"/>
              </w:rPr>
            </w:pPr>
            <w:r>
              <w:rPr>
                <w:rFonts w:ascii="Calibri" w:cs="Calibri" w:eastAsia="Calibri" w:hAnsi="Calibri"/>
                <w:sz w:val="18"/>
                <w:szCs w:val="18"/>
                <w:color w:val="auto"/>
              </w:rPr>
              <w:t>Silvija Martncevic</w:t>
            </w:r>
          </w:p>
        </w:tc>
        <w:tc>
          <w:tcPr>
            <w:tcW w:w="9080" w:type="dxa"/>
            <w:vAlign w:val="bottom"/>
          </w:tcPr>
          <w:p>
            <w:pPr>
              <w:ind w:left="600"/>
              <w:spacing w:after="0" w:line="213" w:lineRule="exact"/>
              <w:rPr>
                <w:sz w:val="20"/>
                <w:szCs w:val="20"/>
                <w:color w:val="auto"/>
              </w:rPr>
            </w:pPr>
            <w:r>
              <w:rPr>
                <w:rFonts w:ascii="Calibri" w:cs="Calibri" w:eastAsia="Calibri" w:hAnsi="Calibri"/>
                <w:sz w:val="18"/>
                <w:szCs w:val="18"/>
                <w:color w:val="auto"/>
              </w:rPr>
              <w:t>Chief Commercial Ofcer</w:t>
            </w:r>
          </w:p>
        </w:tc>
      </w:tr>
      <w:tr>
        <w:trPr>
          <w:trHeight w:val="51"/>
        </w:trPr>
        <w:tc>
          <w:tcPr>
            <w:tcW w:w="1900" w:type="dxa"/>
            <w:vAlign w:val="bottom"/>
            <w:tcBorders>
              <w:bottom w:val="single" w:sz="8" w:color="auto"/>
            </w:tcBorders>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120"/>
          </w:cols>
          <w:pgMar w:left="320" w:top="1405" w:right="45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Executve Transiton in Fiscal 2022</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31, 2022, Ms. Martncevic notfed us of her decision to resign as our Chief Commercial Ofcer efectve as of June 30, 2022. In connecton with her resignaton, on June 6, 2022, Ms. Martncevic entered into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Transiton Agreement with us pursuant to which she will serve as a consultant to us from July 1, 2022 to December 31, 2022.</w:t>
      </w:r>
    </w:p>
    <w:p>
      <w:pPr>
        <w:spacing w:after="0" w:line="415" w:lineRule="exact"/>
        <w:rPr>
          <w:sz w:val="20"/>
          <w:szCs w:val="20"/>
          <w:color w:val="auto"/>
        </w:rPr>
      </w:pPr>
    </w:p>
    <w:p>
      <w:pPr>
        <w:sectPr>
          <w:pgSz w:w="11900" w:h="16838" w:orient="portrait"/>
          <w:cols w:equalWidth="0" w:num="2">
            <w:col w:w="5420" w:space="300"/>
            <w:col w:w="5400"/>
          </w:cols>
          <w:pgMar w:left="320" w:top="1405" w:right="459"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Executve Summary</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Who We Are</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founded Afrm in 2012 with a mission to deliver honest fnancial products that improve lives. We are building the next generaton platorm for digital and mobile-frst commerce. We believe by using modern technology, the very best engineering talent, and a mission-driven approach we can reinvent the payment experience. Our solutons, which are built on trust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transparency, make it easier for consumers to spend responsibly and with confdence, easier for merchants to convert sales and grow, and easier for commerce to thrive. On January 15, 2021, we completed our IPO of our Class A common stock.</w:t>
      </w:r>
    </w:p>
    <w:p>
      <w:pPr>
        <w:spacing w:after="0" w:line="630" w:lineRule="exact"/>
        <w:rPr>
          <w:sz w:val="20"/>
          <w:szCs w:val="20"/>
          <w:color w:val="auto"/>
        </w:rPr>
      </w:pPr>
    </w:p>
    <w:p>
      <w:pPr>
        <w:sectPr>
          <w:pgSz w:w="11900" w:h="16838" w:orient="portrait"/>
          <w:cols w:equalWidth="0" w:num="2">
            <w:col w:w="5420" w:space="300"/>
            <w:col w:w="5400"/>
          </w:cols>
          <w:pgMar w:left="320" w:top="1405" w:right="45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2022 Business Highlights</w:t>
      </w:r>
    </w:p>
    <w:p>
      <w:pPr>
        <w:spacing w:after="0" w:line="177"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auto"/>
        </w:rPr>
        <w:t>Fiscal 2022 was a strong year for us marked by signifcant achievements across our business. Fiscal 2022 business highlights included the following:</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Highlights</w:t>
      </w:r>
    </w:p>
    <w:p>
      <w:pPr>
        <w:spacing w:after="0" w:line="109" w:lineRule="exact"/>
        <w:rPr>
          <w:sz w:val="20"/>
          <w:szCs w:val="20"/>
          <w:color w:val="auto"/>
        </w:rPr>
      </w:pPr>
    </w:p>
    <w:p>
      <w:pPr>
        <w:ind w:left="180" w:hanging="172"/>
        <w:spacing w:after="0" w:line="235" w:lineRule="auto"/>
        <w:tabs>
          <w:tab w:leader="none" w:pos="17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Total revenue was $1.3 billion, a 55% increase from the fscal year ended June 30, 2021 (“fscal 2021”)</w:t>
      </w:r>
    </w:p>
    <w:p>
      <w:pPr>
        <w:spacing w:after="0" w:line="69" w:lineRule="exact"/>
        <w:rPr>
          <w:rFonts w:ascii="Calibri" w:cs="Calibri" w:eastAsia="Calibri" w:hAnsi="Calibri"/>
          <w:sz w:val="18"/>
          <w:szCs w:val="18"/>
          <w:color w:val="auto"/>
        </w:rPr>
      </w:pPr>
    </w:p>
    <w:p>
      <w:pPr>
        <w:ind w:left="180" w:hanging="172"/>
        <w:spacing w:after="0" w:line="235" w:lineRule="auto"/>
        <w:tabs>
          <w:tab w:leader="none" w:pos="173" w:val="left"/>
        </w:tabs>
        <w:numPr>
          <w:ilvl w:val="0"/>
          <w:numId w:val="20"/>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Total revenue less transacton costs* was $662.4 million compared to $431.6 million in fscal 2021</w:t>
      </w:r>
    </w:p>
    <w:p>
      <w:pPr>
        <w:spacing w:after="0" w:line="82" w:lineRule="exact"/>
        <w:rPr>
          <w:rFonts w:ascii="Calibri" w:cs="Calibri" w:eastAsia="Calibri" w:hAnsi="Calibri"/>
          <w:sz w:val="18"/>
          <w:szCs w:val="18"/>
          <w:b w:val="1"/>
          <w:bCs w:val="1"/>
          <w:i w:val="1"/>
          <w:iCs w:val="1"/>
          <w:color w:val="auto"/>
        </w:rPr>
      </w:pPr>
    </w:p>
    <w:p>
      <w:pPr>
        <w:ind w:left="180" w:right="20" w:hanging="172"/>
        <w:spacing w:after="0" w:line="235" w:lineRule="auto"/>
        <w:tabs>
          <w:tab w:leader="none" w:pos="173" w:val="left"/>
        </w:tabs>
        <w:numPr>
          <w:ilvl w:val="0"/>
          <w:numId w:val="20"/>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Operatng loss was $866.0 million compared to $383.7 million in fscal 2021</w:t>
      </w:r>
    </w:p>
    <w:p>
      <w:pPr>
        <w:spacing w:after="0" w:line="69" w:lineRule="exact"/>
        <w:rPr>
          <w:rFonts w:ascii="Calibri" w:cs="Calibri" w:eastAsia="Calibri" w:hAnsi="Calibri"/>
          <w:sz w:val="18"/>
          <w:szCs w:val="18"/>
          <w:b w:val="1"/>
          <w:bCs w:val="1"/>
          <w:i w:val="1"/>
          <w:iCs w:val="1"/>
          <w:color w:val="auto"/>
        </w:rPr>
      </w:pPr>
    </w:p>
    <w:p>
      <w:pPr>
        <w:ind w:left="180" w:hanging="172"/>
        <w:spacing w:after="0" w:line="235" w:lineRule="auto"/>
        <w:tabs>
          <w:tab w:leader="none" w:pos="173" w:val="left"/>
        </w:tabs>
        <w:numPr>
          <w:ilvl w:val="0"/>
          <w:numId w:val="20"/>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Adjusted operatng loss* was $78.3 million compared to an adjusted operatng income of $14.3 million in fscal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145" w:hanging="145"/>
        <w:spacing w:after="0"/>
        <w:tabs>
          <w:tab w:leader="none" w:pos="145" w:val="left"/>
        </w:tabs>
        <w:numPr>
          <w:ilvl w:val="0"/>
          <w:numId w:val="21"/>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Net loss was $707.4 million compared to $441.0 million in fscal 2021</w:t>
      </w:r>
    </w:p>
    <w:p>
      <w:pPr>
        <w:spacing w:after="0" w:line="104" w:lineRule="exact"/>
        <w:rPr>
          <w:sz w:val="20"/>
          <w:szCs w:val="20"/>
          <w:color w:val="auto"/>
        </w:rPr>
      </w:pPr>
    </w:p>
    <w:p>
      <w:pPr>
        <w:ind w:left="5"/>
        <w:spacing w:after="0"/>
        <w:rPr>
          <w:sz w:val="20"/>
          <w:szCs w:val="20"/>
          <w:color w:val="auto"/>
        </w:rPr>
      </w:pPr>
      <w:r>
        <w:rPr>
          <w:rFonts w:ascii="Calibri" w:cs="Calibri" w:eastAsia="Calibri" w:hAnsi="Calibri"/>
          <w:sz w:val="18"/>
          <w:szCs w:val="18"/>
          <w:i w:val="1"/>
          <w:iCs w:val="1"/>
          <w:color w:val="auto"/>
        </w:rPr>
        <w:t>Operatng Highlights</w:t>
      </w:r>
    </w:p>
    <w:p>
      <w:pPr>
        <w:spacing w:after="0" w:line="109" w:lineRule="exact"/>
        <w:rPr>
          <w:sz w:val="20"/>
          <w:szCs w:val="20"/>
          <w:color w:val="auto"/>
        </w:rPr>
      </w:pPr>
    </w:p>
    <w:p>
      <w:pPr>
        <w:ind w:left="165" w:hanging="165"/>
        <w:spacing w:after="0" w:line="235" w:lineRule="auto"/>
        <w:tabs>
          <w:tab w:leader="none" w:pos="158" w:val="left"/>
        </w:tabs>
        <w:numPr>
          <w:ilvl w:val="0"/>
          <w:numId w:val="22"/>
        </w:numPr>
        <w:rPr>
          <w:rFonts w:ascii="Calibri" w:cs="Calibri" w:eastAsia="Calibri" w:hAnsi="Calibri"/>
          <w:sz w:val="18"/>
          <w:szCs w:val="18"/>
          <w:i w:val="1"/>
          <w:iCs w:val="1"/>
          <w:color w:val="auto"/>
        </w:rPr>
      </w:pPr>
      <w:r>
        <w:rPr>
          <w:rFonts w:ascii="Calibri" w:cs="Calibri" w:eastAsia="Calibri" w:hAnsi="Calibri"/>
          <w:sz w:val="18"/>
          <w:szCs w:val="18"/>
          <w:color w:val="auto"/>
        </w:rPr>
        <w:t>Gross merchandise volume (“GMV”)** was $15.5 billion, an 87% increase from fscal 2021</w:t>
      </w:r>
    </w:p>
    <w:p>
      <w:pPr>
        <w:spacing w:after="0" w:line="69" w:lineRule="exact"/>
        <w:rPr>
          <w:rFonts w:ascii="Calibri" w:cs="Calibri" w:eastAsia="Calibri" w:hAnsi="Calibri"/>
          <w:sz w:val="18"/>
          <w:szCs w:val="18"/>
          <w:i w:val="1"/>
          <w:iCs w:val="1"/>
          <w:color w:val="auto"/>
        </w:rPr>
      </w:pPr>
    </w:p>
    <w:p>
      <w:pPr>
        <w:ind w:left="165" w:hanging="165"/>
        <w:spacing w:after="0" w:line="235" w:lineRule="auto"/>
        <w:tabs>
          <w:tab w:leader="none" w:pos="158" w:val="left"/>
        </w:tabs>
        <w:numPr>
          <w:ilvl w:val="0"/>
          <w:numId w:val="22"/>
        </w:numPr>
        <w:rPr>
          <w:rFonts w:ascii="Calibri" w:cs="Calibri" w:eastAsia="Calibri" w:hAnsi="Calibri"/>
          <w:sz w:val="18"/>
          <w:szCs w:val="18"/>
          <w:b w:val="1"/>
          <w:bCs w:val="1"/>
          <w:i w:val="1"/>
          <w:iCs w:val="1"/>
          <w:color w:val="auto"/>
        </w:rPr>
      </w:pPr>
      <w:r>
        <w:rPr>
          <w:rFonts w:ascii="Calibri" w:cs="Calibri" w:eastAsia="Calibri" w:hAnsi="Calibri"/>
          <w:sz w:val="18"/>
          <w:szCs w:val="18"/>
          <w:color w:val="auto"/>
        </w:rPr>
        <w:t>Actve merchants saw an increase from 29,000 as of June 30, 2021 to 235,000 as of June 30, 2022</w:t>
      </w:r>
    </w:p>
    <w:p>
      <w:pPr>
        <w:spacing w:after="0" w:line="69" w:lineRule="exact"/>
        <w:rPr>
          <w:rFonts w:ascii="Calibri" w:cs="Calibri" w:eastAsia="Calibri" w:hAnsi="Calibri"/>
          <w:sz w:val="18"/>
          <w:szCs w:val="18"/>
          <w:b w:val="1"/>
          <w:bCs w:val="1"/>
          <w:i w:val="1"/>
          <w:iCs w:val="1"/>
          <w:color w:val="auto"/>
        </w:rPr>
      </w:pPr>
    </w:p>
    <w:p>
      <w:pPr>
        <w:ind w:left="165" w:hanging="165"/>
        <w:spacing w:after="0" w:line="235" w:lineRule="auto"/>
        <w:tabs>
          <w:tab w:leader="none" w:pos="158"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Actve consumers increased 96% from June 30, 2021 to 14.0 million consumers as of June 30, 2022</w:t>
      </w:r>
    </w:p>
    <w:p>
      <w:pPr>
        <w:spacing w:after="0" w:line="82" w:lineRule="exact"/>
        <w:rPr>
          <w:rFonts w:ascii="Calibri" w:cs="Calibri" w:eastAsia="Calibri" w:hAnsi="Calibri"/>
          <w:sz w:val="18"/>
          <w:szCs w:val="18"/>
          <w:color w:val="auto"/>
        </w:rPr>
      </w:pPr>
    </w:p>
    <w:p>
      <w:pPr>
        <w:ind w:left="165" w:hanging="165"/>
        <w:spacing w:after="0" w:line="235" w:lineRule="auto"/>
        <w:tabs>
          <w:tab w:leader="none" w:pos="158"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Transactons per actve consumer increased 31% from June 30, 2021 to approximately 3.0 transactons as of June 30, 2022</w:t>
      </w:r>
    </w:p>
    <w:p>
      <w:pPr>
        <w:spacing w:after="0" w:line="483" w:lineRule="exact"/>
        <w:rPr>
          <w:sz w:val="20"/>
          <w:szCs w:val="20"/>
          <w:color w:val="auto"/>
        </w:rPr>
      </w:pPr>
    </w:p>
    <w:p>
      <w:pPr>
        <w:sectPr>
          <w:pgSz w:w="11900" w:h="16838" w:orient="portrait"/>
          <w:cols w:equalWidth="0" w:num="2">
            <w:col w:w="5420" w:space="295"/>
            <w:col w:w="5405"/>
          </w:cols>
          <w:pgMar w:left="320" w:top="140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21</w:t>
      </w:r>
    </w:p>
    <w:p>
      <w:pPr>
        <w:sectPr>
          <w:pgSz w:w="11900" w:h="16838" w:orient="portrait"/>
          <w:cols w:equalWidth="0" w:num="1">
            <w:col w:w="11120"/>
          </w:cols>
          <w:pgMar w:left="320" w:top="1405" w:right="459" w:bottom="1440" w:gutter="0" w:footer="0" w:header="0"/>
          <w:type w:val="continuous"/>
        </w:sectPr>
      </w:pPr>
    </w:p>
    <w:bookmarkStart w:id="25" w:name="page26"/>
    <w:bookmarkEnd w:id="25"/>
    <w:p>
      <w:pPr>
        <w:spacing w:after="0" w:line="382" w:lineRule="exact"/>
        <w:rPr>
          <w:sz w:val="20"/>
          <w:szCs w:val="20"/>
          <w:color w:val="auto"/>
        </w:rPr>
      </w:pPr>
    </w:p>
    <w:p>
      <w:pPr>
        <w:jc w:val="both"/>
        <w:ind w:left="260" w:hanging="252"/>
        <w:spacing w:after="0" w:line="230" w:lineRule="auto"/>
        <w:tabs>
          <w:tab w:leader="none" w:pos="292" w:val="left"/>
        </w:tabs>
        <w:numPr>
          <w:ilvl w:val="0"/>
          <w:numId w:val="23"/>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 xml:space="preserve">Total revenue less transacton costs and adjusted operatng income (loss) are non-GAAP fnancial measures. We believe that total revenue less transacton costs is a useful fnancial measure to both us and investors of the economic value generated by transactons processed on the Afrm platorm. We also believe that adjusted operatng income (loss) is a useful fnancial measure to both us and investors for evaluatng our operatng performance and that it facilitates period to period comparisons of our results of operatons as the items excluded generally are not a functon of our operatng performance. For a full reconciliaton for each non-GAAP fnancial measure to the most directly comparable fnancial measure stated in accordance with GAAP, please see </w:t>
      </w:r>
      <w:r>
        <w:rPr>
          <w:rFonts w:ascii="Calibri" w:cs="Calibri" w:eastAsia="Calibri" w:hAnsi="Calibri"/>
          <w:sz w:val="16"/>
          <w:szCs w:val="16"/>
          <w:i w:val="1"/>
          <w:iCs w:val="1"/>
          <w:u w:val="single" w:color="auto"/>
          <w:color w:val="auto"/>
        </w:rPr>
        <w:t>Appendix A</w:t>
      </w:r>
      <w:r>
        <w:rPr>
          <w:rFonts w:ascii="Calibri" w:cs="Calibri" w:eastAsia="Calibri" w:hAnsi="Calibri"/>
          <w:sz w:val="16"/>
          <w:szCs w:val="16"/>
          <w:i w:val="1"/>
          <w:iCs w:val="1"/>
          <w:color w:val="auto"/>
        </w:rPr>
        <w:t xml:space="preserve"> to this proxy statement.</w:t>
      </w:r>
    </w:p>
    <w:p>
      <w:pPr>
        <w:jc w:val="both"/>
        <w:ind w:left="260" w:hanging="252"/>
        <w:spacing w:after="0" w:line="232" w:lineRule="auto"/>
        <w:tabs>
          <w:tab w:leader="none" w:pos="352" w:val="left"/>
        </w:tabs>
        <w:numPr>
          <w:ilvl w:val="0"/>
          <w:numId w:val="24"/>
        </w:numPr>
        <w:rPr>
          <w:rFonts w:ascii="Calibri" w:cs="Calibri" w:eastAsia="Calibri" w:hAnsi="Calibri"/>
          <w:sz w:val="16"/>
          <w:szCs w:val="16"/>
          <w:i w:val="1"/>
          <w:iCs w:val="1"/>
          <w:color w:val="auto"/>
        </w:rPr>
      </w:pPr>
      <w:r>
        <w:rPr>
          <w:rFonts w:ascii="Calibri" w:cs="Calibri" w:eastAsia="Calibri" w:hAnsi="Calibri"/>
          <w:sz w:val="16"/>
          <w:szCs w:val="16"/>
          <w:i w:val="1"/>
          <w:iCs w:val="1"/>
          <w:color w:val="auto"/>
        </w:rPr>
        <w:t>GMV is a key operatng metric that we defne as the total dollar amount of all transactons on the Afrm platorm during the applicable period, net of refunds. GMV does not represent revenue earned by us. However, we believe that GMV is a useful operatng metric to both us and investors in assessing the volume of transactons that take place on the Afrm platorm, which is an indicator of the success of our merchants and the strength of the Afrm platorm.</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2022 Executve Compensaton Highlights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took the following key actons with respect to the compensaton of our named executve ofcers for and during fscal 2022:</w:t>
      </w:r>
    </w:p>
    <w:p>
      <w:pPr>
        <w:spacing w:after="0" w:line="84" w:lineRule="exact"/>
        <w:rPr>
          <w:sz w:val="20"/>
          <w:szCs w:val="20"/>
          <w:color w:val="auto"/>
        </w:rPr>
      </w:pPr>
    </w:p>
    <w:p>
      <w:pPr>
        <w:jc w:val="both"/>
        <w:ind w:left="340" w:hanging="251"/>
        <w:spacing w:after="0" w:line="249" w:lineRule="auto"/>
        <w:tabs>
          <w:tab w:leader="none" w:pos="333" w:val="left"/>
        </w:tabs>
        <w:numPr>
          <w:ilvl w:val="0"/>
          <w:numId w:val="25"/>
        </w:numPr>
        <w:rPr>
          <w:rFonts w:ascii="Calibri" w:cs="Calibri" w:eastAsia="Calibri" w:hAnsi="Calibri"/>
          <w:sz w:val="19"/>
          <w:szCs w:val="19"/>
          <w:color w:val="auto"/>
        </w:rPr>
      </w:pPr>
      <w:r>
        <w:rPr>
          <w:rFonts w:ascii="Calibri" w:cs="Calibri" w:eastAsia="Calibri" w:hAnsi="Calibri"/>
          <w:sz w:val="17"/>
          <w:szCs w:val="17"/>
          <w:b w:val="1"/>
          <w:bCs w:val="1"/>
          <w:i w:val="1"/>
          <w:iCs w:val="1"/>
          <w:color w:val="auto"/>
        </w:rPr>
        <w:t>Base Salaries</w:t>
      </w:r>
      <w:r>
        <w:rPr>
          <w:rFonts w:ascii="Calibri" w:cs="Calibri" w:eastAsia="Calibri" w:hAnsi="Calibri"/>
          <w:sz w:val="17"/>
          <w:szCs w:val="17"/>
          <w:color w:val="auto"/>
        </w:rPr>
        <w:t>. In connecton with the Compensaton Commitee's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annual review of our executve compensaton program, the Commitee increased the annual base salaries of our named executve ofcers (other than our CEO) in order to more compettvely positon each executve given the highly compettve talent market in which we operate. In additon, in December 2021, the Board increased our CEO's base salary efectve as of July 1, 2021 to align with minimum wage requirements under applicable California laws in efect at that tme.</w:t>
      </w:r>
    </w:p>
    <w:p>
      <w:pPr>
        <w:spacing w:after="0" w:line="74" w:lineRule="exact"/>
        <w:rPr>
          <w:rFonts w:ascii="Calibri" w:cs="Calibri" w:eastAsia="Calibri" w:hAnsi="Calibri"/>
          <w:sz w:val="19"/>
          <w:szCs w:val="19"/>
          <w:color w:val="auto"/>
        </w:rPr>
      </w:pPr>
    </w:p>
    <w:p>
      <w:pPr>
        <w:ind w:left="340" w:hanging="251"/>
        <w:spacing w:after="0" w:line="229" w:lineRule="auto"/>
        <w:tabs>
          <w:tab w:leader="none" w:pos="333" w:val="left"/>
        </w:tabs>
        <w:numPr>
          <w:ilvl w:val="0"/>
          <w:numId w:val="25"/>
        </w:numPr>
        <w:rPr>
          <w:rFonts w:ascii="Calibri" w:cs="Calibri" w:eastAsia="Calibri" w:hAnsi="Calibri"/>
          <w:sz w:val="20"/>
          <w:szCs w:val="20"/>
          <w:color w:val="auto"/>
        </w:rPr>
      </w:pPr>
      <w:r>
        <w:rPr>
          <w:rFonts w:ascii="Calibri" w:cs="Calibri" w:eastAsia="Calibri" w:hAnsi="Calibri"/>
          <w:sz w:val="18"/>
          <w:szCs w:val="18"/>
          <w:b w:val="1"/>
          <w:bCs w:val="1"/>
          <w:i w:val="1"/>
          <w:iCs w:val="1"/>
          <w:color w:val="auto"/>
        </w:rPr>
        <w:t>Annual Cash Incentve Plan</w:t>
      </w:r>
      <w:r>
        <w:rPr>
          <w:rFonts w:ascii="Calibri" w:cs="Calibri" w:eastAsia="Calibri" w:hAnsi="Calibri"/>
          <w:sz w:val="18"/>
          <w:szCs w:val="18"/>
          <w:color w:val="auto"/>
        </w:rPr>
        <w:t>. The Compensaton Commitee approved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annual cash incentve plan</w:t>
      </w: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Pay-for-Performance</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our executve compensaton program is reasonable, compettve, and appropriately balances the goals of atractng, motvatng, rewarding, and retaining our named executve ofcers with the goal of aligning their interests with those of our stockholders. To ensure this alignment and to motvate and reward individual initatve and efort, a substantal porton of our named executve ofcers’ target annual total direct compensaton opportunity is both variable in nature and “at-risk.”</w:t>
      </w:r>
    </w:p>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emphasize variable compensaton that appropriately rewards our named executve ofcers through two separate compensaton elements:</w:t>
      </w:r>
    </w:p>
    <w:p>
      <w:pPr>
        <w:spacing w:after="0" w:line="69" w:lineRule="exact"/>
        <w:rPr>
          <w:sz w:val="20"/>
          <w:szCs w:val="20"/>
          <w:color w:val="auto"/>
        </w:rPr>
      </w:pPr>
    </w:p>
    <w:p>
      <w:pPr>
        <w:jc w:val="both"/>
        <w:ind w:left="340" w:hanging="251"/>
        <w:spacing w:after="0" w:line="235" w:lineRule="auto"/>
        <w:tabs>
          <w:tab w:leader="none" w:pos="33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First, our named executve ofcers (other than our CEO) partcipate in our annual cash incentve plan, which provides those ofcers with the opportunity to earn cash incentve payments based on achievement of short-term fnancial and operatonal performance targets set by the Compensaton Commitee. The performance measures applicable to awards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jc w:val="both"/>
        <w:ind w:left="320" w:right="120"/>
        <w:spacing w:after="0" w:line="235" w:lineRule="auto"/>
        <w:rPr>
          <w:sz w:val="20"/>
          <w:szCs w:val="20"/>
          <w:color w:val="auto"/>
        </w:rPr>
      </w:pPr>
      <w:r>
        <w:rPr>
          <w:rFonts w:ascii="Calibri" w:cs="Calibri" w:eastAsia="Calibri" w:hAnsi="Calibri"/>
          <w:sz w:val="18"/>
          <w:szCs w:val="18"/>
          <w:color w:val="auto"/>
        </w:rPr>
        <w:t>payments for our named executve ofcers (other than our CEO) based on achievement of short-term fnancial and operatonal performance targets set by the Compensaton Commitee.</w:t>
      </w:r>
    </w:p>
    <w:p>
      <w:pPr>
        <w:spacing w:after="0" w:line="84" w:lineRule="exact"/>
        <w:rPr>
          <w:sz w:val="20"/>
          <w:szCs w:val="20"/>
          <w:color w:val="auto"/>
        </w:rPr>
      </w:pPr>
    </w:p>
    <w:p>
      <w:pPr>
        <w:jc w:val="both"/>
        <w:ind w:left="320" w:right="120" w:hanging="244"/>
        <w:spacing w:after="0" w:line="234" w:lineRule="auto"/>
        <w:tabs>
          <w:tab w:leader="none" w:pos="313" w:val="left"/>
        </w:tabs>
        <w:numPr>
          <w:ilvl w:val="0"/>
          <w:numId w:val="27"/>
        </w:numPr>
        <w:rPr>
          <w:rFonts w:ascii="Calibri" w:cs="Calibri" w:eastAsia="Calibri" w:hAnsi="Calibri"/>
          <w:sz w:val="20"/>
          <w:szCs w:val="20"/>
          <w:color w:val="auto"/>
        </w:rPr>
      </w:pPr>
      <w:r>
        <w:rPr>
          <w:rFonts w:ascii="Calibri" w:cs="Calibri" w:eastAsia="Calibri" w:hAnsi="Calibri"/>
          <w:sz w:val="18"/>
          <w:szCs w:val="18"/>
          <w:b w:val="1"/>
          <w:bCs w:val="1"/>
          <w:i w:val="1"/>
          <w:iCs w:val="1"/>
          <w:color w:val="auto"/>
        </w:rPr>
        <w:t>Long-Term Incentve Compensaton</w:t>
      </w:r>
      <w:r>
        <w:rPr>
          <w:rFonts w:ascii="Calibri" w:cs="Calibri" w:eastAsia="Calibri" w:hAnsi="Calibri"/>
          <w:sz w:val="18"/>
          <w:szCs w:val="18"/>
          <w:color w:val="auto"/>
        </w:rPr>
        <w:t>. The Compensaton Commitee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approved grants to our named executve ofcers (other than our CEO) of tme-vestng optons to purchase shares of our Class A common stock and tme-vestng grants of restricted stock units, or RSUs, with tme-based vestng that upon vestng will setle in shares of our Class A common stock. Equity awards granted in fscal 2022 to our named executve ofcers (other than our CEO) serve as a retenton incentve over the two-year vestng period.</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27" w:lineRule="exact"/>
        <w:rPr>
          <w:rFonts w:ascii="Calibri" w:cs="Calibri" w:eastAsia="Calibri" w:hAnsi="Calibri"/>
          <w:sz w:val="20"/>
          <w:szCs w:val="20"/>
          <w:color w:val="auto"/>
        </w:rPr>
      </w:pPr>
    </w:p>
    <w:p>
      <w:pPr>
        <w:ind w:left="320"/>
        <w:spacing w:after="0"/>
        <w:rPr>
          <w:rFonts w:ascii="Calibri" w:cs="Calibri" w:eastAsia="Calibri" w:hAnsi="Calibri"/>
          <w:sz w:val="20"/>
          <w:szCs w:val="20"/>
          <w:color w:val="auto"/>
        </w:rPr>
      </w:pPr>
      <w:r>
        <w:rPr>
          <w:rFonts w:ascii="Calibri" w:cs="Calibri" w:eastAsia="Calibri" w:hAnsi="Calibri"/>
          <w:sz w:val="18"/>
          <w:szCs w:val="18"/>
          <w:color w:val="auto"/>
        </w:rPr>
        <w:t>under our cash incentve plan in fscal 2022 are described below.</w:t>
      </w:r>
    </w:p>
    <w:p>
      <w:pPr>
        <w:spacing w:after="0" w:line="109" w:lineRule="exact"/>
        <w:rPr>
          <w:rFonts w:ascii="Calibri" w:cs="Calibri" w:eastAsia="Calibri" w:hAnsi="Calibri"/>
          <w:sz w:val="20"/>
          <w:szCs w:val="20"/>
          <w:color w:val="auto"/>
        </w:rPr>
      </w:pPr>
    </w:p>
    <w:p>
      <w:pPr>
        <w:jc w:val="both"/>
        <w:ind w:left="320" w:right="120" w:hanging="244"/>
        <w:spacing w:after="0" w:line="235" w:lineRule="auto"/>
        <w:tabs>
          <w:tab w:leader="none" w:pos="313" w:val="left"/>
        </w:tabs>
        <w:numPr>
          <w:ilvl w:val="0"/>
          <w:numId w:val="27"/>
        </w:numPr>
        <w:rPr>
          <w:rFonts w:ascii="Calibri" w:cs="Calibri" w:eastAsia="Calibri" w:hAnsi="Calibri"/>
          <w:sz w:val="18"/>
          <w:szCs w:val="18"/>
          <w:color w:val="auto"/>
        </w:rPr>
      </w:pPr>
      <w:r>
        <w:rPr>
          <w:rFonts w:ascii="Calibri" w:cs="Calibri" w:eastAsia="Calibri" w:hAnsi="Calibri"/>
          <w:sz w:val="18"/>
          <w:szCs w:val="18"/>
          <w:color w:val="auto"/>
        </w:rPr>
        <w:t>In additon, for our named executve ofcers (other than our CEO), we grant tme-vestng optons to purchase shares of our Class A common stock and tme-vestng RSUs that will setle in shares of our Class A common stock. The optons and RSUs granted in fscal 2022 vest in equal monthly installments for a period of 24 months, subject to the recipient’s contnued service as of each vestng date. The value of these awards is closely linked to the value of our Class A common stock, thereby aligning the interests of our named executve ofcers with those of our stockholders.</w:t>
      </w:r>
    </w:p>
    <w:p>
      <w:pPr>
        <w:spacing w:after="0" w:line="116"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We believe that this design provides balanced incentves for our named executve ofcers to drive both short-term fnancial performance and long-term growth.</w:t>
      </w:r>
    </w:p>
    <w:p>
      <w:pPr>
        <w:spacing w:after="0" w:line="669" w:lineRule="exact"/>
        <w:rPr>
          <w:sz w:val="20"/>
          <w:szCs w:val="20"/>
          <w:color w:val="auto"/>
        </w:rPr>
      </w:pPr>
    </w:p>
    <w:p>
      <w:pPr>
        <w:sectPr>
          <w:pgSz w:w="11900" w:h="16838" w:orient="portrait"/>
          <w:cols w:equalWidth="0" w:num="2">
            <w:col w:w="5420" w:space="30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22</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Executve Compensaton Policies and Practces</w:t>
      </w:r>
    </w:p>
    <w:p>
      <w:pPr>
        <w:sectPr>
          <w:pgSz w:w="11900" w:h="16838" w:orient="portrait"/>
          <w:cols w:equalWidth="0" w:num="1">
            <w:col w:w="11200"/>
          </w:cols>
          <w:pgMar w:left="320" w:top="1440" w:right="379" w:bottom="1440" w:gutter="0" w:footer="0" w:header="0"/>
        </w:sectPr>
      </w:pPr>
    </w:p>
    <w:p>
      <w:pPr>
        <w:spacing w:after="0" w:line="163" w:lineRule="exact"/>
        <w:rPr>
          <w:sz w:val="20"/>
          <w:szCs w:val="20"/>
          <w:color w:val="auto"/>
        </w:rPr>
      </w:pPr>
    </w:p>
    <w:p>
      <w:pPr>
        <w:spacing w:after="0"/>
        <w:rPr>
          <w:sz w:val="20"/>
          <w:szCs w:val="20"/>
          <w:color w:val="auto"/>
        </w:rPr>
      </w:pPr>
      <w:r>
        <w:rPr>
          <w:rFonts w:ascii="Calibri" w:cs="Calibri" w:eastAsia="Calibri" w:hAnsi="Calibri"/>
          <w:sz w:val="17"/>
          <w:szCs w:val="17"/>
          <w:color w:val="auto"/>
        </w:rPr>
        <w:t>We endeavor to maintain sound governance standards consistent with our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Calibri" w:cs="Calibri" w:eastAsia="Calibri" w:hAnsi="Calibri"/>
          <w:sz w:val="18"/>
          <w:szCs w:val="18"/>
          <w:color w:val="auto"/>
        </w:rPr>
        <w:t>term goals, given the dynamic nature of our business and the market in</w:t>
      </w:r>
    </w:p>
    <w:p>
      <w:pPr>
        <w:spacing w:after="0" w:line="1" w:lineRule="exact"/>
        <w:rPr>
          <w:sz w:val="20"/>
          <w:szCs w:val="20"/>
          <w:color w:val="auto"/>
        </w:rPr>
      </w:pPr>
    </w:p>
    <w:p>
      <w:pPr>
        <w:sectPr>
          <w:pgSz w:w="11900" w:h="16838" w:orient="portrait"/>
          <w:cols w:equalWidth="0" w:num="2">
            <w:col w:w="5420" w:space="300"/>
            <w:col w:w="5480"/>
          </w:cols>
          <w:pgMar w:left="320" w:top="1440" w:right="379" w:bottom="1440" w:gutter="0" w:footer="0" w:header="0"/>
          <w:type w:val="continuous"/>
        </w:sectPr>
      </w:pPr>
    </w:p>
    <w:p>
      <w:pPr>
        <w:spacing w:after="0" w:line="235" w:lineRule="auto"/>
        <w:tabs>
          <w:tab w:leader="none" w:pos="820" w:val="left"/>
          <w:tab w:leader="none" w:pos="1980" w:val="left"/>
          <w:tab w:leader="none" w:pos="2680" w:val="left"/>
          <w:tab w:leader="none" w:pos="3100" w:val="left"/>
          <w:tab w:leader="none" w:pos="3940" w:val="left"/>
          <w:tab w:leader="none" w:pos="4360" w:val="left"/>
        </w:tabs>
        <w:rPr>
          <w:sz w:val="20"/>
          <w:szCs w:val="20"/>
          <w:color w:val="auto"/>
        </w:rPr>
      </w:pPr>
      <w:r>
        <w:rPr>
          <w:rFonts w:ascii="Calibri" w:cs="Calibri" w:eastAsia="Calibri" w:hAnsi="Calibri"/>
          <w:sz w:val="18"/>
          <w:szCs w:val="18"/>
          <w:color w:val="auto"/>
        </w:rPr>
        <w:t>executve</w:t>
        <w:tab/>
        <w:t>compensaton</w:t>
        <w:tab/>
        <w:t>policies</w:t>
        <w:tab/>
        <w:t>and</w:t>
        <w:tab/>
        <w:t>practces.</w:t>
        <w:tab/>
        <w:t>The</w:t>
        <w:tab/>
        <w:t>Compensaton</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alibri" w:cs="Calibri" w:eastAsia="Calibri" w:hAnsi="Calibri"/>
          <w:sz w:val="18"/>
          <w:szCs w:val="18"/>
          <w:color w:val="auto"/>
        </w:rPr>
        <w:t>which we compete for executve talent. The following summarizes our key</w:t>
      </w:r>
    </w:p>
    <w:p>
      <w:pPr>
        <w:spacing w:after="0" w:line="1" w:lineRule="exact"/>
        <w:rPr>
          <w:sz w:val="20"/>
          <w:szCs w:val="20"/>
          <w:color w:val="auto"/>
        </w:rPr>
      </w:pPr>
    </w:p>
    <w:p>
      <w:pPr>
        <w:sectPr>
          <w:pgSz w:w="11900" w:h="16838" w:orient="portrait"/>
          <w:cols w:equalWidth="0" w:num="2">
            <w:col w:w="5420" w:space="300"/>
            <w:col w:w="5480"/>
          </w:cols>
          <w:pgMar w:left="320" w:top="1440" w:right="379" w:bottom="1440" w:gutter="0" w:footer="0" w:header="0"/>
          <w:type w:val="continuous"/>
        </w:sectPr>
      </w:pPr>
    </w:p>
    <w:p>
      <w:pPr>
        <w:spacing w:after="0" w:line="236" w:lineRule="auto"/>
        <w:rPr>
          <w:sz w:val="20"/>
          <w:szCs w:val="20"/>
          <w:color w:val="auto"/>
        </w:rPr>
      </w:pPr>
      <w:r>
        <w:rPr>
          <w:rFonts w:ascii="Calibri" w:cs="Calibri" w:eastAsia="Calibri" w:hAnsi="Calibri"/>
          <w:sz w:val="18"/>
          <w:szCs w:val="18"/>
          <w:color w:val="auto"/>
        </w:rPr>
        <w:t>Commitee evaluates our executve compensaton program on a regular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color w:val="auto"/>
        </w:rPr>
        <w:t>executve compensaton-related policies and practces:</w:t>
      </w:r>
    </w:p>
    <w:p>
      <w:pPr>
        <w:spacing w:after="0" w:line="8" w:lineRule="exact"/>
        <w:rPr>
          <w:sz w:val="20"/>
          <w:szCs w:val="20"/>
          <w:color w:val="auto"/>
        </w:rPr>
      </w:pPr>
    </w:p>
    <w:p>
      <w:pPr>
        <w:sectPr>
          <w:pgSz w:w="11900" w:h="16838" w:orient="portrait"/>
          <w:cols w:equalWidth="0" w:num="2">
            <w:col w:w="5420" w:space="300"/>
            <w:col w:w="5480"/>
          </w:cols>
          <w:pgMar w:left="320" w:top="1440" w:right="379" w:bottom="1440" w:gutter="0" w:footer="0" w:header="0"/>
          <w:type w:val="continuous"/>
        </w:sectPr>
      </w:pPr>
    </w:p>
    <w:p>
      <w:pPr>
        <w:spacing w:after="0"/>
        <w:rPr>
          <w:sz w:val="20"/>
          <w:szCs w:val="20"/>
          <w:color w:val="auto"/>
        </w:rPr>
      </w:pPr>
      <w:r>
        <w:rPr>
          <w:rFonts w:ascii="Calibri" w:cs="Calibri" w:eastAsia="Calibri" w:hAnsi="Calibri"/>
          <w:sz w:val="17"/>
          <w:szCs w:val="17"/>
          <w:color w:val="auto"/>
        </w:rPr>
        <w:t>basis to ensure that it is consistent with our short-term and long-</w:t>
      </w:r>
    </w:p>
    <w:p>
      <w:pPr>
        <w:sectPr>
          <w:pgSz w:w="11900" w:h="16838" w:orient="portrait"/>
          <w:cols w:equalWidth="0" w:num="1">
            <w:col w:w="11200"/>
          </w:cols>
          <w:pgMar w:left="320" w:top="1440" w:right="37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What We Do</w:t>
      </w:r>
    </w:p>
    <w:p>
      <w:pPr>
        <w:spacing w:after="0" w:line="65" w:lineRule="exact"/>
        <w:rPr>
          <w:sz w:val="20"/>
          <w:szCs w:val="20"/>
          <w:color w:val="auto"/>
        </w:rPr>
      </w:pPr>
    </w:p>
    <w:p>
      <w:pPr>
        <w:ind w:left="560" w:hanging="404"/>
        <w:spacing w:after="0" w:line="181" w:lineRule="auto"/>
        <w:tabs>
          <w:tab w:leader="none" w:pos="560" w:val="left"/>
        </w:tabs>
        <w:numPr>
          <w:ilvl w:val="0"/>
          <w:numId w:val="28"/>
        </w:numPr>
        <w:rPr>
          <w:rFonts w:ascii="MS PGothic" w:cs="MS PGothic" w:eastAsia="MS PGothic" w:hAnsi="MS PGothic"/>
          <w:sz w:val="35"/>
          <w:szCs w:val="35"/>
          <w:color w:val="auto"/>
          <w:highlight w:val="black"/>
          <w:vertAlign w:val="subscript"/>
        </w:rPr>
      </w:pPr>
      <w:r>
        <w:rPr>
          <w:rFonts w:ascii="Calibri" w:cs="Calibri" w:eastAsia="Calibri" w:hAnsi="Calibri"/>
          <w:sz w:val="15"/>
          <w:szCs w:val="15"/>
          <w:b w:val="1"/>
          <w:bCs w:val="1"/>
          <w:i w:val="1"/>
          <w:iCs w:val="1"/>
          <w:color w:val="auto"/>
        </w:rPr>
        <w:t xml:space="preserve">Maintain an Independent Compensaton Commitee. </w:t>
      </w:r>
      <w:r>
        <w:rPr>
          <w:rFonts w:ascii="Calibri" w:cs="Calibri" w:eastAsia="Calibri" w:hAnsi="Calibri"/>
          <w:sz w:val="15"/>
          <w:szCs w:val="15"/>
          <w:color w:val="auto"/>
        </w:rPr>
        <w:t>The Compensaton Commitee consists solely of independent directors who establish our</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executve compensaton policies and practces.</w:t>
      </w:r>
    </w:p>
    <w:p>
      <w:pPr>
        <w:spacing w:after="0" w:line="38" w:lineRule="exact"/>
        <w:rPr>
          <w:rFonts w:ascii="MS PGothic" w:cs="MS PGothic" w:eastAsia="MS PGothic" w:hAnsi="MS PGothic"/>
          <w:sz w:val="35"/>
          <w:szCs w:val="35"/>
          <w:color w:val="auto"/>
          <w:highlight w:val="black"/>
          <w:vertAlign w:val="subscript"/>
        </w:rPr>
      </w:pPr>
    </w:p>
    <w:p>
      <w:pPr>
        <w:ind w:left="560"/>
        <w:spacing w:after="0"/>
        <w:rPr>
          <w:rFonts w:ascii="MS PGothic" w:cs="MS PGothic" w:eastAsia="MS PGothic" w:hAnsi="MS PGothic"/>
          <w:sz w:val="35"/>
          <w:szCs w:val="35"/>
          <w:color w:val="auto"/>
          <w:highlight w:val="black"/>
          <w:vertAlign w:val="subscript"/>
        </w:rPr>
      </w:pPr>
      <w:r>
        <w:rPr>
          <w:rFonts w:ascii="Calibri" w:cs="Calibri" w:eastAsia="Calibri" w:hAnsi="Calibri"/>
          <w:sz w:val="18"/>
          <w:szCs w:val="18"/>
          <w:b w:val="1"/>
          <w:bCs w:val="1"/>
          <w:i w:val="1"/>
          <w:iCs w:val="1"/>
          <w:color w:val="auto"/>
        </w:rPr>
        <w:t xml:space="preserve">Retain an Independent Compensaton Consultant. </w:t>
      </w:r>
      <w:r>
        <w:rPr>
          <w:rFonts w:ascii="Calibri" w:cs="Calibri" w:eastAsia="Calibri" w:hAnsi="Calibri"/>
          <w:sz w:val="18"/>
          <w:szCs w:val="18"/>
          <w:color w:val="auto"/>
        </w:rPr>
        <w:t>The Compensaton Commitee retains its own compensaton consultant to provide informaton,</w:t>
      </w:r>
    </w:p>
    <w:p>
      <w:pPr>
        <w:ind w:left="560" w:hanging="404"/>
        <w:spacing w:after="0" w:line="183" w:lineRule="auto"/>
        <w:tabs>
          <w:tab w:leader="none" w:pos="560" w:val="left"/>
        </w:tabs>
        <w:numPr>
          <w:ilvl w:val="0"/>
          <w:numId w:val="28"/>
        </w:numPr>
        <w:rPr>
          <w:rFonts w:ascii="MS PGothic" w:cs="MS PGothic" w:eastAsia="MS PGothic" w:hAnsi="MS PGothic"/>
          <w:sz w:val="28"/>
          <w:szCs w:val="28"/>
          <w:color w:val="auto"/>
          <w:highlight w:val="black"/>
        </w:rPr>
      </w:pPr>
      <w:r>
        <w:rPr>
          <w:rFonts w:ascii="Calibri" w:cs="Calibri" w:eastAsia="Calibri" w:hAnsi="Calibri"/>
          <w:sz w:val="17"/>
          <w:szCs w:val="17"/>
          <w:color w:val="auto"/>
        </w:rPr>
        <w:t>analysis, and other advice on executve compensaton maters independent of management. This consultant performed no other consultng or other services for us in fscal 2022.</w:t>
      </w:r>
    </w:p>
    <w:p>
      <w:pPr>
        <w:spacing w:after="0" w:line="38" w:lineRule="exact"/>
        <w:rPr>
          <w:rFonts w:ascii="MS PGothic" w:cs="MS PGothic" w:eastAsia="MS PGothic" w:hAnsi="MS PGothic"/>
          <w:sz w:val="28"/>
          <w:szCs w:val="28"/>
          <w:color w:val="auto"/>
          <w:highlight w:val="black"/>
        </w:rPr>
      </w:pPr>
    </w:p>
    <w:p>
      <w:pPr>
        <w:ind w:left="560"/>
        <w:spacing w:after="0"/>
        <w:rPr>
          <w:rFonts w:ascii="MS PGothic" w:cs="MS PGothic" w:eastAsia="MS PGothic" w:hAnsi="MS PGothic"/>
          <w:sz w:val="28"/>
          <w:szCs w:val="28"/>
          <w:color w:val="auto"/>
          <w:highlight w:val="black"/>
        </w:rPr>
      </w:pPr>
      <w:r>
        <w:rPr>
          <w:rFonts w:ascii="Calibri" w:cs="Calibri" w:eastAsia="Calibri" w:hAnsi="Calibri"/>
          <w:sz w:val="18"/>
          <w:szCs w:val="18"/>
          <w:b w:val="1"/>
          <w:bCs w:val="1"/>
          <w:i w:val="1"/>
          <w:iCs w:val="1"/>
          <w:color w:val="auto"/>
        </w:rPr>
        <w:t xml:space="preserve">Conduct an Annual Executve Compensaton Review. </w:t>
      </w:r>
      <w:r>
        <w:rPr>
          <w:rFonts w:ascii="Calibri" w:cs="Calibri" w:eastAsia="Calibri" w:hAnsi="Calibri"/>
          <w:sz w:val="18"/>
          <w:szCs w:val="18"/>
          <w:color w:val="auto"/>
        </w:rPr>
        <w:t>The Compensaton Commitee reviews and approves our executve compensaton strategy at</w:t>
      </w:r>
    </w:p>
    <w:p>
      <w:pPr>
        <w:jc w:val="both"/>
        <w:ind w:left="560" w:hanging="404"/>
        <w:spacing w:after="0" w:line="182" w:lineRule="auto"/>
        <w:tabs>
          <w:tab w:leader="none" w:pos="560" w:val="left"/>
        </w:tabs>
        <w:numPr>
          <w:ilvl w:val="0"/>
          <w:numId w:val="28"/>
        </w:numPr>
        <w:rPr>
          <w:rFonts w:ascii="MS PGothic" w:cs="MS PGothic" w:eastAsia="MS PGothic" w:hAnsi="MS PGothic"/>
          <w:sz w:val="38"/>
          <w:szCs w:val="38"/>
          <w:color w:val="auto"/>
          <w:highlight w:val="black"/>
          <w:vertAlign w:val="subscript"/>
        </w:rPr>
      </w:pPr>
      <w:r>
        <w:rPr>
          <w:rFonts w:ascii="Calibri" w:cs="Calibri" w:eastAsia="Calibri" w:hAnsi="Calibri"/>
          <w:sz w:val="15"/>
          <w:szCs w:val="15"/>
          <w:color w:val="auto"/>
        </w:rPr>
        <w:t>least annually. This assessment includes a review and determinaton of our compensaton peer group used for comparatve purposes. The assessment also includes a review of our compensaton-related risk profle to ensure that our compensaton program does not encourage excessive or inappropriate risk-taking and that the level of risk that it does encourage is not reasonably likely to have a material adverse efect on us.</w:t>
      </w:r>
    </w:p>
    <w:p>
      <w:pPr>
        <w:spacing w:after="0" w:line="37" w:lineRule="exact"/>
        <w:rPr>
          <w:rFonts w:ascii="MS PGothic" w:cs="MS PGothic" w:eastAsia="MS PGothic" w:hAnsi="MS PGothic"/>
          <w:sz w:val="38"/>
          <w:szCs w:val="38"/>
          <w:color w:val="auto"/>
          <w:highlight w:val="black"/>
          <w:vertAlign w:val="subscript"/>
        </w:rPr>
      </w:pPr>
    </w:p>
    <w:p>
      <w:pPr>
        <w:ind w:left="560"/>
        <w:spacing w:after="0"/>
        <w:rPr>
          <w:rFonts w:ascii="MS PGothic" w:cs="MS PGothic" w:eastAsia="MS PGothic" w:hAnsi="MS PGothic"/>
          <w:sz w:val="38"/>
          <w:szCs w:val="38"/>
          <w:color w:val="auto"/>
          <w:highlight w:val="black"/>
          <w:vertAlign w:val="subscript"/>
        </w:rPr>
      </w:pPr>
      <w:r>
        <w:rPr>
          <w:rFonts w:ascii="Calibri" w:cs="Calibri" w:eastAsia="Calibri" w:hAnsi="Calibri"/>
          <w:sz w:val="18"/>
          <w:szCs w:val="18"/>
          <w:b w:val="1"/>
          <w:bCs w:val="1"/>
          <w:i w:val="1"/>
          <w:iCs w:val="1"/>
          <w:color w:val="auto"/>
        </w:rPr>
        <w:t xml:space="preserve">Signifcant Porton of Target Total Direct Compensaton “At-Risk”. </w:t>
      </w:r>
      <w:r>
        <w:rPr>
          <w:rFonts w:ascii="Calibri" w:cs="Calibri" w:eastAsia="Calibri" w:hAnsi="Calibri"/>
          <w:sz w:val="18"/>
          <w:szCs w:val="18"/>
          <w:color w:val="auto"/>
        </w:rPr>
        <w:t>A signifcant porton of our named executve ofcers’ target annual total direct</w:t>
      </w:r>
    </w:p>
    <w:p>
      <w:pPr>
        <w:ind w:left="560" w:hanging="404"/>
        <w:spacing w:after="0" w:line="183" w:lineRule="auto"/>
        <w:tabs>
          <w:tab w:leader="none" w:pos="560" w:val="left"/>
        </w:tabs>
        <w:numPr>
          <w:ilvl w:val="0"/>
          <w:numId w:val="28"/>
        </w:numPr>
        <w:rPr>
          <w:rFonts w:ascii="MS PGothic" w:cs="MS PGothic" w:eastAsia="MS PGothic" w:hAnsi="MS PGothic"/>
          <w:sz w:val="28"/>
          <w:szCs w:val="28"/>
          <w:color w:val="auto"/>
          <w:highlight w:val="black"/>
        </w:rPr>
      </w:pPr>
      <w:r>
        <w:rPr>
          <w:rFonts w:ascii="Calibri" w:cs="Calibri" w:eastAsia="Calibri" w:hAnsi="Calibri"/>
          <w:sz w:val="17"/>
          <w:szCs w:val="17"/>
          <w:color w:val="auto"/>
        </w:rPr>
        <w:t>compensaton is “at risk” based on our fnancial, operatonal, and strategic results and our stock price performance to align the interests of our named executve ofcers with those of our stockholders.</w:t>
      </w:r>
    </w:p>
    <w:p>
      <w:pPr>
        <w:spacing w:after="0" w:line="43" w:lineRule="exact"/>
        <w:rPr>
          <w:rFonts w:ascii="MS PGothic" w:cs="MS PGothic" w:eastAsia="MS PGothic" w:hAnsi="MS PGothic"/>
          <w:sz w:val="28"/>
          <w:szCs w:val="28"/>
          <w:color w:val="auto"/>
          <w:highlight w:val="black"/>
        </w:rPr>
      </w:pPr>
    </w:p>
    <w:p>
      <w:pPr>
        <w:ind w:left="560" w:hanging="404"/>
        <w:spacing w:after="0" w:line="181" w:lineRule="auto"/>
        <w:tabs>
          <w:tab w:leader="none" w:pos="560" w:val="left"/>
        </w:tabs>
        <w:numPr>
          <w:ilvl w:val="0"/>
          <w:numId w:val="28"/>
        </w:numPr>
        <w:rPr>
          <w:rFonts w:ascii="MS PGothic" w:cs="MS PGothic" w:eastAsia="MS PGothic" w:hAnsi="MS PGothic"/>
          <w:sz w:val="35"/>
          <w:szCs w:val="35"/>
          <w:color w:val="auto"/>
          <w:highlight w:val="black"/>
          <w:vertAlign w:val="subscript"/>
        </w:rPr>
      </w:pPr>
      <w:r>
        <w:rPr>
          <w:rFonts w:ascii="Calibri" w:cs="Calibri" w:eastAsia="Calibri" w:hAnsi="Calibri"/>
          <w:sz w:val="15"/>
          <w:szCs w:val="15"/>
          <w:b w:val="1"/>
          <w:bCs w:val="1"/>
          <w:i w:val="1"/>
          <w:iCs w:val="1"/>
          <w:color w:val="auto"/>
        </w:rPr>
        <w:t xml:space="preserve">Establish Mult-Year Vestng Requirements. </w:t>
      </w:r>
      <w:r>
        <w:rPr>
          <w:rFonts w:ascii="Calibri" w:cs="Calibri" w:eastAsia="Calibri" w:hAnsi="Calibri"/>
          <w:sz w:val="15"/>
          <w:szCs w:val="15"/>
          <w:color w:val="auto"/>
        </w:rPr>
        <w:t>The equity awards granted to our named executve ofcers vest or, in the case of our CEO, are earned,</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over mult-year periods, consistent with current market practce and our retenton objectves.</w:t>
      </w:r>
    </w:p>
    <w:p>
      <w:pPr>
        <w:spacing w:after="0" w:line="38" w:lineRule="exact"/>
        <w:rPr>
          <w:rFonts w:ascii="MS PGothic" w:cs="MS PGothic" w:eastAsia="MS PGothic" w:hAnsi="MS PGothic"/>
          <w:sz w:val="35"/>
          <w:szCs w:val="35"/>
          <w:color w:val="auto"/>
          <w:highlight w:val="black"/>
          <w:vertAlign w:val="subscript"/>
        </w:rPr>
      </w:pPr>
    </w:p>
    <w:p>
      <w:pPr>
        <w:ind w:left="560"/>
        <w:spacing w:after="0"/>
        <w:rPr>
          <w:rFonts w:ascii="MS PGothic" w:cs="MS PGothic" w:eastAsia="MS PGothic" w:hAnsi="MS PGothic"/>
          <w:sz w:val="35"/>
          <w:szCs w:val="35"/>
          <w:color w:val="auto"/>
          <w:highlight w:val="black"/>
          <w:vertAlign w:val="subscript"/>
        </w:rPr>
      </w:pPr>
      <w:r>
        <w:rPr>
          <w:rFonts w:ascii="Calibri" w:cs="Calibri" w:eastAsia="Calibri" w:hAnsi="Calibri"/>
          <w:sz w:val="18"/>
          <w:szCs w:val="18"/>
          <w:b w:val="1"/>
          <w:bCs w:val="1"/>
          <w:i w:val="1"/>
          <w:iCs w:val="1"/>
          <w:color w:val="auto"/>
        </w:rPr>
        <w:t xml:space="preserve">Maintain “Double-Trigger” Change in Control Arrangements. </w:t>
      </w:r>
      <w:r>
        <w:rPr>
          <w:rFonts w:ascii="Calibri" w:cs="Calibri" w:eastAsia="Calibri" w:hAnsi="Calibri"/>
          <w:sz w:val="18"/>
          <w:szCs w:val="18"/>
          <w:color w:val="auto"/>
        </w:rPr>
        <w:t>All payments and other benefts that our named executve ofcers may be eligible to</w:t>
      </w:r>
    </w:p>
    <w:p>
      <w:pPr>
        <w:jc w:val="both"/>
        <w:ind w:left="560" w:hanging="404"/>
        <w:spacing w:after="0" w:line="182" w:lineRule="auto"/>
        <w:tabs>
          <w:tab w:leader="none" w:pos="560" w:val="left"/>
        </w:tabs>
        <w:numPr>
          <w:ilvl w:val="0"/>
          <w:numId w:val="28"/>
        </w:numPr>
        <w:rPr>
          <w:rFonts w:ascii="MS PGothic" w:cs="MS PGothic" w:eastAsia="MS PGothic" w:hAnsi="MS PGothic"/>
          <w:sz w:val="38"/>
          <w:szCs w:val="38"/>
          <w:color w:val="auto"/>
          <w:highlight w:val="black"/>
          <w:vertAlign w:val="subscript"/>
        </w:rPr>
      </w:pPr>
      <w:r>
        <w:rPr>
          <w:rFonts w:ascii="Calibri" w:cs="Calibri" w:eastAsia="Calibri" w:hAnsi="Calibri"/>
          <w:sz w:val="15"/>
          <w:szCs w:val="15"/>
          <w:color w:val="auto"/>
        </w:rPr>
        <w:t>receive under our Ofcer Severance Plan in the event of a change in control of the Company are “double-trigger” arrangements (requiring both a change in control of the Company plus a qualifying terminaton of employment before payments and benefts are paid). All such payments and benefts are subject to the executon and delivery of an efectve general release of claims in favor of the Company.</w:t>
      </w:r>
    </w:p>
    <w:p>
      <w:pPr>
        <w:spacing w:after="0" w:line="42" w:lineRule="exact"/>
        <w:rPr>
          <w:rFonts w:ascii="MS PGothic" w:cs="MS PGothic" w:eastAsia="MS PGothic" w:hAnsi="MS PGothic"/>
          <w:sz w:val="38"/>
          <w:szCs w:val="38"/>
          <w:color w:val="auto"/>
          <w:highlight w:val="black"/>
          <w:vertAlign w:val="subscript"/>
        </w:rPr>
      </w:pPr>
    </w:p>
    <w:p>
      <w:pPr>
        <w:ind w:left="560" w:hanging="404"/>
        <w:spacing w:after="0" w:line="181" w:lineRule="auto"/>
        <w:tabs>
          <w:tab w:leader="none" w:pos="560" w:val="left"/>
        </w:tabs>
        <w:numPr>
          <w:ilvl w:val="0"/>
          <w:numId w:val="28"/>
        </w:numPr>
        <w:rPr>
          <w:rFonts w:ascii="MS PGothic" w:cs="MS PGothic" w:eastAsia="MS PGothic" w:hAnsi="MS PGothic"/>
          <w:sz w:val="35"/>
          <w:szCs w:val="35"/>
          <w:color w:val="auto"/>
          <w:highlight w:val="black"/>
          <w:vertAlign w:val="subscript"/>
        </w:rPr>
      </w:pPr>
      <w:r>
        <w:rPr>
          <w:rFonts w:ascii="Calibri" w:cs="Calibri" w:eastAsia="Calibri" w:hAnsi="Calibri"/>
          <w:sz w:val="15"/>
          <w:szCs w:val="15"/>
          <w:b w:val="1"/>
          <w:bCs w:val="1"/>
          <w:i w:val="1"/>
          <w:iCs w:val="1"/>
          <w:color w:val="auto"/>
        </w:rPr>
        <w:t xml:space="preserve">Provide Only Nominal Cash Compensaton to Our CEO. </w:t>
      </w:r>
      <w:r>
        <w:rPr>
          <w:rFonts w:ascii="Calibri" w:cs="Calibri" w:eastAsia="Calibri" w:hAnsi="Calibri"/>
          <w:sz w:val="15"/>
          <w:szCs w:val="15"/>
          <w:color w:val="auto"/>
        </w:rPr>
        <w:t>Our CEO receives only a nominal cash base salary and does not partcipate in our annual cash</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incentve plan, making substantally all of his compensaton “at-risk” and performance based.</w:t>
      </w:r>
    </w:p>
    <w:p>
      <w:pPr>
        <w:spacing w:after="0" w:line="43" w:lineRule="exact"/>
        <w:rPr>
          <w:rFonts w:ascii="MS PGothic" w:cs="MS PGothic" w:eastAsia="MS PGothic" w:hAnsi="MS PGothic"/>
          <w:sz w:val="35"/>
          <w:szCs w:val="35"/>
          <w:color w:val="auto"/>
          <w:highlight w:val="black"/>
          <w:vertAlign w:val="subscript"/>
        </w:rPr>
      </w:pPr>
    </w:p>
    <w:p>
      <w:pPr>
        <w:ind w:left="560" w:hanging="404"/>
        <w:spacing w:after="0" w:line="181" w:lineRule="auto"/>
        <w:tabs>
          <w:tab w:leader="none" w:pos="560" w:val="left"/>
        </w:tabs>
        <w:numPr>
          <w:ilvl w:val="0"/>
          <w:numId w:val="28"/>
        </w:numPr>
        <w:rPr>
          <w:rFonts w:ascii="MS PGothic" w:cs="MS PGothic" w:eastAsia="MS PGothic" w:hAnsi="MS PGothic"/>
          <w:sz w:val="35"/>
          <w:szCs w:val="35"/>
          <w:color w:val="auto"/>
          <w:highlight w:val="black"/>
          <w:vertAlign w:val="subscript"/>
        </w:rPr>
      </w:pPr>
      <w:r>
        <w:rPr>
          <w:rFonts w:ascii="Calibri" w:cs="Calibri" w:eastAsia="Calibri" w:hAnsi="Calibri"/>
          <w:sz w:val="15"/>
          <w:szCs w:val="15"/>
          <w:b w:val="1"/>
          <w:bCs w:val="1"/>
          <w:i w:val="1"/>
          <w:iCs w:val="1"/>
          <w:color w:val="auto"/>
        </w:rPr>
        <w:t xml:space="preserve">Conduct Succession Planning. </w:t>
      </w:r>
      <w:r>
        <w:rPr>
          <w:rFonts w:ascii="Calibri" w:cs="Calibri" w:eastAsia="Calibri" w:hAnsi="Calibri"/>
          <w:sz w:val="15"/>
          <w:szCs w:val="15"/>
          <w:color w:val="auto"/>
        </w:rPr>
        <w:t>We review the risks associated with our key executve ofcer positons in order to develop and implement appropriate</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succession plans for our most critcal 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23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23430" cy="291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-1346200</wp:posOffset>
            </wp:positionV>
            <wp:extent cx="712343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123430" cy="531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343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-2957830</wp:posOffset>
            </wp:positionV>
            <wp:extent cx="712343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38100</wp:posOffset>
            </wp:positionV>
            <wp:extent cx="6969125"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69125" cy="402590"/>
                    </a:xfrm>
                    <a:prstGeom prst="rect">
                      <a:avLst/>
                    </a:prstGeom>
                    <a:noFill/>
                  </pic:spPr>
                </pic:pic>
              </a:graphicData>
            </a:graphic>
          </wp:anchor>
        </w:drawing>
      </w:r>
    </w:p>
    <w:p>
      <w:pPr>
        <w:ind w:left="620"/>
        <w:spacing w:after="0" w:line="223" w:lineRule="auto"/>
        <w:rPr>
          <w:sz w:val="20"/>
          <w:szCs w:val="20"/>
          <w:color w:val="auto"/>
        </w:rPr>
      </w:pPr>
      <w:r>
        <w:rPr>
          <w:rFonts w:ascii="Calibri" w:cs="Calibri" w:eastAsia="Calibri" w:hAnsi="Calibri"/>
          <w:sz w:val="18"/>
          <w:szCs w:val="18"/>
          <w:b w:val="1"/>
          <w:bCs w:val="1"/>
          <w:i w:val="1"/>
          <w:iCs w:val="1"/>
          <w:color w:val="auto"/>
        </w:rPr>
        <w:t xml:space="preserve">No Executve Retrement Plans. </w:t>
      </w:r>
      <w:r>
        <w:rPr>
          <w:rFonts w:ascii="Calibri" w:cs="Calibri" w:eastAsia="Calibri" w:hAnsi="Calibri"/>
          <w:sz w:val="18"/>
          <w:szCs w:val="18"/>
          <w:color w:val="auto"/>
        </w:rPr>
        <w:t>We do not currently ofer defned beneft pension plans or any non-qualifed deferred compensaton plans or</w:t>
      </w:r>
    </w:p>
    <w:p>
      <w:pPr>
        <w:spacing w:after="0" w:line="49" w:lineRule="exact"/>
        <w:rPr>
          <w:sz w:val="20"/>
          <w:szCs w:val="20"/>
          <w:color w:val="auto"/>
        </w:rPr>
      </w:pPr>
    </w:p>
    <w:p>
      <w:pPr>
        <w:ind w:left="620" w:right="120" w:hanging="342"/>
        <w:spacing w:after="0" w:line="183" w:lineRule="auto"/>
        <w:tabs>
          <w:tab w:leader="none" w:pos="620" w:val="left"/>
        </w:tabs>
        <w:numPr>
          <w:ilvl w:val="0"/>
          <w:numId w:val="29"/>
        </w:numPr>
        <w:rPr>
          <w:rFonts w:ascii="Arial" w:cs="Arial" w:eastAsia="Arial" w:hAnsi="Arial"/>
          <w:sz w:val="28"/>
          <w:szCs w:val="28"/>
          <w:b w:val="1"/>
          <w:bCs w:val="1"/>
          <w:color w:val="auto"/>
        </w:rPr>
      </w:pPr>
      <w:r>
        <w:rPr>
          <w:rFonts w:ascii="Calibri" w:cs="Calibri" w:eastAsia="Calibri" w:hAnsi="Calibri"/>
          <w:sz w:val="17"/>
          <w:szCs w:val="17"/>
          <w:color w:val="auto"/>
        </w:rPr>
        <w:t>arrangements to our named executve ofcers. Our named executve ofcers are eligible to partcipate in our 401(k) retrement plan on the same basis as our other employees.</w:t>
      </w:r>
    </w:p>
    <w:p>
      <w:pPr>
        <w:spacing w:after="0" w:line="85" w:lineRule="exact"/>
        <w:rPr>
          <w:rFonts w:ascii="Arial" w:cs="Arial" w:eastAsia="Arial" w:hAnsi="Arial"/>
          <w:sz w:val="28"/>
          <w:szCs w:val="28"/>
          <w:b w:val="1"/>
          <w:bCs w:val="1"/>
          <w:color w:val="auto"/>
        </w:rPr>
      </w:pPr>
    </w:p>
    <w:p>
      <w:pPr>
        <w:ind w:left="620" w:hanging="342"/>
        <w:spacing w:after="0"/>
        <w:tabs>
          <w:tab w:leader="none" w:pos="620" w:val="left"/>
        </w:tabs>
        <w:numPr>
          <w:ilvl w:val="0"/>
          <w:numId w:val="29"/>
        </w:numPr>
        <w:rPr>
          <w:rFonts w:ascii="Arial" w:cs="Arial" w:eastAsia="Arial" w:hAnsi="Arial"/>
          <w:sz w:val="29"/>
          <w:szCs w:val="29"/>
          <w:b w:val="1"/>
          <w:bCs w:val="1"/>
          <w:color w:val="auto"/>
        </w:rPr>
      </w:pPr>
      <w:r>
        <w:rPr>
          <w:rFonts w:ascii="Calibri" w:cs="Calibri" w:eastAsia="Calibri" w:hAnsi="Calibri"/>
          <w:sz w:val="18"/>
          <w:szCs w:val="18"/>
          <w:b w:val="1"/>
          <w:bCs w:val="1"/>
          <w:i w:val="1"/>
          <w:iCs w:val="1"/>
          <w:color w:val="auto"/>
        </w:rPr>
        <w:t xml:space="preserve">Limited Perquisites. </w:t>
      </w:r>
      <w:r>
        <w:rPr>
          <w:rFonts w:ascii="Calibri" w:cs="Calibri" w:eastAsia="Calibri" w:hAnsi="Calibri"/>
          <w:sz w:val="18"/>
          <w:szCs w:val="18"/>
          <w:color w:val="auto"/>
        </w:rPr>
        <w:t>Perquisites or other personal benefts are not a signifcant part of our compensaton program for our named executve ofcers.</w:t>
      </w:r>
    </w:p>
    <w:p>
      <w:pPr>
        <w:spacing w:after="0" w:line="41" w:lineRule="exact"/>
        <w:rPr>
          <w:rFonts w:ascii="Arial" w:cs="Arial" w:eastAsia="Arial" w:hAnsi="Arial"/>
          <w:sz w:val="29"/>
          <w:szCs w:val="29"/>
          <w:b w:val="1"/>
          <w:bCs w:val="1"/>
          <w:color w:val="auto"/>
        </w:rPr>
      </w:pPr>
    </w:p>
    <w:p>
      <w:pPr>
        <w:ind w:left="620" w:right="120" w:hanging="342"/>
        <w:spacing w:after="0" w:line="183" w:lineRule="auto"/>
        <w:tabs>
          <w:tab w:leader="none" w:pos="620" w:val="left"/>
        </w:tabs>
        <w:numPr>
          <w:ilvl w:val="0"/>
          <w:numId w:val="29"/>
        </w:numPr>
        <w:rPr>
          <w:rFonts w:ascii="Arial" w:cs="Arial" w:eastAsia="Arial" w:hAnsi="Arial"/>
          <w:sz w:val="31"/>
          <w:szCs w:val="31"/>
          <w:b w:val="1"/>
          <w:bCs w:val="1"/>
          <w:color w:val="auto"/>
          <w:vertAlign w:val="subscript"/>
        </w:rPr>
      </w:pPr>
      <w:r>
        <w:rPr>
          <w:rFonts w:ascii="Calibri" w:cs="Calibri" w:eastAsia="Calibri" w:hAnsi="Calibri"/>
          <w:sz w:val="14"/>
          <w:szCs w:val="14"/>
          <w:b w:val="1"/>
          <w:bCs w:val="1"/>
          <w:i w:val="1"/>
          <w:iCs w:val="1"/>
          <w:color w:val="auto"/>
        </w:rPr>
        <w:t xml:space="preserve">No Excise Tax Payments on Future Post-Employment Compensaton Arrangements. </w:t>
      </w:r>
      <w:r>
        <w:rPr>
          <w:rFonts w:ascii="Calibri" w:cs="Calibri" w:eastAsia="Calibri" w:hAnsi="Calibri"/>
          <w:sz w:val="14"/>
          <w:szCs w:val="14"/>
          <w:color w:val="auto"/>
        </w:rPr>
        <w:t>We do not provide our named executve ofcers with excise</w:t>
      </w:r>
      <w:r>
        <w:rPr>
          <w:rFonts w:ascii="Calibri" w:cs="Calibri" w:eastAsia="Calibri" w:hAnsi="Calibri"/>
          <w:sz w:val="14"/>
          <w:szCs w:val="14"/>
          <w:b w:val="1"/>
          <w:bCs w:val="1"/>
          <w:i w:val="1"/>
          <w:iCs w:val="1"/>
          <w:color w:val="auto"/>
        </w:rPr>
        <w:t xml:space="preserve"> </w:t>
      </w:r>
      <w:r>
        <w:rPr>
          <w:rFonts w:ascii="Calibri" w:cs="Calibri" w:eastAsia="Calibri" w:hAnsi="Calibri"/>
          <w:sz w:val="14"/>
          <w:szCs w:val="14"/>
          <w:color w:val="auto"/>
        </w:rPr>
        <w:t>tax reimbursement payments (including “gross-ups”) on payments or benefts contngent upon a change in control of the Company.</w:t>
      </w:r>
    </w:p>
    <w:p>
      <w:pPr>
        <w:spacing w:after="0" w:line="43" w:lineRule="exact"/>
        <w:rPr>
          <w:rFonts w:ascii="Arial" w:cs="Arial" w:eastAsia="Arial" w:hAnsi="Arial"/>
          <w:sz w:val="31"/>
          <w:szCs w:val="31"/>
          <w:b w:val="1"/>
          <w:bCs w:val="1"/>
          <w:color w:val="auto"/>
          <w:vertAlign w:val="subscript"/>
        </w:rPr>
      </w:pPr>
    </w:p>
    <w:p>
      <w:pPr>
        <w:ind w:left="620" w:right="100" w:hanging="342"/>
        <w:spacing w:after="0" w:line="183" w:lineRule="auto"/>
        <w:tabs>
          <w:tab w:leader="none" w:pos="620" w:val="left"/>
        </w:tabs>
        <w:numPr>
          <w:ilvl w:val="0"/>
          <w:numId w:val="29"/>
        </w:numPr>
        <w:rPr>
          <w:rFonts w:ascii="Arial" w:cs="Arial" w:eastAsia="Arial" w:hAnsi="Arial"/>
          <w:sz w:val="31"/>
          <w:szCs w:val="31"/>
          <w:b w:val="1"/>
          <w:bCs w:val="1"/>
          <w:color w:val="auto"/>
          <w:vertAlign w:val="subscript"/>
        </w:rPr>
      </w:pPr>
      <w:r>
        <w:rPr>
          <w:rFonts w:ascii="Calibri" w:cs="Calibri" w:eastAsia="Calibri" w:hAnsi="Calibri"/>
          <w:sz w:val="14"/>
          <w:szCs w:val="14"/>
          <w:b w:val="1"/>
          <w:bCs w:val="1"/>
          <w:i w:val="1"/>
          <w:iCs w:val="1"/>
          <w:color w:val="auto"/>
        </w:rPr>
        <w:t xml:space="preserve">No Special Health or Welfare Benefts. </w:t>
      </w:r>
      <w:r>
        <w:rPr>
          <w:rFonts w:ascii="Calibri" w:cs="Calibri" w:eastAsia="Calibri" w:hAnsi="Calibri"/>
          <w:sz w:val="14"/>
          <w:szCs w:val="14"/>
          <w:color w:val="auto"/>
        </w:rPr>
        <w:t>We do not provide our named executve ofcers with any health or welfare beneft programs, other than</w:t>
      </w:r>
      <w:r>
        <w:rPr>
          <w:rFonts w:ascii="Calibri" w:cs="Calibri" w:eastAsia="Calibri" w:hAnsi="Calibri"/>
          <w:sz w:val="14"/>
          <w:szCs w:val="14"/>
          <w:b w:val="1"/>
          <w:bCs w:val="1"/>
          <w:i w:val="1"/>
          <w:iCs w:val="1"/>
          <w:color w:val="auto"/>
        </w:rPr>
        <w:t xml:space="preserve"> </w:t>
      </w:r>
      <w:r>
        <w:rPr>
          <w:rFonts w:ascii="Calibri" w:cs="Calibri" w:eastAsia="Calibri" w:hAnsi="Calibri"/>
          <w:sz w:val="14"/>
          <w:szCs w:val="14"/>
          <w:color w:val="auto"/>
        </w:rPr>
        <w:t>partcipaton in our broad-based employee programs on the same basis as our other full-tme,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24765</wp:posOffset>
            </wp:positionV>
            <wp:extent cx="6969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-540385</wp:posOffset>
            </wp:positionV>
            <wp:extent cx="696912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69125" cy="29146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-806450</wp:posOffset>
            </wp:positionV>
            <wp:extent cx="6969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9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23</w:t>
      </w:r>
    </w:p>
    <w:p>
      <w:pPr>
        <w:sectPr>
          <w:pgSz w:w="11900" w:h="16838" w:orient="portrait"/>
          <w:cols w:equalWidth="0" w:num="1">
            <w:col w:w="11200"/>
          </w:cols>
          <w:pgMar w:left="320" w:top="1440" w:right="379" w:bottom="1440" w:gutter="0" w:footer="0" w:header="0"/>
          <w:type w:val="continuous"/>
        </w:sectPr>
      </w:pPr>
    </w:p>
    <w:bookmarkStart w:id="27" w:name="page28"/>
    <w:bookmarkEnd w:id="2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929005</wp:posOffset>
            </wp:positionV>
            <wp:extent cx="6969125" cy="497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9125" cy="497205"/>
                    </a:xfrm>
                    <a:prstGeom prst="rect">
                      <a:avLst/>
                    </a:prstGeom>
                    <a:noFill/>
                  </pic:spPr>
                </pic:pic>
              </a:graphicData>
            </a:graphic>
          </wp:anchor>
        </w:drawing>
      </w:r>
    </w:p>
    <w:p>
      <w:pPr>
        <w:ind w:left="620"/>
        <w:spacing w:after="0"/>
        <w:rPr>
          <w:sz w:val="20"/>
          <w:szCs w:val="20"/>
          <w:color w:val="auto"/>
        </w:rPr>
      </w:pPr>
      <w:r>
        <w:rPr>
          <w:rFonts w:ascii="Calibri" w:cs="Calibri" w:eastAsia="Calibri" w:hAnsi="Calibri"/>
          <w:sz w:val="17"/>
          <w:szCs w:val="17"/>
          <w:b w:val="1"/>
          <w:bCs w:val="1"/>
          <w:i w:val="1"/>
          <w:iCs w:val="1"/>
          <w:color w:val="auto"/>
        </w:rPr>
        <w:t xml:space="preserve">No Hedging of Company Stock. </w:t>
      </w:r>
      <w:r>
        <w:rPr>
          <w:rFonts w:ascii="Calibri" w:cs="Calibri" w:eastAsia="Calibri" w:hAnsi="Calibri"/>
          <w:sz w:val="17"/>
          <w:szCs w:val="17"/>
          <w:color w:val="auto"/>
        </w:rPr>
        <w:t>Under our Insider Trading Policy, our employees, including our named executve ofcers, and the members of our</w:t>
      </w:r>
    </w:p>
    <w:p>
      <w:pPr>
        <w:jc w:val="both"/>
        <w:ind w:left="620" w:right="40" w:hanging="342"/>
        <w:spacing w:after="0" w:line="181" w:lineRule="auto"/>
        <w:tabs>
          <w:tab w:leader="none" w:pos="620" w:val="left"/>
        </w:tabs>
        <w:numPr>
          <w:ilvl w:val="0"/>
          <w:numId w:val="30"/>
        </w:numPr>
        <w:rPr>
          <w:rFonts w:ascii="Arial" w:cs="Arial" w:eastAsia="Arial" w:hAnsi="Arial"/>
          <w:sz w:val="46"/>
          <w:szCs w:val="46"/>
          <w:b w:val="1"/>
          <w:bCs w:val="1"/>
          <w:color w:val="auto"/>
          <w:vertAlign w:val="subscript"/>
        </w:rPr>
      </w:pPr>
      <w:r>
        <w:rPr>
          <w:rFonts w:ascii="Calibri" w:cs="Calibri" w:eastAsia="Calibri" w:hAnsi="Calibri"/>
          <w:sz w:val="16"/>
          <w:szCs w:val="16"/>
          <w:color w:val="auto"/>
        </w:rPr>
        <w:t>Board are prohibited from making short sales and engaging in transactons in publicly traded optons, warrants, puts and calls or similar instruments with respect to our securites. This includes any hedging or similar transacton designed to decrease the risks associated with holding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15875</wp:posOffset>
            </wp:positionV>
            <wp:extent cx="6969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6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Executve Compensaton Philosophy and Objectves</w:t>
      </w: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executve compensaton program is guided by our overarching philosophy of paying for high and demonstrable performance. We strive to compensate our named executve ofcers in a manner that is compettve, rewards achievement of our business objectves, and aligns the interests of our named executve ofcers with those of our stockholders. Consistent with this philosophy, we have designed our executve compensaton program to achieve the following primary objectves:</w:t>
      </w:r>
    </w:p>
    <w:p>
      <w:pPr>
        <w:spacing w:after="0" w:line="73" w:lineRule="exact"/>
        <w:rPr>
          <w:sz w:val="20"/>
          <w:szCs w:val="20"/>
          <w:color w:val="auto"/>
        </w:rPr>
      </w:pPr>
    </w:p>
    <w:p>
      <w:pPr>
        <w:jc w:val="both"/>
        <w:ind w:left="340" w:hanging="251"/>
        <w:spacing w:after="0" w:line="235" w:lineRule="auto"/>
        <w:tabs>
          <w:tab w:leader="none" w:pos="33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provide market compettve compensaton and beneft levels that will atract, motvate, reward and retain our named executve ofcers within the context of responsible cost management;</w:t>
      </w:r>
    </w:p>
    <w:p>
      <w:pPr>
        <w:spacing w:after="0" w:line="70" w:lineRule="exact"/>
        <w:rPr>
          <w:rFonts w:ascii="Calibri" w:cs="Calibri" w:eastAsia="Calibri" w:hAnsi="Calibri"/>
          <w:sz w:val="18"/>
          <w:szCs w:val="18"/>
          <w:color w:val="auto"/>
        </w:rPr>
      </w:pPr>
    </w:p>
    <w:p>
      <w:pPr>
        <w:ind w:left="340" w:hanging="251"/>
        <w:spacing w:after="0" w:line="235" w:lineRule="auto"/>
        <w:tabs>
          <w:tab w:leader="none" w:pos="33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establish a direct link between our fnancial, operatonal and strategic objectves and the compensaton of our named executve ofcers;</w:t>
      </w:r>
    </w:p>
    <w:p>
      <w:pPr>
        <w:spacing w:after="0" w:line="64" w:lineRule="exact"/>
        <w:rPr>
          <w:rFonts w:ascii="Calibri" w:cs="Calibri" w:eastAsia="Calibri" w:hAnsi="Calibri"/>
          <w:sz w:val="18"/>
          <w:szCs w:val="18"/>
          <w:color w:val="auto"/>
        </w:rPr>
      </w:pPr>
    </w:p>
    <w:p>
      <w:pPr>
        <w:ind w:left="320" w:hanging="231"/>
        <w:spacing w:after="0"/>
        <w:tabs>
          <w:tab w:leader="none" w:pos="32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align the interests and objectves of our named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20"/>
        <w:spacing w:after="0" w:line="235" w:lineRule="auto"/>
        <w:rPr>
          <w:sz w:val="20"/>
          <w:szCs w:val="20"/>
          <w:color w:val="auto"/>
        </w:rPr>
      </w:pPr>
      <w:r>
        <w:rPr>
          <w:rFonts w:ascii="Calibri" w:cs="Calibri" w:eastAsia="Calibri" w:hAnsi="Calibri"/>
          <w:sz w:val="18"/>
          <w:szCs w:val="18"/>
          <w:color w:val="auto"/>
        </w:rPr>
        <w:t>executve ofcers with those of our stockholders by linking their long-term incentve compensaton opportunites to stockholder value creaton and their cash incentves to our annual performance; and</w:t>
      </w:r>
    </w:p>
    <w:p>
      <w:pPr>
        <w:spacing w:after="0" w:line="70" w:lineRule="exact"/>
        <w:rPr>
          <w:sz w:val="20"/>
          <w:szCs w:val="20"/>
          <w:color w:val="auto"/>
        </w:rPr>
      </w:pPr>
    </w:p>
    <w:p>
      <w:pPr>
        <w:ind w:left="320" w:hanging="244"/>
        <w:spacing w:after="0" w:line="235" w:lineRule="auto"/>
        <w:tabs>
          <w:tab w:leader="none" w:pos="313"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ofer total compensaton opportunites to our named executve ofcers that, while compettve, are internally consistent and fair.</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we structure the annual compensaton of our named executve ofcers using three principal elements: base salary, annual cash incentve opportunites, and long-term incentve compensaton opportunites in the form of equity awards. The design of our executve compensaton program is infuenced by a variety of factors, with the primary goals being to align the interests of our named executve ofcers and stockholders and to link pay with performance.</w:t>
      </w:r>
    </w:p>
    <w:p>
      <w:pPr>
        <w:spacing w:after="0" w:line="380" w:lineRule="exact"/>
        <w:rPr>
          <w:sz w:val="20"/>
          <w:szCs w:val="20"/>
          <w:color w:val="auto"/>
        </w:rPr>
      </w:pPr>
    </w:p>
    <w:p>
      <w:pPr>
        <w:sectPr>
          <w:pgSz w:w="11900" w:h="16838" w:orient="portrait"/>
          <w:cols w:equalWidth="0" w:num="2">
            <w:col w:w="5420" w:space="300"/>
            <w:col w:w="5400"/>
          </w:cols>
          <w:pgMar w:left="320" w:top="1440" w:right="45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Compensaton-Setng Process</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Role of the Compensaton Commitee</w:t>
      </w:r>
    </w:p>
    <w:p>
      <w:pPr>
        <w:spacing w:after="0" w:line="17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Compensaton Commitee discharges the responsibilites of our Board relatng to the compensaton of our executve ofcers (other than our CEO). The Compensaton Commitee has the overall responsibility for overseeing our compensaton and benefts policies generally, and overseeing, evaluatng and approving the compensaton plans, policies and practces applicable to our named executve ofcers (other than our CEO). The independent members of our Board discharge the responsibilites of our Board relatng to the compensaton of our CEO.</w:t>
      </w:r>
    </w:p>
    <w:p>
      <w:pPr>
        <w:spacing w:after="0" w:line="182"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carrying out its responsibilites, the Compensaton Commitee (or, in the case of our CEO, the independent directors) evaluates our compensaton policies and practces with a focus on the degree to which these policies and practces refect our executve compensaton philosophy. The Compensaton Commitee also develops strategies and makes decisions that it believes further our philosophy or align with best compensaton practces. The Compensaton Commitee reviews the performance of our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Setng Base Salaries and Long-Term Incentve Compensaton Opportunites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Compensaton Commitee reviews the 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named executve ofcers when making decisions with respect to their compensaton and recommendatons for the compensaton of our CEO.</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Commitee’s authority, dutes and responsibilites are further described in its charter, which is reviewed annually and revised and updated as warranted. The charter is available on the “</w:t>
      </w:r>
      <w:r>
        <w:rPr>
          <w:rFonts w:ascii="Calibri" w:cs="Calibri" w:eastAsia="Calibri" w:hAnsi="Calibri"/>
          <w:sz w:val="18"/>
          <w:szCs w:val="18"/>
          <w:i w:val="1"/>
          <w:iCs w:val="1"/>
          <w:color w:val="auto"/>
        </w:rPr>
        <w:t>Corporate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Governance</w:t>
      </w:r>
      <w:r>
        <w:rPr>
          <w:rFonts w:ascii="Calibri" w:cs="Calibri" w:eastAsia="Calibri" w:hAnsi="Calibri"/>
          <w:sz w:val="18"/>
          <w:szCs w:val="18"/>
          <w:color w:val="auto"/>
        </w:rPr>
        <w:t>” secton of our investor relatons website at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investors.afrm.com/corporate-governance/governance-overview.</w:t>
      </w: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retains a compensaton consultant (as described below) to provide support in the review and assessment of our executve compensaton program; however, the Compensaton Commitee (or, in the case of our CEO, the independent directors) exercises its own judgment in making fnal decisions with respect to the compensaton of our named executve ofcers.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color w:val="auto"/>
        </w:rPr>
        <w:t>levels and long-term incentve compensaton</w:t>
      </w:r>
    </w:p>
    <w:p>
      <w:pPr>
        <w:spacing w:after="0" w:line="200" w:lineRule="exact"/>
        <w:rPr>
          <w:sz w:val="20"/>
          <w:szCs w:val="20"/>
          <w:color w:val="auto"/>
        </w:rPr>
      </w:pPr>
    </w:p>
    <w:p>
      <w:pPr>
        <w:sectPr>
          <w:pgSz w:w="11900" w:h="16838" w:orient="portrait"/>
          <w:cols w:equalWidth="0" w:num="2">
            <w:col w:w="5460" w:space="260"/>
            <w:col w:w="5400"/>
          </w:cols>
          <w:pgMar w:left="32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24</w:t>
      </w:r>
    </w:p>
    <w:p>
      <w:pPr>
        <w:sectPr>
          <w:pgSz w:w="11900" w:h="16838" w:orient="portrait"/>
          <w:cols w:equalWidth="0" w:num="1">
            <w:col w:w="11120"/>
          </w:cols>
          <w:pgMar w:left="320" w:top="1440" w:right="459" w:bottom="1440" w:gutter="0" w:footer="0" w:header="0"/>
          <w:type w:val="continuous"/>
        </w:sectPr>
      </w:pPr>
    </w:p>
    <w:bookmarkStart w:id="28" w:name="page29"/>
    <w:bookmarkEnd w:id="28"/>
    <w:p>
      <w:pPr>
        <w:jc w:val="both"/>
        <w:spacing w:after="0" w:line="235" w:lineRule="auto"/>
        <w:rPr>
          <w:sz w:val="20"/>
          <w:szCs w:val="20"/>
          <w:color w:val="auto"/>
        </w:rPr>
      </w:pPr>
      <w:r>
        <w:rPr>
          <w:rFonts w:ascii="Calibri" w:cs="Calibri" w:eastAsia="Calibri" w:hAnsi="Calibri"/>
          <w:sz w:val="18"/>
          <w:szCs w:val="18"/>
          <w:color w:val="auto"/>
        </w:rPr>
        <w:t>opportunites of our named executve ofcers at the beginning of each calendar and fscal year, or more frequently as warranted. Adjustments are generally efectve at the beginning of the calendar or fscal year, as applicable.</w:t>
      </w:r>
    </w:p>
    <w:p>
      <w:pPr>
        <w:spacing w:after="0" w:line="17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Compensaton Commitee does not establish a specifc target for formulatng the base salaries and long-</w:t>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Calibri" w:cs="Calibri" w:eastAsia="Calibri" w:hAnsi="Calibri"/>
          <w:sz w:val="18"/>
          <w:szCs w:val="18"/>
          <w:color w:val="auto"/>
        </w:rPr>
        <w:t>term incentve opportunites of our named executve ofcers. In making decisions about the compensaton of our named executve ofcers (other than the compensaton of our CEO), the members of the Compensaton Commitee rely primarily on their general experience and subjectve consideratons of various factors, including the following:</w:t>
      </w:r>
    </w:p>
    <w:p>
      <w:pPr>
        <w:spacing w:after="0" w:line="594" w:lineRule="exact"/>
        <w:rPr>
          <w:sz w:val="20"/>
          <w:szCs w:val="20"/>
          <w:color w:val="auto"/>
        </w:rPr>
      </w:pPr>
    </w:p>
    <w:p>
      <w:pPr>
        <w:sectPr>
          <w:pgSz w:w="11900" w:h="16838" w:orient="portrait"/>
          <w:cols w:equalWidth="0" w:num="2">
            <w:col w:w="5420" w:space="300"/>
            <w:col w:w="5400"/>
          </w:cols>
          <w:pgMar w:left="320" w:top="1413" w:right="459" w:bottom="1440" w:gutter="0" w:footer="0" w:header="0"/>
        </w:sectPr>
      </w:pPr>
    </w:p>
    <w:p>
      <w:pPr>
        <w:spacing w:after="0" w:line="22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Factors Considered by the Compensaton Commitee in Determining Compensaton</w:t>
      </w:r>
    </w:p>
    <w:p>
      <w:pPr>
        <w:spacing w:after="0" w:line="37" w:lineRule="exact"/>
        <w:rPr>
          <w:sz w:val="20"/>
          <w:szCs w:val="20"/>
          <w:color w:val="auto"/>
        </w:rPr>
      </w:pPr>
    </w:p>
    <w:p>
      <w:pPr>
        <w:ind w:left="840" w:hanging="315"/>
        <w:spacing w:after="0"/>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executve compensaton program objectves</w:t>
      </w:r>
    </w:p>
    <w:p>
      <w:pPr>
        <w:spacing w:after="0" w:line="50" w:lineRule="exact"/>
        <w:rPr>
          <w:rFonts w:ascii="Calibri" w:cs="Calibri" w:eastAsia="Calibri" w:hAnsi="Calibri"/>
          <w:sz w:val="18"/>
          <w:szCs w:val="18"/>
          <w:color w:val="auto"/>
        </w:rPr>
      </w:pPr>
    </w:p>
    <w:p>
      <w:pPr>
        <w:ind w:left="840" w:hanging="315"/>
        <w:spacing w:after="0"/>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performance against the fnancial, operatonal and strategic objectves established by our Board</w:t>
      </w:r>
    </w:p>
    <w:p>
      <w:pPr>
        <w:spacing w:after="0" w:line="55" w:lineRule="exact"/>
        <w:rPr>
          <w:rFonts w:ascii="Calibri" w:cs="Calibri" w:eastAsia="Calibri" w:hAnsi="Calibri"/>
          <w:sz w:val="18"/>
          <w:szCs w:val="18"/>
          <w:color w:val="auto"/>
        </w:rPr>
      </w:pPr>
    </w:p>
    <w:p>
      <w:pPr>
        <w:ind w:left="840" w:right="80" w:hanging="315"/>
        <w:spacing w:after="0" w:line="227" w:lineRule="auto"/>
        <w:tabs>
          <w:tab w:leader="none" w:pos="83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each individual named executve ofcer’s knowledge, skills, experience, qualifcatons and tenure relatve to other similarly situated executves at the companies in our compensaton peer group and in selected broad-based compensaton surveys</w:t>
      </w:r>
    </w:p>
    <w:p>
      <w:pPr>
        <w:spacing w:after="0" w:line="43" w:lineRule="exact"/>
        <w:rPr>
          <w:rFonts w:ascii="Calibri" w:cs="Calibri" w:eastAsia="Calibri" w:hAnsi="Calibri"/>
          <w:sz w:val="18"/>
          <w:szCs w:val="18"/>
          <w:color w:val="auto"/>
        </w:rPr>
      </w:pPr>
    </w:p>
    <w:p>
      <w:pPr>
        <w:ind w:left="840" w:right="80" w:hanging="315"/>
        <w:spacing w:after="0" w:line="227" w:lineRule="auto"/>
        <w:tabs>
          <w:tab w:leader="none" w:pos="83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scope of each named executve ofcer’s role and responsibilites compared to other similarly situated executves at the companies in our compensaton peer group and in selected broad-based compensaton surveys</w:t>
      </w:r>
    </w:p>
    <w:p>
      <w:pPr>
        <w:spacing w:after="0" w:line="43" w:lineRule="exact"/>
        <w:rPr>
          <w:rFonts w:ascii="Calibri" w:cs="Calibri" w:eastAsia="Calibri" w:hAnsi="Calibri"/>
          <w:sz w:val="18"/>
          <w:szCs w:val="18"/>
          <w:color w:val="auto"/>
        </w:rPr>
      </w:pPr>
    </w:p>
    <w:p>
      <w:pPr>
        <w:ind w:left="840" w:right="80" w:hanging="315"/>
        <w:spacing w:after="0" w:line="227" w:lineRule="auto"/>
        <w:tabs>
          <w:tab w:leader="none" w:pos="83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prior performance of each individual named executve ofcer, based on a subjectve assessment of his or her contributons to our overall performance, ability to lead his or her business unit or functon and work as part of a team, all of which refect our core values</w:t>
      </w:r>
    </w:p>
    <w:p>
      <w:pPr>
        <w:spacing w:after="0" w:line="38" w:lineRule="exact"/>
        <w:rPr>
          <w:rFonts w:ascii="Calibri" w:cs="Calibri" w:eastAsia="Calibri" w:hAnsi="Calibri"/>
          <w:sz w:val="18"/>
          <w:szCs w:val="18"/>
          <w:color w:val="auto"/>
        </w:rPr>
      </w:pPr>
    </w:p>
    <w:p>
      <w:pPr>
        <w:ind w:left="840" w:hanging="315"/>
        <w:spacing w:after="0"/>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potental of each individual named executve ofcer to contribute to our long-term fnancial, operatonal and strategic objectves</w:t>
      </w:r>
    </w:p>
    <w:p>
      <w:pPr>
        <w:spacing w:after="0" w:line="50" w:lineRule="exact"/>
        <w:rPr>
          <w:rFonts w:ascii="Calibri" w:cs="Calibri" w:eastAsia="Calibri" w:hAnsi="Calibri"/>
          <w:sz w:val="18"/>
          <w:szCs w:val="18"/>
          <w:color w:val="auto"/>
        </w:rPr>
      </w:pPr>
    </w:p>
    <w:p>
      <w:pPr>
        <w:ind w:left="840" w:hanging="315"/>
        <w:spacing w:after="0"/>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compensaton parity among our named executve ofcers</w:t>
      </w:r>
    </w:p>
    <w:p>
      <w:pPr>
        <w:spacing w:after="0" w:line="50" w:lineRule="exact"/>
        <w:rPr>
          <w:rFonts w:ascii="Calibri" w:cs="Calibri" w:eastAsia="Calibri" w:hAnsi="Calibri"/>
          <w:sz w:val="18"/>
          <w:szCs w:val="18"/>
          <w:color w:val="auto"/>
        </w:rPr>
      </w:pPr>
    </w:p>
    <w:p>
      <w:pPr>
        <w:ind w:left="840" w:hanging="315"/>
        <w:spacing w:after="0"/>
        <w:tabs>
          <w:tab w:leader="none" w:pos="8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fnancial performance relatve to our compensaton and performance peers</w:t>
      </w:r>
    </w:p>
    <w:p>
      <w:pPr>
        <w:spacing w:after="0" w:line="55" w:lineRule="exact"/>
        <w:rPr>
          <w:rFonts w:ascii="Calibri" w:cs="Calibri" w:eastAsia="Calibri" w:hAnsi="Calibri"/>
          <w:sz w:val="18"/>
          <w:szCs w:val="18"/>
          <w:color w:val="auto"/>
        </w:rPr>
      </w:pPr>
    </w:p>
    <w:p>
      <w:pPr>
        <w:ind w:left="840" w:right="80" w:hanging="315"/>
        <w:spacing w:after="0" w:line="227" w:lineRule="auto"/>
        <w:tabs>
          <w:tab w:leader="none" w:pos="83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compensaton practces of our compensaton peer group and in selected broad-based compensaton surveys and the positoning of each named executve ofcer’s compensaton in a ranking of peer company compensaton levels based on an analysis of compettve market data</w:t>
      </w:r>
    </w:p>
    <w:p>
      <w:pPr>
        <w:spacing w:after="0" w:line="43" w:lineRule="exact"/>
        <w:rPr>
          <w:rFonts w:ascii="Calibri" w:cs="Calibri" w:eastAsia="Calibri" w:hAnsi="Calibri"/>
          <w:sz w:val="18"/>
          <w:szCs w:val="18"/>
          <w:color w:val="auto"/>
        </w:rPr>
      </w:pPr>
    </w:p>
    <w:p>
      <w:pPr>
        <w:ind w:left="840" w:right="80" w:hanging="315"/>
        <w:spacing w:after="0" w:line="227" w:lineRule="auto"/>
        <w:tabs>
          <w:tab w:leader="none" w:pos="83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the recommendatons of our CEO with respect to the compensaton of our named executve ofcers (except with respect to his own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-2280920</wp:posOffset>
            </wp:positionV>
            <wp:extent cx="6909435" cy="2314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09435" cy="231457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type w:val="continuous"/>
        </w:sectPr>
      </w:pPr>
    </w:p>
    <w:p>
      <w:pPr>
        <w:spacing w:after="0" w:line="3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factors provide the framework for compensaton decision-making regarding the compensaton opportunity for each named executve ofcer. No single factor is determinatve in setng compensaton levels, nor is the impact of any individual factor on the determinaton of compensaton levels quantfable.</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members of the Compensaton Commitee do not weigh these factors in any predetermined manner, nor do they apply any formulas in making their compensaton decisions or recommendatons. The members of the Compensaton Commitee consider this informaton in light of their individual experience, knowledge of the Company, knowledge of the compettve market, knowledge of each named executve ofcer and business judgment in making their decisions and recommendatons.</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Setng Annual Incentve Compensaton Opportunites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reviews the annual incentve compensaton arrangements of our named executve ofcers (other than our CEO) at the beginning of</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members of the Compensaton Commitee do not engage in formal benchmarking against other companies’ compensaton programs or practces to set compensaton levels or make specifc compensaton decisions with respect to our named executve ofcers. Instead, in making its determinatons, the members of the Compensaton Commitee review informaton summarizing the compensaton paid at a representatve group of peer companies, to the extent that the executve positons at these companies are considered comparable to our positons and informatve of the compettve environment, to gain a general understanding of market compensaton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alibri" w:cs="Calibri" w:eastAsia="Calibri" w:hAnsi="Calibri"/>
          <w:sz w:val="18"/>
          <w:szCs w:val="18"/>
          <w:color w:val="auto"/>
        </w:rPr>
        <w:t>each calendar and fscal year, or more frequently as warranted.</w:t>
      </w:r>
    </w:p>
    <w:p>
      <w:pPr>
        <w:spacing w:after="0" w:line="630" w:lineRule="exact"/>
        <w:rPr>
          <w:sz w:val="20"/>
          <w:szCs w:val="20"/>
          <w:color w:val="auto"/>
        </w:rPr>
      </w:pPr>
    </w:p>
    <w:p>
      <w:pPr>
        <w:sectPr>
          <w:pgSz w:w="11900" w:h="16838" w:orient="portrait"/>
          <w:cols w:equalWidth="0" w:num="2">
            <w:col w:w="5420" w:space="300"/>
            <w:col w:w="5400"/>
          </w:cols>
          <w:pgMar w:left="320" w:top="1413"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25</w:t>
      </w:r>
    </w:p>
    <w:p>
      <w:pPr>
        <w:sectPr>
          <w:pgSz w:w="11900" w:h="16838" w:orient="portrait"/>
          <w:cols w:equalWidth="0" w:num="1">
            <w:col w:w="11120"/>
          </w:cols>
          <w:pgMar w:left="320" w:top="1413" w:right="459" w:bottom="1440" w:gutter="0" w:footer="0" w:header="0"/>
          <w:type w:val="continuous"/>
        </w:sectPr>
      </w:pPr>
    </w:p>
    <w:bookmarkStart w:id="29" w:name="page30"/>
    <w:bookmarkEnd w:id="29"/>
    <w:p>
      <w:pPr>
        <w:jc w:val="both"/>
        <w:spacing w:after="0" w:line="235" w:lineRule="auto"/>
        <w:rPr>
          <w:sz w:val="20"/>
          <w:szCs w:val="20"/>
          <w:color w:val="auto"/>
        </w:rPr>
      </w:pPr>
      <w:r>
        <w:rPr>
          <w:rFonts w:ascii="Calibri" w:cs="Calibri" w:eastAsia="Calibri" w:hAnsi="Calibri"/>
          <w:sz w:val="18"/>
          <w:szCs w:val="18"/>
          <w:color w:val="auto"/>
        </w:rPr>
        <w:t>The Compensaton Commitee does not establish a specifc target for formulatng the annual incentve compensaton opportunites of our named executve ofcers. In making decisions about the annual incentve compensaton of our named executve ofcers, the members of the Compensaton Commitee rely primarily on the same general experience and subjectve consideratons of the same factors described above. These factors provide the framework for compensaton decision-making regarding the annual incentve compensaton opportunity for each named executve ofcer (other than our CEO). No single factor is determinatve in setng compensaton levels, nor is the impact of any individual factor on the determinaton of compensaton levels quantfable.</w:t>
      </w:r>
    </w:p>
    <w:p>
      <w:pPr>
        <w:spacing w:after="0" w:line="18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members of the Compensaton Commitee do not weigh these factors in any predetermined manner, nor do they apply any formulas in making their compensaton decisions. The members of the Compensaton Commitee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Role of Management</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discharging its responsibilites, the members of the Compensaton Commitee work with members of our management, including our CEO. Our management assists the Compensaton Commitee by providing informaton on corporate and individual performance, market compensaton data, and management’s perspectve on compensaton maters. The Compensaton Commitee solicits and reviews our CEO’s proposals with respect to program structures, as well as his recommendatons for adjustments to base salaries, annual cash incentve compensaton, and long-term incentve compensaton opportunites, and other compensaton-related maters for our named executve ofcers (except with respect to his own compensaton).</w:t>
      </w:r>
    </w:p>
    <w:p>
      <w:pPr>
        <w:spacing w:after="0" w:line="194" w:lineRule="exact"/>
        <w:rPr>
          <w:sz w:val="20"/>
          <w:szCs w:val="20"/>
          <w:color w:val="auto"/>
        </w:rPr>
      </w:pPr>
    </w:p>
    <w:p>
      <w:pPr>
        <w:spacing w:after="0"/>
        <w:rPr>
          <w:sz w:val="20"/>
          <w:szCs w:val="20"/>
          <w:color w:val="auto"/>
        </w:rPr>
      </w:pPr>
      <w:r>
        <w:rPr>
          <w:rFonts w:ascii="Calibri" w:cs="Calibri" w:eastAsia="Calibri" w:hAnsi="Calibri"/>
          <w:sz w:val="18"/>
          <w:szCs w:val="18"/>
          <w:color w:val="auto"/>
        </w:rPr>
        <w:t>At least once each fscal year, our CEO reviews the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Role of the Compensaton Consultant</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members of the Compensaton Commitee have the authority to retain an external compensaton consultant to assist them by providing informaton, analysis and other advice relatng to the compensaton of our named executve ofcers, including the authority to approve the consultant’s reasonable fees and other retenton terms. The compensaton consultant reports directly to the Compensaton Commitee and its chair and serves at the discreton of the Compensaton Commitee, which reviews the engagement annually.</w:t>
      </w:r>
    </w:p>
    <w:p>
      <w:pPr>
        <w:spacing w:after="0" w:line="1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fscal 2022, the Compensaton Commitee engaged Compensia, Inc. (“Compensia”), a natonal compensaton</w:t>
      </w:r>
    </w:p>
    <w:p>
      <w:pPr>
        <w:spacing w:after="0" w:line="20" w:lineRule="exact"/>
        <w:rPr>
          <w:sz w:val="20"/>
          <w:szCs w:val="20"/>
          <w:color w:val="auto"/>
        </w:rPr>
      </w:pPr>
      <w:r>
        <w:rPr>
          <w:sz w:val="20"/>
          <w:szCs w:val="20"/>
          <w:color w:val="auto"/>
        </w:rPr>
        <w:br w:type="column"/>
      </w:r>
    </w:p>
    <w:p>
      <w:pPr>
        <w:jc w:val="both"/>
        <w:ind w:left="180"/>
        <w:spacing w:after="0" w:line="254" w:lineRule="auto"/>
        <w:rPr>
          <w:sz w:val="20"/>
          <w:szCs w:val="20"/>
          <w:color w:val="auto"/>
        </w:rPr>
      </w:pPr>
      <w:r>
        <w:rPr>
          <w:rFonts w:ascii="Calibri" w:cs="Calibri" w:eastAsia="Calibri" w:hAnsi="Calibri"/>
          <w:sz w:val="17"/>
          <w:szCs w:val="17"/>
          <w:color w:val="auto"/>
        </w:rPr>
        <w:t>consider this informaton in light of their individual experience, knowledge of the Company, knowledge of the compettve market, knowledge of each named executve ofcer and business judgment in making their decisions.</w:t>
      </w:r>
    </w:p>
    <w:p>
      <w:pPr>
        <w:spacing w:after="0" w:line="165" w:lineRule="exact"/>
        <w:rPr>
          <w:sz w:val="20"/>
          <w:szCs w:val="20"/>
          <w:color w:val="auto"/>
        </w:rPr>
      </w:pPr>
    </w:p>
    <w:p>
      <w:pPr>
        <w:jc w:val="both"/>
        <w:ind w:left="180"/>
        <w:spacing w:after="0" w:line="235" w:lineRule="auto"/>
        <w:rPr>
          <w:sz w:val="20"/>
          <w:szCs w:val="20"/>
          <w:color w:val="auto"/>
        </w:rPr>
      </w:pPr>
      <w:r>
        <w:rPr>
          <w:rFonts w:ascii="Calibri" w:cs="Calibri" w:eastAsia="Calibri" w:hAnsi="Calibri"/>
          <w:sz w:val="18"/>
          <w:szCs w:val="18"/>
          <w:color w:val="auto"/>
        </w:rPr>
        <w:t>The members of the Compensaton Commitee do not engage in formal benchmarking against other companies’ compensaton programs or practces to set annual incentve compensaton levels or make specifc compensaton decisions with respect to our named executve ofcers. Instead, in making its determinatons, the members of the Compensaton Commitee review informaton summarizing the compensaton paid at a representatve group of peer companies and in selected broad-based compensaton surveys, to the extent that the executve positons at these companies are considered comparable to our positons and informatve of the compettve environment, to gain a general understanding of market compensaton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80"/>
        <w:spacing w:after="0" w:line="235" w:lineRule="auto"/>
        <w:rPr>
          <w:sz w:val="20"/>
          <w:szCs w:val="20"/>
          <w:color w:val="auto"/>
        </w:rPr>
      </w:pPr>
      <w:r>
        <w:rPr>
          <w:rFonts w:ascii="Calibri" w:cs="Calibri" w:eastAsia="Calibri" w:hAnsi="Calibri"/>
          <w:sz w:val="18"/>
          <w:szCs w:val="18"/>
          <w:color w:val="auto"/>
        </w:rPr>
        <w:t>performance of our other named executve ofcers based on such individual’s level of success in accomplishing business objectves and his or her overall performance and then shares these evaluatons with, and makes compensaton recommendatons to, the Compensaton Commitee. The members of the Compensaton Commitee review and discuss our CEO’s proposals and recommendatons with our CEO and consider them as one factor in determining and approving the compensaton of our named executve ofcers (other than our CEO). Our CEO also generally atends meetngs of our Board and the Compensaton Commitee at which executve compensaton maters are addressed, except with respect to discussions involving his own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80"/>
        <w:spacing w:after="0" w:line="235" w:lineRule="auto"/>
        <w:rPr>
          <w:sz w:val="20"/>
          <w:szCs w:val="20"/>
          <w:color w:val="auto"/>
        </w:rPr>
      </w:pPr>
      <w:r>
        <w:rPr>
          <w:rFonts w:ascii="Calibri" w:cs="Calibri" w:eastAsia="Calibri" w:hAnsi="Calibri"/>
          <w:sz w:val="18"/>
          <w:szCs w:val="18"/>
          <w:color w:val="auto"/>
        </w:rPr>
        <w:t>consultng frm, to serve as its compensaton consultant to advise on executve compensaton maters, including compettve market pay practces for our named executve ofcers, and with the data analysis and selecton of the compensaton peer group.</w:t>
      </w:r>
    </w:p>
    <w:p>
      <w:pPr>
        <w:spacing w:after="0" w:line="179" w:lineRule="exact"/>
        <w:rPr>
          <w:sz w:val="20"/>
          <w:szCs w:val="20"/>
          <w:color w:val="auto"/>
        </w:rPr>
      </w:pPr>
    </w:p>
    <w:p>
      <w:pPr>
        <w:jc w:val="both"/>
        <w:ind w:left="180"/>
        <w:spacing w:after="0" w:line="235" w:lineRule="auto"/>
        <w:rPr>
          <w:sz w:val="20"/>
          <w:szCs w:val="20"/>
          <w:color w:val="auto"/>
        </w:rPr>
      </w:pPr>
      <w:r>
        <w:rPr>
          <w:rFonts w:ascii="Calibri" w:cs="Calibri" w:eastAsia="Calibri" w:hAnsi="Calibri"/>
          <w:sz w:val="18"/>
          <w:szCs w:val="18"/>
          <w:color w:val="auto"/>
        </w:rPr>
        <w:t>During fscal 2022, Compensia atended the meetngs of the Compensaton Commitee, both with and without management present, as requested and provided various services, including the following:</w:t>
      </w:r>
    </w:p>
    <w:p>
      <w:pPr>
        <w:spacing w:after="0" w:line="65" w:lineRule="exact"/>
        <w:rPr>
          <w:sz w:val="20"/>
          <w:szCs w:val="20"/>
          <w:color w:val="auto"/>
        </w:rPr>
      </w:pPr>
    </w:p>
    <w:p>
      <w:pPr>
        <w:ind w:left="500" w:hanging="244"/>
        <w:spacing w:after="0"/>
        <w:tabs>
          <w:tab w:leader="none" w:pos="50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review, analysis, and selecton of our compensaton peer group;</w:t>
      </w:r>
    </w:p>
    <w:p>
      <w:pPr>
        <w:spacing w:after="0" w:line="77" w:lineRule="exact"/>
        <w:rPr>
          <w:rFonts w:ascii="Calibri" w:cs="Calibri" w:eastAsia="Calibri" w:hAnsi="Calibri"/>
          <w:sz w:val="18"/>
          <w:szCs w:val="18"/>
          <w:color w:val="auto"/>
        </w:rPr>
      </w:pPr>
    </w:p>
    <w:p>
      <w:pPr>
        <w:ind w:left="500" w:hanging="244"/>
        <w:spacing w:after="0"/>
        <w:tabs>
          <w:tab w:leader="none" w:pos="50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review and analysis of the base salary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alibri" w:cs="Calibri" w:eastAsia="Calibri" w:hAnsi="Calibri"/>
          <w:sz w:val="18"/>
          <w:szCs w:val="18"/>
          <w:color w:val="auto"/>
        </w:rPr>
        <w:t>26</w:t>
      </w:r>
    </w:p>
    <w:p>
      <w:pPr>
        <w:sectPr>
          <w:pgSz w:w="11900" w:h="16838" w:orient="portrait"/>
          <w:cols w:equalWidth="0" w:num="2">
            <w:col w:w="5420" w:space="120"/>
            <w:col w:w="5580"/>
          </w:cols>
          <w:pgMar w:left="320" w:top="1413" w:right="459" w:bottom="1440" w:gutter="0" w:footer="0" w:header="0"/>
        </w:sectPr>
      </w:pPr>
    </w:p>
    <w:bookmarkStart w:id="30" w:name="page31"/>
    <w:bookmarkEnd w:id="30"/>
    <w:p>
      <w:pPr>
        <w:spacing w:after="0" w:line="5" w:lineRule="exact"/>
        <w:rPr>
          <w:sz w:val="20"/>
          <w:szCs w:val="20"/>
          <w:color w:val="auto"/>
        </w:rPr>
      </w:pPr>
    </w:p>
    <w:p>
      <w:pPr>
        <w:jc w:val="both"/>
        <w:ind w:left="340"/>
        <w:spacing w:after="0" w:line="235" w:lineRule="auto"/>
        <w:rPr>
          <w:sz w:val="20"/>
          <w:szCs w:val="20"/>
          <w:color w:val="auto"/>
        </w:rPr>
      </w:pPr>
      <w:r>
        <w:rPr>
          <w:rFonts w:ascii="Calibri" w:cs="Calibri" w:eastAsia="Calibri" w:hAnsi="Calibri"/>
          <w:sz w:val="18"/>
          <w:szCs w:val="18"/>
          <w:color w:val="auto"/>
        </w:rPr>
        <w:t>annual cash incentve opportunites, and long-term incentve compensaton opportunites of our named executve ofcers against compettve market data based on the companies in our compensaton peer group and in selected broad-based compensaton surveys;</w:t>
      </w:r>
    </w:p>
    <w:p>
      <w:pPr>
        <w:spacing w:after="0" w:line="71" w:lineRule="exact"/>
        <w:rPr>
          <w:sz w:val="20"/>
          <w:szCs w:val="20"/>
          <w:color w:val="auto"/>
        </w:rPr>
      </w:pPr>
    </w:p>
    <w:p>
      <w:pPr>
        <w:jc w:val="both"/>
        <w:ind w:left="340" w:hanging="251"/>
        <w:spacing w:after="0" w:line="235" w:lineRule="auto"/>
        <w:tabs>
          <w:tab w:leader="none" w:pos="33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an assessment of executve compensaton trends within our industry, and update on corporate governance and regulatory issues and developments;</w:t>
      </w:r>
    </w:p>
    <w:p>
      <w:pPr>
        <w:spacing w:after="0" w:line="78" w:lineRule="exact"/>
        <w:rPr>
          <w:rFonts w:ascii="Calibri" w:cs="Calibri" w:eastAsia="Calibri" w:hAnsi="Calibri"/>
          <w:sz w:val="18"/>
          <w:szCs w:val="18"/>
          <w:color w:val="auto"/>
        </w:rPr>
      </w:pPr>
    </w:p>
    <w:p>
      <w:pPr>
        <w:ind w:left="320" w:hanging="231"/>
        <w:spacing w:after="0"/>
        <w:tabs>
          <w:tab w:leader="none" w:pos="32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an executve compensaton risk assessment;</w:t>
      </w:r>
    </w:p>
    <w:p>
      <w:pPr>
        <w:spacing w:after="0" w:line="68" w:lineRule="exact"/>
        <w:rPr>
          <w:rFonts w:ascii="Calibri" w:cs="Calibri" w:eastAsia="Calibri" w:hAnsi="Calibri"/>
          <w:sz w:val="18"/>
          <w:szCs w:val="18"/>
          <w:color w:val="auto"/>
        </w:rPr>
      </w:pPr>
    </w:p>
    <w:p>
      <w:pPr>
        <w:ind w:left="340" w:hanging="251"/>
        <w:spacing w:after="0" w:line="235" w:lineRule="auto"/>
        <w:tabs>
          <w:tab w:leader="none" w:pos="33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consultaton with the Compensaton Commitee chair or the independent directors between meetngs; and</w:t>
      </w:r>
    </w:p>
    <w:p>
      <w:pPr>
        <w:spacing w:after="0" w:line="64" w:lineRule="exact"/>
        <w:rPr>
          <w:rFonts w:ascii="Calibri" w:cs="Calibri" w:eastAsia="Calibri" w:hAnsi="Calibri"/>
          <w:sz w:val="18"/>
          <w:szCs w:val="18"/>
          <w:color w:val="auto"/>
        </w:rPr>
      </w:pPr>
    </w:p>
    <w:p>
      <w:pPr>
        <w:ind w:left="320" w:hanging="231"/>
        <w:spacing w:after="0"/>
        <w:tabs>
          <w:tab w:leader="none" w:pos="320"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support on other ad hoc maters throughout the fscal year.</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terms of Compensia’s engagement include reportng directly to the Compensaton Commitee chair. In fscal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color w:val="auto"/>
        </w:rPr>
        <w:t>2022, Compensia did not provide any other services to us.</w:t>
      </w:r>
    </w:p>
    <w:p>
      <w:pPr>
        <w:spacing w:after="0" w:line="177" w:lineRule="exact"/>
        <w:rPr>
          <w:sz w:val="20"/>
          <w:szCs w:val="20"/>
          <w:color w:val="auto"/>
        </w:rPr>
      </w:pPr>
    </w:p>
    <w:p>
      <w:pPr>
        <w:jc w:val="both"/>
        <w:ind w:right="120"/>
        <w:spacing w:after="0" w:line="250" w:lineRule="auto"/>
        <w:rPr>
          <w:sz w:val="20"/>
          <w:szCs w:val="20"/>
          <w:color w:val="auto"/>
        </w:rPr>
      </w:pPr>
      <w:r>
        <w:rPr>
          <w:rFonts w:ascii="Calibri" w:cs="Calibri" w:eastAsia="Calibri" w:hAnsi="Calibri"/>
          <w:sz w:val="17"/>
          <w:szCs w:val="17"/>
          <w:color w:val="auto"/>
        </w:rPr>
        <w:t>The Compensaton Commitee has evaluated its relatonship with Compensia to assess Compensia’s independence from management. This review process included a review of the services that Compensia provided, the quality of those services, and the fees associated with the services provided during fscal 2022. Based on this review, as well as consideraton of the factors afectng independence set forth in Exchange Act Rule 10C-1(b)(4), Rule 5605(d)(3)(D) of the NASDAQ Marketplace Rules, and such other factors as were deemed relevant under the circumstances, the Compensaton Commitee has determined that no confict of interest was raised as a result of the work performed by Compensia.</w:t>
      </w:r>
    </w:p>
    <w:p>
      <w:pPr>
        <w:spacing w:after="0" w:line="925" w:lineRule="exact"/>
        <w:rPr>
          <w:sz w:val="20"/>
          <w:szCs w:val="20"/>
          <w:color w:val="auto"/>
        </w:rPr>
      </w:pPr>
    </w:p>
    <w:p>
      <w:pPr>
        <w:sectPr>
          <w:pgSz w:w="11900" w:h="16838" w:orient="portrait"/>
          <w:cols w:equalWidth="0" w:num="2">
            <w:col w:w="5420" w:space="300"/>
            <w:col w:w="5520"/>
          </w:cols>
          <w:pgMar w:left="320" w:top="1408" w:right="339" w:bottom="1440" w:gutter="0" w:footer="0" w:header="0"/>
        </w:sect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Compettve Positoning</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believes that peer group comparisons are useful guides to evaluate the compettveness of our executve compensaton program and related policies and practces. For purposes of assessing the compensaton of our named executve ofcers against the compettve market, the Compensaton Commitee reviews and considers the compensaton levels and practces of a select group of peer companies. This compensaton peer group consists primarily of technology companies that are similar to us in terms of revenue, market capitalizaton, and industry focus. The compettve data drawn from this compensaton peer group is only one of several factors considered in making decisions and recommendatons with respect to the compensaton of our named executve ofcers.</w:t>
      </w:r>
    </w:p>
    <w:p>
      <w:pPr>
        <w:spacing w:after="0" w:line="1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peer group for purposes of setng fscal 2022 compensaton of our named executve ofcers, which was developed by the Compensaton Commitee in May 2021 with the assistance of Compensia, was composed of publicly traded technology companies against which we compete for executve talent. In identfying and recommending the companies to comprise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360" w:val="left"/>
          <w:tab w:leader="none" w:pos="1520" w:val="left"/>
          <w:tab w:leader="none" w:pos="2000" w:val="left"/>
          <w:tab w:leader="none" w:pos="2600" w:val="left"/>
          <w:tab w:leader="none" w:pos="3000" w:val="left"/>
          <w:tab w:leader="none" w:pos="4160" w:val="left"/>
          <w:tab w:leader="none" w:pos="5100" w:val="left"/>
        </w:tabs>
        <w:rPr>
          <w:sz w:val="20"/>
          <w:szCs w:val="20"/>
          <w:color w:val="auto"/>
        </w:rPr>
      </w:pPr>
      <w:r>
        <w:rPr>
          <w:rFonts w:ascii="Calibri" w:cs="Calibri" w:eastAsia="Calibri" w:hAnsi="Calibri"/>
          <w:sz w:val="18"/>
          <w:szCs w:val="18"/>
          <w:color w:val="auto"/>
        </w:rPr>
        <w:t>the</w:t>
        <w:tab/>
        <w:t>compensaton</w:t>
        <w:tab/>
        <w:t>peer</w:t>
        <w:tab/>
        <w:t>group,</w:t>
        <w:tab/>
        <w:t>the</w:t>
        <w:tab/>
        <w:t>Compensaton</w:t>
        <w:tab/>
        <w:t>Commitee</w:t>
        <w:tab/>
        <w:t>and</w:t>
      </w:r>
    </w:p>
    <w:p>
      <w:pPr>
        <w:spacing w:after="0" w:line="235" w:lineRule="auto"/>
        <w:rPr>
          <w:sz w:val="20"/>
          <w:szCs w:val="20"/>
          <w:color w:val="auto"/>
        </w:rPr>
      </w:pPr>
      <w:r>
        <w:rPr>
          <w:rFonts w:ascii="Calibri" w:cs="Calibri" w:eastAsia="Calibri" w:hAnsi="Calibri"/>
          <w:sz w:val="18"/>
          <w:szCs w:val="18"/>
          <w:color w:val="auto"/>
        </w:rPr>
        <w:t>Compensia considered the following primary criteria:</w:t>
      </w:r>
    </w:p>
    <w:p>
      <w:pPr>
        <w:spacing w:after="0" w:line="83" w:lineRule="exact"/>
        <w:rPr>
          <w:sz w:val="20"/>
          <w:szCs w:val="20"/>
          <w:color w:val="auto"/>
        </w:rPr>
      </w:pPr>
    </w:p>
    <w:p>
      <w:pPr>
        <w:jc w:val="both"/>
        <w:ind w:left="320" w:right="120" w:hanging="244"/>
        <w:spacing w:after="0" w:line="235" w:lineRule="auto"/>
        <w:tabs>
          <w:tab w:leader="none" w:pos="3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publicly traded companies headquartered in the United States or Canada and traded on a major United States stock exchange within related or adjacent industries as us;</w:t>
      </w:r>
    </w:p>
    <w:p>
      <w:pPr>
        <w:spacing w:after="0" w:line="70" w:lineRule="exact"/>
        <w:rPr>
          <w:rFonts w:ascii="Calibri" w:cs="Calibri" w:eastAsia="Calibri" w:hAnsi="Calibri"/>
          <w:sz w:val="18"/>
          <w:szCs w:val="18"/>
          <w:color w:val="auto"/>
        </w:rPr>
      </w:pPr>
    </w:p>
    <w:p>
      <w:pPr>
        <w:jc w:val="both"/>
        <w:ind w:left="320" w:right="120" w:hanging="244"/>
        <w:spacing w:after="0" w:line="235" w:lineRule="auto"/>
        <w:tabs>
          <w:tab w:leader="none" w:pos="3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similar revenues – within a range of ~0.5x to ~2.0x of our then trailing four fscal quarters’ revenue of approximately $762 million (approximately $381 million to approximately $1,524 million); and</w:t>
      </w:r>
    </w:p>
    <w:p>
      <w:pPr>
        <w:spacing w:after="0" w:line="70" w:lineRule="exact"/>
        <w:rPr>
          <w:rFonts w:ascii="Calibri" w:cs="Calibri" w:eastAsia="Calibri" w:hAnsi="Calibri"/>
          <w:sz w:val="18"/>
          <w:szCs w:val="18"/>
          <w:color w:val="auto"/>
        </w:rPr>
      </w:pPr>
    </w:p>
    <w:p>
      <w:pPr>
        <w:jc w:val="both"/>
        <w:ind w:left="320" w:right="120" w:hanging="244"/>
        <w:spacing w:after="0" w:line="235" w:lineRule="auto"/>
        <w:tabs>
          <w:tab w:leader="none" w:pos="31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similar market capitalizaton – within a range of ~0.25x to ~4.00x of our then 30-day average market capitalizaton of approximately $18 billion (approximately $4.5 billion to approximately $72 billion).</w:t>
      </w:r>
    </w:p>
    <w:p>
      <w:pPr>
        <w:spacing w:after="0" w:line="192"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This compensaton peer group for purposes of determining the fscal 2022 compensaton of our named executve ofcers consisted of the following companies:</w:t>
      </w:r>
    </w:p>
    <w:p>
      <w:pPr>
        <w:spacing w:after="0" w:line="845" w:lineRule="exact"/>
        <w:rPr>
          <w:sz w:val="20"/>
          <w:szCs w:val="20"/>
          <w:color w:val="auto"/>
        </w:rPr>
      </w:pPr>
    </w:p>
    <w:p>
      <w:pPr>
        <w:sectPr>
          <w:pgSz w:w="11900" w:h="16838" w:orient="portrait"/>
          <w:cols w:equalWidth="0" w:num="2">
            <w:col w:w="5420" w:space="300"/>
            <w:col w:w="5520"/>
          </w:cols>
          <w:pgMar w:left="320" w:top="1408"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2022 Peer Group</w:t>
      </w:r>
      <w:r>
        <w:rPr>
          <w:rFonts w:ascii="Calibri" w:cs="Calibri" w:eastAsia="Calibri" w:hAnsi="Calibri"/>
          <w:sz w:val="23"/>
          <w:szCs w:val="23"/>
          <w:b w:val="1"/>
          <w:bCs w:val="1"/>
          <w:color w:val="auto"/>
          <w:vertAlign w:val="superscript"/>
        </w:rPr>
        <w:t>(1)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820" w:type="dxa"/>
            <w:vAlign w:val="bottom"/>
            <w:tcBorders>
              <w:top w:val="single" w:sz="8" w:color="auto"/>
            </w:tcBorders>
            <w:shd w:val="clear" w:color="auto" w:fill="DBDBDB"/>
          </w:tcPr>
          <w:p>
            <w:pPr>
              <w:ind w:left="20"/>
              <w:spacing w:after="0"/>
              <w:rPr>
                <w:sz w:val="20"/>
                <w:szCs w:val="20"/>
                <w:color w:val="auto"/>
              </w:rPr>
            </w:pPr>
            <w:r>
              <w:rPr>
                <w:rFonts w:ascii="Calibri" w:cs="Calibri" w:eastAsia="Calibri" w:hAnsi="Calibri"/>
                <w:sz w:val="18"/>
                <w:szCs w:val="18"/>
                <w:color w:val="auto"/>
              </w:rPr>
              <w:t>Aferpay</w:t>
            </w:r>
            <w:r>
              <w:rPr>
                <w:rFonts w:ascii="Calibri" w:cs="Calibri" w:eastAsia="Calibri" w:hAnsi="Calibri"/>
                <w:sz w:val="23"/>
                <w:szCs w:val="23"/>
                <w:color w:val="auto"/>
                <w:vertAlign w:val="superscript"/>
              </w:rPr>
              <w:t>(2)</w:t>
            </w:r>
          </w:p>
        </w:tc>
        <w:tc>
          <w:tcPr>
            <w:tcW w:w="2520" w:type="dxa"/>
            <w:vAlign w:val="bottom"/>
            <w:tcBorders>
              <w:top w:val="single" w:sz="8" w:color="auto"/>
            </w:tcBorders>
            <w:shd w:val="clear" w:color="auto" w:fill="DBDBDB"/>
          </w:tcPr>
          <w:p>
            <w:pPr>
              <w:ind w:left="440"/>
              <w:spacing w:after="0"/>
              <w:rPr>
                <w:sz w:val="20"/>
                <w:szCs w:val="20"/>
                <w:color w:val="auto"/>
              </w:rPr>
            </w:pPr>
            <w:r>
              <w:rPr>
                <w:rFonts w:ascii="Calibri" w:cs="Calibri" w:eastAsia="Calibri" w:hAnsi="Calibri"/>
                <w:sz w:val="18"/>
                <w:szCs w:val="18"/>
                <w:color w:val="auto"/>
              </w:rPr>
              <w:t>Dropbox</w:t>
            </w:r>
          </w:p>
        </w:tc>
        <w:tc>
          <w:tcPr>
            <w:tcW w:w="2240" w:type="dxa"/>
            <w:vAlign w:val="bottom"/>
            <w:tcBorders>
              <w:top w:val="single" w:sz="8" w:color="auto"/>
            </w:tcBorders>
            <w:shd w:val="clear" w:color="auto" w:fill="DBDBDB"/>
          </w:tcPr>
          <w:p>
            <w:pPr>
              <w:ind w:left="500"/>
              <w:spacing w:after="0"/>
              <w:rPr>
                <w:sz w:val="20"/>
                <w:szCs w:val="20"/>
                <w:color w:val="auto"/>
              </w:rPr>
            </w:pPr>
            <w:r>
              <w:rPr>
                <w:rFonts w:ascii="Calibri" w:cs="Calibri" w:eastAsia="Calibri" w:hAnsi="Calibri"/>
                <w:sz w:val="18"/>
                <w:szCs w:val="18"/>
                <w:color w:val="auto"/>
              </w:rPr>
              <w:t>Okta</w:t>
            </w:r>
            <w:r>
              <w:rPr>
                <w:rFonts w:ascii="Calibri" w:cs="Calibri" w:eastAsia="Calibri" w:hAnsi="Calibri"/>
                <w:sz w:val="23"/>
                <w:szCs w:val="23"/>
                <w:color w:val="auto"/>
                <w:vertAlign w:val="superscript"/>
              </w:rPr>
              <w:t>(2)</w:t>
            </w:r>
          </w:p>
        </w:tc>
        <w:tc>
          <w:tcPr>
            <w:tcW w:w="2060" w:type="dxa"/>
            <w:vAlign w:val="bottom"/>
            <w:tcBorders>
              <w:top w:val="single" w:sz="8" w:color="auto"/>
            </w:tcBorders>
            <w:shd w:val="clear" w:color="auto" w:fill="DBDBDB"/>
          </w:tcPr>
          <w:p>
            <w:pPr>
              <w:ind w:left="500"/>
              <w:spacing w:after="0"/>
              <w:rPr>
                <w:sz w:val="20"/>
                <w:szCs w:val="20"/>
                <w:color w:val="auto"/>
              </w:rPr>
            </w:pPr>
            <w:r>
              <w:rPr>
                <w:rFonts w:ascii="Calibri" w:cs="Calibri" w:eastAsia="Calibri" w:hAnsi="Calibri"/>
                <w:sz w:val="18"/>
                <w:szCs w:val="18"/>
                <w:color w:val="auto"/>
              </w:rPr>
              <w:t>Proofpoint</w:t>
            </w:r>
          </w:p>
        </w:tc>
        <w:tc>
          <w:tcPr>
            <w:tcW w:w="2580" w:type="dxa"/>
            <w:vAlign w:val="bottom"/>
            <w:tcBorders>
              <w:top w:val="single" w:sz="8" w:color="auto"/>
            </w:tcBorders>
            <w:shd w:val="clear" w:color="auto" w:fill="DBDBDB"/>
          </w:tcPr>
          <w:p>
            <w:pPr>
              <w:ind w:left="700"/>
              <w:spacing w:after="0"/>
              <w:rPr>
                <w:sz w:val="20"/>
                <w:szCs w:val="20"/>
                <w:color w:val="auto"/>
              </w:rPr>
            </w:pPr>
            <w:r>
              <w:rPr>
                <w:rFonts w:ascii="Calibri" w:cs="Calibri" w:eastAsia="Calibri" w:hAnsi="Calibri"/>
                <w:sz w:val="18"/>
                <w:szCs w:val="18"/>
                <w:color w:val="auto"/>
              </w:rPr>
              <w:t>The Trade Desk</w:t>
            </w:r>
            <w:r>
              <w:rPr>
                <w:rFonts w:ascii="Calibri" w:cs="Calibri" w:eastAsia="Calibri" w:hAnsi="Calibri"/>
                <w:sz w:val="23"/>
                <w:szCs w:val="23"/>
                <w:color w:val="auto"/>
                <w:vertAlign w:val="superscript"/>
              </w:rPr>
              <w:t>(2)</w:t>
            </w:r>
          </w:p>
        </w:tc>
      </w:tr>
      <w:tr>
        <w:trPr>
          <w:trHeight w:val="270"/>
        </w:trPr>
        <w:tc>
          <w:tcPr>
            <w:tcW w:w="1820" w:type="dxa"/>
            <w:vAlign w:val="bottom"/>
          </w:tcPr>
          <w:p>
            <w:pPr>
              <w:ind w:left="20"/>
              <w:spacing w:after="0" w:line="270" w:lineRule="exact"/>
              <w:rPr>
                <w:sz w:val="20"/>
                <w:szCs w:val="20"/>
                <w:color w:val="auto"/>
              </w:rPr>
            </w:pPr>
            <w:r>
              <w:rPr>
                <w:rFonts w:ascii="Calibri" w:cs="Calibri" w:eastAsia="Calibri" w:hAnsi="Calibri"/>
                <w:sz w:val="18"/>
                <w:szCs w:val="18"/>
                <w:color w:val="auto"/>
              </w:rPr>
              <w:t>Bill.com Holdings</w:t>
            </w:r>
            <w:r>
              <w:rPr>
                <w:rFonts w:ascii="Calibri" w:cs="Calibri" w:eastAsia="Calibri" w:hAnsi="Calibri"/>
                <w:sz w:val="23"/>
                <w:szCs w:val="23"/>
                <w:color w:val="auto"/>
                <w:vertAlign w:val="superscript"/>
              </w:rPr>
              <w:t>(2)</w:t>
            </w:r>
          </w:p>
        </w:tc>
        <w:tc>
          <w:tcPr>
            <w:tcW w:w="2520" w:type="dxa"/>
            <w:vAlign w:val="bottom"/>
          </w:tcPr>
          <w:p>
            <w:pPr>
              <w:ind w:left="440"/>
              <w:spacing w:after="0"/>
              <w:rPr>
                <w:sz w:val="20"/>
                <w:szCs w:val="20"/>
                <w:color w:val="auto"/>
              </w:rPr>
            </w:pPr>
            <w:r>
              <w:rPr>
                <w:rFonts w:ascii="Calibri" w:cs="Calibri" w:eastAsia="Calibri" w:hAnsi="Calibri"/>
                <w:sz w:val="18"/>
                <w:szCs w:val="18"/>
                <w:color w:val="auto"/>
              </w:rPr>
              <w:t>Fair Isaac</w:t>
            </w:r>
          </w:p>
        </w:tc>
        <w:tc>
          <w:tcPr>
            <w:tcW w:w="2240" w:type="dxa"/>
            <w:vAlign w:val="bottom"/>
          </w:tcPr>
          <w:p>
            <w:pPr>
              <w:ind w:left="500"/>
              <w:spacing w:after="0"/>
              <w:rPr>
                <w:sz w:val="20"/>
                <w:szCs w:val="20"/>
                <w:color w:val="auto"/>
              </w:rPr>
            </w:pPr>
            <w:r>
              <w:rPr>
                <w:rFonts w:ascii="Calibri" w:cs="Calibri" w:eastAsia="Calibri" w:hAnsi="Calibri"/>
                <w:sz w:val="18"/>
                <w:szCs w:val="18"/>
                <w:color w:val="auto"/>
              </w:rPr>
              <w:t>Paychex</w:t>
            </w:r>
          </w:p>
        </w:tc>
        <w:tc>
          <w:tcPr>
            <w:tcW w:w="2060" w:type="dxa"/>
            <w:vAlign w:val="bottom"/>
          </w:tcPr>
          <w:p>
            <w:pPr>
              <w:ind w:left="500"/>
              <w:spacing w:after="0"/>
              <w:rPr>
                <w:sz w:val="20"/>
                <w:szCs w:val="20"/>
                <w:color w:val="auto"/>
              </w:rPr>
            </w:pPr>
            <w:r>
              <w:rPr>
                <w:rFonts w:ascii="Calibri" w:cs="Calibri" w:eastAsia="Calibri" w:hAnsi="Calibri"/>
                <w:sz w:val="18"/>
                <w:szCs w:val="18"/>
                <w:color w:val="auto"/>
              </w:rPr>
              <w:t>Q2 Holdings</w:t>
            </w:r>
          </w:p>
        </w:tc>
        <w:tc>
          <w:tcPr>
            <w:tcW w:w="2580" w:type="dxa"/>
            <w:vAlign w:val="bottom"/>
          </w:tcPr>
          <w:p>
            <w:pPr>
              <w:ind w:left="700"/>
              <w:spacing w:after="0"/>
              <w:rPr>
                <w:sz w:val="20"/>
                <w:szCs w:val="20"/>
                <w:color w:val="auto"/>
              </w:rPr>
            </w:pPr>
            <w:r>
              <w:rPr>
                <w:rFonts w:ascii="Calibri" w:cs="Calibri" w:eastAsia="Calibri" w:hAnsi="Calibri"/>
                <w:sz w:val="18"/>
                <w:szCs w:val="18"/>
                <w:color w:val="auto"/>
              </w:rPr>
              <w:t>WEX</w:t>
            </w:r>
          </w:p>
        </w:tc>
      </w:tr>
      <w:tr>
        <w:trPr>
          <w:trHeight w:val="270"/>
        </w:trPr>
        <w:tc>
          <w:tcPr>
            <w:tcW w:w="1820" w:type="dxa"/>
            <w:vAlign w:val="bottom"/>
            <w:shd w:val="clear" w:color="auto" w:fill="DBDBDB"/>
          </w:tcPr>
          <w:p>
            <w:pPr>
              <w:ind w:left="20"/>
              <w:spacing w:after="0"/>
              <w:rPr>
                <w:sz w:val="20"/>
                <w:szCs w:val="20"/>
                <w:color w:val="auto"/>
              </w:rPr>
            </w:pPr>
            <w:r>
              <w:rPr>
                <w:rFonts w:ascii="Calibri" w:cs="Calibri" w:eastAsia="Calibri" w:hAnsi="Calibri"/>
                <w:sz w:val="18"/>
                <w:szCs w:val="18"/>
                <w:color w:val="auto"/>
              </w:rPr>
              <w:t>Coupa Sofware</w:t>
            </w:r>
          </w:p>
        </w:tc>
        <w:tc>
          <w:tcPr>
            <w:tcW w:w="2520" w:type="dxa"/>
            <w:vAlign w:val="bottom"/>
            <w:shd w:val="clear" w:color="auto" w:fill="DBDBDB"/>
          </w:tcPr>
          <w:p>
            <w:pPr>
              <w:ind w:left="440"/>
              <w:spacing w:after="0" w:line="270" w:lineRule="exact"/>
              <w:rPr>
                <w:sz w:val="20"/>
                <w:szCs w:val="20"/>
                <w:color w:val="auto"/>
              </w:rPr>
            </w:pPr>
            <w:r>
              <w:rPr>
                <w:rFonts w:ascii="Calibri" w:cs="Calibri" w:eastAsia="Calibri" w:hAnsi="Calibri"/>
                <w:sz w:val="18"/>
                <w:szCs w:val="18"/>
                <w:color w:val="auto"/>
              </w:rPr>
              <w:t>Lemonade</w:t>
            </w:r>
            <w:r>
              <w:rPr>
                <w:rFonts w:ascii="Calibri" w:cs="Calibri" w:eastAsia="Calibri" w:hAnsi="Calibri"/>
                <w:sz w:val="23"/>
                <w:szCs w:val="23"/>
                <w:color w:val="auto"/>
                <w:vertAlign w:val="superscript"/>
              </w:rPr>
              <w:t>(2)</w:t>
            </w:r>
          </w:p>
        </w:tc>
        <w:tc>
          <w:tcPr>
            <w:tcW w:w="2240" w:type="dxa"/>
            <w:vAlign w:val="bottom"/>
            <w:shd w:val="clear" w:color="auto" w:fill="DBDBDB"/>
          </w:tcPr>
          <w:p>
            <w:pPr>
              <w:ind w:left="500"/>
              <w:spacing w:after="0"/>
              <w:rPr>
                <w:sz w:val="20"/>
                <w:szCs w:val="20"/>
                <w:color w:val="auto"/>
              </w:rPr>
            </w:pPr>
            <w:r>
              <w:rPr>
                <w:rFonts w:ascii="Calibri" w:cs="Calibri" w:eastAsia="Calibri" w:hAnsi="Calibri"/>
                <w:sz w:val="18"/>
                <w:szCs w:val="18"/>
                <w:color w:val="auto"/>
              </w:rPr>
              <w:t>Paycom Sofware</w:t>
            </w:r>
          </w:p>
        </w:tc>
        <w:tc>
          <w:tcPr>
            <w:tcW w:w="2060" w:type="dxa"/>
            <w:vAlign w:val="bottom"/>
            <w:shd w:val="clear" w:color="auto" w:fill="DBDBDB"/>
          </w:tcPr>
          <w:p>
            <w:pPr>
              <w:ind w:left="500"/>
              <w:spacing w:after="0"/>
              <w:rPr>
                <w:sz w:val="20"/>
                <w:szCs w:val="20"/>
                <w:color w:val="auto"/>
              </w:rPr>
            </w:pPr>
            <w:r>
              <w:rPr>
                <w:rFonts w:ascii="Calibri" w:cs="Calibri" w:eastAsia="Calibri" w:hAnsi="Calibri"/>
                <w:sz w:val="18"/>
                <w:szCs w:val="18"/>
                <w:color w:val="auto"/>
              </w:rPr>
              <w:t>Shopify</w:t>
            </w:r>
          </w:p>
        </w:tc>
        <w:tc>
          <w:tcPr>
            <w:tcW w:w="2580" w:type="dxa"/>
            <w:vAlign w:val="bottom"/>
            <w:shd w:val="clear" w:color="auto" w:fill="DBDBDB"/>
          </w:tcPr>
          <w:p>
            <w:pPr>
              <w:ind w:left="700"/>
              <w:spacing w:after="0"/>
              <w:rPr>
                <w:sz w:val="20"/>
                <w:szCs w:val="20"/>
                <w:color w:val="auto"/>
              </w:rPr>
            </w:pPr>
            <w:r>
              <w:rPr>
                <w:rFonts w:ascii="Calibri" w:cs="Calibri" w:eastAsia="Calibri" w:hAnsi="Calibri"/>
                <w:sz w:val="18"/>
                <w:szCs w:val="18"/>
                <w:color w:val="auto"/>
              </w:rPr>
              <w:t>Zendesk</w:t>
            </w:r>
          </w:p>
        </w:tc>
      </w:tr>
      <w:tr>
        <w:trPr>
          <w:trHeight w:val="270"/>
        </w:trPr>
        <w:tc>
          <w:tcPr>
            <w:tcW w:w="1820" w:type="dxa"/>
            <w:vAlign w:val="bottom"/>
            <w:tcBorders>
              <w:bottom w:val="single" w:sz="8" w:color="auto"/>
            </w:tcBorders>
          </w:tcPr>
          <w:p>
            <w:pPr>
              <w:ind w:left="20"/>
              <w:spacing w:after="0" w:line="270" w:lineRule="exact"/>
              <w:rPr>
                <w:sz w:val="20"/>
                <w:szCs w:val="20"/>
                <w:color w:val="auto"/>
              </w:rPr>
            </w:pPr>
            <w:r>
              <w:rPr>
                <w:rFonts w:ascii="Calibri" w:cs="Calibri" w:eastAsia="Calibri" w:hAnsi="Calibri"/>
                <w:sz w:val="18"/>
                <w:szCs w:val="18"/>
                <w:color w:val="auto"/>
              </w:rPr>
              <w:t>Datadog</w:t>
            </w:r>
            <w:r>
              <w:rPr>
                <w:rFonts w:ascii="Calibri" w:cs="Calibri" w:eastAsia="Calibri" w:hAnsi="Calibri"/>
                <w:sz w:val="23"/>
                <w:szCs w:val="23"/>
                <w:color w:val="auto"/>
                <w:vertAlign w:val="superscript"/>
              </w:rPr>
              <w:t>(2)</w:t>
            </w:r>
          </w:p>
        </w:tc>
        <w:tc>
          <w:tcPr>
            <w:tcW w:w="2520" w:type="dxa"/>
            <w:vAlign w:val="bottom"/>
            <w:tcBorders>
              <w:bottom w:val="single" w:sz="8" w:color="auto"/>
            </w:tcBorders>
          </w:tcPr>
          <w:p>
            <w:pPr>
              <w:ind w:left="440"/>
              <w:spacing w:after="0"/>
              <w:rPr>
                <w:sz w:val="20"/>
                <w:szCs w:val="20"/>
                <w:color w:val="auto"/>
              </w:rPr>
            </w:pPr>
            <w:r>
              <w:rPr>
                <w:rFonts w:ascii="Calibri" w:cs="Calibri" w:eastAsia="Calibri" w:hAnsi="Calibri"/>
                <w:sz w:val="18"/>
                <w:szCs w:val="18"/>
                <w:color w:val="auto"/>
              </w:rPr>
              <w:t>MarketAxess Holdings</w:t>
            </w:r>
          </w:p>
        </w:tc>
        <w:tc>
          <w:tcPr>
            <w:tcW w:w="2240" w:type="dxa"/>
            <w:vAlign w:val="bottom"/>
            <w:tcBorders>
              <w:bottom w:val="single" w:sz="8" w:color="auto"/>
            </w:tcBorders>
          </w:tcPr>
          <w:p>
            <w:pPr>
              <w:ind w:left="500"/>
              <w:spacing w:after="0"/>
              <w:rPr>
                <w:sz w:val="20"/>
                <w:szCs w:val="20"/>
                <w:color w:val="auto"/>
              </w:rPr>
            </w:pPr>
            <w:r>
              <w:rPr>
                <w:rFonts w:ascii="Calibri" w:cs="Calibri" w:eastAsia="Calibri" w:hAnsi="Calibri"/>
                <w:sz w:val="18"/>
                <w:szCs w:val="18"/>
                <w:color w:val="auto"/>
              </w:rPr>
              <w:t>Paylocity Holding</w:t>
            </w:r>
          </w:p>
        </w:tc>
        <w:tc>
          <w:tcPr>
            <w:tcW w:w="2060" w:type="dxa"/>
            <w:vAlign w:val="bottom"/>
            <w:tcBorders>
              <w:bottom w:val="single" w:sz="8" w:color="auto"/>
            </w:tcBorders>
          </w:tcPr>
          <w:p>
            <w:pPr>
              <w:ind w:left="500"/>
              <w:spacing w:after="0"/>
              <w:rPr>
                <w:sz w:val="20"/>
                <w:szCs w:val="20"/>
                <w:color w:val="auto"/>
              </w:rPr>
            </w:pPr>
            <w:r>
              <w:rPr>
                <w:rFonts w:ascii="Calibri" w:cs="Calibri" w:eastAsia="Calibri" w:hAnsi="Calibri"/>
                <w:sz w:val="18"/>
                <w:szCs w:val="18"/>
                <w:color w:val="auto"/>
              </w:rPr>
              <w:t>Square</w:t>
            </w:r>
          </w:p>
        </w:tc>
        <w:tc>
          <w:tcPr>
            <w:tcW w:w="2580" w:type="dxa"/>
            <w:vAlign w:val="bottom"/>
            <w:tcBorders>
              <w:bottom w:val="single" w:sz="8" w:color="auto"/>
            </w:tcBorders>
          </w:tcPr>
          <w:p>
            <w:pPr>
              <w:ind w:left="700"/>
              <w:spacing w:after="0" w:line="270" w:lineRule="exact"/>
              <w:rPr>
                <w:sz w:val="20"/>
                <w:szCs w:val="20"/>
                <w:color w:val="auto"/>
              </w:rPr>
            </w:pPr>
            <w:r>
              <w:rPr>
                <w:rFonts w:ascii="Calibri" w:cs="Calibri" w:eastAsia="Calibri" w:hAnsi="Calibri"/>
                <w:sz w:val="18"/>
                <w:szCs w:val="18"/>
                <w:color w:val="auto"/>
              </w:rPr>
              <w:t>Zscaler</w:t>
            </w:r>
            <w:r>
              <w:rPr>
                <w:rFonts w:ascii="Calibri" w:cs="Calibri" w:eastAsia="Calibri" w:hAnsi="Calibri"/>
                <w:sz w:val="23"/>
                <w:szCs w:val="23"/>
                <w:color w:val="auto"/>
                <w:vertAlign w:val="superscript"/>
              </w:rPr>
              <w:t>(2)</w:t>
            </w:r>
          </w:p>
        </w:tc>
      </w:tr>
    </w:tbl>
    <w:p>
      <w:pPr>
        <w:spacing w:after="0" w:line="107" w:lineRule="exact"/>
        <w:rPr>
          <w:sz w:val="20"/>
          <w:szCs w:val="20"/>
          <w:color w:val="auto"/>
        </w:rPr>
      </w:pPr>
    </w:p>
    <w:p>
      <w:pPr>
        <w:ind w:left="340" w:hanging="332"/>
        <w:spacing w:after="0" w:line="233" w:lineRule="auto"/>
        <w:tabs>
          <w:tab w:leader="none" w:pos="346"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following companies were removed from the peer group used to evaluate fscal 2022 compensaton decisions: Botomline Technologies, Lending Club, LendingTree, and New Relic. These companies were removed due to a diference in size and scale.</w:t>
      </w:r>
    </w:p>
    <w:p>
      <w:pPr>
        <w:spacing w:after="0" w:line="45" w:lineRule="exact"/>
        <w:rPr>
          <w:rFonts w:ascii="Calibri" w:cs="Calibri" w:eastAsia="Calibri" w:hAnsi="Calibri"/>
          <w:sz w:val="14"/>
          <w:szCs w:val="14"/>
          <w:color w:val="auto"/>
        </w:rPr>
      </w:pPr>
    </w:p>
    <w:p>
      <w:pPr>
        <w:ind w:left="300" w:hanging="292"/>
        <w:spacing w:after="0"/>
        <w:tabs>
          <w:tab w:leader="none" w:pos="30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Represents a new peer company for fscal 2022, which was selected based on the peer group selecton criteria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ectPr>
          <w:pgSz w:w="11900" w:h="16838" w:orient="portrait"/>
          <w:cols w:equalWidth="0" w:num="1">
            <w:col w:w="11240"/>
          </w:cols>
          <w:pgMar w:left="320" w:top="1408" w:right="339" w:bottom="1440" w:gutter="0" w:footer="0" w:header="0"/>
          <w:type w:val="continuous"/>
        </w:sectPr>
      </w:pPr>
    </w:p>
    <w:bookmarkStart w:id="31" w:name="page32"/>
    <w:bookmarkEnd w:id="31"/>
    <w:p>
      <w:pPr>
        <w:spacing w:after="0" w:line="21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This compensaton peer group was used by the Compensaton Commitee and independent directors as a reference for understanding the compettve market for executve positons in our industry. The Compensaton Commitee also reviewed survey data for sofware companies with similar size, scale, complexity and geographic locaton as a reference. The independent directors used data drawn from the companies in our compensaton peer group and survey data from Radford Global Technology Survey to evaluate the compettve market when determining the total compensaton packages for our named executve ofcers, including base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salary, annual cash incentve opportunites and long-term incentve compensaton opportunites and making recommendatons for the total compensaton package of our CEO.</w:t>
      </w:r>
    </w:p>
    <w:p>
      <w:pPr>
        <w:spacing w:after="0" w:line="178"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Compensaton Commitee reviews our compensaton peer group at least annually and makes adjustments to its compositon if warranted, taking into account changes in both our business and the businesses of the companies in the compensaton peer group.</w:t>
      </w:r>
    </w:p>
    <w:p>
      <w:pPr>
        <w:spacing w:after="0" w:line="461" w:lineRule="exact"/>
        <w:rPr>
          <w:sz w:val="20"/>
          <w:szCs w:val="20"/>
          <w:color w:val="auto"/>
        </w:rPr>
      </w:pPr>
    </w:p>
    <w:p>
      <w:pPr>
        <w:sectPr>
          <w:pgSz w:w="11900" w:h="16838" w:orient="portrait"/>
          <w:cols w:equalWidth="0" w:num="2">
            <w:col w:w="5420" w:space="300"/>
            <w:col w:w="5520"/>
          </w:cols>
          <w:pgMar w:left="320" w:top="1440" w:right="339" w:bottom="1440" w:gutter="0" w:footer="0" w:header="0"/>
        </w:sectPr>
      </w:pP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Compensaton Elements</w:t>
      </w:r>
    </w:p>
    <w:p>
      <w:pPr>
        <w:spacing w:after="0" w:line="18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Generally, our executve compensaton program consists of three principal elements – base salary, annual cash incentve opportunites, and long-term incentve compensaton in the form of equity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Pr>
          <w:p>
            <w:pPr>
              <w:jc w:val="center"/>
              <w:spacing w:after="0"/>
              <w:rPr>
                <w:sz w:val="20"/>
                <w:szCs w:val="20"/>
                <w:color w:val="auto"/>
              </w:rPr>
            </w:pPr>
            <w:r>
              <w:rPr>
                <w:rFonts w:ascii="Calibri" w:cs="Calibri" w:eastAsia="Calibri" w:hAnsi="Calibri"/>
                <w:sz w:val="16"/>
                <w:szCs w:val="16"/>
                <w:b w:val="1"/>
                <w:bCs w:val="1"/>
                <w:color w:val="auto"/>
              </w:rPr>
              <w:t>Element</w:t>
            </w:r>
          </w:p>
        </w:tc>
        <w:tc>
          <w:tcPr>
            <w:tcW w:w="132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Type of Element</w:t>
            </w:r>
          </w:p>
        </w:tc>
        <w:tc>
          <w:tcPr>
            <w:tcW w:w="3440" w:type="dxa"/>
            <w:vAlign w:val="bottom"/>
          </w:tcPr>
          <w:p>
            <w:pPr>
              <w:ind w:left="880"/>
              <w:spacing w:after="0"/>
              <w:rPr>
                <w:sz w:val="20"/>
                <w:szCs w:val="20"/>
                <w:color w:val="auto"/>
              </w:rPr>
            </w:pPr>
            <w:r>
              <w:rPr>
                <w:rFonts w:ascii="Calibri" w:cs="Calibri" w:eastAsia="Calibri" w:hAnsi="Calibri"/>
                <w:sz w:val="16"/>
                <w:szCs w:val="16"/>
                <w:b w:val="1"/>
                <w:bCs w:val="1"/>
                <w:color w:val="auto"/>
              </w:rPr>
              <w:t>Compensaton Element</w:t>
            </w:r>
          </w:p>
        </w:tc>
        <w:tc>
          <w:tcPr>
            <w:tcW w:w="4320" w:type="dxa"/>
            <w:vAlign w:val="bottom"/>
          </w:tcPr>
          <w:p>
            <w:pPr>
              <w:jc w:val="center"/>
              <w:spacing w:after="0"/>
              <w:rPr>
                <w:sz w:val="20"/>
                <w:szCs w:val="20"/>
                <w:color w:val="auto"/>
              </w:rPr>
            </w:pPr>
            <w:r>
              <w:rPr>
                <w:rFonts w:ascii="Calibri" w:cs="Calibri" w:eastAsia="Calibri" w:hAnsi="Calibri"/>
                <w:sz w:val="16"/>
                <w:szCs w:val="16"/>
                <w:b w:val="1"/>
                <w:bCs w:val="1"/>
                <w:color w:val="auto"/>
              </w:rPr>
              <w:t>Objectve</w:t>
            </w:r>
          </w:p>
        </w:tc>
        <w:tc>
          <w:tcPr>
            <w:tcW w:w="0" w:type="dxa"/>
            <w:vAlign w:val="bottom"/>
          </w:tcPr>
          <w:p>
            <w:pPr>
              <w:spacing w:after="0"/>
              <w:rPr>
                <w:sz w:val="1"/>
                <w:szCs w:val="1"/>
                <w:color w:val="auto"/>
              </w:rPr>
            </w:pPr>
          </w:p>
        </w:tc>
      </w:tr>
      <w:tr>
        <w:trPr>
          <w:trHeight w:val="54"/>
        </w:trPr>
        <w:tc>
          <w:tcPr>
            <w:tcW w:w="2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14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3440" w:type="dxa"/>
            <w:vAlign w:val="bottom"/>
            <w:shd w:val="clear" w:color="auto" w:fill="DBDBDB"/>
          </w:tcPr>
          <w:p>
            <w:pPr>
              <w:spacing w:after="0"/>
              <w:rPr>
                <w:sz w:val="14"/>
                <w:szCs w:val="14"/>
                <w:color w:val="auto"/>
              </w:rPr>
            </w:pPr>
          </w:p>
        </w:tc>
        <w:tc>
          <w:tcPr>
            <w:tcW w:w="4320" w:type="dxa"/>
            <w:vAlign w:val="bottom"/>
            <w:shd w:val="clear" w:color="auto" w:fill="DBDBDB"/>
          </w:tcPr>
          <w:p>
            <w:pPr>
              <w:jc w:val="center"/>
              <w:spacing w:after="0" w:line="164" w:lineRule="exact"/>
              <w:rPr>
                <w:sz w:val="20"/>
                <w:szCs w:val="20"/>
                <w:color w:val="auto"/>
              </w:rPr>
            </w:pPr>
            <w:r>
              <w:rPr>
                <w:rFonts w:ascii="Calibri" w:cs="Calibri" w:eastAsia="Calibri" w:hAnsi="Calibri"/>
                <w:sz w:val="16"/>
                <w:szCs w:val="16"/>
                <w:color w:val="auto"/>
              </w:rPr>
              <w:t>Atract and retain executves by providing fxed compensaton</w:t>
            </w:r>
          </w:p>
        </w:tc>
        <w:tc>
          <w:tcPr>
            <w:tcW w:w="0" w:type="dxa"/>
            <w:vAlign w:val="bottom"/>
          </w:tcPr>
          <w:p>
            <w:pPr>
              <w:spacing w:after="0"/>
              <w:rPr>
                <w:sz w:val="1"/>
                <w:szCs w:val="1"/>
                <w:color w:val="auto"/>
              </w:rPr>
            </w:pPr>
          </w:p>
        </w:tc>
      </w:tr>
      <w:tr>
        <w:trPr>
          <w:trHeight w:val="189"/>
        </w:trPr>
        <w:tc>
          <w:tcPr>
            <w:tcW w:w="2140" w:type="dxa"/>
            <w:vAlign w:val="bottom"/>
            <w:shd w:val="clear" w:color="auto" w:fill="DBDBDB"/>
          </w:tcPr>
          <w:p>
            <w:pPr>
              <w:jc w:val="center"/>
              <w:spacing w:after="0" w:line="189" w:lineRule="exact"/>
              <w:rPr>
                <w:sz w:val="20"/>
                <w:szCs w:val="20"/>
                <w:color w:val="auto"/>
              </w:rPr>
            </w:pPr>
            <w:r>
              <w:rPr>
                <w:rFonts w:ascii="Calibri" w:cs="Calibri" w:eastAsia="Calibri" w:hAnsi="Calibri"/>
                <w:sz w:val="16"/>
                <w:szCs w:val="16"/>
                <w:color w:val="auto"/>
              </w:rPr>
              <w:t>Base Salary</w:t>
            </w:r>
          </w:p>
        </w:tc>
        <w:tc>
          <w:tcPr>
            <w:tcW w:w="1320" w:type="dxa"/>
            <w:vAlign w:val="bottom"/>
            <w:shd w:val="clear" w:color="auto" w:fill="DBDBDB"/>
          </w:tcPr>
          <w:p>
            <w:pPr>
              <w:jc w:val="center"/>
              <w:spacing w:after="0" w:line="189" w:lineRule="exact"/>
              <w:rPr>
                <w:sz w:val="20"/>
                <w:szCs w:val="20"/>
                <w:color w:val="auto"/>
              </w:rPr>
            </w:pPr>
            <w:r>
              <w:rPr>
                <w:rFonts w:ascii="Calibri" w:cs="Calibri" w:eastAsia="Calibri" w:hAnsi="Calibri"/>
                <w:sz w:val="16"/>
                <w:szCs w:val="16"/>
                <w:color w:val="auto"/>
                <w:w w:val="98"/>
              </w:rPr>
              <w:t>Fixed</w:t>
            </w:r>
          </w:p>
        </w:tc>
        <w:tc>
          <w:tcPr>
            <w:tcW w:w="3440" w:type="dxa"/>
            <w:vAlign w:val="bottom"/>
            <w:shd w:val="clear" w:color="auto" w:fill="DBDBDB"/>
          </w:tcPr>
          <w:p>
            <w:pPr>
              <w:ind w:left="1540"/>
              <w:spacing w:after="0" w:line="189" w:lineRule="exact"/>
              <w:rPr>
                <w:sz w:val="20"/>
                <w:szCs w:val="20"/>
                <w:color w:val="auto"/>
              </w:rPr>
            </w:pPr>
            <w:r>
              <w:rPr>
                <w:rFonts w:ascii="Calibri" w:cs="Calibri" w:eastAsia="Calibri" w:hAnsi="Calibri"/>
                <w:sz w:val="16"/>
                <w:szCs w:val="16"/>
                <w:color w:val="auto"/>
              </w:rPr>
              <w:t>Cash</w:t>
            </w:r>
          </w:p>
        </w:tc>
        <w:tc>
          <w:tcPr>
            <w:tcW w:w="4320" w:type="dxa"/>
            <w:vAlign w:val="bottom"/>
            <w:shd w:val="clear" w:color="auto" w:fill="DBDBDB"/>
          </w:tcPr>
          <w:p>
            <w:pPr>
              <w:jc w:val="center"/>
              <w:spacing w:after="0" w:line="189" w:lineRule="exact"/>
              <w:rPr>
                <w:sz w:val="20"/>
                <w:szCs w:val="20"/>
                <w:color w:val="auto"/>
              </w:rPr>
            </w:pPr>
            <w:r>
              <w:rPr>
                <w:rFonts w:ascii="Calibri" w:cs="Calibri" w:eastAsia="Calibri" w:hAnsi="Calibri"/>
                <w:sz w:val="16"/>
                <w:szCs w:val="16"/>
                <w:color w:val="auto"/>
              </w:rPr>
              <w:t>amounts that are compettve in the market and reward</w:t>
            </w:r>
          </w:p>
        </w:tc>
        <w:tc>
          <w:tcPr>
            <w:tcW w:w="0" w:type="dxa"/>
            <w:vAlign w:val="bottom"/>
          </w:tcPr>
          <w:p>
            <w:pPr>
              <w:spacing w:after="0"/>
              <w:rPr>
                <w:sz w:val="1"/>
                <w:szCs w:val="1"/>
                <w:color w:val="auto"/>
              </w:rPr>
            </w:pPr>
          </w:p>
        </w:tc>
      </w:tr>
      <w:tr>
        <w:trPr>
          <w:trHeight w:val="253"/>
        </w:trPr>
        <w:tc>
          <w:tcPr>
            <w:tcW w:w="214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c>
          <w:tcPr>
            <w:tcW w:w="3440" w:type="dxa"/>
            <w:vAlign w:val="bottom"/>
            <w:tcBorders>
              <w:bottom w:val="single" w:sz="8" w:color="DBDBDB"/>
            </w:tcBorders>
            <w:shd w:val="clear" w:color="auto" w:fill="DBDBDB"/>
          </w:tcPr>
          <w:p>
            <w:pPr>
              <w:spacing w:after="0"/>
              <w:rPr>
                <w:sz w:val="21"/>
                <w:szCs w:val="21"/>
                <w:color w:val="auto"/>
              </w:rPr>
            </w:pPr>
          </w:p>
        </w:tc>
        <w:tc>
          <w:tcPr>
            <w:tcW w:w="432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performance</w:t>
            </w:r>
          </w:p>
        </w:tc>
        <w:tc>
          <w:tcPr>
            <w:tcW w:w="0" w:type="dxa"/>
            <w:vAlign w:val="bottom"/>
          </w:tcPr>
          <w:p>
            <w:pPr>
              <w:spacing w:after="0"/>
              <w:rPr>
                <w:sz w:val="1"/>
                <w:szCs w:val="1"/>
                <w:color w:val="auto"/>
              </w:rPr>
            </w:pPr>
          </w:p>
        </w:tc>
      </w:tr>
      <w:tr>
        <w:trPr>
          <w:trHeight w:val="164"/>
        </w:trPr>
        <w:tc>
          <w:tcPr>
            <w:tcW w:w="214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6"/>
                <w:szCs w:val="16"/>
                <w:color w:val="auto"/>
              </w:rPr>
              <w:t>Annual Cash Incentve</w:t>
            </w:r>
          </w:p>
        </w:tc>
        <w:tc>
          <w:tcPr>
            <w:tcW w:w="1320" w:type="dxa"/>
            <w:vAlign w:val="bottom"/>
            <w:tcBorders>
              <w:top w:val="single" w:sz="8" w:color="auto"/>
            </w:tcBorders>
          </w:tcPr>
          <w:p>
            <w:pPr>
              <w:spacing w:after="0"/>
              <w:rPr>
                <w:sz w:val="14"/>
                <w:szCs w:val="14"/>
                <w:color w:val="auto"/>
              </w:rPr>
            </w:pPr>
          </w:p>
        </w:tc>
        <w:tc>
          <w:tcPr>
            <w:tcW w:w="3440" w:type="dxa"/>
            <w:vAlign w:val="bottom"/>
            <w:tcBorders>
              <w:top w:val="single" w:sz="8" w:color="auto"/>
            </w:tcBorders>
          </w:tcPr>
          <w:p>
            <w:pPr>
              <w:spacing w:after="0"/>
              <w:rPr>
                <w:sz w:val="14"/>
                <w:szCs w:val="14"/>
                <w:color w:val="auto"/>
              </w:rPr>
            </w:pPr>
          </w:p>
        </w:tc>
        <w:tc>
          <w:tcPr>
            <w:tcW w:w="4320" w:type="dxa"/>
            <w:vAlign w:val="bottom"/>
            <w:tcBorders>
              <w:top w:val="single" w:sz="8" w:color="auto"/>
            </w:tcBorders>
          </w:tcPr>
          <w:p>
            <w:pPr>
              <w:jc w:val="center"/>
              <w:spacing w:after="0" w:line="164" w:lineRule="exact"/>
              <w:rPr>
                <w:sz w:val="20"/>
                <w:szCs w:val="20"/>
                <w:color w:val="auto"/>
              </w:rPr>
            </w:pPr>
            <w:r>
              <w:rPr>
                <w:rFonts w:ascii="Calibri" w:cs="Calibri" w:eastAsia="Calibri" w:hAnsi="Calibri"/>
                <w:sz w:val="16"/>
                <w:szCs w:val="16"/>
                <w:color w:val="auto"/>
              </w:rPr>
              <w:t>Motvate our executves to achieve annual business objectves</w:t>
            </w:r>
          </w:p>
        </w:tc>
        <w:tc>
          <w:tcPr>
            <w:tcW w:w="0" w:type="dxa"/>
            <w:vAlign w:val="bottom"/>
          </w:tcPr>
          <w:p>
            <w:pPr>
              <w:spacing w:after="0"/>
              <w:rPr>
                <w:sz w:val="1"/>
                <w:szCs w:val="1"/>
                <w:color w:val="auto"/>
              </w:rPr>
            </w:pPr>
          </w:p>
        </w:tc>
      </w:tr>
      <w:tr>
        <w:trPr>
          <w:trHeight w:val="81"/>
        </w:trPr>
        <w:tc>
          <w:tcPr>
            <w:tcW w:w="2140" w:type="dxa"/>
            <w:vAlign w:val="bottom"/>
            <w:vMerge w:val="continue"/>
          </w:tcPr>
          <w:p>
            <w:pPr>
              <w:spacing w:after="0"/>
              <w:rPr>
                <w:sz w:val="7"/>
                <w:szCs w:val="7"/>
                <w:color w:val="auto"/>
              </w:rPr>
            </w:pPr>
          </w:p>
        </w:tc>
        <w:tc>
          <w:tcPr>
            <w:tcW w:w="1320" w:type="dxa"/>
            <w:vAlign w:val="bottom"/>
            <w:vMerge w:val="restart"/>
          </w:tcPr>
          <w:p>
            <w:pPr>
              <w:jc w:val="center"/>
              <w:spacing w:after="0" w:line="189" w:lineRule="exact"/>
              <w:rPr>
                <w:sz w:val="20"/>
                <w:szCs w:val="20"/>
                <w:color w:val="auto"/>
              </w:rPr>
            </w:pPr>
            <w:r>
              <w:rPr>
                <w:rFonts w:ascii="Calibri" w:cs="Calibri" w:eastAsia="Calibri" w:hAnsi="Calibri"/>
                <w:sz w:val="16"/>
                <w:szCs w:val="16"/>
                <w:color w:val="auto"/>
              </w:rPr>
              <w:t>Variable</w:t>
            </w:r>
          </w:p>
        </w:tc>
        <w:tc>
          <w:tcPr>
            <w:tcW w:w="3440" w:type="dxa"/>
            <w:vAlign w:val="bottom"/>
            <w:vMerge w:val="restart"/>
          </w:tcPr>
          <w:p>
            <w:pPr>
              <w:ind w:left="1540"/>
              <w:spacing w:after="0" w:line="189" w:lineRule="exact"/>
              <w:rPr>
                <w:sz w:val="20"/>
                <w:szCs w:val="20"/>
                <w:color w:val="auto"/>
              </w:rPr>
            </w:pPr>
            <w:r>
              <w:rPr>
                <w:rFonts w:ascii="Calibri" w:cs="Calibri" w:eastAsia="Calibri" w:hAnsi="Calibri"/>
                <w:sz w:val="16"/>
                <w:szCs w:val="16"/>
                <w:color w:val="auto"/>
              </w:rPr>
              <w:t>Cash</w:t>
            </w:r>
          </w:p>
        </w:tc>
        <w:tc>
          <w:tcPr>
            <w:tcW w:w="4320" w:type="dxa"/>
            <w:vAlign w:val="bottom"/>
            <w:vMerge w:val="restart"/>
          </w:tcPr>
          <w:p>
            <w:pPr>
              <w:jc w:val="center"/>
              <w:spacing w:after="0" w:line="189" w:lineRule="exact"/>
              <w:rPr>
                <w:sz w:val="20"/>
                <w:szCs w:val="20"/>
                <w:color w:val="auto"/>
              </w:rPr>
            </w:pPr>
            <w:r>
              <w:rPr>
                <w:rFonts w:ascii="Calibri" w:cs="Calibri" w:eastAsia="Calibri" w:hAnsi="Calibri"/>
                <w:sz w:val="16"/>
                <w:szCs w:val="16"/>
                <w:color w:val="auto"/>
              </w:rPr>
              <w:t>and provide fnancial incentves when we meet or exceed these</w:t>
            </w:r>
          </w:p>
        </w:tc>
        <w:tc>
          <w:tcPr>
            <w:tcW w:w="0" w:type="dxa"/>
            <w:vAlign w:val="bottom"/>
          </w:tcPr>
          <w:p>
            <w:pPr>
              <w:spacing w:after="0"/>
              <w:rPr>
                <w:sz w:val="1"/>
                <w:szCs w:val="1"/>
                <w:color w:val="auto"/>
              </w:rPr>
            </w:pPr>
          </w:p>
        </w:tc>
      </w:tr>
      <w:tr>
        <w:trPr>
          <w:trHeight w:val="108"/>
        </w:trPr>
        <w:tc>
          <w:tcPr>
            <w:tcW w:w="2140" w:type="dxa"/>
            <w:vAlign w:val="bottom"/>
            <w:vMerge w:val="restart"/>
          </w:tcPr>
          <w:p>
            <w:pPr>
              <w:jc w:val="center"/>
              <w:spacing w:after="0" w:line="193" w:lineRule="exact"/>
              <w:rPr>
                <w:sz w:val="20"/>
                <w:szCs w:val="20"/>
                <w:color w:val="auto"/>
              </w:rPr>
            </w:pPr>
            <w:r>
              <w:rPr>
                <w:rFonts w:ascii="Calibri" w:cs="Calibri" w:eastAsia="Calibri" w:hAnsi="Calibri"/>
                <w:sz w:val="16"/>
                <w:szCs w:val="16"/>
                <w:color w:val="auto"/>
              </w:rPr>
              <w:t>Opportunites</w:t>
            </w:r>
          </w:p>
        </w:tc>
        <w:tc>
          <w:tcPr>
            <w:tcW w:w="1320" w:type="dxa"/>
            <w:vAlign w:val="bottom"/>
            <w:vMerge w:val="continue"/>
          </w:tcPr>
          <w:p>
            <w:pPr>
              <w:spacing w:after="0"/>
              <w:rPr>
                <w:sz w:val="9"/>
                <w:szCs w:val="9"/>
                <w:color w:val="auto"/>
              </w:rPr>
            </w:pPr>
          </w:p>
        </w:tc>
        <w:tc>
          <w:tcPr>
            <w:tcW w:w="3440" w:type="dxa"/>
            <w:vAlign w:val="bottom"/>
            <w:vMerge w:val="continue"/>
          </w:tcPr>
          <w:p>
            <w:pPr>
              <w:spacing w:after="0"/>
              <w:rPr>
                <w:sz w:val="9"/>
                <w:szCs w:val="9"/>
                <w:color w:val="auto"/>
              </w:rPr>
            </w:pP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14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4320" w:type="dxa"/>
            <w:vAlign w:val="bottom"/>
            <w:vMerge w:val="restart"/>
          </w:tcPr>
          <w:p>
            <w:pPr>
              <w:jc w:val="center"/>
              <w:spacing w:after="0" w:line="193" w:lineRule="exact"/>
              <w:rPr>
                <w:sz w:val="20"/>
                <w:szCs w:val="20"/>
                <w:color w:val="auto"/>
              </w:rPr>
            </w:pPr>
            <w:r>
              <w:rPr>
                <w:rFonts w:ascii="Calibri" w:cs="Calibri" w:eastAsia="Calibri" w:hAnsi="Calibri"/>
                <w:sz w:val="16"/>
                <w:szCs w:val="16"/>
                <w:color w:val="auto"/>
              </w:rPr>
              <w:t>objectves</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14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rPr>
              <w:t>Long-Term Incentve</w:t>
            </w:r>
          </w:p>
        </w:tc>
        <w:tc>
          <w:tcPr>
            <w:tcW w:w="1320" w:type="dxa"/>
            <w:vAlign w:val="bottom"/>
            <w:shd w:val="clear" w:color="auto" w:fill="DBDBDB"/>
          </w:tcPr>
          <w:p>
            <w:pPr>
              <w:spacing w:after="0"/>
              <w:rPr>
                <w:sz w:val="14"/>
                <w:szCs w:val="14"/>
                <w:color w:val="auto"/>
              </w:rPr>
            </w:pPr>
          </w:p>
        </w:tc>
        <w:tc>
          <w:tcPr>
            <w:tcW w:w="3440" w:type="dxa"/>
            <w:vAlign w:val="bottom"/>
            <w:shd w:val="clear" w:color="auto" w:fill="DBDBDB"/>
          </w:tcPr>
          <w:p>
            <w:pPr>
              <w:ind w:left="140"/>
              <w:spacing w:after="0" w:line="164" w:lineRule="exact"/>
              <w:rPr>
                <w:sz w:val="20"/>
                <w:szCs w:val="20"/>
                <w:color w:val="auto"/>
              </w:rPr>
            </w:pPr>
            <w:r>
              <w:rPr>
                <w:rFonts w:ascii="Calibri" w:cs="Calibri" w:eastAsia="Calibri" w:hAnsi="Calibri"/>
                <w:sz w:val="16"/>
                <w:szCs w:val="16"/>
                <w:color w:val="auto"/>
              </w:rPr>
              <w:t>Equity awards in the form of optons to purchase</w:t>
            </w:r>
          </w:p>
        </w:tc>
        <w:tc>
          <w:tcPr>
            <w:tcW w:w="4320" w:type="dxa"/>
            <w:vAlign w:val="bottom"/>
            <w:vMerge w:val="restart"/>
            <w:shd w:val="clear" w:color="auto" w:fill="DBDBDB"/>
          </w:tcPr>
          <w:p>
            <w:pPr>
              <w:jc w:val="center"/>
              <w:spacing w:after="0"/>
              <w:rPr>
                <w:sz w:val="20"/>
                <w:szCs w:val="20"/>
                <w:color w:val="auto"/>
              </w:rPr>
            </w:pPr>
            <w:r>
              <w:rPr>
                <w:rFonts w:ascii="Calibri" w:cs="Calibri" w:eastAsia="Calibri" w:hAnsi="Calibri"/>
                <w:sz w:val="16"/>
                <w:szCs w:val="16"/>
                <w:color w:val="auto"/>
              </w:rPr>
              <w:t>Align the interests of our executves and our stockholders by</w:t>
            </w:r>
          </w:p>
        </w:tc>
        <w:tc>
          <w:tcPr>
            <w:tcW w:w="0" w:type="dxa"/>
            <w:vAlign w:val="bottom"/>
          </w:tcPr>
          <w:p>
            <w:pPr>
              <w:spacing w:after="0"/>
              <w:rPr>
                <w:sz w:val="1"/>
                <w:szCs w:val="1"/>
                <w:color w:val="auto"/>
              </w:rPr>
            </w:pPr>
          </w:p>
        </w:tc>
      </w:tr>
      <w:tr>
        <w:trPr>
          <w:trHeight w:val="95"/>
        </w:trPr>
        <w:tc>
          <w:tcPr>
            <w:tcW w:w="2140" w:type="dxa"/>
            <w:vAlign w:val="bottom"/>
            <w:vMerge w:val="continue"/>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440" w:type="dxa"/>
            <w:vAlign w:val="bottom"/>
            <w:vMerge w:val="restart"/>
            <w:shd w:val="clear" w:color="auto" w:fill="DBDBDB"/>
          </w:tcPr>
          <w:p>
            <w:pPr>
              <w:jc w:val="center"/>
              <w:ind w:left="39"/>
              <w:spacing w:after="0" w:line="189" w:lineRule="exact"/>
              <w:rPr>
                <w:sz w:val="20"/>
                <w:szCs w:val="20"/>
                <w:color w:val="auto"/>
              </w:rPr>
            </w:pPr>
            <w:r>
              <w:rPr>
                <w:rFonts w:ascii="Calibri" w:cs="Calibri" w:eastAsia="Calibri" w:hAnsi="Calibri"/>
                <w:sz w:val="16"/>
                <w:szCs w:val="16"/>
                <w:color w:val="auto"/>
              </w:rPr>
              <w:t>shares of our Class A common stock and RSU</w:t>
            </w:r>
          </w:p>
        </w:tc>
        <w:tc>
          <w:tcPr>
            <w:tcW w:w="43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40" w:type="dxa"/>
            <w:vAlign w:val="bottom"/>
            <w:vMerge w:val="restart"/>
            <w:shd w:val="clear" w:color="auto" w:fill="DBDBDB"/>
          </w:tcPr>
          <w:p>
            <w:pPr>
              <w:jc w:val="center"/>
              <w:spacing w:after="0" w:line="189" w:lineRule="exact"/>
              <w:rPr>
                <w:sz w:val="20"/>
                <w:szCs w:val="20"/>
                <w:color w:val="auto"/>
              </w:rPr>
            </w:pPr>
            <w:r>
              <w:rPr>
                <w:rFonts w:ascii="Calibri" w:cs="Calibri" w:eastAsia="Calibri" w:hAnsi="Calibri"/>
                <w:sz w:val="16"/>
                <w:szCs w:val="16"/>
                <w:color w:val="auto"/>
              </w:rPr>
              <w:t>Compensaton in the Form of</w:t>
            </w:r>
          </w:p>
        </w:tc>
        <w:tc>
          <w:tcPr>
            <w:tcW w:w="1320" w:type="dxa"/>
            <w:vAlign w:val="bottom"/>
            <w:vMerge w:val="restart"/>
            <w:shd w:val="clear" w:color="auto" w:fill="DBDBDB"/>
          </w:tcPr>
          <w:p>
            <w:pPr>
              <w:jc w:val="center"/>
              <w:spacing w:after="0" w:line="189" w:lineRule="exact"/>
              <w:rPr>
                <w:sz w:val="20"/>
                <w:szCs w:val="20"/>
                <w:color w:val="auto"/>
              </w:rPr>
            </w:pPr>
            <w:r>
              <w:rPr>
                <w:rFonts w:ascii="Calibri" w:cs="Calibri" w:eastAsia="Calibri" w:hAnsi="Calibri"/>
                <w:sz w:val="16"/>
                <w:szCs w:val="16"/>
                <w:color w:val="auto"/>
              </w:rPr>
              <w:t>Variable</w:t>
            </w:r>
          </w:p>
        </w:tc>
        <w:tc>
          <w:tcPr>
            <w:tcW w:w="3440" w:type="dxa"/>
            <w:vAlign w:val="bottom"/>
            <w:vMerge w:val="continue"/>
            <w:shd w:val="clear" w:color="auto" w:fill="DBDBDB"/>
          </w:tcPr>
          <w:p>
            <w:pPr>
              <w:spacing w:after="0"/>
              <w:rPr>
                <w:sz w:val="8"/>
                <w:szCs w:val="8"/>
                <w:color w:val="auto"/>
              </w:rPr>
            </w:pPr>
          </w:p>
        </w:tc>
        <w:tc>
          <w:tcPr>
            <w:tcW w:w="4320" w:type="dxa"/>
            <w:vAlign w:val="bottom"/>
            <w:vMerge w:val="restart"/>
            <w:shd w:val="clear" w:color="auto" w:fill="DBDBDB"/>
          </w:tcPr>
          <w:p>
            <w:pPr>
              <w:jc w:val="center"/>
              <w:spacing w:after="0" w:line="189" w:lineRule="exact"/>
              <w:rPr>
                <w:sz w:val="20"/>
                <w:szCs w:val="20"/>
                <w:color w:val="auto"/>
              </w:rPr>
            </w:pPr>
            <w:r>
              <w:rPr>
                <w:rFonts w:ascii="Calibri" w:cs="Calibri" w:eastAsia="Calibri" w:hAnsi="Calibri"/>
                <w:sz w:val="16"/>
                <w:szCs w:val="16"/>
                <w:color w:val="auto"/>
              </w:rPr>
              <w:t>motvatng them to create sustainable long-term stockholder</w:t>
            </w:r>
          </w:p>
        </w:tc>
        <w:tc>
          <w:tcPr>
            <w:tcW w:w="0" w:type="dxa"/>
            <w:vAlign w:val="bottom"/>
          </w:tcPr>
          <w:p>
            <w:pPr>
              <w:spacing w:after="0"/>
              <w:rPr>
                <w:sz w:val="1"/>
                <w:szCs w:val="1"/>
                <w:color w:val="auto"/>
              </w:rPr>
            </w:pPr>
          </w:p>
        </w:tc>
      </w:tr>
      <w:tr>
        <w:trPr>
          <w:trHeight w:val="95"/>
        </w:trPr>
        <w:tc>
          <w:tcPr>
            <w:tcW w:w="2140" w:type="dxa"/>
            <w:vAlign w:val="bottom"/>
            <w:vMerge w:val="continue"/>
            <w:shd w:val="clear" w:color="auto" w:fill="DBDBDB"/>
          </w:tcPr>
          <w:p>
            <w:pPr>
              <w:spacing w:after="0"/>
              <w:rPr>
                <w:sz w:val="8"/>
                <w:szCs w:val="8"/>
                <w:color w:val="auto"/>
              </w:rPr>
            </w:pPr>
          </w:p>
        </w:tc>
        <w:tc>
          <w:tcPr>
            <w:tcW w:w="1320" w:type="dxa"/>
            <w:vAlign w:val="bottom"/>
            <w:vMerge w:val="continue"/>
            <w:shd w:val="clear" w:color="auto" w:fill="DBDBDB"/>
          </w:tcPr>
          <w:p>
            <w:pPr>
              <w:spacing w:after="0"/>
              <w:rPr>
                <w:sz w:val="8"/>
                <w:szCs w:val="8"/>
                <w:color w:val="auto"/>
              </w:rPr>
            </w:pPr>
          </w:p>
        </w:tc>
        <w:tc>
          <w:tcPr>
            <w:tcW w:w="3440" w:type="dxa"/>
            <w:vAlign w:val="bottom"/>
            <w:vMerge w:val="restart"/>
            <w:shd w:val="clear" w:color="auto" w:fill="DBDBDB"/>
          </w:tcPr>
          <w:p>
            <w:pPr>
              <w:jc w:val="center"/>
              <w:ind w:left="39"/>
              <w:spacing w:after="0" w:line="189" w:lineRule="exact"/>
              <w:rPr>
                <w:sz w:val="20"/>
                <w:szCs w:val="20"/>
                <w:color w:val="auto"/>
              </w:rPr>
            </w:pPr>
            <w:r>
              <w:rPr>
                <w:rFonts w:ascii="Calibri" w:cs="Calibri" w:eastAsia="Calibri" w:hAnsi="Calibri"/>
                <w:sz w:val="16"/>
                <w:szCs w:val="16"/>
                <w:color w:val="auto"/>
              </w:rPr>
              <w:t>awards that setle for shares of our Class A</w:t>
            </w:r>
          </w:p>
        </w:tc>
        <w:tc>
          <w:tcPr>
            <w:tcW w:w="43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40" w:type="dxa"/>
            <w:vAlign w:val="bottom"/>
            <w:vMerge w:val="restart"/>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Equity Awards</w:t>
            </w:r>
          </w:p>
        </w:tc>
        <w:tc>
          <w:tcPr>
            <w:tcW w:w="1320" w:type="dxa"/>
            <w:vAlign w:val="bottom"/>
            <w:shd w:val="clear" w:color="auto" w:fill="DBDBDB"/>
          </w:tcPr>
          <w:p>
            <w:pPr>
              <w:spacing w:after="0"/>
              <w:rPr>
                <w:sz w:val="8"/>
                <w:szCs w:val="8"/>
                <w:color w:val="auto"/>
              </w:rPr>
            </w:pPr>
          </w:p>
        </w:tc>
        <w:tc>
          <w:tcPr>
            <w:tcW w:w="3440" w:type="dxa"/>
            <w:vAlign w:val="bottom"/>
            <w:vMerge w:val="continue"/>
            <w:shd w:val="clear" w:color="auto" w:fill="DBDBDB"/>
          </w:tcPr>
          <w:p>
            <w:pPr>
              <w:spacing w:after="0"/>
              <w:rPr>
                <w:sz w:val="8"/>
                <w:szCs w:val="8"/>
                <w:color w:val="auto"/>
              </w:rPr>
            </w:pPr>
          </w:p>
        </w:tc>
        <w:tc>
          <w:tcPr>
            <w:tcW w:w="4320" w:type="dxa"/>
            <w:vAlign w:val="bottom"/>
            <w:vMerge w:val="restart"/>
            <w:shd w:val="clear" w:color="auto" w:fill="DBDBDB"/>
          </w:tcPr>
          <w:p>
            <w:pPr>
              <w:jc w:val="center"/>
              <w:spacing w:after="0" w:line="193" w:lineRule="exact"/>
              <w:rPr>
                <w:sz w:val="20"/>
                <w:szCs w:val="20"/>
                <w:color w:val="auto"/>
              </w:rPr>
            </w:pPr>
            <w:r>
              <w:rPr>
                <w:rFonts w:ascii="Calibri" w:cs="Calibri" w:eastAsia="Calibri" w:hAnsi="Calibri"/>
                <w:sz w:val="16"/>
                <w:szCs w:val="16"/>
                <w:color w:val="auto"/>
                <w:w w:val="97"/>
              </w:rPr>
              <w:t>value</w:t>
            </w:r>
          </w:p>
        </w:tc>
        <w:tc>
          <w:tcPr>
            <w:tcW w:w="0" w:type="dxa"/>
            <w:vAlign w:val="bottom"/>
          </w:tcPr>
          <w:p>
            <w:pPr>
              <w:spacing w:after="0"/>
              <w:rPr>
                <w:sz w:val="1"/>
                <w:szCs w:val="1"/>
                <w:color w:val="auto"/>
              </w:rPr>
            </w:pPr>
          </w:p>
        </w:tc>
      </w:tr>
      <w:tr>
        <w:trPr>
          <w:trHeight w:val="99"/>
        </w:trPr>
        <w:tc>
          <w:tcPr>
            <w:tcW w:w="2140" w:type="dxa"/>
            <w:vAlign w:val="bottom"/>
            <w:vMerge w:val="continue"/>
            <w:shd w:val="clear" w:color="auto" w:fill="DBDBDB"/>
          </w:tcPr>
          <w:p>
            <w:pPr>
              <w:spacing w:after="0"/>
              <w:rPr>
                <w:sz w:val="8"/>
                <w:szCs w:val="8"/>
                <w:color w:val="auto"/>
              </w:rPr>
            </w:pPr>
          </w:p>
        </w:tc>
        <w:tc>
          <w:tcPr>
            <w:tcW w:w="1320" w:type="dxa"/>
            <w:vAlign w:val="bottom"/>
            <w:shd w:val="clear" w:color="auto" w:fill="DBDBDB"/>
          </w:tcPr>
          <w:p>
            <w:pPr>
              <w:spacing w:after="0"/>
              <w:rPr>
                <w:sz w:val="8"/>
                <w:szCs w:val="8"/>
                <w:color w:val="auto"/>
              </w:rPr>
            </w:pPr>
          </w:p>
        </w:tc>
        <w:tc>
          <w:tcPr>
            <w:tcW w:w="3440" w:type="dxa"/>
            <w:vAlign w:val="bottom"/>
            <w:vMerge w:val="restart"/>
            <w:shd w:val="clear" w:color="auto" w:fill="DBDBDB"/>
          </w:tcPr>
          <w:p>
            <w:pPr>
              <w:jc w:val="center"/>
              <w:ind w:left="39"/>
              <w:spacing w:after="0" w:line="193" w:lineRule="exact"/>
              <w:rPr>
                <w:sz w:val="20"/>
                <w:szCs w:val="20"/>
                <w:color w:val="auto"/>
              </w:rPr>
            </w:pPr>
            <w:r>
              <w:rPr>
                <w:rFonts w:ascii="Calibri" w:cs="Calibri" w:eastAsia="Calibri" w:hAnsi="Calibri"/>
                <w:sz w:val="16"/>
                <w:szCs w:val="16"/>
                <w:color w:val="auto"/>
              </w:rPr>
              <w:t>common stock</w:t>
            </w:r>
          </w:p>
        </w:tc>
        <w:tc>
          <w:tcPr>
            <w:tcW w:w="43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DBDBDB"/>
            </w:tcBorders>
            <w:shd w:val="clear" w:color="auto" w:fill="DBDBDB"/>
          </w:tcPr>
          <w:p>
            <w:pPr>
              <w:spacing w:after="0"/>
              <w:rPr>
                <w:sz w:val="11"/>
                <w:szCs w:val="11"/>
                <w:color w:val="auto"/>
              </w:rPr>
            </w:pPr>
          </w:p>
        </w:tc>
        <w:tc>
          <w:tcPr>
            <w:tcW w:w="1320" w:type="dxa"/>
            <w:vAlign w:val="bottom"/>
            <w:tcBorders>
              <w:bottom w:val="single" w:sz="8" w:color="DBDBDB"/>
            </w:tcBorders>
            <w:shd w:val="clear" w:color="auto" w:fill="DBDBDB"/>
          </w:tcPr>
          <w:p>
            <w:pPr>
              <w:spacing w:after="0"/>
              <w:rPr>
                <w:sz w:val="11"/>
                <w:szCs w:val="11"/>
                <w:color w:val="auto"/>
              </w:rPr>
            </w:pPr>
          </w:p>
        </w:tc>
        <w:tc>
          <w:tcPr>
            <w:tcW w:w="3440" w:type="dxa"/>
            <w:vAlign w:val="bottom"/>
            <w:tcBorders>
              <w:bottom w:val="single" w:sz="8" w:color="DBDBDB"/>
            </w:tcBorders>
            <w:vMerge w:val="continue"/>
            <w:shd w:val="clear" w:color="auto" w:fill="DBDBDB"/>
          </w:tcPr>
          <w:p>
            <w:pPr>
              <w:spacing w:after="0"/>
              <w:rPr>
                <w:sz w:val="11"/>
                <w:szCs w:val="11"/>
                <w:color w:val="auto"/>
              </w:rPr>
            </w:pPr>
          </w:p>
        </w:tc>
        <w:tc>
          <w:tcPr>
            <w:tcW w:w="432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Base Salary</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Base salary represents the fxed porton of the compensaton of our named executve ofcers and is an important element of compensaton intended to atract and retain highly talented individuals. Generally, we use base salary to provide each named executve ofcer with a specifed level of cash compensaton during the fscal year with the expectaton that he or she will perform his or her responsibilites to the best of his or her ability and in our best interests.</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we establish the inital base salary of each of our named executve ofcers through arm’s-length negotaton at the tme we hire the individual, taking into account his or her positon, qualifcatons, experience, prior salary level, and the base salaries of our other executve ofcers. Thereafer, the members of the Compensaton Commitee review the base salaries of our named executve ofcers each year as part of its annual review of our executve compensaton program. With input from our CEO (except with respect to his own base salary), the Compensaton Commitee makes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to base salary as they determine to be reasonable and necessary to refect the scope of a named executve ofcer’s performance, individual contributons and responsibilites. The Compensaton Commitee also considers positoning in the case of a promoton and market conditons.</w:t>
      </w:r>
    </w:p>
    <w:p>
      <w:pPr>
        <w:spacing w:after="0" w:line="179"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In December 2021, the Compensaton Commitee reviewed the base salaries of our named executve ofcers, taking into consideraton a compettve market analysis prepared by Compensia and the recommendatons of our CEO (except with respect to his own base salary), as well as the other factors described in “</w:t>
      </w:r>
      <w:r>
        <w:rPr>
          <w:rFonts w:ascii="Calibri" w:cs="Calibri" w:eastAsia="Calibri" w:hAnsi="Calibri"/>
          <w:sz w:val="18"/>
          <w:szCs w:val="18"/>
          <w:i w:val="1"/>
          <w:iCs w:val="1"/>
          <w:color w:val="auto"/>
        </w:rPr>
        <w:t>Compensaton-Setng Process—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Setng Base Salaries and Long-Term Incentve Compensaton Opportunites</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above. Following this review, the Compensaton Commitee determined to adjust the base salaries of each of our named executve ofcers to bring their base salaries to levels that were comparable to those of similarly situated executves in the compettve marketplace (other than our CEO’s base salary which was adjusted by our Board in</w:t>
      </w:r>
    </w:p>
    <w:p>
      <w:pPr>
        <w:spacing w:after="0" w:line="417" w:lineRule="exact"/>
        <w:rPr>
          <w:sz w:val="20"/>
          <w:szCs w:val="20"/>
          <w:color w:val="auto"/>
        </w:rPr>
      </w:pPr>
    </w:p>
    <w:p>
      <w:pPr>
        <w:sectPr>
          <w:pgSz w:w="11900" w:h="16838" w:orient="portrait"/>
          <w:cols w:equalWidth="0" w:num="2">
            <w:col w:w="5420" w:space="30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28</w:t>
      </w:r>
    </w:p>
    <w:p>
      <w:pPr>
        <w:sectPr>
          <w:pgSz w:w="11900" w:h="16838" w:orient="portrait"/>
          <w:cols w:equalWidth="0" w:num="1">
            <w:col w:w="11240"/>
          </w:cols>
          <w:pgMar w:left="320" w:top="1440" w:right="339" w:bottom="1440" w:gutter="0" w:footer="0" w:header="0"/>
          <w:type w:val="continuous"/>
        </w:sectPr>
      </w:pPr>
    </w:p>
    <w:bookmarkStart w:id="32" w:name="page33"/>
    <w:bookmarkEnd w:id="32"/>
    <w:p>
      <w:pPr>
        <w:jc w:val="both"/>
        <w:spacing w:after="0" w:line="235" w:lineRule="auto"/>
        <w:rPr>
          <w:sz w:val="20"/>
          <w:szCs w:val="20"/>
          <w:color w:val="auto"/>
        </w:rPr>
      </w:pPr>
      <w:r>
        <w:rPr>
          <w:rFonts w:ascii="Calibri" w:cs="Calibri" w:eastAsia="Calibri" w:hAnsi="Calibri"/>
          <w:sz w:val="18"/>
          <w:szCs w:val="18"/>
          <w:color w:val="auto"/>
        </w:rPr>
        <w:t>December 2021, efectve as of July 1, 2021, to comply with minimum wage requirements under applicable California laws in efect at that tme). The base salary</w:t>
      </w:r>
    </w:p>
    <w:p>
      <w:pPr>
        <w:spacing w:after="0" w:line="20" w:lineRule="exact"/>
        <w:rPr>
          <w:sz w:val="20"/>
          <w:szCs w:val="20"/>
          <w:color w:val="auto"/>
        </w:rPr>
      </w:pPr>
      <w:r>
        <w:rPr>
          <w:sz w:val="20"/>
          <w:szCs w:val="20"/>
          <w:color w:val="auto"/>
        </w:rPr>
        <w:br w:type="column"/>
      </w:r>
    </w:p>
    <w:p>
      <w:pPr>
        <w:ind w:right="100"/>
        <w:spacing w:after="0" w:line="235" w:lineRule="auto"/>
        <w:rPr>
          <w:sz w:val="20"/>
          <w:szCs w:val="20"/>
          <w:color w:val="auto"/>
        </w:rPr>
      </w:pPr>
      <w:r>
        <w:rPr>
          <w:rFonts w:ascii="Calibri" w:cs="Calibri" w:eastAsia="Calibri" w:hAnsi="Calibri"/>
          <w:sz w:val="18"/>
          <w:szCs w:val="18"/>
          <w:color w:val="auto"/>
        </w:rPr>
        <w:t>adjustments were efectve January 1, 2022, except for the CEO’s adjustment, which was efectve July 1, 2021.</w:t>
      </w:r>
    </w:p>
    <w:p>
      <w:pPr>
        <w:spacing w:after="0" w:line="415" w:lineRule="exact"/>
        <w:rPr>
          <w:sz w:val="20"/>
          <w:szCs w:val="20"/>
          <w:color w:val="auto"/>
        </w:rPr>
      </w:pPr>
    </w:p>
    <w:p>
      <w:pPr>
        <w:sectPr>
          <w:pgSz w:w="11900" w:h="16838" w:orient="portrait"/>
          <w:cols w:equalWidth="0" w:num="2">
            <w:col w:w="5420" w:space="300"/>
            <w:col w:w="5500"/>
          </w:cols>
          <w:pgMar w:left="320" w:top="1413" w:right="359" w:bottom="1440" w:gutter="0" w:footer="0" w:header="0"/>
        </w:sectPr>
      </w:pP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fscal 2022, the base salaries of our named executve ofcers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Calibri" w:cs="Calibri" w:eastAsia="Calibri" w:hAnsi="Calibri"/>
                <w:sz w:val="16"/>
                <w:szCs w:val="16"/>
                <w:b w:val="1"/>
                <w:bCs w:val="1"/>
                <w:color w:val="auto"/>
              </w:rPr>
              <w:t>Fiscal 2021 Ending Base</w:t>
            </w:r>
          </w:p>
        </w:tc>
        <w:tc>
          <w:tcPr>
            <w:tcW w:w="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Calibri" w:cs="Calibri" w:eastAsia="Calibri" w:hAnsi="Calibri"/>
                <w:sz w:val="16"/>
                <w:szCs w:val="16"/>
                <w:b w:val="1"/>
                <w:bCs w:val="1"/>
                <w:color w:val="auto"/>
              </w:rPr>
              <w:t>Fiscal 2022 Ending Base</w:t>
            </w:r>
          </w:p>
        </w:tc>
        <w:tc>
          <w:tcPr>
            <w:tcW w:w="100" w:type="dxa"/>
            <w:vAlign w:val="bottom"/>
          </w:tcPr>
          <w:p>
            <w:pPr>
              <w:spacing w:after="0"/>
              <w:rPr>
                <w:sz w:val="16"/>
                <w:szCs w:val="16"/>
                <w:color w:val="auto"/>
              </w:rPr>
            </w:pPr>
          </w:p>
        </w:tc>
        <w:tc>
          <w:tcPr>
            <w:tcW w:w="178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Percentage Adjustment</w:t>
            </w:r>
          </w:p>
        </w:tc>
      </w:tr>
      <w:tr>
        <w:trPr>
          <w:trHeight w:val="176"/>
        </w:trPr>
        <w:tc>
          <w:tcPr>
            <w:tcW w:w="54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Calibri" w:cs="Calibri" w:eastAsia="Calibri" w:hAnsi="Calibri"/>
                <w:sz w:val="16"/>
                <w:szCs w:val="16"/>
                <w:b w:val="1"/>
                <w:bCs w:val="1"/>
                <w:color w:val="auto"/>
              </w:rPr>
              <w:t>Salary</w:t>
            </w:r>
          </w:p>
        </w:tc>
        <w:tc>
          <w:tcPr>
            <w:tcW w:w="80" w:type="dxa"/>
            <w:vAlign w:val="bottom"/>
          </w:tcPr>
          <w:p>
            <w:pPr>
              <w:spacing w:after="0"/>
              <w:rPr>
                <w:sz w:val="15"/>
                <w:szCs w:val="15"/>
                <w:color w:val="auto"/>
              </w:rPr>
            </w:pPr>
          </w:p>
        </w:tc>
        <w:tc>
          <w:tcPr>
            <w:tcW w:w="2020" w:type="dxa"/>
            <w:vAlign w:val="bottom"/>
          </w:tcPr>
          <w:p>
            <w:pPr>
              <w:jc w:val="right"/>
              <w:ind w:right="719"/>
              <w:spacing w:after="0" w:line="175" w:lineRule="exact"/>
              <w:rPr>
                <w:sz w:val="20"/>
                <w:szCs w:val="20"/>
                <w:color w:val="auto"/>
              </w:rPr>
            </w:pPr>
            <w:r>
              <w:rPr>
                <w:rFonts w:ascii="Calibri" w:cs="Calibri" w:eastAsia="Calibri" w:hAnsi="Calibri"/>
                <w:sz w:val="16"/>
                <w:szCs w:val="16"/>
                <w:b w:val="1"/>
                <w:bCs w:val="1"/>
                <w:color w:val="auto"/>
              </w:rPr>
              <w:t>Salary</w:t>
            </w:r>
          </w:p>
        </w:tc>
        <w:tc>
          <w:tcPr>
            <w:tcW w:w="1880" w:type="dxa"/>
            <w:vAlign w:val="bottom"/>
            <w:gridSpan w:val="2"/>
          </w:tcPr>
          <w:p>
            <w:pPr>
              <w:jc w:val="right"/>
              <w:ind w:right="699"/>
              <w:spacing w:after="0" w:line="175" w:lineRule="exact"/>
              <w:rPr>
                <w:sz w:val="20"/>
                <w:szCs w:val="20"/>
                <w:color w:val="auto"/>
              </w:rPr>
            </w:pPr>
            <w:r>
              <w:rPr>
                <w:rFonts w:ascii="Calibri" w:cs="Calibri" w:eastAsia="Calibri" w:hAnsi="Calibri"/>
                <w:sz w:val="16"/>
                <w:szCs w:val="16"/>
                <w:b w:val="1"/>
                <w:bCs w:val="1"/>
                <w:color w:val="auto"/>
              </w:rPr>
              <w:t>(%)</w:t>
            </w:r>
          </w:p>
        </w:tc>
      </w:tr>
      <w:tr>
        <w:trPr>
          <w:trHeight w:val="234"/>
        </w:trPr>
        <w:tc>
          <w:tcPr>
            <w:tcW w:w="54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Named Executve Ofcer</w:t>
            </w:r>
          </w:p>
        </w:tc>
        <w:tc>
          <w:tcPr>
            <w:tcW w:w="1780" w:type="dxa"/>
            <w:vAlign w:val="bottom"/>
            <w:tcBorders>
              <w:bottom w:val="single" w:sz="8" w:color="auto"/>
            </w:tcBorders>
          </w:tcPr>
          <w:p>
            <w:pPr>
              <w:jc w:val="center"/>
              <w:spacing w:after="0" w:line="234" w:lineRule="exact"/>
              <w:rPr>
                <w:sz w:val="20"/>
                <w:szCs w:val="20"/>
                <w:color w:val="auto"/>
              </w:rPr>
            </w:pPr>
            <w:r>
              <w:rPr>
                <w:rFonts w:ascii="Calibri" w:cs="Calibri" w:eastAsia="Calibri" w:hAnsi="Calibri"/>
                <w:sz w:val="16"/>
                <w:szCs w:val="16"/>
                <w:b w:val="1"/>
                <w:bCs w:val="1"/>
                <w:color w:val="auto"/>
                <w:w w:val="88"/>
              </w:rPr>
              <w:t>($)</w:t>
            </w:r>
            <w:r>
              <w:rPr>
                <w:rFonts w:ascii="Calibri" w:cs="Calibri" w:eastAsia="Calibri" w:hAnsi="Calibri"/>
                <w:sz w:val="21"/>
                <w:szCs w:val="21"/>
                <w:b w:val="1"/>
                <w:bCs w:val="1"/>
                <w:color w:val="auto"/>
                <w:w w:val="88"/>
                <w:vertAlign w:val="superscript"/>
              </w:rPr>
              <w:t>(1)</w:t>
            </w:r>
          </w:p>
        </w:tc>
        <w:tc>
          <w:tcPr>
            <w:tcW w:w="2100" w:type="dxa"/>
            <w:vAlign w:val="bottom"/>
            <w:tcBorders>
              <w:bottom w:val="single" w:sz="8" w:color="auto"/>
            </w:tcBorders>
            <w:gridSpan w:val="2"/>
          </w:tcPr>
          <w:p>
            <w:pPr>
              <w:jc w:val="right"/>
              <w:ind w:right="599"/>
              <w:spacing w:after="0" w:line="234" w:lineRule="exact"/>
              <w:rPr>
                <w:sz w:val="20"/>
                <w:szCs w:val="20"/>
                <w:color w:val="auto"/>
              </w:rPr>
            </w:pPr>
            <w:r>
              <w:rPr>
                <w:rFonts w:ascii="Calibri" w:cs="Calibri" w:eastAsia="Calibri" w:hAnsi="Calibri"/>
                <w:sz w:val="16"/>
                <w:szCs w:val="16"/>
                <w:b w:val="1"/>
                <w:bCs w:val="1"/>
                <w:color w:val="auto"/>
              </w:rPr>
              <w:t>($)</w:t>
            </w:r>
            <w:r>
              <w:rPr>
                <w:rFonts w:ascii="Calibri" w:cs="Calibri" w:eastAsia="Calibri" w:hAnsi="Calibri"/>
                <w:sz w:val="21"/>
                <w:szCs w:val="21"/>
                <w:b w:val="1"/>
                <w:bCs w:val="1"/>
                <w:color w:val="auto"/>
                <w:vertAlign w:val="superscript"/>
              </w:rPr>
              <w:t>(2)</w:t>
            </w: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237"/>
        </w:trPr>
        <w:tc>
          <w:tcPr>
            <w:tcW w:w="5460" w:type="dxa"/>
            <w:vAlign w:val="bottom"/>
            <w:shd w:val="clear" w:color="auto" w:fill="DBDBDB"/>
          </w:tcPr>
          <w:p>
            <w:pPr>
              <w:ind w:left="20"/>
              <w:spacing w:after="0" w:line="237" w:lineRule="exact"/>
              <w:rPr>
                <w:sz w:val="20"/>
                <w:szCs w:val="20"/>
                <w:color w:val="auto"/>
              </w:rPr>
            </w:pPr>
            <w:r>
              <w:rPr>
                <w:rFonts w:ascii="Calibri" w:cs="Calibri" w:eastAsia="Calibri" w:hAnsi="Calibri"/>
                <w:sz w:val="16"/>
                <w:szCs w:val="16"/>
                <w:color w:val="auto"/>
              </w:rPr>
              <w:t>Max Levchin</w:t>
            </w:r>
            <w:r>
              <w:rPr>
                <w:rFonts w:ascii="Calibri" w:cs="Calibri" w:eastAsia="Calibri" w:hAnsi="Calibri"/>
                <w:sz w:val="21"/>
                <w:szCs w:val="21"/>
                <w:color w:val="auto"/>
                <w:vertAlign w:val="superscript"/>
              </w:rPr>
              <w:t>(3)</w:t>
            </w:r>
          </w:p>
        </w:tc>
        <w:tc>
          <w:tcPr>
            <w:tcW w:w="17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10,000</w:t>
            </w:r>
          </w:p>
        </w:tc>
        <w:tc>
          <w:tcPr>
            <w:tcW w:w="2100" w:type="dxa"/>
            <w:vAlign w:val="bottom"/>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29,122</w:t>
            </w:r>
          </w:p>
        </w:tc>
        <w:tc>
          <w:tcPr>
            <w:tcW w:w="1880" w:type="dxa"/>
            <w:vAlign w:val="bottom"/>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191 %</w:t>
            </w:r>
          </w:p>
        </w:tc>
      </w:tr>
      <w:tr>
        <w:trPr>
          <w:trHeight w:val="187"/>
        </w:trPr>
        <w:tc>
          <w:tcPr>
            <w:tcW w:w="5460" w:type="dxa"/>
            <w:vAlign w:val="bottom"/>
            <w:tcBorders>
              <w:top w:val="single" w:sz="8" w:color="DBDBDB"/>
            </w:tcBorders>
          </w:tcPr>
          <w:p>
            <w:pPr>
              <w:ind w:left="20"/>
              <w:spacing w:after="0" w:line="187" w:lineRule="exact"/>
              <w:rPr>
                <w:sz w:val="20"/>
                <w:szCs w:val="20"/>
                <w:color w:val="auto"/>
              </w:rPr>
            </w:pPr>
            <w:r>
              <w:rPr>
                <w:rFonts w:ascii="Calibri" w:cs="Calibri" w:eastAsia="Calibri" w:hAnsi="Calibri"/>
                <w:sz w:val="16"/>
                <w:szCs w:val="16"/>
                <w:color w:val="auto"/>
              </w:rPr>
              <w:t>Michael Linford</w:t>
            </w:r>
          </w:p>
        </w:tc>
        <w:tc>
          <w:tcPr>
            <w:tcW w:w="1780" w:type="dxa"/>
            <w:vAlign w:val="bottom"/>
          </w:tcPr>
          <w:p>
            <w:pPr>
              <w:jc w:val="right"/>
              <w:spacing w:after="0" w:line="174" w:lineRule="exact"/>
              <w:rPr>
                <w:sz w:val="20"/>
                <w:szCs w:val="20"/>
                <w:color w:val="auto"/>
              </w:rPr>
            </w:pPr>
            <w:r>
              <w:rPr>
                <w:rFonts w:ascii="Calibri" w:cs="Calibri" w:eastAsia="Calibri" w:hAnsi="Calibri"/>
                <w:sz w:val="16"/>
                <w:szCs w:val="16"/>
                <w:color w:val="auto"/>
              </w:rPr>
              <w:t>440,000</w:t>
            </w:r>
          </w:p>
        </w:tc>
        <w:tc>
          <w:tcPr>
            <w:tcW w:w="80" w:type="dxa"/>
            <w:vAlign w:val="bottom"/>
            <w:tcBorders>
              <w:top w:val="single" w:sz="8" w:color="DBDBDB"/>
            </w:tcBorders>
          </w:tcPr>
          <w:p>
            <w:pPr>
              <w:spacing w:after="0"/>
              <w:rPr>
                <w:sz w:val="16"/>
                <w:szCs w:val="16"/>
                <w:color w:val="auto"/>
              </w:rPr>
            </w:pPr>
          </w:p>
        </w:tc>
        <w:tc>
          <w:tcPr>
            <w:tcW w:w="2020" w:type="dxa"/>
            <w:vAlign w:val="bottom"/>
          </w:tcPr>
          <w:p>
            <w:pPr>
              <w:jc w:val="right"/>
              <w:spacing w:after="0" w:line="174" w:lineRule="exact"/>
              <w:rPr>
                <w:sz w:val="20"/>
                <w:szCs w:val="20"/>
                <w:color w:val="auto"/>
              </w:rPr>
            </w:pPr>
            <w:r>
              <w:rPr>
                <w:rFonts w:ascii="Calibri" w:cs="Calibri" w:eastAsia="Calibri" w:hAnsi="Calibri"/>
                <w:sz w:val="16"/>
                <w:szCs w:val="16"/>
                <w:color w:val="auto"/>
              </w:rPr>
              <w:t>475,000</w:t>
            </w:r>
          </w:p>
        </w:tc>
        <w:tc>
          <w:tcPr>
            <w:tcW w:w="100" w:type="dxa"/>
            <w:vAlign w:val="bottom"/>
            <w:tcBorders>
              <w:top w:val="single" w:sz="8" w:color="DBDBDB"/>
            </w:tcBorders>
          </w:tcPr>
          <w:p>
            <w:pPr>
              <w:spacing w:after="0"/>
              <w:rPr>
                <w:sz w:val="16"/>
                <w:szCs w:val="16"/>
                <w:color w:val="auto"/>
              </w:rPr>
            </w:pPr>
          </w:p>
        </w:tc>
        <w:tc>
          <w:tcPr>
            <w:tcW w:w="1780" w:type="dxa"/>
            <w:vAlign w:val="bottom"/>
          </w:tcPr>
          <w:p>
            <w:pPr>
              <w:jc w:val="right"/>
              <w:spacing w:after="0" w:line="174" w:lineRule="exact"/>
              <w:rPr>
                <w:sz w:val="20"/>
                <w:szCs w:val="20"/>
                <w:color w:val="auto"/>
              </w:rPr>
            </w:pPr>
            <w:r>
              <w:rPr>
                <w:rFonts w:ascii="Calibri" w:cs="Calibri" w:eastAsia="Calibri" w:hAnsi="Calibri"/>
                <w:sz w:val="16"/>
                <w:szCs w:val="16"/>
                <w:color w:val="auto"/>
              </w:rPr>
              <w:t>8 %</w:t>
            </w:r>
          </w:p>
        </w:tc>
      </w:tr>
      <w:tr>
        <w:trPr>
          <w:trHeight w:val="36"/>
        </w:trPr>
        <w:tc>
          <w:tcPr>
            <w:tcW w:w="54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7"/>
        </w:trPr>
        <w:tc>
          <w:tcPr>
            <w:tcW w:w="5460" w:type="dxa"/>
            <w:vAlign w:val="bottom"/>
            <w:shd w:val="clear" w:color="auto" w:fill="DBDBDB"/>
          </w:tcPr>
          <w:p>
            <w:pPr>
              <w:ind w:left="20"/>
              <w:spacing w:after="0" w:line="253" w:lineRule="exact"/>
              <w:rPr>
                <w:sz w:val="20"/>
                <w:szCs w:val="20"/>
                <w:color w:val="auto"/>
              </w:rPr>
            </w:pPr>
            <w:r>
              <w:rPr>
                <w:rFonts w:ascii="Calibri" w:cs="Calibri" w:eastAsia="Calibri" w:hAnsi="Calibri"/>
                <w:sz w:val="16"/>
                <w:szCs w:val="16"/>
                <w:color w:val="auto"/>
              </w:rPr>
              <w:t>Katherine Adkins</w:t>
            </w:r>
            <w:r>
              <w:rPr>
                <w:rFonts w:ascii="Calibri" w:cs="Calibri" w:eastAsia="Calibri" w:hAnsi="Calibri"/>
                <w:sz w:val="21"/>
                <w:szCs w:val="21"/>
                <w:color w:val="auto"/>
                <w:vertAlign w:val="superscript"/>
              </w:rPr>
              <w:t>(4)</w:t>
            </w:r>
          </w:p>
        </w:tc>
        <w:tc>
          <w:tcPr>
            <w:tcW w:w="17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365,000</w:t>
            </w:r>
          </w:p>
        </w:tc>
        <w:tc>
          <w:tcPr>
            <w:tcW w:w="2100" w:type="dxa"/>
            <w:vAlign w:val="bottom"/>
            <w:gridSpan w:val="2"/>
            <w:shd w:val="clear" w:color="auto" w:fill="DBDBDB"/>
          </w:tcPr>
          <w:p>
            <w:pPr>
              <w:jc w:val="right"/>
              <w:spacing w:after="0"/>
              <w:rPr>
                <w:sz w:val="20"/>
                <w:szCs w:val="20"/>
                <w:color w:val="auto"/>
              </w:rPr>
            </w:pPr>
            <w:r>
              <w:rPr>
                <w:rFonts w:ascii="Calibri" w:cs="Calibri" w:eastAsia="Calibri" w:hAnsi="Calibri"/>
                <w:sz w:val="16"/>
                <w:szCs w:val="16"/>
                <w:color w:val="auto"/>
              </w:rPr>
              <w:t>425,000</w:t>
            </w:r>
          </w:p>
        </w:tc>
        <w:tc>
          <w:tcPr>
            <w:tcW w:w="1880" w:type="dxa"/>
            <w:vAlign w:val="bottom"/>
            <w:gridSpan w:val="2"/>
            <w:shd w:val="clear" w:color="auto" w:fill="DBDBDB"/>
          </w:tcPr>
          <w:p>
            <w:pPr>
              <w:jc w:val="right"/>
              <w:spacing w:after="0"/>
              <w:rPr>
                <w:sz w:val="20"/>
                <w:szCs w:val="20"/>
                <w:color w:val="auto"/>
              </w:rPr>
            </w:pPr>
            <w:r>
              <w:rPr>
                <w:rFonts w:ascii="Calibri" w:cs="Calibri" w:eastAsia="Calibri" w:hAnsi="Calibri"/>
                <w:sz w:val="16"/>
                <w:szCs w:val="16"/>
                <w:color w:val="auto"/>
              </w:rPr>
              <w:t>16 %</w:t>
            </w:r>
          </w:p>
        </w:tc>
      </w:tr>
      <w:tr>
        <w:trPr>
          <w:trHeight w:val="193"/>
        </w:trPr>
        <w:tc>
          <w:tcPr>
            <w:tcW w:w="5460" w:type="dxa"/>
            <w:vAlign w:val="bottom"/>
          </w:tcPr>
          <w:p>
            <w:pPr>
              <w:ind w:left="20"/>
              <w:spacing w:after="0" w:line="193" w:lineRule="exact"/>
              <w:rPr>
                <w:sz w:val="20"/>
                <w:szCs w:val="20"/>
                <w:color w:val="auto"/>
              </w:rPr>
            </w:pPr>
            <w:r>
              <w:rPr>
                <w:rFonts w:ascii="Calibri" w:cs="Calibri" w:eastAsia="Calibri" w:hAnsi="Calibri"/>
                <w:sz w:val="16"/>
                <w:szCs w:val="16"/>
                <w:color w:val="auto"/>
              </w:rPr>
              <w:t>Libor Michalek</w:t>
            </w:r>
          </w:p>
        </w:tc>
        <w:tc>
          <w:tcPr>
            <w:tcW w:w="1780" w:type="dxa"/>
            <w:vAlign w:val="bottom"/>
          </w:tcPr>
          <w:p>
            <w:pPr>
              <w:jc w:val="right"/>
              <w:spacing w:after="0" w:line="193" w:lineRule="exact"/>
              <w:rPr>
                <w:sz w:val="20"/>
                <w:szCs w:val="20"/>
                <w:color w:val="auto"/>
              </w:rPr>
            </w:pPr>
            <w:r>
              <w:rPr>
                <w:rFonts w:ascii="Calibri" w:cs="Calibri" w:eastAsia="Calibri" w:hAnsi="Calibri"/>
                <w:sz w:val="16"/>
                <w:szCs w:val="16"/>
                <w:color w:val="auto"/>
              </w:rPr>
              <w:t>465,000</w:t>
            </w:r>
          </w:p>
        </w:tc>
        <w:tc>
          <w:tcPr>
            <w:tcW w:w="2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475,000</w:t>
            </w:r>
          </w:p>
        </w:tc>
        <w:tc>
          <w:tcPr>
            <w:tcW w:w="18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2 %</w:t>
            </w:r>
          </w:p>
        </w:tc>
      </w:tr>
      <w:tr>
        <w:trPr>
          <w:trHeight w:val="50"/>
        </w:trPr>
        <w:tc>
          <w:tcPr>
            <w:tcW w:w="54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23"/>
        </w:trPr>
        <w:tc>
          <w:tcPr>
            <w:tcW w:w="54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Silvija Martncevic</w:t>
            </w:r>
          </w:p>
        </w:tc>
        <w:tc>
          <w:tcPr>
            <w:tcW w:w="17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440,000</w:t>
            </w:r>
          </w:p>
        </w:tc>
        <w:tc>
          <w:tcPr>
            <w:tcW w:w="2100" w:type="dxa"/>
            <w:vAlign w:val="bottom"/>
            <w:tcBorders>
              <w:bottom w:val="single" w:sz="8" w:color="DBDBDB"/>
            </w:tcBorders>
            <w:gridSpan w:val="2"/>
            <w:shd w:val="clear" w:color="auto" w:fill="DBDBDB"/>
          </w:tcPr>
          <w:p>
            <w:pPr>
              <w:jc w:val="right"/>
              <w:spacing w:after="0"/>
              <w:rPr>
                <w:sz w:val="20"/>
                <w:szCs w:val="20"/>
                <w:color w:val="auto"/>
              </w:rPr>
            </w:pPr>
            <w:r>
              <w:rPr>
                <w:rFonts w:ascii="Calibri" w:cs="Calibri" w:eastAsia="Calibri" w:hAnsi="Calibri"/>
                <w:sz w:val="16"/>
                <w:szCs w:val="16"/>
                <w:color w:val="auto"/>
              </w:rPr>
              <w:t>475,000</w:t>
            </w:r>
          </w:p>
        </w:tc>
        <w:tc>
          <w:tcPr>
            <w:tcW w:w="1880" w:type="dxa"/>
            <w:vAlign w:val="bottom"/>
            <w:tcBorders>
              <w:bottom w:val="single" w:sz="8" w:color="DBDBDB"/>
            </w:tcBorders>
            <w:gridSpan w:val="2"/>
            <w:shd w:val="clear" w:color="auto" w:fill="DBDBDB"/>
          </w:tcPr>
          <w:p>
            <w:pPr>
              <w:jc w:val="right"/>
              <w:spacing w:after="0"/>
              <w:rPr>
                <w:sz w:val="20"/>
                <w:szCs w:val="20"/>
                <w:color w:val="auto"/>
              </w:rPr>
            </w:pPr>
            <w:r>
              <w:rPr>
                <w:rFonts w:ascii="Calibri" w:cs="Calibri" w:eastAsia="Calibri" w:hAnsi="Calibri"/>
                <w:sz w:val="16"/>
                <w:szCs w:val="16"/>
                <w:color w:val="auto"/>
              </w:rPr>
              <w:t>8 %</w:t>
            </w:r>
          </w:p>
        </w:tc>
      </w:tr>
      <w:tr>
        <w:trPr>
          <w:trHeight w:val="20"/>
        </w:trPr>
        <w:tc>
          <w:tcPr>
            <w:tcW w:w="5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66" w:lineRule="exact"/>
        <w:rPr>
          <w:sz w:val="20"/>
          <w:szCs w:val="20"/>
          <w:color w:val="auto"/>
        </w:rPr>
      </w:pPr>
    </w:p>
    <w:p>
      <w:pPr>
        <w:ind w:left="300" w:hanging="292"/>
        <w:spacing w:after="0"/>
        <w:tabs>
          <w:tab w:leader="none" w:pos="30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Except for Mr. Levchin, these base salaries were in efect as of the end of fscal 2021 and remained in efect through December 31, 2021.</w:t>
      </w:r>
    </w:p>
    <w:p>
      <w:pPr>
        <w:spacing w:after="0" w:line="31" w:lineRule="exact"/>
        <w:rPr>
          <w:rFonts w:ascii="Calibri" w:cs="Calibri" w:eastAsia="Calibri" w:hAnsi="Calibri"/>
          <w:sz w:val="14"/>
          <w:szCs w:val="14"/>
          <w:color w:val="auto"/>
        </w:rPr>
      </w:pPr>
    </w:p>
    <w:p>
      <w:pPr>
        <w:ind w:left="300" w:hanging="292"/>
        <w:spacing w:after="0"/>
        <w:tabs>
          <w:tab w:leader="none" w:pos="30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These base salaries were efectve as of January 1, 2022.</w:t>
      </w:r>
    </w:p>
    <w:p>
      <w:pPr>
        <w:spacing w:after="0" w:line="45" w:lineRule="exact"/>
        <w:rPr>
          <w:rFonts w:ascii="Calibri" w:cs="Calibri" w:eastAsia="Calibri" w:hAnsi="Calibri"/>
          <w:sz w:val="14"/>
          <w:szCs w:val="14"/>
          <w:color w:val="auto"/>
        </w:rPr>
      </w:pPr>
    </w:p>
    <w:p>
      <w:pPr>
        <w:ind w:left="300" w:hanging="292"/>
        <w:spacing w:after="0"/>
        <w:tabs>
          <w:tab w:leader="none" w:pos="30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Mr. Levchin’s base salary was adjusted efectve at the beginning of fscal 2022 (July 1, 2021).</w:t>
      </w:r>
    </w:p>
    <w:p>
      <w:pPr>
        <w:spacing w:after="0" w:line="31" w:lineRule="exact"/>
        <w:rPr>
          <w:rFonts w:ascii="Calibri" w:cs="Calibri" w:eastAsia="Calibri" w:hAnsi="Calibri"/>
          <w:sz w:val="14"/>
          <w:szCs w:val="14"/>
          <w:color w:val="auto"/>
        </w:rPr>
      </w:pPr>
    </w:p>
    <w:p>
      <w:pPr>
        <w:ind w:left="300" w:hanging="292"/>
        <w:spacing w:after="0"/>
        <w:tabs>
          <w:tab w:leader="none" w:pos="30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Ms. Adkins was promoted to report directly to our CEO efectve January 1, 2022.</w:t>
      </w:r>
    </w:p>
    <w:p>
      <w:pPr>
        <w:spacing w:after="0" w:line="290" w:lineRule="exact"/>
        <w:rPr>
          <w:sz w:val="20"/>
          <w:szCs w:val="20"/>
          <w:color w:val="auto"/>
        </w:rPr>
      </w:pPr>
    </w:p>
    <w:p>
      <w:pPr>
        <w:spacing w:after="0"/>
        <w:rPr>
          <w:sz w:val="20"/>
          <w:szCs w:val="20"/>
          <w:color w:val="auto"/>
        </w:rPr>
      </w:pPr>
      <w:r>
        <w:rPr>
          <w:rFonts w:ascii="Calibri" w:cs="Calibri" w:eastAsia="Calibri" w:hAnsi="Calibri"/>
          <w:sz w:val="18"/>
          <w:szCs w:val="18"/>
          <w:color w:val="auto"/>
        </w:rPr>
        <w:t>The base salaries paid to our named executve ofcers during fscal 2022 are set forth in the “</w:t>
      </w:r>
      <w:r>
        <w:rPr>
          <w:rFonts w:ascii="Calibri" w:cs="Calibri" w:eastAsia="Calibri" w:hAnsi="Calibri"/>
          <w:sz w:val="18"/>
          <w:szCs w:val="18"/>
          <w:i w:val="1"/>
          <w:iCs w:val="1"/>
          <w:color w:val="auto"/>
        </w:rPr>
        <w:t>Fiscal 2022 Summary Compensaton Table</w:t>
      </w:r>
      <w:r>
        <w:rPr>
          <w:rFonts w:ascii="Calibri" w:cs="Calibri" w:eastAsia="Calibri" w:hAnsi="Calibri"/>
          <w:sz w:val="18"/>
          <w:szCs w:val="18"/>
          <w:color w:val="auto"/>
        </w:rPr>
        <w:t>” below.</w:t>
      </w:r>
    </w:p>
    <w:p>
      <w:pPr>
        <w:sectPr>
          <w:pgSz w:w="11900" w:h="16838" w:orient="portrait"/>
          <w:cols w:equalWidth="0" w:num="1">
            <w:col w:w="11220"/>
          </w:cols>
          <w:pgMar w:left="320" w:top="1413" w:right="35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Annual Cash Incentve Plan Opportunites: Cash Incentve Plan</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a cash incentve plan to provide our named executve ofcers (other than our CEO) with the opportunity to earn cash incentve plan awards based upon the achievement of Company short-term fnancial and operatonal performance goals. We use the cash incentve plan to motvate our named executve ofcers (other than our CEO) to achieve our fnancial and operatonal performance goals. Mr. Levchin does not partcipate in the cash incentve plan but instead receives nearly 100% of his target annual total direct compensaton opportunity in the form of long-term equity incentve compensaton designed to defer the realizaton of meaningful value untl the Company, under Mr. Levchin’s leadership, delivers sustained and signifcant high-performance levels as described under “</w:t>
      </w:r>
      <w:r>
        <w:rPr>
          <w:rFonts w:ascii="Calibri" w:cs="Calibri" w:eastAsia="Calibri" w:hAnsi="Calibri"/>
          <w:sz w:val="18"/>
          <w:szCs w:val="18"/>
          <w:i w:val="1"/>
          <w:iCs w:val="1"/>
          <w:color w:val="auto"/>
        </w:rPr>
        <w:t>Long-Term</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Incentve Plan Compensaton—CEO Long-Term Equity Compensaton</w:t>
      </w:r>
      <w:r>
        <w:rPr>
          <w:rFonts w:ascii="Calibri" w:cs="Calibri" w:eastAsia="Calibri" w:hAnsi="Calibri"/>
          <w:sz w:val="18"/>
          <w:szCs w:val="18"/>
          <w:color w:val="auto"/>
        </w:rPr>
        <w: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below.</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Pursuant to the cash incentve plan, the Compensaton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Fiscal 2022 Target Cash Incentve Plan Opportunites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cash incentve plan, the Compensaton Commitee established a target cash incentve plan opportunity for each named executve ofcer (other than our CEO) based upon a specifc percentage of each named executve ofcer’s actual base salary paid during the applicable performance period. In setng these percentages, the Compensaton Commitee took into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Commitee establishes a target cash incentve plan opportunity for each partcipant in the plan with actual awards payable based on actual performance against established fnancial and operatonal goals during the applicable performance period. For fscal 2022, the performance period was July 1, 2021 through June 30, 2022.</w:t>
      </w:r>
    </w:p>
    <w:p>
      <w:pPr>
        <w:spacing w:after="0" w:line="180"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To be eligible to earn cash incentve plan awards, a partcipant has to remain contnually employed by us through the end of the applicable performance period. Earned cash incentve plan awards, if any, are paid in cash within two- and one-half months following the end of the applicable performance period and afer the Compensaton Commitee has determined and certfed the level of performance achieved and the amount of the cash incentve plan awards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consideraton a compettve market analysis prepared by Compensia and the recommendatons of our CEO, as well as the other factors described in “</w:t>
      </w:r>
      <w:r>
        <w:rPr>
          <w:rFonts w:ascii="Calibri" w:cs="Calibri" w:eastAsia="Calibri" w:hAnsi="Calibri"/>
          <w:sz w:val="18"/>
          <w:szCs w:val="18"/>
          <w:i w:val="1"/>
          <w:iCs w:val="1"/>
          <w:color w:val="auto"/>
        </w:rPr>
        <w:t>Compensaton-Setng Process—Setng Annual Incentve Compensaton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Opportunites</w:t>
      </w:r>
      <w:r>
        <w:rPr>
          <w:rFonts w:ascii="Calibri" w:cs="Calibri" w:eastAsia="Calibri" w:hAnsi="Calibri"/>
          <w:sz w:val="18"/>
          <w:szCs w:val="18"/>
          <w:color w:val="auto"/>
        </w:rPr>
        <w:t>” above.</w:t>
      </w:r>
    </w:p>
    <w:p>
      <w:pPr>
        <w:spacing w:after="0" w:line="630" w:lineRule="exact"/>
        <w:rPr>
          <w:sz w:val="20"/>
          <w:szCs w:val="20"/>
          <w:color w:val="auto"/>
        </w:rPr>
      </w:pPr>
    </w:p>
    <w:p>
      <w:pPr>
        <w:sectPr>
          <w:pgSz w:w="11900" w:h="16838" w:orient="portrait"/>
          <w:cols w:equalWidth="0" w:num="2">
            <w:col w:w="5420" w:space="300"/>
            <w:col w:w="550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29</w:t>
      </w:r>
    </w:p>
    <w:p>
      <w:pPr>
        <w:sectPr>
          <w:pgSz w:w="11900" w:h="16838" w:orient="portrait"/>
          <w:cols w:equalWidth="0" w:num="1">
            <w:col w:w="11220"/>
          </w:cols>
          <w:pgMar w:left="320" w:top="1413" w:right="359" w:bottom="1440" w:gutter="0" w:footer="0" w:header="0"/>
          <w:type w:val="continuous"/>
        </w:sectPr>
      </w:pPr>
    </w:p>
    <w:bookmarkStart w:id="33" w:name="page34"/>
    <w:bookmarkEnd w:id="33"/>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The target cash incentve plan opportunites of our named executve ofcers for fscal 2022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4000" w:type="dxa"/>
            <w:vAlign w:val="bottom"/>
          </w:tcPr>
          <w:p>
            <w:pPr>
              <w:jc w:val="center"/>
              <w:ind w:left="319"/>
              <w:spacing w:after="0"/>
              <w:rPr>
                <w:sz w:val="20"/>
                <w:szCs w:val="20"/>
                <w:color w:val="auto"/>
              </w:rPr>
            </w:pPr>
            <w:r>
              <w:rPr>
                <w:rFonts w:ascii="Calibri" w:cs="Calibri" w:eastAsia="Calibri" w:hAnsi="Calibri"/>
                <w:sz w:val="16"/>
                <w:szCs w:val="16"/>
                <w:b w:val="1"/>
                <w:bCs w:val="1"/>
                <w:color w:val="auto"/>
              </w:rPr>
              <w:t>Fiscal 2022 Target Cash Incentve Plan Opportunity</w:t>
            </w:r>
          </w:p>
        </w:tc>
        <w:tc>
          <w:tcPr>
            <w:tcW w:w="800" w:type="dxa"/>
            <w:vAlign w:val="bottom"/>
          </w:tcPr>
          <w:p>
            <w:pPr>
              <w:spacing w:after="0"/>
              <w:rPr>
                <w:sz w:val="16"/>
                <w:szCs w:val="16"/>
                <w:color w:val="auto"/>
              </w:rPr>
            </w:pPr>
          </w:p>
        </w:tc>
        <w:tc>
          <w:tcPr>
            <w:tcW w:w="424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Fiscal 2022 Target Cash Incentve Plan Opportunity</w:t>
            </w:r>
          </w:p>
        </w:tc>
      </w:tr>
      <w:tr>
        <w:trPr>
          <w:trHeight w:val="203"/>
        </w:trPr>
        <w:tc>
          <w:tcPr>
            <w:tcW w:w="2180" w:type="dxa"/>
            <w:vAlign w:val="bottom"/>
          </w:tcPr>
          <w:p>
            <w:pPr>
              <w:ind w:left="20"/>
              <w:spacing w:after="0"/>
              <w:rPr>
                <w:sz w:val="20"/>
                <w:szCs w:val="20"/>
                <w:color w:val="auto"/>
              </w:rPr>
            </w:pPr>
            <w:r>
              <w:rPr>
                <w:rFonts w:ascii="Calibri" w:cs="Calibri" w:eastAsia="Calibri" w:hAnsi="Calibri"/>
                <w:sz w:val="16"/>
                <w:szCs w:val="16"/>
                <w:b w:val="1"/>
                <w:bCs w:val="1"/>
                <w:color w:val="auto"/>
              </w:rPr>
              <w:t>Named Executve Ofcer</w:t>
            </w:r>
          </w:p>
        </w:tc>
        <w:tc>
          <w:tcPr>
            <w:tcW w:w="4000" w:type="dxa"/>
            <w:vAlign w:val="bottom"/>
          </w:tcPr>
          <w:p>
            <w:pPr>
              <w:jc w:val="center"/>
              <w:ind w:left="359"/>
              <w:spacing w:after="0"/>
              <w:rPr>
                <w:sz w:val="20"/>
                <w:szCs w:val="20"/>
                <w:color w:val="auto"/>
              </w:rPr>
            </w:pPr>
            <w:r>
              <w:rPr>
                <w:rFonts w:ascii="Calibri" w:cs="Calibri" w:eastAsia="Calibri" w:hAnsi="Calibri"/>
                <w:sz w:val="16"/>
                <w:szCs w:val="16"/>
                <w:b w:val="1"/>
                <w:bCs w:val="1"/>
                <w:color w:val="auto"/>
              </w:rPr>
              <w:t>(as a percentage of base salary)</w:t>
            </w:r>
          </w:p>
        </w:tc>
        <w:tc>
          <w:tcPr>
            <w:tcW w:w="800" w:type="dxa"/>
            <w:vAlign w:val="bottom"/>
          </w:tcPr>
          <w:p>
            <w:pPr>
              <w:spacing w:after="0"/>
              <w:rPr>
                <w:sz w:val="17"/>
                <w:szCs w:val="17"/>
                <w:color w:val="auto"/>
              </w:rPr>
            </w:pPr>
          </w:p>
        </w:tc>
        <w:tc>
          <w:tcPr>
            <w:tcW w:w="4240" w:type="dxa"/>
            <w:vAlign w:val="bottom"/>
          </w:tcPr>
          <w:p>
            <w:pPr>
              <w:jc w:val="right"/>
              <w:ind w:right="1999"/>
              <w:spacing w:after="0"/>
              <w:rPr>
                <w:sz w:val="20"/>
                <w:szCs w:val="20"/>
                <w:color w:val="auto"/>
              </w:rPr>
            </w:pPr>
            <w:r>
              <w:rPr>
                <w:rFonts w:ascii="Calibri" w:cs="Calibri" w:eastAsia="Calibri" w:hAnsi="Calibri"/>
                <w:sz w:val="16"/>
                <w:szCs w:val="16"/>
                <w:b w:val="1"/>
                <w:bCs w:val="1"/>
                <w:color w:val="auto"/>
              </w:rPr>
              <w:t>($)</w:t>
            </w:r>
          </w:p>
        </w:tc>
      </w:tr>
      <w:tr>
        <w:trPr>
          <w:trHeight w:val="41"/>
        </w:trPr>
        <w:tc>
          <w:tcPr>
            <w:tcW w:w="21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r>
      <w:tr>
        <w:trPr>
          <w:trHeight w:val="223"/>
        </w:trPr>
        <w:tc>
          <w:tcPr>
            <w:tcW w:w="2180" w:type="dxa"/>
            <w:vAlign w:val="bottom"/>
            <w:shd w:val="clear" w:color="auto" w:fill="DBDBDB"/>
          </w:tcPr>
          <w:p>
            <w:pPr>
              <w:ind w:left="20"/>
              <w:spacing w:after="0" w:line="223" w:lineRule="exact"/>
              <w:rPr>
                <w:sz w:val="20"/>
                <w:szCs w:val="20"/>
                <w:color w:val="auto"/>
              </w:rPr>
            </w:pPr>
            <w:r>
              <w:rPr>
                <w:rFonts w:ascii="Calibri" w:cs="Calibri" w:eastAsia="Calibri" w:hAnsi="Calibri"/>
                <w:sz w:val="16"/>
                <w:szCs w:val="16"/>
                <w:color w:val="auto"/>
              </w:rPr>
              <w:t>Max Levchin</w:t>
            </w:r>
            <w:r>
              <w:rPr>
                <w:rFonts w:ascii="Calibri" w:cs="Calibri" w:eastAsia="Calibri" w:hAnsi="Calibri"/>
                <w:sz w:val="21"/>
                <w:szCs w:val="21"/>
                <w:color w:val="auto"/>
                <w:vertAlign w:val="superscript"/>
              </w:rPr>
              <w:t>(1)</w:t>
            </w:r>
          </w:p>
        </w:tc>
        <w:tc>
          <w:tcPr>
            <w:tcW w:w="400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439"/>
              <w:spacing w:after="0" w:line="193" w:lineRule="exact"/>
              <w:rPr>
                <w:sz w:val="20"/>
                <w:szCs w:val="20"/>
                <w:color w:val="auto"/>
              </w:rPr>
            </w:pPr>
            <w:r>
              <w:rPr>
                <w:rFonts w:ascii="Calibri" w:cs="Calibri" w:eastAsia="Calibri" w:hAnsi="Calibri"/>
                <w:sz w:val="16"/>
                <w:szCs w:val="16"/>
                <w:color w:val="auto"/>
              </w:rPr>
              <w:t>—</w:t>
            </w:r>
          </w:p>
        </w:tc>
        <w:tc>
          <w:tcPr>
            <w:tcW w:w="42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2180" w:type="dxa"/>
            <w:vAlign w:val="bottom"/>
          </w:tcPr>
          <w:p>
            <w:pPr>
              <w:ind w:left="20"/>
              <w:spacing w:after="0" w:line="193" w:lineRule="exact"/>
              <w:rPr>
                <w:sz w:val="20"/>
                <w:szCs w:val="20"/>
                <w:color w:val="auto"/>
              </w:rPr>
            </w:pPr>
            <w:r>
              <w:rPr>
                <w:rFonts w:ascii="Calibri" w:cs="Calibri" w:eastAsia="Calibri" w:hAnsi="Calibri"/>
                <w:sz w:val="16"/>
                <w:szCs w:val="16"/>
                <w:color w:val="auto"/>
              </w:rPr>
              <w:t>Michael Linford</w:t>
            </w:r>
          </w:p>
        </w:tc>
        <w:tc>
          <w:tcPr>
            <w:tcW w:w="4000" w:type="dxa"/>
            <w:vAlign w:val="bottom"/>
          </w:tcPr>
          <w:p>
            <w:pPr>
              <w:spacing w:after="0"/>
              <w:rPr>
                <w:sz w:val="16"/>
                <w:szCs w:val="16"/>
                <w:color w:val="auto"/>
              </w:rPr>
            </w:pPr>
          </w:p>
        </w:tc>
        <w:tc>
          <w:tcPr>
            <w:tcW w:w="80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75 %</w:t>
            </w:r>
          </w:p>
        </w:tc>
        <w:tc>
          <w:tcPr>
            <w:tcW w:w="4240" w:type="dxa"/>
            <w:vAlign w:val="bottom"/>
          </w:tcPr>
          <w:p>
            <w:pPr>
              <w:jc w:val="right"/>
              <w:spacing w:after="0" w:line="193" w:lineRule="exact"/>
              <w:rPr>
                <w:sz w:val="20"/>
                <w:szCs w:val="20"/>
                <w:color w:val="auto"/>
              </w:rPr>
            </w:pPr>
            <w:r>
              <w:rPr>
                <w:rFonts w:ascii="Calibri" w:cs="Calibri" w:eastAsia="Calibri" w:hAnsi="Calibri"/>
                <w:sz w:val="16"/>
                <w:szCs w:val="16"/>
                <w:color w:val="auto"/>
              </w:rPr>
              <w:t>343,125</w:t>
            </w:r>
          </w:p>
        </w:tc>
      </w:tr>
      <w:tr>
        <w:trPr>
          <w:trHeight w:val="36"/>
        </w:trPr>
        <w:tc>
          <w:tcPr>
            <w:tcW w:w="21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30"/>
        </w:trPr>
        <w:tc>
          <w:tcPr>
            <w:tcW w:w="2180" w:type="dxa"/>
            <w:vAlign w:val="bottom"/>
            <w:shd w:val="clear" w:color="auto" w:fill="DBDBDB"/>
          </w:tcPr>
          <w:p>
            <w:pPr>
              <w:ind w:left="20"/>
              <w:spacing w:after="0" w:line="229" w:lineRule="exact"/>
              <w:rPr>
                <w:sz w:val="20"/>
                <w:szCs w:val="20"/>
                <w:color w:val="auto"/>
              </w:rPr>
            </w:pPr>
            <w:r>
              <w:rPr>
                <w:rFonts w:ascii="Calibri" w:cs="Calibri" w:eastAsia="Calibri" w:hAnsi="Calibri"/>
                <w:sz w:val="16"/>
                <w:szCs w:val="16"/>
                <w:color w:val="auto"/>
              </w:rPr>
              <w:t>Katherine Adkins</w:t>
            </w:r>
            <w:r>
              <w:rPr>
                <w:rFonts w:ascii="Calibri" w:cs="Calibri" w:eastAsia="Calibri" w:hAnsi="Calibri"/>
                <w:sz w:val="21"/>
                <w:szCs w:val="21"/>
                <w:color w:val="auto"/>
                <w:vertAlign w:val="superscript"/>
              </w:rPr>
              <w:t>(2)</w:t>
            </w:r>
          </w:p>
        </w:tc>
        <w:tc>
          <w:tcPr>
            <w:tcW w:w="400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279"/>
              <w:spacing w:after="0" w:line="193" w:lineRule="exact"/>
              <w:rPr>
                <w:sz w:val="20"/>
                <w:szCs w:val="20"/>
                <w:color w:val="auto"/>
              </w:rPr>
            </w:pPr>
            <w:r>
              <w:rPr>
                <w:rFonts w:ascii="Calibri" w:cs="Calibri" w:eastAsia="Calibri" w:hAnsi="Calibri"/>
                <w:sz w:val="16"/>
                <w:szCs w:val="16"/>
                <w:color w:val="auto"/>
              </w:rPr>
              <w:t>55 %</w:t>
            </w:r>
          </w:p>
        </w:tc>
        <w:tc>
          <w:tcPr>
            <w:tcW w:w="42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218,750</w:t>
            </w:r>
          </w:p>
        </w:tc>
      </w:tr>
      <w:tr>
        <w:trPr>
          <w:trHeight w:val="193"/>
        </w:trPr>
        <w:tc>
          <w:tcPr>
            <w:tcW w:w="2180" w:type="dxa"/>
            <w:vAlign w:val="bottom"/>
          </w:tcPr>
          <w:p>
            <w:pPr>
              <w:ind w:left="20"/>
              <w:spacing w:after="0" w:line="193" w:lineRule="exact"/>
              <w:rPr>
                <w:sz w:val="20"/>
                <w:szCs w:val="20"/>
                <w:color w:val="auto"/>
              </w:rPr>
            </w:pPr>
            <w:r>
              <w:rPr>
                <w:rFonts w:ascii="Calibri" w:cs="Calibri" w:eastAsia="Calibri" w:hAnsi="Calibri"/>
                <w:sz w:val="16"/>
                <w:szCs w:val="16"/>
                <w:color w:val="auto"/>
              </w:rPr>
              <w:t>Libor Michalek</w:t>
            </w:r>
          </w:p>
        </w:tc>
        <w:tc>
          <w:tcPr>
            <w:tcW w:w="4000" w:type="dxa"/>
            <w:vAlign w:val="bottom"/>
          </w:tcPr>
          <w:p>
            <w:pPr>
              <w:spacing w:after="0"/>
              <w:rPr>
                <w:sz w:val="16"/>
                <w:szCs w:val="16"/>
                <w:color w:val="auto"/>
              </w:rPr>
            </w:pPr>
          </w:p>
        </w:tc>
        <w:tc>
          <w:tcPr>
            <w:tcW w:w="80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75 %</w:t>
            </w:r>
          </w:p>
        </w:tc>
        <w:tc>
          <w:tcPr>
            <w:tcW w:w="4240" w:type="dxa"/>
            <w:vAlign w:val="bottom"/>
          </w:tcPr>
          <w:p>
            <w:pPr>
              <w:jc w:val="right"/>
              <w:spacing w:after="0" w:line="193" w:lineRule="exact"/>
              <w:rPr>
                <w:sz w:val="20"/>
                <w:szCs w:val="20"/>
                <w:color w:val="auto"/>
              </w:rPr>
            </w:pPr>
            <w:r>
              <w:rPr>
                <w:rFonts w:ascii="Calibri" w:cs="Calibri" w:eastAsia="Calibri" w:hAnsi="Calibri"/>
                <w:sz w:val="16"/>
                <w:szCs w:val="16"/>
                <w:color w:val="auto"/>
              </w:rPr>
              <w:t>352,500</w:t>
            </w:r>
          </w:p>
        </w:tc>
      </w:tr>
      <w:tr>
        <w:trPr>
          <w:trHeight w:val="36"/>
        </w:trPr>
        <w:tc>
          <w:tcPr>
            <w:tcW w:w="2180" w:type="dxa"/>
            <w:vAlign w:val="bottom"/>
          </w:tcPr>
          <w:p>
            <w:pPr>
              <w:spacing w:after="0"/>
              <w:rPr>
                <w:sz w:val="3"/>
                <w:szCs w:val="3"/>
                <w:color w:val="auto"/>
              </w:rPr>
            </w:pPr>
          </w:p>
        </w:tc>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10"/>
        </w:trPr>
        <w:tc>
          <w:tcPr>
            <w:tcW w:w="218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Silvija Martncevic</w:t>
            </w:r>
          </w:p>
        </w:tc>
        <w:tc>
          <w:tcPr>
            <w:tcW w:w="40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ind w:right="279"/>
              <w:spacing w:after="0" w:line="193" w:lineRule="exact"/>
              <w:rPr>
                <w:sz w:val="20"/>
                <w:szCs w:val="20"/>
                <w:color w:val="auto"/>
              </w:rPr>
            </w:pPr>
            <w:r>
              <w:rPr>
                <w:rFonts w:ascii="Calibri" w:cs="Calibri" w:eastAsia="Calibri" w:hAnsi="Calibri"/>
                <w:sz w:val="16"/>
                <w:szCs w:val="16"/>
                <w:color w:val="auto"/>
              </w:rPr>
              <w:t>75 %</w:t>
            </w:r>
          </w:p>
        </w:tc>
        <w:tc>
          <w:tcPr>
            <w:tcW w:w="42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343,125</w:t>
            </w:r>
          </w:p>
        </w:tc>
      </w:tr>
      <w:tr>
        <w:trPr>
          <w:trHeight w:val="20"/>
        </w:trPr>
        <w:tc>
          <w:tcPr>
            <w:tcW w:w="218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bl>
    <w:p>
      <w:pPr>
        <w:spacing w:after="0" w:line="66" w:lineRule="exact"/>
        <w:rPr>
          <w:sz w:val="20"/>
          <w:szCs w:val="20"/>
          <w:color w:val="auto"/>
        </w:rPr>
      </w:pPr>
    </w:p>
    <w:p>
      <w:pPr>
        <w:ind w:left="300" w:hanging="292"/>
        <w:spacing w:after="0"/>
        <w:tabs>
          <w:tab w:leader="none" w:pos="30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Mr. Levchin does not partcipate in the cash incentve plan.</w:t>
      </w:r>
    </w:p>
    <w:p>
      <w:pPr>
        <w:spacing w:after="0" w:line="5" w:lineRule="exact"/>
        <w:rPr>
          <w:rFonts w:ascii="Calibri" w:cs="Calibri" w:eastAsia="Calibri" w:hAnsi="Calibri"/>
          <w:sz w:val="14"/>
          <w:szCs w:val="14"/>
          <w:color w:val="auto"/>
        </w:rPr>
      </w:pPr>
    </w:p>
    <w:p>
      <w:pPr>
        <w:ind w:left="340" w:right="100" w:hanging="332"/>
        <w:spacing w:after="0" w:line="242" w:lineRule="auto"/>
        <w:tabs>
          <w:tab w:leader="none" w:pos="306"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Ms. Adkins' target cash incentve plan opportunity was increased from 50% of base salary to 60% of base salary efectve January 1, 2022 to refect her promoton to report directly to our CEO.</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Corporate Performance Measures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fscal 2022, partcipants in the cash incentve plan were eligible to receive cash incentve plan awards based upon Company achievement against important corporate, fnancial, and operatonal performance measures selected by the Compensaton Commitee. In May 2021, the Compensaton Commitee selected three corporate performance measures: network size (weighted 42.5%); total revenue (weighted 32.5%); and adjusted operatng income (loss) (weighted 25.0%). In additon to the selected corporate measures, the Compensaton Commitee also established a funding gate, whereby no payout under the cash incentve plan would occur unless the Company achieved a certain level of total revenue. The Compensaton Commitee believed these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measures were appropriate because they were strong indicators of the successful executon of our business objectves for fscal 2022. The Compensaton Commitee also believed these measures provided a strong emphasis on growth while managing expenses and strengthening our customer and merchant relatonships. Lastly, the Compensaton Commitee believed these measures would infuence the creaton of sustainable long-term stockholder value.</w:t>
      </w:r>
    </w:p>
    <w:p>
      <w:pPr>
        <w:spacing w:after="0" w:line="181"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The corporate performance measures for fscal 2022 were defned as follows:</w:t>
      </w:r>
    </w:p>
    <w:p>
      <w:pPr>
        <w:spacing w:after="0" w:line="448"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64" w:lineRule="exact"/>
        <w:rPr>
          <w:sz w:val="20"/>
          <w:szCs w:val="20"/>
          <w:color w:val="auto"/>
        </w:rPr>
      </w:pPr>
    </w:p>
    <w:p>
      <w:pPr>
        <w:ind w:left="3980"/>
        <w:spacing w:after="0"/>
        <w:rPr>
          <w:sz w:val="20"/>
          <w:szCs w:val="20"/>
          <w:color w:val="auto"/>
        </w:rPr>
      </w:pPr>
      <w:r>
        <w:rPr>
          <w:rFonts w:ascii="Calibri" w:cs="Calibri" w:eastAsia="Calibri" w:hAnsi="Calibri"/>
          <w:sz w:val="18"/>
          <w:szCs w:val="18"/>
          <w:b w:val="1"/>
          <w:bCs w:val="1"/>
          <w:color w:val="auto"/>
        </w:rPr>
        <w:t>Fiscal 2022 Corporate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668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6686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Calibri" w:cs="Calibri" w:eastAsia="Calibri" w:hAnsi="Calibri"/>
          <w:sz w:val="18"/>
          <w:szCs w:val="18"/>
          <w:b w:val="1"/>
          <w:bCs w:val="1"/>
          <w:i w:val="1"/>
          <w:iCs w:val="1"/>
          <w:color w:val="auto"/>
        </w:rPr>
        <w:t>Network size</w:t>
      </w:r>
      <w:r>
        <w:rPr>
          <w:rFonts w:ascii="Calibri" w:cs="Calibri" w:eastAsia="Calibri" w:hAnsi="Calibri"/>
          <w:sz w:val="18"/>
          <w:szCs w:val="18"/>
          <w:color w:val="auto"/>
        </w:rPr>
        <w:t>: a blended measure of actve consumers, gross merchandise volume, and revenue less transacton costs where:</w:t>
      </w:r>
    </w:p>
    <w:p>
      <w:pPr>
        <w:ind w:left="260"/>
        <w:spacing w:after="0" w:line="206" w:lineRule="auto"/>
        <w:rPr>
          <w:sz w:val="20"/>
          <w:szCs w:val="20"/>
          <w:color w:val="auto"/>
        </w:rPr>
      </w:pPr>
      <w:r>
        <w:rPr>
          <w:rFonts w:ascii="Calibri" w:cs="Calibri" w:eastAsia="Calibri" w:hAnsi="Calibri"/>
          <w:sz w:val="18"/>
          <w:szCs w:val="18"/>
          <w:color w:val="auto"/>
        </w:rPr>
        <w:t>–  “</w:t>
      </w:r>
      <w:r>
        <w:rPr>
          <w:rFonts w:ascii="Calibri" w:cs="Calibri" w:eastAsia="Calibri" w:hAnsi="Calibri"/>
          <w:sz w:val="18"/>
          <w:szCs w:val="18"/>
          <w:b w:val="1"/>
          <w:bCs w:val="1"/>
          <w:i w:val="1"/>
          <w:iCs w:val="1"/>
          <w:color w:val="auto"/>
        </w:rPr>
        <w:t>actve consumers</w:t>
      </w:r>
      <w:r>
        <w:rPr>
          <w:rFonts w:ascii="Calibri" w:cs="Calibri" w:eastAsia="Calibri" w:hAnsi="Calibri"/>
          <w:sz w:val="18"/>
          <w:szCs w:val="18"/>
          <w:color w:val="auto"/>
        </w:rPr>
        <w:t>” meant the total number of consumers who engaged in at least one transacton on the Company’s platorm during fscal 2022;</w:t>
      </w:r>
    </w:p>
    <w:p>
      <w:pPr>
        <w:ind w:left="260"/>
        <w:spacing w:after="0" w:line="221" w:lineRule="auto"/>
        <w:rPr>
          <w:sz w:val="20"/>
          <w:szCs w:val="20"/>
          <w:color w:val="auto"/>
        </w:rPr>
      </w:pPr>
      <w:r>
        <w:rPr>
          <w:rFonts w:ascii="Calibri" w:cs="Calibri" w:eastAsia="Calibri" w:hAnsi="Calibri"/>
          <w:sz w:val="18"/>
          <w:szCs w:val="18"/>
          <w:color w:val="auto"/>
        </w:rPr>
        <w:t>–  “</w:t>
      </w:r>
      <w:r>
        <w:rPr>
          <w:rFonts w:ascii="Calibri" w:cs="Calibri" w:eastAsia="Calibri" w:hAnsi="Calibri"/>
          <w:sz w:val="18"/>
          <w:szCs w:val="18"/>
          <w:b w:val="1"/>
          <w:bCs w:val="1"/>
          <w:i w:val="1"/>
          <w:iCs w:val="1"/>
          <w:color w:val="auto"/>
        </w:rPr>
        <w:t>gross merchandise volume</w:t>
      </w:r>
      <w:r>
        <w:rPr>
          <w:rFonts w:ascii="Calibri" w:cs="Calibri" w:eastAsia="Calibri" w:hAnsi="Calibri"/>
          <w:sz w:val="18"/>
          <w:szCs w:val="18"/>
          <w:color w:val="auto"/>
        </w:rPr>
        <w:t>” meant total dollar amount of all transactons on the Company’s platorm during fscal 2022, net of refunds; and</w:t>
      </w:r>
    </w:p>
    <w:p>
      <w:pPr>
        <w:ind w:left="520" w:right="20" w:hanging="243"/>
        <w:spacing w:after="0" w:line="213" w:lineRule="auto"/>
        <w:rPr>
          <w:sz w:val="20"/>
          <w:szCs w:val="20"/>
          <w:color w:val="auto"/>
        </w:rPr>
      </w:pPr>
      <w:r>
        <w:rPr>
          <w:rFonts w:ascii="Calibri" w:cs="Calibri" w:eastAsia="Calibri" w:hAnsi="Calibri"/>
          <w:sz w:val="18"/>
          <w:szCs w:val="18"/>
          <w:color w:val="auto"/>
        </w:rPr>
        <w:t>– “</w:t>
      </w:r>
      <w:r>
        <w:rPr>
          <w:rFonts w:ascii="Calibri" w:cs="Calibri" w:eastAsia="Calibri" w:hAnsi="Calibri"/>
          <w:sz w:val="18"/>
          <w:szCs w:val="18"/>
          <w:b w:val="1"/>
          <w:bCs w:val="1"/>
          <w:i w:val="1"/>
          <w:iCs w:val="1"/>
          <w:color w:val="auto"/>
        </w:rPr>
        <w:t>revenue less transacton costs</w:t>
      </w:r>
      <w:r>
        <w:rPr>
          <w:rFonts w:ascii="Calibri" w:cs="Calibri" w:eastAsia="Calibri" w:hAnsi="Calibri"/>
          <w:sz w:val="18"/>
          <w:szCs w:val="18"/>
          <w:color w:val="auto"/>
        </w:rPr>
        <w:t>” meant total net revenue less the sum of loss on loan purchase commitment, provision for credit losses, funding costs, and processing and servicing expense, each determined in accordance with GAAP for fscal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23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i w:val="1"/>
          <w:iCs w:val="1"/>
          <w:color w:val="auto"/>
        </w:rPr>
        <w:t>Total revenue</w:t>
      </w:r>
      <w:r>
        <w:rPr>
          <w:rFonts w:ascii="Calibri" w:cs="Calibri" w:eastAsia="Calibri" w:hAnsi="Calibri"/>
          <w:sz w:val="18"/>
          <w:szCs w:val="18"/>
          <w:color w:val="auto"/>
        </w:rPr>
        <w:t>: our GAAP total net revenue for fscal 2022, as refected in our audited fnancial statements for fscal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925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3430" cy="9258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i w:val="1"/>
          <w:iCs w:val="1"/>
          <w:color w:val="auto"/>
        </w:rPr>
        <w:t>Adjusted operatng income (loss)</w:t>
      </w:r>
      <w:r>
        <w:rPr>
          <w:rFonts w:ascii="Calibri" w:cs="Calibri" w:eastAsia="Calibri" w:hAnsi="Calibri"/>
          <w:sz w:val="18"/>
          <w:szCs w:val="18"/>
          <w:color w:val="auto"/>
        </w:rPr>
        <w:t>: our GAAP operatng income (loss) for fscal 2022, adjusted to exclude:</w:t>
      </w:r>
    </w:p>
    <w:p>
      <w:pPr>
        <w:ind w:left="180"/>
        <w:spacing w:after="0" w:line="206" w:lineRule="auto"/>
        <w:rPr>
          <w:sz w:val="20"/>
          <w:szCs w:val="20"/>
          <w:color w:val="auto"/>
        </w:rPr>
      </w:pPr>
      <w:r>
        <w:rPr>
          <w:rFonts w:ascii="Calibri" w:cs="Calibri" w:eastAsia="Calibri" w:hAnsi="Calibri"/>
          <w:sz w:val="18"/>
          <w:szCs w:val="18"/>
          <w:color w:val="auto"/>
        </w:rPr>
        <w:t>–  depreciaton and amortzaton expense</w:t>
      </w:r>
    </w:p>
    <w:p>
      <w:pPr>
        <w:ind w:left="180"/>
        <w:spacing w:after="0" w:line="221" w:lineRule="auto"/>
        <w:rPr>
          <w:sz w:val="20"/>
          <w:szCs w:val="20"/>
          <w:color w:val="auto"/>
        </w:rPr>
      </w:pPr>
      <w:r>
        <w:rPr>
          <w:rFonts w:ascii="Calibri" w:cs="Calibri" w:eastAsia="Calibri" w:hAnsi="Calibri"/>
          <w:sz w:val="18"/>
          <w:szCs w:val="18"/>
          <w:color w:val="auto"/>
        </w:rPr>
        <w:t>–  stock-based compensaton expense included in GAAP operatng income (loss)</w:t>
      </w:r>
    </w:p>
    <w:p>
      <w:pPr>
        <w:ind w:left="180"/>
        <w:spacing w:after="0" w:line="221" w:lineRule="auto"/>
        <w:rPr>
          <w:sz w:val="20"/>
          <w:szCs w:val="20"/>
          <w:color w:val="auto"/>
        </w:rPr>
      </w:pPr>
      <w:r>
        <w:rPr>
          <w:rFonts w:ascii="Calibri" w:cs="Calibri" w:eastAsia="Calibri" w:hAnsi="Calibri"/>
          <w:sz w:val="18"/>
          <w:szCs w:val="18"/>
          <w:color w:val="auto"/>
        </w:rPr>
        <w:t>–  amortzaton expense associated with a commercial agreement asset</w:t>
      </w:r>
    </w:p>
    <w:p>
      <w:pPr>
        <w:ind w:left="180"/>
        <w:spacing w:after="0" w:line="206" w:lineRule="auto"/>
        <w:rPr>
          <w:sz w:val="20"/>
          <w:szCs w:val="20"/>
          <w:color w:val="auto"/>
        </w:rPr>
      </w:pPr>
      <w:r>
        <w:rPr>
          <w:rFonts w:ascii="Calibri" w:cs="Calibri" w:eastAsia="Calibri" w:hAnsi="Calibri"/>
          <w:sz w:val="18"/>
          <w:szCs w:val="18"/>
          <w:color w:val="auto"/>
        </w:rPr>
        <w:t>–  expense associated with cash incentve plan awards earned during fscal 2022</w:t>
      </w:r>
    </w:p>
    <w:p>
      <w:pPr>
        <w:ind w:left="440" w:hanging="243"/>
        <w:spacing w:after="0" w:line="221" w:lineRule="auto"/>
        <w:rPr>
          <w:sz w:val="20"/>
          <w:szCs w:val="20"/>
          <w:color w:val="auto"/>
        </w:rPr>
      </w:pPr>
      <w:r>
        <w:rPr>
          <w:rFonts w:ascii="Calibri" w:cs="Calibri" w:eastAsia="Calibri" w:hAnsi="Calibri"/>
          <w:sz w:val="18"/>
          <w:szCs w:val="18"/>
          <w:color w:val="auto"/>
        </w:rPr>
        <w:t>– certain other items as set forth in the reconciliaton of adjusted operatng income (loss) to GAAP operatng income (loss) included in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September 2021, the Compensaton Commitee set the total revenue funding gate level and the threshold, target, and stretch achievement level for each of the corporate performance measures for fscal 2022. If achievement against the total revenue funding gate was at or above the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level set by the Compensaton Commitee, the cash incentve plan would be funded. A performance multplier would apply based on the corporate performance measures and actual performance achievement relatve to the measures. The performance multplier was to be</w:t>
      </w:r>
    </w:p>
    <w:p>
      <w:pPr>
        <w:spacing w:after="0" w:line="200"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30</w:t>
      </w:r>
    </w:p>
    <w:p>
      <w:pPr>
        <w:sectPr>
          <w:pgSz w:w="11900" w:h="16838" w:orient="portrait"/>
          <w:cols w:equalWidth="0" w:num="1">
            <w:col w:w="11220"/>
          </w:cols>
          <w:pgMar w:left="320" w:top="1440" w:right="359" w:bottom="1440" w:gutter="0" w:footer="0" w:header="0"/>
          <w:type w:val="continuous"/>
        </w:sectPr>
      </w:pPr>
    </w:p>
    <w:bookmarkStart w:id="34" w:name="page35"/>
    <w:bookmarkEnd w:id="34"/>
    <w:p>
      <w:pPr>
        <w:jc w:val="both"/>
        <w:spacing w:after="0" w:line="235" w:lineRule="auto"/>
        <w:rPr>
          <w:sz w:val="20"/>
          <w:szCs w:val="20"/>
          <w:color w:val="auto"/>
        </w:rPr>
      </w:pPr>
      <w:r>
        <w:rPr>
          <w:rFonts w:ascii="Calibri" w:cs="Calibri" w:eastAsia="Calibri" w:hAnsi="Calibri"/>
          <w:sz w:val="18"/>
          <w:szCs w:val="18"/>
          <w:color w:val="auto"/>
        </w:rPr>
        <w:t>determined based on weighted average actual performance against the three corporate performance measures. The performance multplier could range from 50%, if the minimum, or threshold, level of performance was achieved for all three measures, to 150%, if the Company met or exceeded the maximum, or stretch, level of performance for all three measures. The performance multplier was 100% if a target level of performance was achieved for all three measures. Achievement levels and performance multplier percentages for performance</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between the threshold and target performance levels and between the target and stretch performance levels were to be calculated using straight-line interpolaton. For fscal 2022, the Compensaton Commitee set the total revenue funding gate level at $1.183 billion. The threshold, target, and stretch performance levels for each of the three corporate performance measures are set forth in the table below:</w:t>
      </w:r>
    </w:p>
    <w:p>
      <w:pPr>
        <w:spacing w:after="0" w:line="630" w:lineRule="exact"/>
        <w:rPr>
          <w:sz w:val="20"/>
          <w:szCs w:val="20"/>
          <w:color w:val="auto"/>
        </w:rPr>
      </w:pPr>
    </w:p>
    <w:p>
      <w:pPr>
        <w:sectPr>
          <w:pgSz w:w="11900" w:h="16838" w:orient="portrait"/>
          <w:cols w:equalWidth="0" w:num="2">
            <w:col w:w="5420" w:space="300"/>
            <w:col w:w="5520"/>
          </w:cols>
          <w:pgMar w:left="320" w:top="1413" w:right="339" w:bottom="1440" w:gutter="0" w:footer="0" w:header="0"/>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ind w:left="20"/>
              <w:spacing w:after="0"/>
              <w:rPr>
                <w:sz w:val="20"/>
                <w:szCs w:val="20"/>
                <w:color w:val="auto"/>
              </w:rPr>
            </w:pPr>
            <w:r>
              <w:rPr>
                <w:rFonts w:ascii="Calibri" w:cs="Calibri" w:eastAsia="Calibri" w:hAnsi="Calibri"/>
                <w:sz w:val="16"/>
                <w:szCs w:val="16"/>
                <w:b w:val="1"/>
                <w:bCs w:val="1"/>
                <w:color w:val="auto"/>
              </w:rPr>
              <w:t>Corporate Performance Measure</w:t>
            </w:r>
          </w:p>
        </w:tc>
        <w:tc>
          <w:tcPr>
            <w:tcW w:w="2200" w:type="dxa"/>
            <w:vAlign w:val="bottom"/>
          </w:tcPr>
          <w:p>
            <w:pPr>
              <w:spacing w:after="0"/>
              <w:rPr>
                <w:sz w:val="18"/>
                <w:szCs w:val="18"/>
                <w:color w:val="auto"/>
              </w:rPr>
            </w:pPr>
          </w:p>
        </w:tc>
        <w:tc>
          <w:tcPr>
            <w:tcW w:w="1480" w:type="dxa"/>
            <w:vAlign w:val="bottom"/>
          </w:tcPr>
          <w:p>
            <w:pPr>
              <w:ind w:left="340"/>
              <w:spacing w:after="0"/>
              <w:rPr>
                <w:sz w:val="20"/>
                <w:szCs w:val="20"/>
                <w:color w:val="auto"/>
              </w:rPr>
            </w:pPr>
            <w:r>
              <w:rPr>
                <w:rFonts w:ascii="Calibri" w:cs="Calibri" w:eastAsia="Calibri" w:hAnsi="Calibri"/>
                <w:sz w:val="16"/>
                <w:szCs w:val="16"/>
                <w:b w:val="1"/>
                <w:bCs w:val="1"/>
                <w:color w:val="auto"/>
              </w:rPr>
              <w:t>Threshold</w:t>
            </w:r>
          </w:p>
        </w:tc>
        <w:tc>
          <w:tcPr>
            <w:tcW w:w="158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Target</w:t>
            </w:r>
          </w:p>
        </w:tc>
        <w:tc>
          <w:tcPr>
            <w:tcW w:w="1140" w:type="dxa"/>
            <w:vAlign w:val="bottom"/>
          </w:tcPr>
          <w:p>
            <w:pPr>
              <w:jc w:val="right"/>
              <w:spacing w:after="0"/>
              <w:rPr>
                <w:sz w:val="20"/>
                <w:szCs w:val="20"/>
                <w:color w:val="auto"/>
              </w:rPr>
            </w:pPr>
            <w:r>
              <w:rPr>
                <w:rFonts w:ascii="Calibri" w:cs="Calibri" w:eastAsia="Calibri" w:hAnsi="Calibri"/>
                <w:sz w:val="16"/>
                <w:szCs w:val="16"/>
                <w:b w:val="1"/>
                <w:bCs w:val="1"/>
                <w:color w:val="auto"/>
              </w:rPr>
              <w:t>Stretch</w:t>
            </w:r>
          </w:p>
        </w:tc>
      </w:tr>
      <w:tr>
        <w:trPr>
          <w:trHeight w:val="41"/>
        </w:trPr>
        <w:tc>
          <w:tcPr>
            <w:tcW w:w="48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7"/>
        </w:trPr>
        <w:tc>
          <w:tcPr>
            <w:tcW w:w="482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Network Size</w:t>
            </w:r>
          </w:p>
        </w:tc>
        <w:tc>
          <w:tcPr>
            <w:tcW w:w="2200" w:type="dxa"/>
            <w:vAlign w:val="bottom"/>
            <w:tcBorders>
              <w:bottom w:val="single" w:sz="8" w:color="DBDBDB"/>
            </w:tcBorders>
            <w:shd w:val="clear" w:color="auto" w:fill="DBDBDB"/>
          </w:tcPr>
          <w:p>
            <w:pPr>
              <w:spacing w:after="0"/>
              <w:rPr>
                <w:sz w:val="18"/>
                <w:szCs w:val="18"/>
                <w:color w:val="auto"/>
              </w:rPr>
            </w:pPr>
          </w:p>
        </w:tc>
        <w:tc>
          <w:tcPr>
            <w:tcW w:w="1480" w:type="dxa"/>
            <w:vAlign w:val="bottom"/>
            <w:tcBorders>
              <w:bottom w:val="single" w:sz="8" w:color="DBDBDB"/>
            </w:tcBorders>
            <w:shd w:val="clear" w:color="auto" w:fill="DBDBDB"/>
          </w:tcPr>
          <w:p>
            <w:pPr>
              <w:jc w:val="right"/>
              <w:ind w:right="399"/>
              <w:spacing w:after="0" w:line="187" w:lineRule="exact"/>
              <w:rPr>
                <w:sz w:val="20"/>
                <w:szCs w:val="20"/>
                <w:color w:val="auto"/>
              </w:rPr>
            </w:pPr>
            <w:r>
              <w:rPr>
                <w:rFonts w:ascii="Calibri" w:cs="Calibri" w:eastAsia="Calibri" w:hAnsi="Calibri"/>
                <w:sz w:val="16"/>
                <w:szCs w:val="16"/>
                <w:color w:val="auto"/>
              </w:rPr>
              <w:t>90 %</w:t>
            </w:r>
          </w:p>
        </w:tc>
        <w:tc>
          <w:tcPr>
            <w:tcW w:w="1580" w:type="dxa"/>
            <w:vAlign w:val="bottom"/>
            <w:tcBorders>
              <w:bottom w:val="single" w:sz="8" w:color="DBDBDB"/>
            </w:tcBorders>
            <w:shd w:val="clear" w:color="auto" w:fill="DBDBDB"/>
          </w:tcPr>
          <w:p>
            <w:pPr>
              <w:jc w:val="right"/>
              <w:ind w:right="379"/>
              <w:spacing w:after="0" w:line="187" w:lineRule="exact"/>
              <w:rPr>
                <w:sz w:val="20"/>
                <w:szCs w:val="20"/>
                <w:color w:val="auto"/>
              </w:rPr>
            </w:pPr>
            <w:r>
              <w:rPr>
                <w:rFonts w:ascii="Calibri" w:cs="Calibri" w:eastAsia="Calibri" w:hAnsi="Calibri"/>
                <w:sz w:val="16"/>
                <w:szCs w:val="16"/>
                <w:color w:val="auto"/>
              </w:rPr>
              <w:t>100 %</w:t>
            </w:r>
          </w:p>
        </w:tc>
        <w:tc>
          <w:tcPr>
            <w:tcW w:w="11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110 %</w:t>
            </w:r>
          </w:p>
        </w:tc>
      </w:tr>
      <w:tr>
        <w:trPr>
          <w:trHeight w:val="202"/>
        </w:trPr>
        <w:tc>
          <w:tcPr>
            <w:tcW w:w="4820" w:type="dxa"/>
            <w:vAlign w:val="bottom"/>
          </w:tcPr>
          <w:p>
            <w:pPr>
              <w:ind w:left="20"/>
              <w:spacing w:after="0" w:line="193" w:lineRule="exact"/>
              <w:rPr>
                <w:sz w:val="20"/>
                <w:szCs w:val="20"/>
                <w:color w:val="auto"/>
              </w:rPr>
            </w:pPr>
            <w:r>
              <w:rPr>
                <w:rFonts w:ascii="Calibri" w:cs="Calibri" w:eastAsia="Calibri" w:hAnsi="Calibri"/>
                <w:sz w:val="16"/>
                <w:szCs w:val="16"/>
                <w:color w:val="auto"/>
              </w:rPr>
              <w:t>Total Revenue (in billions)</w:t>
            </w:r>
          </w:p>
        </w:tc>
        <w:tc>
          <w:tcPr>
            <w:tcW w:w="2200" w:type="dxa"/>
            <w:vAlign w:val="bottom"/>
          </w:tcPr>
          <w:p>
            <w:pPr>
              <w:jc w:val="right"/>
              <w:ind w:right="23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ind w:right="559"/>
              <w:spacing w:after="0" w:line="193" w:lineRule="exact"/>
              <w:rPr>
                <w:sz w:val="20"/>
                <w:szCs w:val="20"/>
                <w:color w:val="auto"/>
              </w:rPr>
            </w:pPr>
            <w:r>
              <w:rPr>
                <w:rFonts w:ascii="Calibri" w:cs="Calibri" w:eastAsia="Calibri" w:hAnsi="Calibri"/>
                <w:sz w:val="16"/>
                <w:szCs w:val="16"/>
                <w:color w:val="auto"/>
              </w:rPr>
              <w:t>1.19</w:t>
            </w:r>
          </w:p>
        </w:tc>
        <w:tc>
          <w:tcPr>
            <w:tcW w:w="1580" w:type="dxa"/>
            <w:vAlign w:val="bottom"/>
          </w:tcPr>
          <w:p>
            <w:pPr>
              <w:jc w:val="right"/>
              <w:ind w:right="519"/>
              <w:spacing w:after="0" w:line="193" w:lineRule="exact"/>
              <w:rPr>
                <w:sz w:val="20"/>
                <w:szCs w:val="20"/>
                <w:color w:val="auto"/>
              </w:rPr>
            </w:pPr>
            <w:r>
              <w:rPr>
                <w:rFonts w:ascii="Calibri" w:cs="Calibri" w:eastAsia="Calibri" w:hAnsi="Calibri"/>
                <w:sz w:val="16"/>
                <w:szCs w:val="16"/>
                <w:color w:val="auto"/>
              </w:rPr>
              <w:t>1.32</w:t>
            </w:r>
          </w:p>
        </w:tc>
        <w:tc>
          <w:tcPr>
            <w:tcW w:w="114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1.45</w:t>
            </w:r>
          </w:p>
        </w:tc>
      </w:tr>
      <w:tr>
        <w:trPr>
          <w:trHeight w:val="41"/>
        </w:trPr>
        <w:tc>
          <w:tcPr>
            <w:tcW w:w="48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3"/>
        </w:trPr>
        <w:tc>
          <w:tcPr>
            <w:tcW w:w="482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Adjusted Operatng Income (Loss) (in millions)</w:t>
            </w:r>
          </w:p>
        </w:tc>
        <w:tc>
          <w:tcPr>
            <w:tcW w:w="2200" w:type="dxa"/>
            <w:vAlign w:val="bottom"/>
            <w:tcBorders>
              <w:bottom w:val="single" w:sz="8" w:color="DBDBDB"/>
            </w:tcBorders>
            <w:shd w:val="clear" w:color="auto" w:fill="DBDBDB"/>
          </w:tcPr>
          <w:p>
            <w:pPr>
              <w:jc w:val="right"/>
              <w:ind w:right="239"/>
              <w:spacing w:after="0"/>
              <w:rPr>
                <w:sz w:val="20"/>
                <w:szCs w:val="20"/>
                <w:color w:val="auto"/>
              </w:rPr>
            </w:pPr>
            <w:r>
              <w:rPr>
                <w:rFonts w:ascii="Calibri" w:cs="Calibri" w:eastAsia="Calibri" w:hAnsi="Calibri"/>
                <w:sz w:val="16"/>
                <w:szCs w:val="16"/>
                <w:color w:val="auto"/>
              </w:rPr>
              <w:t>$</w:t>
            </w:r>
          </w:p>
        </w:tc>
        <w:tc>
          <w:tcPr>
            <w:tcW w:w="1480" w:type="dxa"/>
            <w:vAlign w:val="bottom"/>
            <w:tcBorders>
              <w:bottom w:val="single" w:sz="8" w:color="DBDBDB"/>
            </w:tcBorders>
            <w:shd w:val="clear" w:color="auto" w:fill="DBDBDB"/>
          </w:tcPr>
          <w:p>
            <w:pPr>
              <w:ind w:left="340"/>
              <w:spacing w:after="0" w:line="193" w:lineRule="exact"/>
              <w:rPr>
                <w:sz w:val="20"/>
                <w:szCs w:val="20"/>
                <w:color w:val="auto"/>
              </w:rPr>
            </w:pPr>
            <w:r>
              <w:rPr>
                <w:rFonts w:ascii="Calibri" w:cs="Calibri" w:eastAsia="Calibri" w:hAnsi="Calibri"/>
                <w:sz w:val="16"/>
                <w:szCs w:val="16"/>
                <w:color w:val="auto"/>
              </w:rPr>
              <w:t>(167.20)</w:t>
            </w:r>
          </w:p>
        </w:tc>
        <w:tc>
          <w:tcPr>
            <w:tcW w:w="1580" w:type="dxa"/>
            <w:vAlign w:val="bottom"/>
            <w:tcBorders>
              <w:bottom w:val="single" w:sz="8" w:color="DBDBDB"/>
            </w:tcBorders>
            <w:shd w:val="clear" w:color="auto" w:fill="DBDBDB"/>
          </w:tcPr>
          <w:p>
            <w:pPr>
              <w:jc w:val="right"/>
              <w:ind w:right="479"/>
              <w:spacing w:after="0" w:line="193" w:lineRule="exact"/>
              <w:rPr>
                <w:sz w:val="20"/>
                <w:szCs w:val="20"/>
                <w:color w:val="auto"/>
              </w:rPr>
            </w:pPr>
            <w:r>
              <w:rPr>
                <w:rFonts w:ascii="Calibri" w:cs="Calibri" w:eastAsia="Calibri" w:hAnsi="Calibri"/>
                <w:sz w:val="16"/>
                <w:szCs w:val="16"/>
                <w:color w:val="auto"/>
              </w:rPr>
              <w:t>(152.00)</w:t>
            </w:r>
          </w:p>
        </w:tc>
        <w:tc>
          <w:tcPr>
            <w:tcW w:w="1140" w:type="dxa"/>
            <w:vAlign w:val="bottom"/>
            <w:tcBorders>
              <w:bottom w:val="single" w:sz="8" w:color="DBDBDB"/>
            </w:tcBorders>
            <w:shd w:val="clear" w:color="auto" w:fill="DBDBDB"/>
          </w:tcPr>
          <w:p>
            <w:pPr>
              <w:jc w:val="right"/>
              <w:ind w:right="39"/>
              <w:spacing w:after="0" w:line="193" w:lineRule="exact"/>
              <w:rPr>
                <w:sz w:val="20"/>
                <w:szCs w:val="20"/>
                <w:color w:val="auto"/>
              </w:rPr>
            </w:pPr>
            <w:r>
              <w:rPr>
                <w:rFonts w:ascii="Calibri" w:cs="Calibri" w:eastAsia="Calibri" w:hAnsi="Calibri"/>
                <w:sz w:val="16"/>
                <w:szCs w:val="16"/>
                <w:color w:val="auto"/>
              </w:rPr>
              <w:t>(136.80)</w:t>
            </w:r>
          </w:p>
        </w:tc>
      </w:tr>
      <w:tr>
        <w:trPr>
          <w:trHeight w:val="20"/>
        </w:trPr>
        <w:tc>
          <w:tcPr>
            <w:tcW w:w="48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Cash Incentve Plan Payments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cash incentve plan, payments are made based on our performance with respect to each of the corporate performance measures and the extent to which each objectve was achieved for the year. The Compensaton Commitee did not make any discretonary adjustments to the cash incentve plan payments made to the named executve ofcers during fscal 2022.</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auto"/>
        </w:rPr>
        <w:t>Based on fscal 2022 total revenue, the Compensaton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Commitee determined that the total revenue funding gate was exceeded. The actual performance, percentage achievement and applicable performance multpliers with respect to each corporate performance measure, as determined by the Compensaton Commitee based on actual Company performance, are set forth in the table below.</w:t>
      </w:r>
    </w:p>
    <w:p>
      <w:pPr>
        <w:spacing w:after="0" w:line="824"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Percentage Achievement</w:t>
            </w:r>
          </w:p>
        </w:tc>
        <w:tc>
          <w:tcPr>
            <w:tcW w:w="1980" w:type="dxa"/>
            <w:vAlign w:val="bottom"/>
          </w:tcPr>
          <w:p>
            <w:pPr>
              <w:jc w:val="center"/>
              <w:spacing w:after="0"/>
              <w:rPr>
                <w:sz w:val="20"/>
                <w:szCs w:val="20"/>
                <w:color w:val="auto"/>
              </w:rPr>
            </w:pPr>
            <w:r>
              <w:rPr>
                <w:rFonts w:ascii="Calibri" w:cs="Calibri" w:eastAsia="Calibri" w:hAnsi="Calibri"/>
                <w:sz w:val="16"/>
                <w:szCs w:val="16"/>
                <w:b w:val="1"/>
                <w:bCs w:val="1"/>
                <w:color w:val="auto"/>
              </w:rPr>
              <w:t>Applicable Performance</w:t>
            </w:r>
          </w:p>
        </w:tc>
      </w:tr>
      <w:tr>
        <w:trPr>
          <w:trHeight w:val="193"/>
        </w:trPr>
        <w:tc>
          <w:tcPr>
            <w:tcW w:w="30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Corporate Performance Measure</w:t>
            </w:r>
          </w:p>
        </w:tc>
        <w:tc>
          <w:tcPr>
            <w:tcW w:w="2000" w:type="dxa"/>
            <w:vAlign w:val="bottom"/>
          </w:tcPr>
          <w:p>
            <w:pPr>
              <w:ind w:left="860"/>
              <w:spacing w:after="0" w:line="193" w:lineRule="exact"/>
              <w:rPr>
                <w:sz w:val="20"/>
                <w:szCs w:val="20"/>
                <w:color w:val="auto"/>
              </w:rPr>
            </w:pPr>
            <w:r>
              <w:rPr>
                <w:rFonts w:ascii="Calibri" w:cs="Calibri" w:eastAsia="Calibri" w:hAnsi="Calibri"/>
                <w:sz w:val="16"/>
                <w:szCs w:val="16"/>
                <w:b w:val="1"/>
                <w:bCs w:val="1"/>
                <w:color w:val="auto"/>
              </w:rPr>
              <w:t>Weightng</w:t>
            </w:r>
          </w:p>
        </w:tc>
        <w:tc>
          <w:tcPr>
            <w:tcW w:w="1980" w:type="dxa"/>
            <w:vAlign w:val="bottom"/>
          </w:tcPr>
          <w:p>
            <w:pPr>
              <w:jc w:val="center"/>
              <w:ind w:left="159"/>
              <w:spacing w:after="0" w:line="193" w:lineRule="exact"/>
              <w:rPr>
                <w:sz w:val="20"/>
                <w:szCs w:val="20"/>
                <w:color w:val="auto"/>
              </w:rPr>
            </w:pPr>
            <w:r>
              <w:rPr>
                <w:rFonts w:ascii="Calibri" w:cs="Calibri" w:eastAsia="Calibri" w:hAnsi="Calibri"/>
                <w:sz w:val="16"/>
                <w:szCs w:val="16"/>
                <w:b w:val="1"/>
                <w:bCs w:val="1"/>
                <w:color w:val="auto"/>
              </w:rPr>
              <w:t>Actual Performance</w:t>
            </w:r>
          </w:p>
        </w:tc>
        <w:tc>
          <w:tcPr>
            <w:tcW w:w="21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versus Target Performance</w:t>
            </w:r>
          </w:p>
        </w:tc>
        <w:tc>
          <w:tcPr>
            <w:tcW w:w="19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Multplier</w:t>
            </w:r>
          </w:p>
        </w:tc>
      </w:tr>
      <w:tr>
        <w:trPr>
          <w:trHeight w:val="41"/>
        </w:trPr>
        <w:tc>
          <w:tcPr>
            <w:tcW w:w="3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03"/>
        </w:trPr>
        <w:tc>
          <w:tcPr>
            <w:tcW w:w="30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Network Size</w:t>
            </w:r>
          </w:p>
        </w:tc>
        <w:tc>
          <w:tcPr>
            <w:tcW w:w="2000" w:type="dxa"/>
            <w:vAlign w:val="bottom"/>
            <w:tcBorders>
              <w:bottom w:val="single" w:sz="8" w:color="DBDBDB"/>
            </w:tcBorders>
            <w:shd w:val="clear" w:color="auto" w:fill="DBDBDB"/>
          </w:tcPr>
          <w:p>
            <w:pPr>
              <w:jc w:val="center"/>
              <w:ind w:left="319"/>
              <w:spacing w:after="0" w:line="187" w:lineRule="exact"/>
              <w:rPr>
                <w:sz w:val="20"/>
                <w:szCs w:val="20"/>
                <w:color w:val="auto"/>
              </w:rPr>
            </w:pPr>
            <w:r>
              <w:rPr>
                <w:rFonts w:ascii="Calibri" w:cs="Calibri" w:eastAsia="Calibri" w:hAnsi="Calibri"/>
                <w:sz w:val="16"/>
                <w:szCs w:val="16"/>
                <w:color w:val="auto"/>
              </w:rPr>
              <w:t>42.5%</w:t>
            </w:r>
          </w:p>
        </w:tc>
        <w:tc>
          <w:tcPr>
            <w:tcW w:w="1980" w:type="dxa"/>
            <w:vAlign w:val="bottom"/>
            <w:tcBorders>
              <w:bottom w:val="single" w:sz="8" w:color="DBDBDB"/>
            </w:tcBorders>
            <w:shd w:val="clear" w:color="auto" w:fill="DBDBDB"/>
          </w:tcPr>
          <w:p>
            <w:pPr>
              <w:jc w:val="right"/>
              <w:ind w:right="579"/>
              <w:spacing w:after="0" w:line="187" w:lineRule="exact"/>
              <w:rPr>
                <w:sz w:val="20"/>
                <w:szCs w:val="20"/>
                <w:color w:val="auto"/>
              </w:rPr>
            </w:pPr>
            <w:r>
              <w:rPr>
                <w:rFonts w:ascii="Calibri" w:cs="Calibri" w:eastAsia="Calibri" w:hAnsi="Calibri"/>
                <w:sz w:val="16"/>
                <w:szCs w:val="16"/>
                <w:color w:val="auto"/>
              </w:rPr>
              <w:t>95.7%</w:t>
            </w:r>
          </w:p>
        </w:tc>
        <w:tc>
          <w:tcPr>
            <w:tcW w:w="218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78.4%</w:t>
            </w:r>
          </w:p>
        </w:tc>
        <w:tc>
          <w:tcPr>
            <w:tcW w:w="198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78.4%</w:t>
            </w:r>
          </w:p>
        </w:tc>
      </w:tr>
      <w:tr>
        <w:trPr>
          <w:trHeight w:val="193"/>
        </w:trPr>
        <w:tc>
          <w:tcPr>
            <w:tcW w:w="3080" w:type="dxa"/>
            <w:vAlign w:val="bottom"/>
          </w:tcPr>
          <w:p>
            <w:pPr>
              <w:ind w:left="20"/>
              <w:spacing w:after="0" w:line="193" w:lineRule="exact"/>
              <w:rPr>
                <w:sz w:val="20"/>
                <w:szCs w:val="20"/>
                <w:color w:val="auto"/>
              </w:rPr>
            </w:pPr>
            <w:r>
              <w:rPr>
                <w:rFonts w:ascii="Calibri" w:cs="Calibri" w:eastAsia="Calibri" w:hAnsi="Calibri"/>
                <w:sz w:val="16"/>
                <w:szCs w:val="16"/>
                <w:color w:val="auto"/>
              </w:rPr>
              <w:t>Total Revenue</w:t>
            </w:r>
          </w:p>
        </w:tc>
        <w:tc>
          <w:tcPr>
            <w:tcW w:w="2000" w:type="dxa"/>
            <w:vAlign w:val="bottom"/>
          </w:tcPr>
          <w:p>
            <w:pPr>
              <w:jc w:val="center"/>
              <w:ind w:left="319"/>
              <w:spacing w:after="0" w:line="193" w:lineRule="exact"/>
              <w:rPr>
                <w:sz w:val="20"/>
                <w:szCs w:val="20"/>
                <w:color w:val="auto"/>
              </w:rPr>
            </w:pPr>
            <w:r>
              <w:rPr>
                <w:rFonts w:ascii="Calibri" w:cs="Calibri" w:eastAsia="Calibri" w:hAnsi="Calibri"/>
                <w:sz w:val="16"/>
                <w:szCs w:val="16"/>
                <w:color w:val="auto"/>
              </w:rPr>
              <w:t>32.5%</w:t>
            </w:r>
          </w:p>
        </w:tc>
        <w:tc>
          <w:tcPr>
            <w:tcW w:w="1980" w:type="dxa"/>
            <w:vAlign w:val="bottom"/>
          </w:tcPr>
          <w:p>
            <w:pPr>
              <w:jc w:val="center"/>
              <w:ind w:left="159"/>
              <w:spacing w:after="0" w:line="193" w:lineRule="exact"/>
              <w:rPr>
                <w:sz w:val="20"/>
                <w:szCs w:val="20"/>
                <w:color w:val="auto"/>
              </w:rPr>
            </w:pPr>
            <w:r>
              <w:rPr>
                <w:rFonts w:ascii="Calibri" w:cs="Calibri" w:eastAsia="Calibri" w:hAnsi="Calibri"/>
                <w:sz w:val="16"/>
                <w:szCs w:val="16"/>
                <w:color w:val="auto"/>
              </w:rPr>
              <w:t>$1.35 billion</w:t>
            </w:r>
          </w:p>
        </w:tc>
        <w:tc>
          <w:tcPr>
            <w:tcW w:w="2180" w:type="dxa"/>
            <w:vAlign w:val="bottom"/>
          </w:tcPr>
          <w:p>
            <w:pPr>
              <w:jc w:val="center"/>
              <w:spacing w:after="0" w:line="193" w:lineRule="exact"/>
              <w:rPr>
                <w:sz w:val="20"/>
                <w:szCs w:val="20"/>
                <w:color w:val="auto"/>
              </w:rPr>
            </w:pPr>
            <w:r>
              <w:rPr>
                <w:rFonts w:ascii="Calibri" w:cs="Calibri" w:eastAsia="Calibri" w:hAnsi="Calibri"/>
                <w:sz w:val="16"/>
                <w:szCs w:val="16"/>
                <w:color w:val="auto"/>
              </w:rPr>
              <w:t>106.9%</w:t>
            </w:r>
          </w:p>
        </w:tc>
        <w:tc>
          <w:tcPr>
            <w:tcW w:w="1980" w:type="dxa"/>
            <w:vAlign w:val="bottom"/>
          </w:tcPr>
          <w:p>
            <w:pPr>
              <w:jc w:val="center"/>
              <w:spacing w:after="0" w:line="193" w:lineRule="exact"/>
              <w:rPr>
                <w:sz w:val="20"/>
                <w:szCs w:val="20"/>
                <w:color w:val="auto"/>
              </w:rPr>
            </w:pPr>
            <w:r>
              <w:rPr>
                <w:rFonts w:ascii="Calibri" w:cs="Calibri" w:eastAsia="Calibri" w:hAnsi="Calibri"/>
                <w:sz w:val="16"/>
                <w:szCs w:val="16"/>
                <w:color w:val="auto"/>
              </w:rPr>
              <w:t>111.5%</w:t>
            </w:r>
          </w:p>
        </w:tc>
      </w:tr>
      <w:tr>
        <w:trPr>
          <w:trHeight w:val="36"/>
        </w:trPr>
        <w:tc>
          <w:tcPr>
            <w:tcW w:w="30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09"/>
        </w:trPr>
        <w:tc>
          <w:tcPr>
            <w:tcW w:w="308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Adjusted Operatng Income (Loss)</w:t>
            </w:r>
          </w:p>
        </w:tc>
        <w:tc>
          <w:tcPr>
            <w:tcW w:w="2000" w:type="dxa"/>
            <w:vAlign w:val="bottom"/>
            <w:tcBorders>
              <w:bottom w:val="single" w:sz="8" w:color="DBDBDB"/>
            </w:tcBorders>
            <w:shd w:val="clear" w:color="auto" w:fill="DBDBDB"/>
          </w:tcPr>
          <w:p>
            <w:pPr>
              <w:jc w:val="center"/>
              <w:ind w:left="319"/>
              <w:spacing w:after="0" w:line="193" w:lineRule="exact"/>
              <w:rPr>
                <w:sz w:val="20"/>
                <w:szCs w:val="20"/>
                <w:color w:val="auto"/>
              </w:rPr>
            </w:pPr>
            <w:r>
              <w:rPr>
                <w:rFonts w:ascii="Calibri" w:cs="Calibri" w:eastAsia="Calibri" w:hAnsi="Calibri"/>
                <w:sz w:val="16"/>
                <w:szCs w:val="16"/>
                <w:color w:val="auto"/>
              </w:rPr>
              <w:t>25.0%</w:t>
            </w:r>
          </w:p>
        </w:tc>
        <w:tc>
          <w:tcPr>
            <w:tcW w:w="1980" w:type="dxa"/>
            <w:vAlign w:val="bottom"/>
            <w:tcBorders>
              <w:bottom w:val="single" w:sz="8" w:color="DBDBDB"/>
            </w:tcBorders>
            <w:shd w:val="clear" w:color="auto" w:fill="DBDBDB"/>
          </w:tcPr>
          <w:p>
            <w:pPr>
              <w:jc w:val="center"/>
              <w:ind w:left="159"/>
              <w:spacing w:after="0" w:line="193" w:lineRule="exact"/>
              <w:rPr>
                <w:sz w:val="20"/>
                <w:szCs w:val="20"/>
                <w:color w:val="auto"/>
              </w:rPr>
            </w:pPr>
            <w:r>
              <w:rPr>
                <w:rFonts w:ascii="Calibri" w:cs="Calibri" w:eastAsia="Calibri" w:hAnsi="Calibri"/>
                <w:sz w:val="16"/>
                <w:szCs w:val="16"/>
                <w:color w:val="auto"/>
                <w:w w:val="99"/>
              </w:rPr>
              <w:t>$(78.3 million)</w:t>
            </w:r>
          </w:p>
        </w:tc>
        <w:tc>
          <w:tcPr>
            <w:tcW w:w="218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130.0%</w:t>
            </w:r>
          </w:p>
        </w:tc>
        <w:tc>
          <w:tcPr>
            <w:tcW w:w="198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150.0%</w:t>
            </w:r>
          </w:p>
        </w:tc>
      </w:tr>
      <w:tr>
        <w:trPr>
          <w:trHeight w:val="194"/>
        </w:trPr>
        <w:tc>
          <w:tcPr>
            <w:tcW w:w="30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Total</w:t>
            </w:r>
          </w:p>
        </w:tc>
        <w:tc>
          <w:tcPr>
            <w:tcW w:w="2000" w:type="dxa"/>
            <w:vAlign w:val="bottom"/>
          </w:tcPr>
          <w:p>
            <w:pPr>
              <w:jc w:val="center"/>
              <w:ind w:left="319"/>
              <w:spacing w:after="0" w:line="193" w:lineRule="exact"/>
              <w:rPr>
                <w:sz w:val="20"/>
                <w:szCs w:val="20"/>
                <w:color w:val="auto"/>
              </w:rPr>
            </w:pPr>
            <w:r>
              <w:rPr>
                <w:rFonts w:ascii="Calibri" w:cs="Calibri" w:eastAsia="Calibri" w:hAnsi="Calibri"/>
                <w:sz w:val="16"/>
                <w:szCs w:val="16"/>
                <w:color w:val="auto"/>
              </w:rPr>
              <w:t>100.0%</w:t>
            </w:r>
          </w:p>
        </w:tc>
        <w:tc>
          <w:tcPr>
            <w:tcW w:w="1980" w:type="dxa"/>
            <w:vAlign w:val="bottom"/>
          </w:tcPr>
          <w:p>
            <w:pPr>
              <w:jc w:val="center"/>
              <w:ind w:left="159"/>
              <w:spacing w:after="0" w:line="193" w:lineRule="exact"/>
              <w:rPr>
                <w:sz w:val="20"/>
                <w:szCs w:val="20"/>
                <w:color w:val="auto"/>
              </w:rPr>
            </w:pPr>
            <w:r>
              <w:rPr>
                <w:rFonts w:ascii="Calibri" w:cs="Calibri" w:eastAsia="Calibri" w:hAnsi="Calibri"/>
                <w:sz w:val="16"/>
                <w:szCs w:val="16"/>
                <w:color w:val="auto"/>
                <w:w w:val="96"/>
              </w:rPr>
              <w:t>—</w:t>
            </w:r>
          </w:p>
        </w:tc>
        <w:tc>
          <w:tcPr>
            <w:tcW w:w="2180" w:type="dxa"/>
            <w:vAlign w:val="bottom"/>
          </w:tcPr>
          <w:p>
            <w:pPr>
              <w:jc w:val="center"/>
              <w:spacing w:after="0" w:line="193" w:lineRule="exact"/>
              <w:rPr>
                <w:sz w:val="20"/>
                <w:szCs w:val="20"/>
                <w:color w:val="auto"/>
              </w:rPr>
            </w:pPr>
            <w:r>
              <w:rPr>
                <w:rFonts w:ascii="Calibri" w:cs="Calibri" w:eastAsia="Calibri" w:hAnsi="Calibri"/>
                <w:sz w:val="16"/>
                <w:szCs w:val="16"/>
                <w:color w:val="auto"/>
              </w:rPr>
              <w:t>100.6%</w:t>
            </w:r>
          </w:p>
        </w:tc>
        <w:tc>
          <w:tcPr>
            <w:tcW w:w="1980" w:type="dxa"/>
            <w:vAlign w:val="bottom"/>
          </w:tcPr>
          <w:p>
            <w:pPr>
              <w:jc w:val="center"/>
              <w:spacing w:after="0" w:line="193" w:lineRule="exact"/>
              <w:rPr>
                <w:sz w:val="20"/>
                <w:szCs w:val="20"/>
                <w:color w:val="auto"/>
              </w:rPr>
            </w:pPr>
            <w:r>
              <w:rPr>
                <w:rFonts w:ascii="Calibri" w:cs="Calibri" w:eastAsia="Calibri" w:hAnsi="Calibri"/>
                <w:sz w:val="16"/>
                <w:szCs w:val="16"/>
                <w:color w:val="auto"/>
              </w:rPr>
              <w:t>107.1%</w:t>
            </w:r>
          </w:p>
        </w:tc>
      </w:tr>
      <w:tr>
        <w:trPr>
          <w:trHeight w:val="36"/>
        </w:trPr>
        <w:tc>
          <w:tcPr>
            <w:tcW w:w="3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type w:val="continuous"/>
        </w:sectPr>
      </w:pPr>
    </w:p>
    <w:p>
      <w:pPr>
        <w:spacing w:after="0" w:line="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our named executve ofcers (other than our CEO) received cash incentve plan payments equal to 107.1% of their target cash incentve plan opportunites.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target cash incentve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plan opportunites and the actual cash incentve plan payments made to our named executve ofcers for fscal 2022:</w:t>
      </w:r>
    </w:p>
    <w:p>
      <w:pPr>
        <w:spacing w:after="0" w:line="821"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2960" w:type="dxa"/>
            <w:vAlign w:val="bottom"/>
          </w:tcPr>
          <w:p>
            <w:pPr>
              <w:jc w:val="center"/>
              <w:ind w:left="419"/>
              <w:spacing w:after="0"/>
              <w:rPr>
                <w:sz w:val="20"/>
                <w:szCs w:val="20"/>
                <w:color w:val="auto"/>
              </w:rPr>
            </w:pPr>
            <w:r>
              <w:rPr>
                <w:rFonts w:ascii="Calibri" w:cs="Calibri" w:eastAsia="Calibri" w:hAnsi="Calibri"/>
                <w:sz w:val="16"/>
                <w:szCs w:val="16"/>
                <w:b w:val="1"/>
                <w:bCs w:val="1"/>
                <w:color w:val="auto"/>
              </w:rPr>
              <w:t>Target Cash Incentve Plan</w:t>
            </w:r>
          </w:p>
        </w:tc>
        <w:tc>
          <w:tcPr>
            <w:tcW w:w="43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Target Cash Incentve Plan Actual Cash Incentve Plan Payment</w:t>
            </w:r>
          </w:p>
        </w:tc>
        <w:tc>
          <w:tcPr>
            <w:tcW w:w="1600" w:type="dxa"/>
            <w:vAlign w:val="bottom"/>
          </w:tcPr>
          <w:p>
            <w:pPr>
              <w:jc w:val="center"/>
              <w:spacing w:after="0"/>
              <w:rPr>
                <w:sz w:val="20"/>
                <w:szCs w:val="20"/>
                <w:color w:val="auto"/>
              </w:rPr>
            </w:pPr>
            <w:r>
              <w:rPr>
                <w:rFonts w:ascii="Calibri" w:cs="Calibri" w:eastAsia="Calibri" w:hAnsi="Calibri"/>
                <w:sz w:val="16"/>
                <w:szCs w:val="16"/>
                <w:b w:val="1"/>
                <w:bCs w:val="1"/>
                <w:color w:val="auto"/>
              </w:rPr>
              <w:t>Actual Cash Incentve</w:t>
            </w:r>
          </w:p>
        </w:tc>
      </w:tr>
      <w:tr>
        <w:trPr>
          <w:trHeight w:val="175"/>
        </w:trPr>
        <w:tc>
          <w:tcPr>
            <w:tcW w:w="2320" w:type="dxa"/>
            <w:vAlign w:val="bottom"/>
          </w:tcPr>
          <w:p>
            <w:pPr>
              <w:spacing w:after="0"/>
              <w:rPr>
                <w:sz w:val="15"/>
                <w:szCs w:val="15"/>
                <w:color w:val="auto"/>
              </w:rPr>
            </w:pPr>
          </w:p>
        </w:tc>
        <w:tc>
          <w:tcPr>
            <w:tcW w:w="2960" w:type="dxa"/>
            <w:vAlign w:val="bottom"/>
          </w:tcPr>
          <w:p>
            <w:pPr>
              <w:jc w:val="center"/>
              <w:ind w:left="419"/>
              <w:spacing w:after="0" w:line="175" w:lineRule="exact"/>
              <w:rPr>
                <w:sz w:val="20"/>
                <w:szCs w:val="20"/>
                <w:color w:val="auto"/>
              </w:rPr>
            </w:pPr>
            <w:r>
              <w:rPr>
                <w:rFonts w:ascii="Calibri" w:cs="Calibri" w:eastAsia="Calibri" w:hAnsi="Calibri"/>
                <w:sz w:val="16"/>
                <w:szCs w:val="16"/>
                <w:b w:val="1"/>
                <w:bCs w:val="1"/>
                <w:color w:val="auto"/>
              </w:rPr>
              <w:t>Opportunity (as a percentage of</w:t>
            </w:r>
          </w:p>
        </w:tc>
        <w:tc>
          <w:tcPr>
            <w:tcW w:w="1900" w:type="dxa"/>
            <w:vAlign w:val="bottom"/>
          </w:tcPr>
          <w:p>
            <w:pPr>
              <w:jc w:val="right"/>
              <w:ind w:right="499"/>
              <w:spacing w:after="0" w:line="175" w:lineRule="exact"/>
              <w:rPr>
                <w:sz w:val="20"/>
                <w:szCs w:val="20"/>
                <w:color w:val="auto"/>
              </w:rPr>
            </w:pPr>
            <w:r>
              <w:rPr>
                <w:rFonts w:ascii="Calibri" w:cs="Calibri" w:eastAsia="Calibri" w:hAnsi="Calibri"/>
                <w:sz w:val="16"/>
                <w:szCs w:val="16"/>
                <w:b w:val="1"/>
                <w:bCs w:val="1"/>
                <w:color w:val="auto"/>
              </w:rPr>
              <w:t>Opportunity</w:t>
            </w:r>
          </w:p>
        </w:tc>
        <w:tc>
          <w:tcPr>
            <w:tcW w:w="2440" w:type="dxa"/>
            <w:vAlign w:val="bottom"/>
          </w:tcPr>
          <w:p>
            <w:pPr>
              <w:jc w:val="right"/>
              <w:ind w:right="159"/>
              <w:spacing w:after="0" w:line="175" w:lineRule="exact"/>
              <w:rPr>
                <w:sz w:val="20"/>
                <w:szCs w:val="20"/>
                <w:color w:val="auto"/>
              </w:rPr>
            </w:pPr>
            <w:r>
              <w:rPr>
                <w:rFonts w:ascii="Calibri" w:cs="Calibri" w:eastAsia="Calibri" w:hAnsi="Calibri"/>
                <w:sz w:val="16"/>
                <w:szCs w:val="16"/>
                <w:b w:val="1"/>
                <w:bCs w:val="1"/>
                <w:color w:val="auto"/>
              </w:rPr>
              <w:t>(as a percentage of Target Cash</w:t>
            </w:r>
          </w:p>
        </w:tc>
        <w:tc>
          <w:tcPr>
            <w:tcW w:w="1600" w:type="dxa"/>
            <w:vAlign w:val="bottom"/>
          </w:tcPr>
          <w:p>
            <w:pPr>
              <w:jc w:val="center"/>
              <w:spacing w:after="0" w:line="175" w:lineRule="exact"/>
              <w:rPr>
                <w:sz w:val="20"/>
                <w:szCs w:val="20"/>
                <w:color w:val="auto"/>
              </w:rPr>
            </w:pPr>
            <w:r>
              <w:rPr>
                <w:rFonts w:ascii="Calibri" w:cs="Calibri" w:eastAsia="Calibri" w:hAnsi="Calibri"/>
                <w:sz w:val="16"/>
                <w:szCs w:val="16"/>
                <w:b w:val="1"/>
                <w:bCs w:val="1"/>
                <w:color w:val="auto"/>
              </w:rPr>
              <w:t>Plan Payment</w:t>
            </w:r>
          </w:p>
        </w:tc>
      </w:tr>
      <w:tr>
        <w:trPr>
          <w:trHeight w:val="194"/>
        </w:trPr>
        <w:tc>
          <w:tcPr>
            <w:tcW w:w="232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Named Executve Ofcer</w:t>
            </w:r>
          </w:p>
        </w:tc>
        <w:tc>
          <w:tcPr>
            <w:tcW w:w="2960" w:type="dxa"/>
            <w:vAlign w:val="bottom"/>
          </w:tcPr>
          <w:p>
            <w:pPr>
              <w:jc w:val="center"/>
              <w:ind w:left="439"/>
              <w:spacing w:after="0" w:line="193" w:lineRule="exact"/>
              <w:rPr>
                <w:sz w:val="20"/>
                <w:szCs w:val="20"/>
                <w:color w:val="auto"/>
              </w:rPr>
            </w:pPr>
            <w:r>
              <w:rPr>
                <w:rFonts w:ascii="Calibri" w:cs="Calibri" w:eastAsia="Calibri" w:hAnsi="Calibri"/>
                <w:sz w:val="16"/>
                <w:szCs w:val="16"/>
                <w:b w:val="1"/>
                <w:bCs w:val="1"/>
                <w:color w:val="auto"/>
              </w:rPr>
              <w:t>base salary)</w:t>
            </w:r>
          </w:p>
        </w:tc>
        <w:tc>
          <w:tcPr>
            <w:tcW w:w="1900" w:type="dxa"/>
            <w:vAlign w:val="bottom"/>
          </w:tcPr>
          <w:p>
            <w:pPr>
              <w:jc w:val="right"/>
              <w:ind w:right="819"/>
              <w:spacing w:after="0" w:line="193" w:lineRule="exact"/>
              <w:rPr>
                <w:sz w:val="20"/>
                <w:szCs w:val="20"/>
                <w:color w:val="auto"/>
              </w:rPr>
            </w:pPr>
            <w:r>
              <w:rPr>
                <w:rFonts w:ascii="Calibri" w:cs="Calibri" w:eastAsia="Calibri" w:hAnsi="Calibri"/>
                <w:sz w:val="16"/>
                <w:szCs w:val="16"/>
                <w:b w:val="1"/>
                <w:bCs w:val="1"/>
                <w:color w:val="auto"/>
              </w:rPr>
              <w:t>($)</w:t>
            </w:r>
          </w:p>
        </w:tc>
        <w:tc>
          <w:tcPr>
            <w:tcW w:w="244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Incentve Plan Opportunity)</w:t>
            </w:r>
          </w:p>
        </w:tc>
        <w:tc>
          <w:tcPr>
            <w:tcW w:w="16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w:t>
            </w:r>
          </w:p>
        </w:tc>
      </w:tr>
      <w:tr>
        <w:trPr>
          <w:trHeight w:val="41"/>
        </w:trPr>
        <w:tc>
          <w:tcPr>
            <w:tcW w:w="23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3"/>
        </w:trPr>
        <w:tc>
          <w:tcPr>
            <w:tcW w:w="232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Max Levchin</w:t>
            </w:r>
          </w:p>
        </w:tc>
        <w:tc>
          <w:tcPr>
            <w:tcW w:w="29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 %</w:t>
            </w:r>
          </w:p>
        </w:tc>
        <w:tc>
          <w:tcPr>
            <w:tcW w:w="1900" w:type="dxa"/>
            <w:vAlign w:val="bottom"/>
            <w:tcBorders>
              <w:bottom w:val="single" w:sz="8" w:color="DBDBDB"/>
            </w:tcBorders>
            <w:shd w:val="clear" w:color="auto" w:fill="DBDBDB"/>
          </w:tcPr>
          <w:p>
            <w:pPr>
              <w:jc w:val="right"/>
              <w:ind w:right="39"/>
              <w:spacing w:after="0" w:line="187" w:lineRule="exact"/>
              <w:rPr>
                <w:sz w:val="20"/>
                <w:szCs w:val="20"/>
                <w:color w:val="auto"/>
              </w:rPr>
            </w:pPr>
            <w:r>
              <w:rPr>
                <w:rFonts w:ascii="Calibri" w:cs="Calibri" w:eastAsia="Calibri" w:hAnsi="Calibri"/>
                <w:sz w:val="16"/>
                <w:szCs w:val="16"/>
                <w:color w:val="auto"/>
              </w:rPr>
              <w:t>—</w:t>
            </w:r>
          </w:p>
        </w:tc>
        <w:tc>
          <w:tcPr>
            <w:tcW w:w="2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 %</w:t>
            </w:r>
          </w:p>
        </w:tc>
        <w:tc>
          <w:tcPr>
            <w:tcW w:w="16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r>
      <w:tr>
        <w:trPr>
          <w:trHeight w:val="194"/>
        </w:trPr>
        <w:tc>
          <w:tcPr>
            <w:tcW w:w="2320" w:type="dxa"/>
            <w:vAlign w:val="bottom"/>
          </w:tcPr>
          <w:p>
            <w:pPr>
              <w:ind w:left="20"/>
              <w:spacing w:after="0" w:line="193" w:lineRule="exact"/>
              <w:rPr>
                <w:sz w:val="20"/>
                <w:szCs w:val="20"/>
                <w:color w:val="auto"/>
              </w:rPr>
            </w:pPr>
            <w:r>
              <w:rPr>
                <w:rFonts w:ascii="Calibri" w:cs="Calibri" w:eastAsia="Calibri" w:hAnsi="Calibri"/>
                <w:sz w:val="16"/>
                <w:szCs w:val="16"/>
                <w:color w:val="auto"/>
              </w:rPr>
              <w:t>Michael Linford</w:t>
            </w:r>
          </w:p>
        </w:tc>
        <w:tc>
          <w:tcPr>
            <w:tcW w:w="2960" w:type="dxa"/>
            <w:vAlign w:val="bottom"/>
          </w:tcPr>
          <w:p>
            <w:pPr>
              <w:jc w:val="right"/>
              <w:spacing w:after="0" w:line="193" w:lineRule="exact"/>
              <w:rPr>
                <w:sz w:val="20"/>
                <w:szCs w:val="20"/>
                <w:color w:val="auto"/>
              </w:rPr>
            </w:pPr>
            <w:r>
              <w:rPr>
                <w:rFonts w:ascii="Calibri" w:cs="Calibri" w:eastAsia="Calibri" w:hAnsi="Calibri"/>
                <w:sz w:val="16"/>
                <w:szCs w:val="16"/>
                <w:color w:val="auto"/>
              </w:rPr>
              <w:t>75 %</w:t>
            </w:r>
          </w:p>
        </w:tc>
        <w:tc>
          <w:tcPr>
            <w:tcW w:w="19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343,125</w:t>
            </w:r>
          </w:p>
        </w:tc>
        <w:tc>
          <w:tcPr>
            <w:tcW w:w="2440" w:type="dxa"/>
            <w:vAlign w:val="bottom"/>
          </w:tcPr>
          <w:p>
            <w:pPr>
              <w:jc w:val="right"/>
              <w:spacing w:after="0" w:line="193" w:lineRule="exact"/>
              <w:rPr>
                <w:sz w:val="20"/>
                <w:szCs w:val="20"/>
                <w:color w:val="auto"/>
              </w:rPr>
            </w:pPr>
            <w:r>
              <w:rPr>
                <w:rFonts w:ascii="Calibri" w:cs="Calibri" w:eastAsia="Calibri" w:hAnsi="Calibri"/>
                <w:sz w:val="16"/>
                <w:szCs w:val="16"/>
                <w:color w:val="auto"/>
              </w:rPr>
              <w:t>107.1 %</w:t>
            </w: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color w:val="auto"/>
              </w:rPr>
              <w:t>367,315</w:t>
            </w:r>
          </w:p>
        </w:tc>
      </w:tr>
      <w:tr>
        <w:trPr>
          <w:trHeight w:val="36"/>
        </w:trPr>
        <w:tc>
          <w:tcPr>
            <w:tcW w:w="23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30"/>
        </w:trPr>
        <w:tc>
          <w:tcPr>
            <w:tcW w:w="2320" w:type="dxa"/>
            <w:vAlign w:val="bottom"/>
            <w:shd w:val="clear" w:color="auto" w:fill="DBDBDB"/>
          </w:tcPr>
          <w:p>
            <w:pPr>
              <w:ind w:left="20"/>
              <w:spacing w:after="0" w:line="229" w:lineRule="exact"/>
              <w:rPr>
                <w:sz w:val="20"/>
                <w:szCs w:val="20"/>
                <w:color w:val="auto"/>
              </w:rPr>
            </w:pPr>
            <w:r>
              <w:rPr>
                <w:rFonts w:ascii="Calibri" w:cs="Calibri" w:eastAsia="Calibri" w:hAnsi="Calibri"/>
                <w:sz w:val="16"/>
                <w:szCs w:val="16"/>
                <w:color w:val="auto"/>
              </w:rPr>
              <w:t>Katherine Adkins</w:t>
            </w:r>
            <w:r>
              <w:rPr>
                <w:rFonts w:ascii="Calibri" w:cs="Calibri" w:eastAsia="Calibri" w:hAnsi="Calibri"/>
                <w:sz w:val="21"/>
                <w:szCs w:val="21"/>
                <w:color w:val="auto"/>
                <w:vertAlign w:val="superscript"/>
              </w:rPr>
              <w:t>(1)</w:t>
            </w:r>
          </w:p>
        </w:tc>
        <w:tc>
          <w:tcPr>
            <w:tcW w:w="296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55 %</w:t>
            </w:r>
          </w:p>
        </w:tc>
        <w:tc>
          <w:tcPr>
            <w:tcW w:w="1900" w:type="dxa"/>
            <w:vAlign w:val="bottom"/>
            <w:shd w:val="clear" w:color="auto" w:fill="DBDBDB"/>
          </w:tcPr>
          <w:p>
            <w:pPr>
              <w:jc w:val="right"/>
              <w:ind w:right="39"/>
              <w:spacing w:after="0" w:line="193" w:lineRule="exact"/>
              <w:rPr>
                <w:sz w:val="20"/>
                <w:szCs w:val="20"/>
                <w:color w:val="auto"/>
              </w:rPr>
            </w:pPr>
            <w:r>
              <w:rPr>
                <w:rFonts w:ascii="Calibri" w:cs="Calibri" w:eastAsia="Calibri" w:hAnsi="Calibri"/>
                <w:sz w:val="16"/>
                <w:szCs w:val="16"/>
                <w:color w:val="auto"/>
              </w:rPr>
              <w:t>218,750</w:t>
            </w:r>
          </w:p>
        </w:tc>
        <w:tc>
          <w:tcPr>
            <w:tcW w:w="24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107.1 %</w:t>
            </w:r>
          </w:p>
        </w:tc>
        <w:tc>
          <w:tcPr>
            <w:tcW w:w="160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234,172</w:t>
            </w:r>
          </w:p>
        </w:tc>
      </w:tr>
      <w:tr>
        <w:trPr>
          <w:trHeight w:val="193"/>
        </w:trPr>
        <w:tc>
          <w:tcPr>
            <w:tcW w:w="2320" w:type="dxa"/>
            <w:vAlign w:val="bottom"/>
          </w:tcPr>
          <w:p>
            <w:pPr>
              <w:ind w:left="20"/>
              <w:spacing w:after="0" w:line="193" w:lineRule="exact"/>
              <w:rPr>
                <w:sz w:val="20"/>
                <w:szCs w:val="20"/>
                <w:color w:val="auto"/>
              </w:rPr>
            </w:pPr>
            <w:r>
              <w:rPr>
                <w:rFonts w:ascii="Calibri" w:cs="Calibri" w:eastAsia="Calibri" w:hAnsi="Calibri"/>
                <w:sz w:val="16"/>
                <w:szCs w:val="16"/>
                <w:color w:val="auto"/>
              </w:rPr>
              <w:t>Libor Michalek</w:t>
            </w:r>
          </w:p>
        </w:tc>
        <w:tc>
          <w:tcPr>
            <w:tcW w:w="2960" w:type="dxa"/>
            <w:vAlign w:val="bottom"/>
          </w:tcPr>
          <w:p>
            <w:pPr>
              <w:jc w:val="right"/>
              <w:spacing w:after="0" w:line="193" w:lineRule="exact"/>
              <w:rPr>
                <w:sz w:val="20"/>
                <w:szCs w:val="20"/>
                <w:color w:val="auto"/>
              </w:rPr>
            </w:pPr>
            <w:r>
              <w:rPr>
                <w:rFonts w:ascii="Calibri" w:cs="Calibri" w:eastAsia="Calibri" w:hAnsi="Calibri"/>
                <w:sz w:val="16"/>
                <w:szCs w:val="16"/>
                <w:color w:val="auto"/>
              </w:rPr>
              <w:t>75 %</w:t>
            </w:r>
          </w:p>
        </w:tc>
        <w:tc>
          <w:tcPr>
            <w:tcW w:w="19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352,500</w:t>
            </w:r>
          </w:p>
        </w:tc>
        <w:tc>
          <w:tcPr>
            <w:tcW w:w="2440" w:type="dxa"/>
            <w:vAlign w:val="bottom"/>
          </w:tcPr>
          <w:p>
            <w:pPr>
              <w:jc w:val="right"/>
              <w:spacing w:after="0" w:line="193" w:lineRule="exact"/>
              <w:rPr>
                <w:sz w:val="20"/>
                <w:szCs w:val="20"/>
                <w:color w:val="auto"/>
              </w:rPr>
            </w:pPr>
            <w:r>
              <w:rPr>
                <w:rFonts w:ascii="Calibri" w:cs="Calibri" w:eastAsia="Calibri" w:hAnsi="Calibri"/>
                <w:sz w:val="16"/>
                <w:szCs w:val="16"/>
                <w:color w:val="auto"/>
              </w:rPr>
              <w:t>107.1 %</w:t>
            </w:r>
          </w:p>
        </w:tc>
        <w:tc>
          <w:tcPr>
            <w:tcW w:w="1600" w:type="dxa"/>
            <w:vAlign w:val="bottom"/>
          </w:tcPr>
          <w:p>
            <w:pPr>
              <w:jc w:val="right"/>
              <w:spacing w:after="0" w:line="193" w:lineRule="exact"/>
              <w:rPr>
                <w:sz w:val="20"/>
                <w:szCs w:val="20"/>
                <w:color w:val="auto"/>
              </w:rPr>
            </w:pPr>
            <w:r>
              <w:rPr>
                <w:rFonts w:ascii="Calibri" w:cs="Calibri" w:eastAsia="Calibri" w:hAnsi="Calibri"/>
                <w:sz w:val="16"/>
                <w:szCs w:val="16"/>
                <w:color w:val="auto"/>
              </w:rPr>
              <w:t>377,351</w:t>
            </w:r>
          </w:p>
        </w:tc>
      </w:tr>
      <w:tr>
        <w:trPr>
          <w:trHeight w:val="36"/>
        </w:trPr>
        <w:tc>
          <w:tcPr>
            <w:tcW w:w="23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10"/>
        </w:trPr>
        <w:tc>
          <w:tcPr>
            <w:tcW w:w="232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Silvija Martncevic</w:t>
            </w:r>
          </w:p>
        </w:tc>
        <w:tc>
          <w:tcPr>
            <w:tcW w:w="29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75 %</w:t>
            </w:r>
          </w:p>
        </w:tc>
        <w:tc>
          <w:tcPr>
            <w:tcW w:w="1900" w:type="dxa"/>
            <w:vAlign w:val="bottom"/>
            <w:tcBorders>
              <w:bottom w:val="single" w:sz="8" w:color="DBDBDB"/>
            </w:tcBorders>
            <w:shd w:val="clear" w:color="auto" w:fill="DBDBDB"/>
          </w:tcPr>
          <w:p>
            <w:pPr>
              <w:jc w:val="right"/>
              <w:ind w:right="39"/>
              <w:spacing w:after="0" w:line="193" w:lineRule="exact"/>
              <w:rPr>
                <w:sz w:val="20"/>
                <w:szCs w:val="20"/>
                <w:color w:val="auto"/>
              </w:rPr>
            </w:pPr>
            <w:r>
              <w:rPr>
                <w:rFonts w:ascii="Calibri" w:cs="Calibri" w:eastAsia="Calibri" w:hAnsi="Calibri"/>
                <w:sz w:val="16"/>
                <w:szCs w:val="16"/>
                <w:color w:val="auto"/>
              </w:rPr>
              <w:t>343,125</w:t>
            </w:r>
          </w:p>
        </w:tc>
        <w:tc>
          <w:tcPr>
            <w:tcW w:w="24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107.1 %</w:t>
            </w:r>
          </w:p>
        </w:tc>
        <w:tc>
          <w:tcPr>
            <w:tcW w:w="16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367,315</w:t>
            </w:r>
          </w:p>
        </w:tc>
      </w:tr>
      <w:tr>
        <w:trPr>
          <w:trHeight w:val="20"/>
        </w:trPr>
        <w:tc>
          <w:tcPr>
            <w:tcW w:w="232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45" w:lineRule="auto"/>
        <w:tabs>
          <w:tab w:leader="none" w:pos="32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Ms. Adkins' target cash incentve plan opportunity was increased from 50% of base salary to 60% of base salary efectve January 1, 2022 to refect her promoton to report directly to our CEO. The target cash incentve plan opportunity presented for Ms. Adkins represents an average of those two target percentages.</w:t>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31</w:t>
      </w:r>
    </w:p>
    <w:p>
      <w:pPr>
        <w:sectPr>
          <w:pgSz w:w="11900" w:h="16838" w:orient="portrait"/>
          <w:cols w:equalWidth="0" w:num="1">
            <w:col w:w="11240"/>
          </w:cols>
          <w:pgMar w:left="320" w:top="1413" w:right="339" w:bottom="1440" w:gutter="0" w:footer="0" w:header="0"/>
          <w:type w:val="continuous"/>
        </w:sectPr>
      </w:pPr>
    </w:p>
    <w:bookmarkStart w:id="35" w:name="page36"/>
    <w:bookmarkEnd w:id="35"/>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The cash incentve plan payments made to our named executve ofcers for fscal 2022 are set forth in the “</w:t>
      </w:r>
      <w:r>
        <w:rPr>
          <w:rFonts w:ascii="Calibri" w:cs="Calibri" w:eastAsia="Calibri" w:hAnsi="Calibri"/>
          <w:sz w:val="17"/>
          <w:szCs w:val="17"/>
          <w:i w:val="1"/>
          <w:iCs w:val="1"/>
          <w:color w:val="auto"/>
        </w:rPr>
        <w:t>Fiscal 2022 Summary Compensaton Table</w:t>
      </w:r>
      <w:r>
        <w:rPr>
          <w:rFonts w:ascii="Calibri" w:cs="Calibri" w:eastAsia="Calibri" w:hAnsi="Calibri"/>
          <w:sz w:val="17"/>
          <w:szCs w:val="17"/>
          <w:color w:val="auto"/>
        </w:rPr>
        <w:t>” below.</w:t>
      </w:r>
    </w:p>
    <w:p>
      <w:pPr>
        <w:sectPr>
          <w:pgSz w:w="11900" w:h="16838" w:orient="portrait"/>
          <w:cols w:equalWidth="0" w:num="1">
            <w:col w:w="11220"/>
          </w:cols>
          <w:pgMar w:left="320" w:top="1440" w:right="359" w:bottom="1440" w:gutter="0" w:footer="0" w:header="0"/>
        </w:sectPr>
      </w:pP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Long-Term Equity Incentve Compensaton</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technology company that encounters signifcant competton for qualifed personnel, long-term incentve compensaton plays a critcal role in our ability to atract, hire, motvate, reward, and retain qualifed and experienced executves. The use of long-term incentve compensaton in the form of equity awards is necessary for us to compete for qualifed executves without signifcantly increasing cash compensaton and is the most important element of our executve compensaton program. We use equity awards to incentvize and reward our named executve ofcers for long-term corporate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Chief Executve Ofcer Long-Term Equity Award</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previously disclosed in the proxy statement for our 2021 Annual Meetng of Stockholders, we granted a special equity award to our CEO in advance of our IPO in fscal 2021 (the “Value Creaton Award”).</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Value Creaton Award is divided into ten tranches that Mr. Levchin may earn by satsfying a performance conditon within a fve-year period from the date of grant. Once earned as a result of satsfying the performance conditon, each earned tranche of Mr. Levchin’s Value Creaton Award becomes vested and exercisable over a fve-year period commencing on the date of grant, subject to Mr. Levchin’s contnued service to the Company, in annual amounts equal to 15%, 15%, 20%, 25%, and 25%, respectvely. The performance conditon for each tranche</w:t>
      </w:r>
    </w:p>
    <w:p>
      <w:pPr>
        <w:spacing w:after="0" w:line="35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Long-Term Equity Awards of Our Other Named Executve Ofcers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fscal 2022, we used optons to purchase shares of our Class A common stock or a combinaton of optons and tme-vestng RSU awards that setle for shares of our Class A common stock as retenton incentves for our named executve ofcers (other than our CEO). We believe that because optons provide for an economic beneft only in the event that our stock price increases over the exercise price of the opton, these awards efectvely align the interests of these named executve ofcers with those of our stockholders and provide these named executve ofcers with a signifcant incentve to manage our business from the perspectve of an owner with an equity stake in the business. In additon, because the value of RSU awards increases with any increase in the value of the underlying shares, RSU awards can also provide incentves that are aligned with the interests of our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both"/>
        <w:ind w:right="100"/>
        <w:spacing w:after="0" w:line="251" w:lineRule="auto"/>
        <w:rPr>
          <w:sz w:val="20"/>
          <w:szCs w:val="20"/>
          <w:color w:val="auto"/>
        </w:rPr>
      </w:pPr>
      <w:r>
        <w:rPr>
          <w:rFonts w:ascii="Calibri" w:cs="Calibri" w:eastAsia="Calibri" w:hAnsi="Calibri"/>
          <w:sz w:val="17"/>
          <w:szCs w:val="17"/>
          <w:color w:val="auto"/>
        </w:rPr>
        <w:t>performance based on the value of our Class A common stock and, thereby, to align their interests with the interests of our stockholders. The realized value of these equity awards bears a direct relatonship to our stock price, and, therefore, these awards serve as an incentve for our named executve ofcers to create sustainable value for our stockholders. Equity awards also help us retain our named executve ofcers in a highly compettve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is satsfed on the date the 90 average trading day volume weighted share price of our Class A common stock exceeds an established stock price hurdle. These stock price hurdles, which were set based on a target percentage of growth from the IPO price of $49 per share, ranging from $65.66 per share to $371.91 per share. Each stock price hurdle will be equitably adjusted to refect any stock splits, stock dividends or other restructurings impactng our Class A common stock. Any porton of the Value Creaton Award that has not been earned by the ffh anniversary of the grant date will be forfeited. As of June 30, 2022, the frst four tranches of the Value Creaton Award had been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In determining the size of the equity awards to be granted to our named executve ofcers, the Compensaton Commitee exercises its judgment as to the appropriate size of the awards afer considering, among other factors, a compettve market analysis prepared by Compensia, the outstanding equity holdings of each named executve ofcer (including the current economic value of his or her unvested equity holdings and the ability of these unvested holdings to satsfy our retenton objectves), the projected impact of the proposed awards on our earnings, the proporton of our total shares outstanding used for annual employee long-term incentve compensaton awards (our “burn rate”) in relaton to the annual burn rate ranges of the companies in our compensaton peer group and other recently-public technology companies, the potental votng power diluton to our stockholders in relaton to the median practce of the companies in our compensaton</w:t>
      </w:r>
    </w:p>
    <w:p>
      <w:pPr>
        <w:spacing w:after="0" w:line="200" w:lineRule="exact"/>
        <w:rPr>
          <w:sz w:val="20"/>
          <w:szCs w:val="20"/>
          <w:color w:val="auto"/>
        </w:rPr>
      </w:pPr>
    </w:p>
    <w:p>
      <w:pPr>
        <w:sectPr>
          <w:pgSz w:w="11900" w:h="16838" w:orient="portrait"/>
          <w:cols w:equalWidth="0" w:num="2">
            <w:col w:w="5420" w:space="300"/>
            <w:col w:w="55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32</w:t>
      </w:r>
    </w:p>
    <w:p>
      <w:pPr>
        <w:sectPr>
          <w:pgSz w:w="11900" w:h="16838" w:orient="portrait"/>
          <w:cols w:equalWidth="0" w:num="1">
            <w:col w:w="11220"/>
          </w:cols>
          <w:pgMar w:left="320" w:top="1440" w:right="359" w:bottom="1440" w:gutter="0" w:footer="0" w:header="0"/>
          <w:type w:val="continuous"/>
        </w:sectPr>
      </w:pPr>
    </w:p>
    <w:bookmarkStart w:id="36" w:name="page37"/>
    <w:bookmarkEnd w:id="36"/>
    <w:p>
      <w:pPr>
        <w:jc w:val="both"/>
        <w:spacing w:after="0" w:line="235" w:lineRule="auto"/>
        <w:rPr>
          <w:sz w:val="20"/>
          <w:szCs w:val="20"/>
          <w:color w:val="auto"/>
        </w:rPr>
      </w:pPr>
      <w:r>
        <w:rPr>
          <w:rFonts w:ascii="Calibri" w:cs="Calibri" w:eastAsia="Calibri" w:hAnsi="Calibri"/>
          <w:sz w:val="18"/>
          <w:szCs w:val="18"/>
          <w:color w:val="auto"/>
        </w:rPr>
        <w:t>peer group and the other factors described in “</w:t>
      </w:r>
      <w:r>
        <w:rPr>
          <w:rFonts w:ascii="Calibri" w:cs="Calibri" w:eastAsia="Calibri" w:hAnsi="Calibri"/>
          <w:sz w:val="18"/>
          <w:szCs w:val="18"/>
          <w:i w:val="1"/>
          <w:iCs w:val="1"/>
          <w:color w:val="auto"/>
        </w:rPr>
        <w:t>Compensaton-Setng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Process—Setng Base Salaries and Long-Term Incentve Compensaton Opportunites</w:t>
      </w:r>
      <w:r>
        <w:rPr>
          <w:rFonts w:ascii="Calibri" w:cs="Calibri" w:eastAsia="Calibri" w:hAnsi="Calibri"/>
          <w:sz w:val="18"/>
          <w:szCs w:val="18"/>
          <w:color w:val="auto"/>
        </w:rPr>
        <w:t>” above. Based upon these factors, the Compensaton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Commitee</w:t>
      </w:r>
    </w:p>
    <w:p>
      <w:pPr>
        <w:spacing w:after="0" w:line="20" w:lineRule="exact"/>
        <w:rPr>
          <w:sz w:val="20"/>
          <w:szCs w:val="20"/>
          <w:color w:val="auto"/>
        </w:rPr>
      </w:pPr>
      <w:r>
        <w:rPr>
          <w:sz w:val="20"/>
          <w:szCs w:val="20"/>
          <w:color w:val="auto"/>
        </w:rPr>
        <w:br w:type="column"/>
      </w:r>
    </w:p>
    <w:p>
      <w:pPr>
        <w:jc w:val="both"/>
        <w:ind w:right="120"/>
        <w:spacing w:after="0" w:line="235" w:lineRule="auto"/>
        <w:rPr>
          <w:sz w:val="20"/>
          <w:szCs w:val="20"/>
          <w:color w:val="auto"/>
        </w:rPr>
      </w:pPr>
      <w:r>
        <w:rPr>
          <w:rFonts w:ascii="Calibri" w:cs="Calibri" w:eastAsia="Calibri" w:hAnsi="Calibri"/>
          <w:sz w:val="18"/>
          <w:szCs w:val="18"/>
          <w:color w:val="auto"/>
        </w:rPr>
        <w:t>determines the size of each award at levels it considers appropriate to create a meaningful opportunity for reward predicated on the creaton of long-term stockholder value.</w:t>
      </w:r>
    </w:p>
    <w:p>
      <w:pPr>
        <w:spacing w:after="0" w:line="415" w:lineRule="exact"/>
        <w:rPr>
          <w:sz w:val="20"/>
          <w:szCs w:val="20"/>
          <w:color w:val="auto"/>
        </w:rPr>
      </w:pPr>
    </w:p>
    <w:p>
      <w:pPr>
        <w:sectPr>
          <w:pgSz w:w="11900" w:h="16838" w:orient="portrait"/>
          <w:cols w:equalWidth="0" w:num="2">
            <w:col w:w="5420" w:space="300"/>
            <w:col w:w="5520"/>
          </w:cols>
          <w:pgMar w:left="320" w:top="1413" w:right="339" w:bottom="1440" w:gutter="0" w:footer="0" w:header="0"/>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Awards to Ms. Adkins</w:t>
      </w:r>
    </w:p>
    <w:p>
      <w:pPr>
        <w:spacing w:after="0" w:line="17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In January 2022, the Compensaton Commitee approved an equity award for Ms. Adkins of an opton to purchase 29,015 shares of our Class A common stock and an RSU award that setles for 14,636 shares of our Class A common stock. The equity award granted was designed to provide Ms. Adkins with long-term equity compensaton aligned with the compettve talent market and to recognize her promoton to report directly to our CEO on January 1, 2022. The equity award vests in 48 equal monthly installments beginning on February 1, 2022 and ending on January 1, 2026, subject to Ms. Adkins contnued service as of each vestng date.</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color w:val="auto"/>
        </w:rPr>
        <w:t>In April 2022, the Compensaton Commitee approved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additonal equity award for Ms. Adkins of an opton to purchase 4,239 shares of our Class A common stock. This additonal equity award was granted to correct a calculaton error relatng to the equity award granted to Ms. Adkins in January 2022. This additonal equity award vests in 48 equal monthly installments beginning on May 1, 2022 and ending on April 1, 2026, subject to Ms. Adkins contnued service as of each vestng date.</w:t>
      </w:r>
    </w:p>
    <w:p>
      <w:pPr>
        <w:spacing w:after="0" w:line="194"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January 2022 and April 2022 equity awards granted to Ms. Adkins are included in the “Total Equity Awards Granted in Fiscal 2022” table below</w:t>
      </w:r>
    </w:p>
    <w:p>
      <w:pPr>
        <w:spacing w:after="0" w:line="632"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Fiscal 2022 Retenton Equity Awards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2022, the Compensaton Commitee conducted a review of the long-term incentve compensaton provided to our named executve ofcers, which review took into account, among other factors, the decline in the Company’s stock price during the second half of fscal 2022 and an evaluaton of the contnued efectveness of previously granted equity awards as a retenton tool in the context of an ongoing compettve market for senior executve talent. Following that review, and afer taking into consideraton a compettve market analysis prepared by Compensia, the recommendatons of our CEO, and the fact that a majority of our named executve ofcers had not previously been granted equity awards during fscal 2022, the Compensaton Commitee approved grants of equity awards to our named executve ofcers (other than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Total Equity Awards Granted in Fiscal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our CEO and Ms. Martncevic, who had already notfed the Company of her decision to resign as Chief Commercial Ofcer of the Company).</w:t>
      </w:r>
    </w:p>
    <w:p>
      <w:pPr>
        <w:spacing w:after="0" w:line="17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 equity awards granted to Messrs. Linford and Michalek were in the form of 100% stock optons, and the equity awards granted to Ms. Adkins were in the form of a mix of 50% stock optons and 50% RSUs. The equity awards vest in 24 equal monthly installments beginning on August, 1, 2022 and ending on July 1, 2024, subject to the recipient’s contnued service as of each vestng date.</w:t>
      </w:r>
    </w:p>
    <w:p>
      <w:pPr>
        <w:spacing w:after="0" w:line="11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These retenton equity awards are included in the “Total Equity Awards Granted in Fiscal 2022”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529590</wp:posOffset>
            </wp:positionV>
            <wp:extent cx="713232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5420" w:space="300"/>
            <w:col w:w="552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4540" w:type="dxa"/>
            <w:vAlign w:val="bottom"/>
          </w:tcPr>
          <w:p>
            <w:pPr>
              <w:ind w:left="2760"/>
              <w:spacing w:after="0"/>
              <w:rPr>
                <w:sz w:val="20"/>
                <w:szCs w:val="20"/>
                <w:color w:val="auto"/>
              </w:rPr>
            </w:pPr>
            <w:r>
              <w:rPr>
                <w:rFonts w:ascii="Calibri" w:cs="Calibri" w:eastAsia="Calibri" w:hAnsi="Calibri"/>
                <w:sz w:val="16"/>
                <w:szCs w:val="16"/>
                <w:b w:val="1"/>
                <w:bCs w:val="1"/>
                <w:color w:val="auto"/>
              </w:rPr>
              <w:t>Opton Shares</w:t>
            </w:r>
          </w:p>
        </w:tc>
        <w:tc>
          <w:tcPr>
            <w:tcW w:w="2240" w:type="dxa"/>
            <w:vAlign w:val="bottom"/>
          </w:tcPr>
          <w:p>
            <w:pPr>
              <w:ind w:left="920"/>
              <w:spacing w:after="0"/>
              <w:rPr>
                <w:sz w:val="20"/>
                <w:szCs w:val="20"/>
                <w:color w:val="auto"/>
              </w:rPr>
            </w:pPr>
            <w:r>
              <w:rPr>
                <w:rFonts w:ascii="Calibri" w:cs="Calibri" w:eastAsia="Calibri" w:hAnsi="Calibri"/>
                <w:sz w:val="16"/>
                <w:szCs w:val="16"/>
                <w:b w:val="1"/>
                <w:bCs w:val="1"/>
                <w:color w:val="auto"/>
              </w:rPr>
              <w:t>RSUs</w:t>
            </w:r>
          </w:p>
        </w:tc>
        <w:tc>
          <w:tcPr>
            <w:tcW w:w="20" w:type="dxa"/>
            <w:vAlign w:val="bottom"/>
          </w:tcPr>
          <w:p>
            <w:pPr>
              <w:spacing w:after="0"/>
              <w:rPr>
                <w:sz w:val="16"/>
                <w:szCs w:val="16"/>
                <w:color w:val="auto"/>
              </w:rPr>
            </w:pPr>
          </w:p>
        </w:tc>
      </w:tr>
      <w:tr>
        <w:trPr>
          <w:trHeight w:val="207"/>
        </w:trPr>
        <w:tc>
          <w:tcPr>
            <w:tcW w:w="4440" w:type="dxa"/>
            <w:vAlign w:val="bottom"/>
          </w:tcPr>
          <w:p>
            <w:pPr>
              <w:ind w:left="40"/>
              <w:spacing w:after="0"/>
              <w:rPr>
                <w:sz w:val="20"/>
                <w:szCs w:val="20"/>
                <w:color w:val="auto"/>
              </w:rPr>
            </w:pPr>
            <w:r>
              <w:rPr>
                <w:rFonts w:ascii="Calibri" w:cs="Calibri" w:eastAsia="Calibri" w:hAnsi="Calibri"/>
                <w:sz w:val="16"/>
                <w:szCs w:val="16"/>
                <w:b w:val="1"/>
                <w:bCs w:val="1"/>
                <w:color w:val="auto"/>
              </w:rPr>
              <w:t>Named Executve Ofcer</w:t>
            </w:r>
          </w:p>
        </w:tc>
        <w:tc>
          <w:tcPr>
            <w:tcW w:w="4540" w:type="dxa"/>
            <w:vAlign w:val="bottom"/>
          </w:tcPr>
          <w:p>
            <w:pPr>
              <w:jc w:val="center"/>
              <w:ind w:left="1879"/>
              <w:spacing w:after="0" w:line="193" w:lineRule="exact"/>
              <w:rPr>
                <w:sz w:val="20"/>
                <w:szCs w:val="20"/>
                <w:color w:val="auto"/>
              </w:rPr>
            </w:pPr>
            <w:r>
              <w:rPr>
                <w:rFonts w:ascii="Calibri" w:cs="Calibri" w:eastAsia="Calibri" w:hAnsi="Calibri"/>
                <w:sz w:val="16"/>
                <w:szCs w:val="16"/>
                <w:b w:val="1"/>
                <w:bCs w:val="1"/>
                <w:color w:val="auto"/>
                <w:w w:val="99"/>
              </w:rPr>
              <w:t>(#)</w:t>
            </w:r>
          </w:p>
        </w:tc>
        <w:tc>
          <w:tcPr>
            <w:tcW w:w="224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w w:val="99"/>
              </w:rPr>
              <w:t>(#)</w:t>
            </w:r>
          </w:p>
        </w:tc>
        <w:tc>
          <w:tcPr>
            <w:tcW w:w="20" w:type="dxa"/>
            <w:vAlign w:val="bottom"/>
          </w:tcPr>
          <w:p>
            <w:pPr>
              <w:spacing w:after="0"/>
              <w:rPr>
                <w:sz w:val="18"/>
                <w:szCs w:val="18"/>
                <w:color w:val="auto"/>
              </w:rPr>
            </w:pPr>
          </w:p>
        </w:tc>
      </w:tr>
      <w:tr>
        <w:trPr>
          <w:trHeight w:val="41"/>
        </w:trPr>
        <w:tc>
          <w:tcPr>
            <w:tcW w:w="444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03"/>
        </w:trPr>
        <w:tc>
          <w:tcPr>
            <w:tcW w:w="44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Max Levchin</w:t>
            </w:r>
          </w:p>
        </w:tc>
        <w:tc>
          <w:tcPr>
            <w:tcW w:w="4540" w:type="dxa"/>
            <w:vAlign w:val="bottom"/>
            <w:tcBorders>
              <w:bottom w:val="single" w:sz="8" w:color="DBDBDB"/>
            </w:tcBorders>
            <w:shd w:val="clear" w:color="auto" w:fill="DBDBDB"/>
          </w:tcPr>
          <w:p>
            <w:pPr>
              <w:jc w:val="center"/>
              <w:ind w:left="1839"/>
              <w:spacing w:after="0" w:line="187" w:lineRule="exact"/>
              <w:rPr>
                <w:sz w:val="20"/>
                <w:szCs w:val="20"/>
                <w:color w:val="auto"/>
              </w:rPr>
            </w:pPr>
            <w:r>
              <w:rPr>
                <w:rFonts w:ascii="Calibri" w:cs="Calibri" w:eastAsia="Calibri" w:hAnsi="Calibri"/>
                <w:sz w:val="16"/>
                <w:szCs w:val="16"/>
                <w:color w:val="auto"/>
                <w:w w:val="96"/>
              </w:rPr>
              <w:t>—</w:t>
            </w:r>
          </w:p>
        </w:tc>
        <w:tc>
          <w:tcPr>
            <w:tcW w:w="224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r>
      <w:tr>
        <w:trPr>
          <w:trHeight w:val="193"/>
        </w:trPr>
        <w:tc>
          <w:tcPr>
            <w:tcW w:w="4440" w:type="dxa"/>
            <w:vAlign w:val="bottom"/>
          </w:tcPr>
          <w:p>
            <w:pPr>
              <w:ind w:left="20"/>
              <w:spacing w:after="0" w:line="193" w:lineRule="exact"/>
              <w:rPr>
                <w:sz w:val="20"/>
                <w:szCs w:val="20"/>
                <w:color w:val="auto"/>
              </w:rPr>
            </w:pPr>
            <w:r>
              <w:rPr>
                <w:rFonts w:ascii="Calibri" w:cs="Calibri" w:eastAsia="Calibri" w:hAnsi="Calibri"/>
                <w:sz w:val="16"/>
                <w:szCs w:val="16"/>
                <w:color w:val="auto"/>
              </w:rPr>
              <w:t>Michael Linford</w:t>
            </w:r>
          </w:p>
        </w:tc>
        <w:tc>
          <w:tcPr>
            <w:tcW w:w="4540" w:type="dxa"/>
            <w:vAlign w:val="bottom"/>
          </w:tcPr>
          <w:p>
            <w:pPr>
              <w:jc w:val="center"/>
              <w:ind w:left="1839"/>
              <w:spacing w:after="0" w:line="193" w:lineRule="exact"/>
              <w:rPr>
                <w:sz w:val="20"/>
                <w:szCs w:val="20"/>
                <w:color w:val="auto"/>
              </w:rPr>
            </w:pPr>
            <w:r>
              <w:rPr>
                <w:rFonts w:ascii="Calibri" w:cs="Calibri" w:eastAsia="Calibri" w:hAnsi="Calibri"/>
                <w:sz w:val="16"/>
                <w:szCs w:val="16"/>
                <w:color w:val="auto"/>
              </w:rPr>
              <w:t>536,746</w:t>
            </w:r>
          </w:p>
        </w:tc>
        <w:tc>
          <w:tcPr>
            <w:tcW w:w="224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6"/>
                <w:szCs w:val="16"/>
                <w:color w:val="auto"/>
              </w:rPr>
            </w:pPr>
          </w:p>
        </w:tc>
      </w:tr>
      <w:tr>
        <w:trPr>
          <w:trHeight w:val="36"/>
        </w:trPr>
        <w:tc>
          <w:tcPr>
            <w:tcW w:w="4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444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Katherine Adkins</w:t>
            </w:r>
          </w:p>
        </w:tc>
        <w:tc>
          <w:tcPr>
            <w:tcW w:w="4540" w:type="dxa"/>
            <w:vAlign w:val="bottom"/>
            <w:tcBorders>
              <w:bottom w:val="single" w:sz="8" w:color="DBDBDB"/>
            </w:tcBorders>
            <w:shd w:val="clear" w:color="auto" w:fill="DBDBDB"/>
          </w:tcPr>
          <w:p>
            <w:pPr>
              <w:jc w:val="center"/>
              <w:ind w:left="1839"/>
              <w:spacing w:after="0" w:line="193" w:lineRule="exact"/>
              <w:rPr>
                <w:sz w:val="20"/>
                <w:szCs w:val="20"/>
                <w:color w:val="auto"/>
              </w:rPr>
            </w:pPr>
            <w:r>
              <w:rPr>
                <w:rFonts w:ascii="Calibri" w:cs="Calibri" w:eastAsia="Calibri" w:hAnsi="Calibri"/>
                <w:sz w:val="16"/>
                <w:szCs w:val="16"/>
                <w:color w:val="auto"/>
              </w:rPr>
              <w:t>260,339</w:t>
            </w:r>
          </w:p>
        </w:tc>
        <w:tc>
          <w:tcPr>
            <w:tcW w:w="224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w w:val="98"/>
              </w:rPr>
              <w:t>132,509</w:t>
            </w:r>
          </w:p>
        </w:tc>
        <w:tc>
          <w:tcPr>
            <w:tcW w:w="20" w:type="dxa"/>
            <w:vAlign w:val="bottom"/>
          </w:tcPr>
          <w:p>
            <w:pPr>
              <w:spacing w:after="0"/>
              <w:rPr>
                <w:sz w:val="18"/>
                <w:szCs w:val="18"/>
                <w:color w:val="auto"/>
              </w:rPr>
            </w:pPr>
          </w:p>
        </w:tc>
      </w:tr>
      <w:tr>
        <w:trPr>
          <w:trHeight w:val="194"/>
        </w:trPr>
        <w:tc>
          <w:tcPr>
            <w:tcW w:w="4440" w:type="dxa"/>
            <w:vAlign w:val="bottom"/>
          </w:tcPr>
          <w:p>
            <w:pPr>
              <w:ind w:left="20"/>
              <w:spacing w:after="0" w:line="193" w:lineRule="exact"/>
              <w:rPr>
                <w:sz w:val="20"/>
                <w:szCs w:val="20"/>
                <w:color w:val="auto"/>
              </w:rPr>
            </w:pPr>
            <w:r>
              <w:rPr>
                <w:rFonts w:ascii="Calibri" w:cs="Calibri" w:eastAsia="Calibri" w:hAnsi="Calibri"/>
                <w:sz w:val="16"/>
                <w:szCs w:val="16"/>
                <w:color w:val="auto"/>
              </w:rPr>
              <w:t>Libor Michalek</w:t>
            </w:r>
          </w:p>
        </w:tc>
        <w:tc>
          <w:tcPr>
            <w:tcW w:w="4540" w:type="dxa"/>
            <w:vAlign w:val="bottom"/>
          </w:tcPr>
          <w:p>
            <w:pPr>
              <w:jc w:val="center"/>
              <w:ind w:left="1839"/>
              <w:spacing w:after="0" w:line="193" w:lineRule="exact"/>
              <w:rPr>
                <w:sz w:val="20"/>
                <w:szCs w:val="20"/>
                <w:color w:val="auto"/>
              </w:rPr>
            </w:pPr>
            <w:r>
              <w:rPr>
                <w:rFonts w:ascii="Calibri" w:cs="Calibri" w:eastAsia="Calibri" w:hAnsi="Calibri"/>
                <w:sz w:val="16"/>
                <w:szCs w:val="16"/>
                <w:color w:val="auto"/>
              </w:rPr>
              <w:t>536,746</w:t>
            </w:r>
          </w:p>
        </w:tc>
        <w:tc>
          <w:tcPr>
            <w:tcW w:w="224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6"/>
                <w:szCs w:val="16"/>
                <w:color w:val="auto"/>
              </w:rPr>
            </w:pPr>
          </w:p>
        </w:tc>
      </w:tr>
      <w:tr>
        <w:trPr>
          <w:trHeight w:val="36"/>
        </w:trPr>
        <w:tc>
          <w:tcPr>
            <w:tcW w:w="44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444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Silvija Martncevic</w:t>
            </w:r>
          </w:p>
        </w:tc>
        <w:tc>
          <w:tcPr>
            <w:tcW w:w="4540" w:type="dxa"/>
            <w:vAlign w:val="bottom"/>
            <w:tcBorders>
              <w:bottom w:val="single" w:sz="8" w:color="DBDBDB"/>
            </w:tcBorders>
            <w:shd w:val="clear" w:color="auto" w:fill="DBDBDB"/>
          </w:tcPr>
          <w:p>
            <w:pPr>
              <w:jc w:val="center"/>
              <w:ind w:left="1839"/>
              <w:spacing w:after="0" w:line="193" w:lineRule="exact"/>
              <w:rPr>
                <w:sz w:val="20"/>
                <w:szCs w:val="20"/>
                <w:color w:val="auto"/>
              </w:rPr>
            </w:pPr>
            <w:r>
              <w:rPr>
                <w:rFonts w:ascii="Calibri" w:cs="Calibri" w:eastAsia="Calibri" w:hAnsi="Calibri"/>
                <w:sz w:val="16"/>
                <w:szCs w:val="16"/>
                <w:color w:val="auto"/>
                <w:w w:val="96"/>
              </w:rPr>
              <w:t>—</w:t>
            </w:r>
          </w:p>
        </w:tc>
        <w:tc>
          <w:tcPr>
            <w:tcW w:w="224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r>
      <w:tr>
        <w:trPr>
          <w:trHeight w:val="20"/>
        </w:trPr>
        <w:tc>
          <w:tcPr>
            <w:tcW w:w="444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equity awards granted to our named executve ofcers during fscal 2022 are also set forth in the “</w:t>
      </w:r>
      <w:r>
        <w:rPr>
          <w:rFonts w:ascii="Calibri" w:cs="Calibri" w:eastAsia="Calibri" w:hAnsi="Calibri"/>
          <w:sz w:val="18"/>
          <w:szCs w:val="18"/>
          <w:i w:val="1"/>
          <w:iCs w:val="1"/>
          <w:color w:val="auto"/>
        </w:rPr>
        <w:t>Fiscal 2022 Summary Compensaton Table</w:t>
      </w:r>
      <w:r>
        <w:rPr>
          <w:rFonts w:ascii="Calibri" w:cs="Calibri" w:eastAsia="Calibri" w:hAnsi="Calibri"/>
          <w:sz w:val="18"/>
          <w:szCs w:val="18"/>
          <w:color w:val="auto"/>
        </w:rPr>
        <w:t>” and the “</w:t>
      </w:r>
      <w:r>
        <w:rPr>
          <w:rFonts w:ascii="Calibri" w:cs="Calibri" w:eastAsia="Calibri" w:hAnsi="Calibri"/>
          <w:sz w:val="18"/>
          <w:szCs w:val="18"/>
          <w:i w:val="1"/>
          <w:iCs w:val="1"/>
          <w:color w:val="auto"/>
        </w:rPr>
        <w:t>Fiscal 2022 Grants of Plan-Based Awards Table</w:t>
      </w:r>
      <w:r>
        <w:rPr>
          <w:rFonts w:ascii="Calibri" w:cs="Calibri" w:eastAsia="Calibri" w:hAnsi="Calibri"/>
          <w:sz w:val="18"/>
          <w:szCs w:val="18"/>
          <w:color w:val="auto"/>
        </w:rPr>
        <w:t>” below.</w:t>
      </w:r>
    </w:p>
    <w:p>
      <w:pPr>
        <w:sectPr>
          <w:pgSz w:w="11900" w:h="16838" w:orient="portrait"/>
          <w:cols w:equalWidth="0" w:num="1">
            <w:col w:w="1124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33</w:t>
      </w:r>
    </w:p>
    <w:p>
      <w:pPr>
        <w:sectPr>
          <w:pgSz w:w="11900" w:h="16838" w:orient="portrait"/>
          <w:cols w:equalWidth="0" w:num="1">
            <w:col w:w="11240"/>
          </w:cols>
          <w:pgMar w:left="320" w:top="1413" w:right="33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8"/>
          <w:szCs w:val="18"/>
          <w:b w:val="1"/>
          <w:bCs w:val="1"/>
          <w:i w:val="1"/>
          <w:iCs w:val="1"/>
          <w:color w:val="auto"/>
        </w:rPr>
        <w:t>Health and Welfare Benefts</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named executve ofcers are eligible to partcipate in the same employee beneft plans, and on the same terms and conditons, as all other full-tme, salaried U.S. employees. These benefts include medical, dental, vision, and business travel insurance, an employee assistance program, health and dependent care fexible spending accounts, basic life, accidental death and dismemberment, and short-term and long-term disability insurance.</w:t>
      </w:r>
    </w:p>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maintain a Secton 401(k) retrement plan (the “401(k) Plan”) that provides eligible employees, including our named executve ofcers, with an opportunity to save for retrement on a tax-advantaged basis. Eligible employees are able to partcipate in the 401(k) Plan as of</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frst day of the month following the date they meet the plan’s eligibility requirements. Partcipants are able to defer up to 100% of their eligible compensaton subject to applicable annual limits under the Internal Revenue Code (the “Code”). All partcipants’ interests in their deferrals are 100% vested when contributed.</w:t>
      </w:r>
    </w:p>
    <w:p>
      <w:pPr>
        <w:spacing w:after="0" w:line="19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design our employee benefts programs to be afordable and compettve in relaton to the market as well as compliant with applicable laws and practces. We adjust our employee benefts programs as needed based upon regular monitoring of applicable laws and practces and the compettve market.</w:t>
      </w:r>
    </w:p>
    <w:p>
      <w:pPr>
        <w:spacing w:after="0" w:line="416" w:lineRule="exact"/>
        <w:rPr>
          <w:sz w:val="20"/>
          <w:szCs w:val="20"/>
          <w:color w:val="auto"/>
        </w:rPr>
      </w:pPr>
    </w:p>
    <w:p>
      <w:pPr>
        <w:sectPr>
          <w:pgSz w:w="11900" w:h="16838" w:orient="portrait"/>
          <w:cols w:equalWidth="0" w:num="2">
            <w:col w:w="5420" w:space="300"/>
            <w:col w:w="5400"/>
          </w:cols>
          <w:pgMar w:left="320" w:top="1408" w:right="459" w:bottom="1440" w:gutter="0" w:footer="0" w:header="0"/>
        </w:sectPr>
      </w:pPr>
    </w:p>
    <w:p>
      <w:pPr>
        <w:spacing w:after="0" w:line="2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Perquisites and Other Personal Benefts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pay for personal security services for Mr. Levchin. We consider the security services provided to Mr. Levchin to be a reasonable and necessary expense for the Company’s beneft.</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Post-Employment Compensaton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auto"/>
        </w:rPr>
        <w:t>Transiton Agreement with Silvija Martncevic</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her resignaton, which became efectve June 30, 2022, we entered into a Transiton Agreement with Ms. Martncevic. Pursuant to the Transiton Agreement, Ms. Martncevic will serve as a consultant to the Company from July 1, 2022 to December 31, 2022 and receive an amount in cash equal to one-half of her fnal annual salary of $475,000 as compensaton for providing those consultancy services. While Ms. Martncevic serves as a consultant for the Company, her optons to purchase shares of our Class A common stock and RSUs that may be setled in shares of our Class A common stock will contnue to vest in accordance with the terms of the applicable grant agreements. In additon, in recogniton of Ms. Martncevic’s prior service and contributons to the Company, the Transiton Agreement further provides as follows:</w:t>
      </w:r>
    </w:p>
    <w:p>
      <w:pPr>
        <w:spacing w:after="0" w:line="64" w:lineRule="exact"/>
        <w:rPr>
          <w:sz w:val="20"/>
          <w:szCs w:val="20"/>
          <w:color w:val="auto"/>
        </w:rPr>
      </w:pPr>
    </w:p>
    <w:p>
      <w:pPr>
        <w:ind w:left="420" w:right="20" w:hanging="250"/>
        <w:spacing w:after="0" w:line="235" w:lineRule="auto"/>
        <w:tabs>
          <w:tab w:leader="none" w:pos="413"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Ms. Martncevic will receive an additonal amount in cash equal to one-half of her fnal annual salary of $475,000;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Except as noted above, we provide only limited perquisites and other personal benefts to our named executve ofcers.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400" w:hanging="243"/>
        <w:spacing w:after="0" w:line="235" w:lineRule="auto"/>
        <w:tabs>
          <w:tab w:leader="none" w:pos="393"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vestng of outstanding optons to purchase 101,382 shares of our Class A common stock held by Ms. Martncevic will be accelerated to December 31, 2022;</w:t>
      </w:r>
    </w:p>
    <w:p>
      <w:pPr>
        <w:spacing w:after="0" w:line="56" w:lineRule="exact"/>
        <w:rPr>
          <w:rFonts w:ascii="Calibri" w:cs="Calibri" w:eastAsia="Calibri" w:hAnsi="Calibri"/>
          <w:sz w:val="18"/>
          <w:szCs w:val="18"/>
          <w:color w:val="auto"/>
        </w:rPr>
      </w:pPr>
    </w:p>
    <w:p>
      <w:pPr>
        <w:jc w:val="both"/>
        <w:ind w:left="400" w:hanging="243"/>
        <w:spacing w:after="0" w:line="235" w:lineRule="auto"/>
        <w:tabs>
          <w:tab w:leader="none" w:pos="393"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the vestng of outstanding RSU awards that may vest and be setled for 12,151 shares of our Class A common stock held by Ms. Martncevic will be accelerated to December 31, 2022; and</w:t>
      </w:r>
    </w:p>
    <w:p>
      <w:pPr>
        <w:spacing w:after="0" w:line="56" w:lineRule="exact"/>
        <w:rPr>
          <w:rFonts w:ascii="Calibri" w:cs="Calibri" w:eastAsia="Calibri" w:hAnsi="Calibri"/>
          <w:sz w:val="18"/>
          <w:szCs w:val="18"/>
          <w:color w:val="auto"/>
        </w:rPr>
      </w:pPr>
    </w:p>
    <w:p>
      <w:pPr>
        <w:jc w:val="both"/>
        <w:ind w:left="400" w:hanging="243"/>
        <w:spacing w:after="0" w:line="235" w:lineRule="auto"/>
        <w:tabs>
          <w:tab w:leader="none" w:pos="393"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Ms. Martncevic will receive company-paid premiums for contnued health benefts provided under COBRA for up to 12 months from June 30,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pursuant to the Transiton Agreement, Ms. Martncevic provided a customary release of claims in favor of the Company. A copy of the Transiton Agreement was fled with the SEC on August 29, 2022 as an exhibit to the Company’s Annual Report on Form 10‐K.</w:t>
      </w:r>
    </w:p>
    <w:p>
      <w:pPr>
        <w:spacing w:after="0" w:line="255"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Other Compensaton Policies</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Prohibiton of Hedging of Securites</w:t>
      </w:r>
    </w:p>
    <w:p>
      <w:pPr>
        <w:sectPr>
          <w:pgSz w:w="11900" w:h="16838" w:orient="portrait"/>
          <w:cols w:equalWidth="0" w:num="1">
            <w:col w:w="11120"/>
          </w:cols>
          <w:pgMar w:left="320" w:top="1408" w:right="459" w:bottom="1440" w:gutter="0" w:footer="0" w:header="0"/>
          <w:type w:val="continuous"/>
        </w:sectPr>
      </w:pP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our Insider Trading Policy, our employees, including ofcers, and the members of our Board are prohibited from making short sales and engaging in transactons in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publicly traded optons, warrants, puts and calls or similar instruments with respect to our securites. This includes any hedging or similar transacton designed to decrease</w:t>
      </w:r>
    </w:p>
    <w:p>
      <w:pPr>
        <w:spacing w:after="0" w:line="200"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34</w:t>
      </w:r>
    </w:p>
    <w:p>
      <w:pPr>
        <w:sectPr>
          <w:pgSz w:w="11900" w:h="16838" w:orient="portrait"/>
          <w:cols w:equalWidth="0" w:num="1">
            <w:col w:w="11120"/>
          </w:cols>
          <w:pgMar w:left="320" w:top="1408" w:right="45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8"/>
          <w:szCs w:val="18"/>
          <w:color w:val="auto"/>
        </w:rPr>
        <w:t>the risks associated with holding our common stock.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Ownership Guidelines</w:t>
      </w:r>
    </w:p>
    <w:p>
      <w:pPr>
        <w:spacing w:after="0" w:line="17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November 2020, we adopted stock ownership guidelines for our executve ofcers and members of our Board to further align the interests of those individuals with those of our stockholders. Directors and executve ofcers have fve years from the later of the date of adopton of our stock ownership guidelines or the date they are appointed as a director or executve ofcer of the Company to achieve compliance with the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For purposes of assessing compliance with our stock ownership guidelines, equity ownership includes shares of common stock as to which the director and/or executve ofcer or his or her spouse or child has a direct or indirect pecuniary interest, shares of common stock issuable upon the setlement of unvested RSUs, and shares of common stock that are subject to vested optons.</w:t>
      </w:r>
    </w:p>
    <w:p>
      <w:pPr>
        <w:spacing w:after="0" w:line="162" w:lineRule="exact"/>
        <w:rPr>
          <w:sz w:val="20"/>
          <w:szCs w:val="20"/>
          <w:color w:val="auto"/>
        </w:rPr>
      </w:pPr>
    </w:p>
    <w:p>
      <w:pPr>
        <w:sectPr>
          <w:pgSz w:w="11900" w:h="16838" w:orient="portrait"/>
          <w:cols w:equalWidth="0" w:num="2">
            <w:col w:w="5420" w:space="300"/>
            <w:col w:w="5500"/>
          </w:cols>
          <w:pgMar w:left="320" w:top="1408" w:right="359" w:bottom="1440" w:gutter="0" w:footer="0" w:header="0"/>
        </w:sectPr>
      </w:pPr>
    </w:p>
    <w:tbl>
      <w:tblPr>
        <w:tblLayout w:type="fixed"/>
        <w:tblInd w:w="0" w:type="dxa"/>
        <w:tblCellMar>
          <w:top w:w="0" w:type="dxa"/>
          <w:left w:w="0" w:type="dxa"/>
          <w:bottom w:w="0" w:type="dxa"/>
          <w:right w:w="0" w:type="dxa"/>
        </w:tblCellMar>
      </w:tblPr>
      <w:tr>
        <w:trPr>
          <w:trHeight w:val="220"/>
        </w:trPr>
        <w:tc>
          <w:tcPr>
            <w:tcW w:w="4960" w:type="dxa"/>
            <w:vAlign w:val="bottom"/>
          </w:tcPr>
          <w:p>
            <w:pPr>
              <w:ind w:left="20"/>
              <w:spacing w:after="0"/>
              <w:rPr>
                <w:sz w:val="20"/>
                <w:szCs w:val="20"/>
                <w:color w:val="auto"/>
              </w:rPr>
            </w:pPr>
            <w:r>
              <w:rPr>
                <w:rFonts w:ascii="Calibri" w:cs="Calibri" w:eastAsia="Calibri" w:hAnsi="Calibri"/>
                <w:sz w:val="18"/>
                <w:szCs w:val="18"/>
                <w:b w:val="1"/>
                <w:bCs w:val="1"/>
                <w:color w:val="auto"/>
              </w:rPr>
              <w:t>Role</w:t>
            </w:r>
          </w:p>
        </w:tc>
        <w:tc>
          <w:tcPr>
            <w:tcW w:w="6260" w:type="dxa"/>
            <w:vAlign w:val="bottom"/>
          </w:tcPr>
          <w:p>
            <w:pPr>
              <w:jc w:val="right"/>
              <w:ind w:right="890"/>
              <w:spacing w:after="0"/>
              <w:rPr>
                <w:sz w:val="20"/>
                <w:szCs w:val="20"/>
                <w:color w:val="auto"/>
              </w:rPr>
            </w:pPr>
            <w:r>
              <w:rPr>
                <w:rFonts w:ascii="Calibri" w:cs="Calibri" w:eastAsia="Calibri" w:hAnsi="Calibri"/>
                <w:sz w:val="18"/>
                <w:szCs w:val="18"/>
                <w:b w:val="1"/>
                <w:bCs w:val="1"/>
                <w:color w:val="auto"/>
              </w:rPr>
              <w:t>Stock Ownership Guidelines</w:t>
            </w:r>
          </w:p>
        </w:tc>
      </w:tr>
      <w:tr>
        <w:trPr>
          <w:trHeight w:val="50"/>
        </w:trPr>
        <w:tc>
          <w:tcPr>
            <w:tcW w:w="4960" w:type="dxa"/>
            <w:vAlign w:val="bottom"/>
            <w:tcBorders>
              <w:bottom w:val="single" w:sz="8" w:color="auto"/>
            </w:tcBorders>
          </w:tcPr>
          <w:p>
            <w:pPr>
              <w:spacing w:after="0"/>
              <w:rPr>
                <w:sz w:val="4"/>
                <w:szCs w:val="4"/>
                <w:color w:val="auto"/>
              </w:rPr>
            </w:pPr>
          </w:p>
        </w:tc>
        <w:tc>
          <w:tcPr>
            <w:tcW w:w="6260" w:type="dxa"/>
            <w:vAlign w:val="bottom"/>
            <w:tcBorders>
              <w:bottom w:val="single" w:sz="8" w:color="auto"/>
            </w:tcBorders>
          </w:tcPr>
          <w:p>
            <w:pPr>
              <w:spacing w:after="0"/>
              <w:rPr>
                <w:sz w:val="4"/>
                <w:szCs w:val="4"/>
                <w:color w:val="auto"/>
              </w:rPr>
            </w:pPr>
          </w:p>
        </w:tc>
      </w:tr>
      <w:tr>
        <w:trPr>
          <w:trHeight w:val="243"/>
        </w:trPr>
        <w:tc>
          <w:tcPr>
            <w:tcW w:w="4960" w:type="dxa"/>
            <w:vAlign w:val="bottom"/>
            <w:tcBorders>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Non-Employee Director</w:t>
            </w:r>
          </w:p>
        </w:tc>
        <w:tc>
          <w:tcPr>
            <w:tcW w:w="62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5x annual retainer</w:t>
            </w:r>
          </w:p>
        </w:tc>
      </w:tr>
      <w:tr>
        <w:trPr>
          <w:trHeight w:val="220"/>
        </w:trPr>
        <w:tc>
          <w:tcPr>
            <w:tcW w:w="4960" w:type="dxa"/>
            <w:vAlign w:val="bottom"/>
          </w:tcPr>
          <w:p>
            <w:pPr>
              <w:ind w:left="20"/>
              <w:spacing w:after="0"/>
              <w:rPr>
                <w:sz w:val="20"/>
                <w:szCs w:val="20"/>
                <w:color w:val="auto"/>
              </w:rPr>
            </w:pPr>
            <w:r>
              <w:rPr>
                <w:rFonts w:ascii="Calibri" w:cs="Calibri" w:eastAsia="Calibri" w:hAnsi="Calibri"/>
                <w:sz w:val="18"/>
                <w:szCs w:val="18"/>
                <w:color w:val="auto"/>
              </w:rPr>
              <w:t>Chief Executve Ofcer</w:t>
            </w:r>
          </w:p>
        </w:tc>
        <w:tc>
          <w:tcPr>
            <w:tcW w:w="6260" w:type="dxa"/>
            <w:vAlign w:val="bottom"/>
          </w:tcPr>
          <w:p>
            <w:pPr>
              <w:jc w:val="right"/>
              <w:spacing w:after="0"/>
              <w:rPr>
                <w:sz w:val="20"/>
                <w:szCs w:val="20"/>
                <w:color w:val="auto"/>
              </w:rPr>
            </w:pPr>
            <w:r>
              <w:rPr>
                <w:rFonts w:ascii="Calibri" w:cs="Calibri" w:eastAsia="Calibri" w:hAnsi="Calibri"/>
                <w:sz w:val="18"/>
                <w:szCs w:val="18"/>
                <w:color w:val="auto"/>
              </w:rPr>
              <w:t>5x annual base salary</w:t>
            </w:r>
          </w:p>
        </w:tc>
      </w:tr>
      <w:tr>
        <w:trPr>
          <w:trHeight w:val="50"/>
        </w:trPr>
        <w:tc>
          <w:tcPr>
            <w:tcW w:w="4960" w:type="dxa"/>
            <w:vAlign w:val="bottom"/>
          </w:tcPr>
          <w:p>
            <w:pPr>
              <w:spacing w:after="0"/>
              <w:rPr>
                <w:sz w:val="4"/>
                <w:szCs w:val="4"/>
                <w:color w:val="auto"/>
              </w:rPr>
            </w:pPr>
          </w:p>
        </w:tc>
        <w:tc>
          <w:tcPr>
            <w:tcW w:w="6260" w:type="dxa"/>
            <w:vAlign w:val="bottom"/>
          </w:tcPr>
          <w:p>
            <w:pPr>
              <w:spacing w:after="0"/>
              <w:rPr>
                <w:sz w:val="4"/>
                <w:szCs w:val="4"/>
                <w:color w:val="auto"/>
              </w:rPr>
            </w:pP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8"/>
                <w:szCs w:val="18"/>
                <w:color w:val="auto"/>
              </w:rPr>
              <w:t>Executve Ofcer</w:t>
            </w:r>
          </w:p>
        </w:tc>
        <w:tc>
          <w:tcPr>
            <w:tcW w:w="62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8"/>
                <w:szCs w:val="18"/>
                <w:color w:val="auto"/>
              </w:rPr>
              <w:t>3x annual base salary</w:t>
            </w:r>
          </w:p>
        </w:tc>
      </w:tr>
      <w:tr>
        <w:trPr>
          <w:trHeight w:val="20"/>
        </w:trPr>
        <w:tc>
          <w:tcPr>
            <w:tcW w:w="4960" w:type="dxa"/>
            <w:vAlign w:val="bottom"/>
            <w:shd w:val="clear" w:color="auto" w:fill="000000"/>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Tax and Accountng Consideratons</w:t>
      </w:r>
    </w:p>
    <w:p>
      <w:pPr>
        <w:spacing w:after="0" w:line="177" w:lineRule="exact"/>
        <w:rPr>
          <w:sz w:val="20"/>
          <w:szCs w:val="20"/>
          <w:color w:val="auto"/>
        </w:rPr>
      </w:pPr>
    </w:p>
    <w:p>
      <w:pPr>
        <w:ind w:right="860"/>
        <w:spacing w:after="0" w:line="235" w:lineRule="auto"/>
        <w:rPr>
          <w:sz w:val="20"/>
          <w:szCs w:val="20"/>
          <w:color w:val="auto"/>
        </w:rPr>
      </w:pPr>
      <w:r>
        <w:rPr>
          <w:rFonts w:ascii="Calibri" w:cs="Calibri" w:eastAsia="Calibri" w:hAnsi="Calibri"/>
          <w:sz w:val="18"/>
          <w:szCs w:val="18"/>
          <w:color w:val="auto"/>
        </w:rPr>
        <w:t>The Compensaton Commitee takes the applicable tax and accountng requirements into consideraton in designing and overseeing our executve compensaton program.</w:t>
      </w:r>
    </w:p>
    <w:p>
      <w:pPr>
        <w:sectPr>
          <w:pgSz w:w="11900" w:h="16838" w:orient="portrait"/>
          <w:cols w:equalWidth="0" w:num="1">
            <w:col w:w="11220"/>
          </w:cols>
          <w:pgMar w:left="320" w:top="1408" w:right="3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Deductbility of Executve Compensaton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Secton 162(m) of the Code, compensaton paid to anyone serving as the chief executve ofcer or chief fnancial ofcer at any tme during the taxable year and the three other most highly compensated executve ofcers, except for certain grandfathered arrangements (i.e., writen binding contracts in efect on November 2, 2017 that have not been modifed in any material respect afer that date) and certain compensaton paid pursuant to a compensaton plan in existence before the efectve date of our IPO, will not be deductble to the extent it exceeds $1 million. In fscal 2022, the Compensaton Commitee considered the potental future efects of Secton 162(m) when determining named executve ofcer compensaton and the Compensaton Commitee is expected to consider the potental future efects of Secton 162(m) when determining future named executve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ofcer compensaton. However, the Compensaton Commitee believes that maintaining the discreton to provide compensaton that is non-deductble allows it to provide compensaton tailored to the needs of the Company.</w:t>
      </w:r>
    </w:p>
    <w:p>
      <w:pPr>
        <w:spacing w:after="0" w:line="178"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Regardless of our intent, there is no guarantee that incentve bonuses or awards, equity-based compensaton or other compensaton intended to be deductble under Secton 162(m) of the Code will ultmately be determined as such by the IRS. In additon, changes in applicable tax laws and regulaton, and interpretatons of such laws and regulaton, as well as other factors beyond our control may afect the deductbility of executve compensaton.</w:t>
      </w:r>
    </w:p>
    <w:p>
      <w:pPr>
        <w:spacing w:after="0" w:line="667" w:lineRule="exact"/>
        <w:rPr>
          <w:sz w:val="20"/>
          <w:szCs w:val="20"/>
          <w:color w:val="auto"/>
        </w:rPr>
      </w:pPr>
    </w:p>
    <w:p>
      <w:pPr>
        <w:sectPr>
          <w:pgSz w:w="11900" w:h="16838" w:orient="portrait"/>
          <w:cols w:equalWidth="0" w:num="2">
            <w:col w:w="5420" w:space="300"/>
            <w:col w:w="5500"/>
          </w:cols>
          <w:pgMar w:left="320" w:top="1408" w:right="3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Accountng for Stock-Based Compensaton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takes accountng consideratons into account in designing compensaton plans and arrangements for our executve ofcers and other employees. Chief among these is FASB ASC Topic 718, the standard which governs the accountng treatment of certain stock-based compensaton. Among other things, FASB ASC Topic 718 requires us to record a compensaton expense in our income statement for all equity awards granted to members of our Board, our executve ofcers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00"/>
        <w:spacing w:after="0" w:line="251" w:lineRule="auto"/>
        <w:rPr>
          <w:sz w:val="20"/>
          <w:szCs w:val="20"/>
          <w:color w:val="auto"/>
        </w:rPr>
      </w:pPr>
      <w:r>
        <w:rPr>
          <w:rFonts w:ascii="Calibri" w:cs="Calibri" w:eastAsia="Calibri" w:hAnsi="Calibri"/>
          <w:sz w:val="17"/>
          <w:szCs w:val="17"/>
          <w:color w:val="auto"/>
        </w:rPr>
        <w:t>and other employees. This compensaton expense is based on the grant date “fair value” of the equity award and, in most cases, will be recognized ratably over the award’s requisite service period (which, generally, will correspond to the award’s vestng schedule). This compensaton expense is also reported in the compensaton tables below, even though recipients may never realize any value from their equity awards.</w:t>
      </w:r>
    </w:p>
    <w:p>
      <w:pPr>
        <w:spacing w:after="0" w:line="403" w:lineRule="exact"/>
        <w:rPr>
          <w:sz w:val="20"/>
          <w:szCs w:val="20"/>
          <w:color w:val="auto"/>
        </w:rPr>
      </w:pPr>
    </w:p>
    <w:p>
      <w:pPr>
        <w:sectPr>
          <w:pgSz w:w="11900" w:h="16838" w:orient="portrait"/>
          <w:cols w:equalWidth="0" w:num="2">
            <w:col w:w="5420" w:space="300"/>
            <w:col w:w="5500"/>
          </w:cols>
          <w:pgMar w:left="320" w:top="140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35</w:t>
      </w:r>
    </w:p>
    <w:p>
      <w:pPr>
        <w:sectPr>
          <w:pgSz w:w="11900" w:h="16838" w:orient="portrait"/>
          <w:cols w:equalWidth="0" w:num="1">
            <w:col w:w="11220"/>
          </w:cols>
          <w:pgMar w:left="320" w:top="1408" w:right="359" w:bottom="1440" w:gutter="0" w:footer="0" w:header="0"/>
          <w:type w:val="continuous"/>
        </w:sectPr>
      </w:pPr>
    </w:p>
    <w:bookmarkStart w:id="39" w:name="page40"/>
    <w:bookmarkEnd w:id="39"/>
    <w:p>
      <w:pPr>
        <w:jc w:val="center"/>
        <w:spacing w:after="0"/>
        <w:rPr>
          <w:sz w:val="20"/>
          <w:szCs w:val="20"/>
          <w:color w:val="auto"/>
        </w:rPr>
      </w:pPr>
      <w:r>
        <w:rPr>
          <w:rFonts w:ascii="Calibri" w:cs="Calibri" w:eastAsia="Calibri" w:hAnsi="Calibri"/>
          <w:sz w:val="29"/>
          <w:szCs w:val="29"/>
          <w:b w:val="1"/>
          <w:bCs w:val="1"/>
          <w:color w:val="auto"/>
        </w:rPr>
        <w:t>COMPENSATION COMMITTEE REPORT</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Compensaton Commitee has reviewed and discussed with management the Compensaton Discussion and Analysis contained in this proxy statement. Based on its review and discussions, the Compensaton Commitee approved the Compensaton Discussion and Analysis for inclusion in this proxy statement and the Company’s Annual Report on Form 10-K for our fscal year ended June 30, 2022.</w:t>
      </w:r>
    </w:p>
    <w:p>
      <w:pPr>
        <w:spacing w:after="0" w:line="173" w:lineRule="exact"/>
        <w:rPr>
          <w:sz w:val="20"/>
          <w:szCs w:val="20"/>
          <w:color w:val="auto"/>
        </w:rPr>
      </w:pPr>
    </w:p>
    <w:p>
      <w:pPr>
        <w:ind w:left="6480"/>
        <w:spacing w:after="0"/>
        <w:rPr>
          <w:sz w:val="20"/>
          <w:szCs w:val="20"/>
          <w:color w:val="auto"/>
        </w:rPr>
      </w:pPr>
      <w:r>
        <w:rPr>
          <w:rFonts w:ascii="Calibri" w:cs="Calibri" w:eastAsia="Calibri" w:hAnsi="Calibri"/>
          <w:sz w:val="18"/>
          <w:szCs w:val="18"/>
          <w:b w:val="1"/>
          <w:bCs w:val="1"/>
          <w:color w:val="auto"/>
        </w:rPr>
        <w:t>Compensaton Commitee</w:t>
      </w:r>
    </w:p>
    <w:p>
      <w:pPr>
        <w:spacing w:after="0" w:line="172" w:lineRule="exact"/>
        <w:rPr>
          <w:sz w:val="20"/>
          <w:szCs w:val="20"/>
          <w:color w:val="auto"/>
        </w:rPr>
      </w:pPr>
    </w:p>
    <w:p>
      <w:pPr>
        <w:ind w:left="6480"/>
        <w:spacing w:after="0"/>
        <w:rPr>
          <w:sz w:val="20"/>
          <w:szCs w:val="20"/>
          <w:color w:val="auto"/>
        </w:rPr>
      </w:pPr>
      <w:r>
        <w:rPr>
          <w:rFonts w:ascii="Calibri" w:cs="Calibri" w:eastAsia="Calibri" w:hAnsi="Calibri"/>
          <w:sz w:val="18"/>
          <w:szCs w:val="18"/>
          <w:color w:val="auto"/>
        </w:rPr>
        <w:t>Jeremy Liew (Chair)</w:t>
      </w:r>
    </w:p>
    <w:p>
      <w:pPr>
        <w:ind w:left="6480"/>
        <w:spacing w:after="0" w:line="221" w:lineRule="auto"/>
        <w:rPr>
          <w:sz w:val="20"/>
          <w:szCs w:val="20"/>
          <w:color w:val="auto"/>
        </w:rPr>
      </w:pPr>
      <w:r>
        <w:rPr>
          <w:rFonts w:ascii="Calibri" w:cs="Calibri" w:eastAsia="Calibri" w:hAnsi="Calibri"/>
          <w:sz w:val="18"/>
          <w:szCs w:val="18"/>
          <w:color w:val="auto"/>
        </w:rPr>
        <w:t>Christa S. Quarles</w:t>
      </w:r>
    </w:p>
    <w:p>
      <w:pPr>
        <w:ind w:left="6480"/>
        <w:spacing w:after="0" w:line="206" w:lineRule="auto"/>
        <w:rPr>
          <w:sz w:val="20"/>
          <w:szCs w:val="20"/>
          <w:color w:val="auto"/>
        </w:rPr>
      </w:pPr>
      <w:r>
        <w:rPr>
          <w:rFonts w:ascii="Calibri" w:cs="Calibri" w:eastAsia="Calibri" w:hAnsi="Calibri"/>
          <w:sz w:val="18"/>
          <w:szCs w:val="18"/>
          <w:color w:val="auto"/>
        </w:rPr>
        <w:t>Jacqueline D. Reses</w:t>
      </w:r>
    </w:p>
    <w:p>
      <w:pPr>
        <w:ind w:left="6480"/>
        <w:spacing w:after="0" w:line="221" w:lineRule="auto"/>
        <w:rPr>
          <w:sz w:val="20"/>
          <w:szCs w:val="20"/>
          <w:color w:val="auto"/>
        </w:rPr>
      </w:pPr>
      <w:r>
        <w:rPr>
          <w:rFonts w:ascii="Calibri" w:cs="Calibri" w:eastAsia="Calibri" w:hAnsi="Calibri"/>
          <w:sz w:val="18"/>
          <w:szCs w:val="18"/>
          <w:color w:val="auto"/>
        </w:rPr>
        <w:t>James D.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ectPr>
          <w:pgSz w:w="11900" w:h="16838" w:orient="portrait"/>
          <w:cols w:equalWidth="0" w:num="1">
            <w:col w:w="11240"/>
          </w:cols>
          <w:pgMar w:left="320" w:top="1395" w:right="339" w:bottom="1440" w:gutter="0" w:footer="0" w:header="0"/>
        </w:sectPr>
      </w:pPr>
    </w:p>
    <w:bookmarkStart w:id="40" w:name="page41"/>
    <w:bookmarkEnd w:id="40"/>
    <w:p>
      <w:pPr>
        <w:ind w:left="3760"/>
        <w:spacing w:after="0"/>
        <w:rPr>
          <w:sz w:val="20"/>
          <w:szCs w:val="20"/>
          <w:color w:val="auto"/>
        </w:rPr>
      </w:pPr>
      <w:r>
        <w:rPr>
          <w:rFonts w:ascii="Calibri" w:cs="Calibri" w:eastAsia="Calibri" w:hAnsi="Calibri"/>
          <w:sz w:val="29"/>
          <w:szCs w:val="29"/>
          <w:b w:val="1"/>
          <w:bCs w:val="1"/>
          <w:color w:val="auto"/>
        </w:rPr>
        <w:t>Executve Compensaton Tables</w:t>
      </w:r>
    </w:p>
    <w:p>
      <w:pPr>
        <w:spacing w:after="0" w:line="1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Fiscal 2022 Summary Compensaton Table</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shows the compensaton awarded to, earned by or paid to our named executve ofcers for fscal 2022, 2021 and 2020, as applicable.</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Salary</w:t>
            </w:r>
          </w:p>
        </w:tc>
        <w:tc>
          <w:tcPr>
            <w:tcW w:w="880" w:type="dxa"/>
            <w:vAlign w:val="bottom"/>
            <w:vMerge w:val="restart"/>
          </w:tcPr>
          <w:p>
            <w:pPr>
              <w:jc w:val="right"/>
              <w:ind w:right="288"/>
              <w:spacing w:after="0"/>
              <w:rPr>
                <w:sz w:val="20"/>
                <w:szCs w:val="20"/>
                <w:color w:val="auto"/>
              </w:rPr>
            </w:pPr>
            <w:r>
              <w:rPr>
                <w:rFonts w:ascii="Calibri" w:cs="Calibri" w:eastAsia="Calibri" w:hAnsi="Calibri"/>
                <w:sz w:val="14"/>
                <w:szCs w:val="14"/>
                <w:b w:val="1"/>
                <w:bCs w:val="1"/>
                <w:color w:val="auto"/>
              </w:rPr>
              <w:t>Bonus</w:t>
            </w:r>
          </w:p>
        </w:tc>
        <w:tc>
          <w:tcPr>
            <w:tcW w:w="1100" w:type="dxa"/>
            <w:vAlign w:val="bottom"/>
            <w:vMerge w:val="restart"/>
          </w:tcPr>
          <w:p>
            <w:pPr>
              <w:jc w:val="right"/>
              <w:ind w:right="128"/>
              <w:spacing w:after="0"/>
              <w:rPr>
                <w:sz w:val="20"/>
                <w:szCs w:val="20"/>
                <w:color w:val="auto"/>
              </w:rPr>
            </w:pPr>
            <w:r>
              <w:rPr>
                <w:rFonts w:ascii="Calibri" w:cs="Calibri" w:eastAsia="Calibri" w:hAnsi="Calibri"/>
                <w:sz w:val="14"/>
                <w:szCs w:val="14"/>
                <w:b w:val="1"/>
                <w:bCs w:val="1"/>
                <w:color w:val="auto"/>
              </w:rPr>
              <w:t>Stock Awards</w:t>
            </w:r>
          </w:p>
        </w:tc>
        <w:tc>
          <w:tcPr>
            <w:tcW w:w="1140" w:type="dxa"/>
            <w:vAlign w:val="bottom"/>
            <w:vMerge w:val="restart"/>
          </w:tcPr>
          <w:p>
            <w:pPr>
              <w:jc w:val="right"/>
              <w:ind w:right="68"/>
              <w:spacing w:after="0"/>
              <w:rPr>
                <w:sz w:val="20"/>
                <w:szCs w:val="20"/>
                <w:color w:val="auto"/>
              </w:rPr>
            </w:pPr>
            <w:r>
              <w:rPr>
                <w:rFonts w:ascii="Calibri" w:cs="Calibri" w:eastAsia="Calibri" w:hAnsi="Calibri"/>
                <w:sz w:val="14"/>
                <w:szCs w:val="14"/>
                <w:b w:val="1"/>
                <w:bCs w:val="1"/>
                <w:color w:val="auto"/>
              </w:rPr>
              <w:t>Opton Awards</w:t>
            </w:r>
          </w:p>
        </w:tc>
        <w:tc>
          <w:tcPr>
            <w:tcW w:w="1380" w:type="dxa"/>
            <w:vAlign w:val="bottom"/>
          </w:tcPr>
          <w:p>
            <w:pPr>
              <w:jc w:val="center"/>
              <w:spacing w:after="0"/>
              <w:rPr>
                <w:sz w:val="20"/>
                <w:szCs w:val="20"/>
                <w:color w:val="auto"/>
              </w:rPr>
            </w:pPr>
            <w:r>
              <w:rPr>
                <w:rFonts w:ascii="Calibri" w:cs="Calibri" w:eastAsia="Calibri" w:hAnsi="Calibri"/>
                <w:sz w:val="14"/>
                <w:szCs w:val="14"/>
                <w:b w:val="1"/>
                <w:bCs w:val="1"/>
                <w:color w:val="auto"/>
              </w:rPr>
              <w:t>Non-Equity Incentve</w:t>
            </w:r>
          </w:p>
        </w:tc>
        <w:tc>
          <w:tcPr>
            <w:tcW w:w="1480" w:type="dxa"/>
            <w:vAlign w:val="bottom"/>
            <w:vMerge w:val="restart"/>
          </w:tcPr>
          <w:p>
            <w:pPr>
              <w:jc w:val="right"/>
              <w:ind w:right="528"/>
              <w:spacing w:after="0"/>
              <w:rPr>
                <w:sz w:val="20"/>
                <w:szCs w:val="20"/>
                <w:color w:val="auto"/>
              </w:rPr>
            </w:pPr>
            <w:r>
              <w:rPr>
                <w:rFonts w:ascii="Calibri" w:cs="Calibri" w:eastAsia="Calibri" w:hAnsi="Calibri"/>
                <w:sz w:val="14"/>
                <w:szCs w:val="14"/>
                <w:b w:val="1"/>
                <w:bCs w:val="1"/>
                <w:color w:val="auto"/>
              </w:rPr>
              <w:t>All Other</w:t>
            </w:r>
          </w:p>
        </w:tc>
        <w:tc>
          <w:tcPr>
            <w:tcW w:w="1140" w:type="dxa"/>
            <w:vAlign w:val="bottom"/>
            <w:vMerge w:val="restart"/>
          </w:tcPr>
          <w:p>
            <w:pPr>
              <w:jc w:val="right"/>
              <w:ind w:right="48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8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Plan Compensaton</w:t>
            </w:r>
          </w:p>
        </w:tc>
        <w:tc>
          <w:tcPr>
            <w:tcW w:w="14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420" w:type="dxa"/>
            <w:vAlign w:val="bottom"/>
            <w:tcBorders>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Name and Principal Positon</w:t>
            </w:r>
          </w:p>
        </w:tc>
        <w:tc>
          <w:tcPr>
            <w:tcW w:w="680" w:type="dxa"/>
            <w:vAlign w:val="bottom"/>
            <w:tcBorders>
              <w:bottom w:val="single" w:sz="8" w:color="auto"/>
            </w:tcBorders>
          </w:tcPr>
          <w:p>
            <w:pPr>
              <w:ind w:left="220"/>
              <w:spacing w:after="0"/>
              <w:rPr>
                <w:sz w:val="20"/>
                <w:szCs w:val="20"/>
                <w:color w:val="auto"/>
              </w:rPr>
            </w:pPr>
            <w:r>
              <w:rPr>
                <w:rFonts w:ascii="Calibri" w:cs="Calibri" w:eastAsia="Calibri" w:hAnsi="Calibri"/>
                <w:sz w:val="14"/>
                <w:szCs w:val="14"/>
                <w:b w:val="1"/>
                <w:bCs w:val="1"/>
                <w:color w:val="auto"/>
              </w:rPr>
              <w:t>Year</w:t>
            </w:r>
          </w:p>
        </w:tc>
        <w:tc>
          <w:tcPr>
            <w:tcW w:w="940" w:type="dxa"/>
            <w:vAlign w:val="bottom"/>
            <w:tcBorders>
              <w:bottom w:val="single" w:sz="8" w:color="auto"/>
            </w:tcBorders>
          </w:tcPr>
          <w:p>
            <w:pPr>
              <w:jc w:val="right"/>
              <w:ind w:right="368"/>
              <w:spacing w:after="0"/>
              <w:rPr>
                <w:sz w:val="20"/>
                <w:szCs w:val="20"/>
                <w:color w:val="auto"/>
              </w:rPr>
            </w:pPr>
            <w:r>
              <w:rPr>
                <w:rFonts w:ascii="Calibri" w:cs="Calibri" w:eastAsia="Calibri" w:hAnsi="Calibri"/>
                <w:sz w:val="14"/>
                <w:szCs w:val="14"/>
                <w:b w:val="1"/>
                <w:bCs w:val="1"/>
                <w:color w:val="auto"/>
              </w:rPr>
              <w:t>($)</w:t>
            </w:r>
          </w:p>
        </w:tc>
        <w:tc>
          <w:tcPr>
            <w:tcW w:w="880" w:type="dxa"/>
            <w:vAlign w:val="bottom"/>
            <w:tcBorders>
              <w:bottom w:val="single" w:sz="8" w:color="auto"/>
            </w:tcBorders>
          </w:tcPr>
          <w:p>
            <w:pPr>
              <w:jc w:val="right"/>
              <w:ind w:right="368"/>
              <w:spacing w:after="0"/>
              <w:rPr>
                <w:sz w:val="20"/>
                <w:szCs w:val="20"/>
                <w:color w:val="auto"/>
              </w:rPr>
            </w:pPr>
            <w:r>
              <w:rPr>
                <w:rFonts w:ascii="Calibri" w:cs="Calibri" w:eastAsia="Calibri" w:hAnsi="Calibri"/>
                <w:sz w:val="14"/>
                <w:szCs w:val="14"/>
                <w:b w:val="1"/>
                <w:bCs w:val="1"/>
                <w:color w:val="auto"/>
              </w:rPr>
              <w:t>($)</w:t>
            </w:r>
          </w:p>
        </w:tc>
        <w:tc>
          <w:tcPr>
            <w:tcW w:w="1100" w:type="dxa"/>
            <w:vAlign w:val="bottom"/>
            <w:tcBorders>
              <w:bottom w:val="single" w:sz="8" w:color="auto"/>
            </w:tcBorders>
          </w:tcPr>
          <w:p>
            <w:pPr>
              <w:jc w:val="right"/>
              <w:ind w:right="408"/>
              <w:spacing w:after="0" w:line="216"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(1)</w:t>
            </w:r>
          </w:p>
        </w:tc>
        <w:tc>
          <w:tcPr>
            <w:tcW w:w="1140" w:type="dxa"/>
            <w:vAlign w:val="bottom"/>
            <w:tcBorders>
              <w:bottom w:val="single" w:sz="8" w:color="auto"/>
            </w:tcBorders>
          </w:tcPr>
          <w:p>
            <w:pPr>
              <w:jc w:val="right"/>
              <w:ind w:right="368"/>
              <w:spacing w:after="0"/>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(1)</w:t>
            </w:r>
          </w:p>
        </w:tc>
        <w:tc>
          <w:tcPr>
            <w:tcW w:w="13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5"/>
              </w:rPr>
              <w:t>($)</w:t>
            </w:r>
            <w:r>
              <w:rPr>
                <w:rFonts w:ascii="Calibri" w:cs="Calibri" w:eastAsia="Calibri" w:hAnsi="Calibri"/>
                <w:sz w:val="18"/>
                <w:szCs w:val="18"/>
                <w:b w:val="1"/>
                <w:bCs w:val="1"/>
                <w:color w:val="auto"/>
                <w:w w:val="95"/>
                <w:vertAlign w:val="superscript"/>
              </w:rPr>
              <w:t>(2)</w:t>
            </w:r>
          </w:p>
        </w:tc>
        <w:tc>
          <w:tcPr>
            <w:tcW w:w="1480" w:type="dxa"/>
            <w:vAlign w:val="bottom"/>
            <w:tcBorders>
              <w:bottom w:val="single" w:sz="8" w:color="auto"/>
            </w:tcBorders>
          </w:tcPr>
          <w:p>
            <w:pPr>
              <w:jc w:val="right"/>
              <w:ind w:right="268"/>
              <w:spacing w:after="0"/>
              <w:rPr>
                <w:sz w:val="20"/>
                <w:szCs w:val="20"/>
                <w:color w:val="auto"/>
              </w:rPr>
            </w:pPr>
            <w:r>
              <w:rPr>
                <w:rFonts w:ascii="Calibri" w:cs="Calibri" w:eastAsia="Calibri" w:hAnsi="Calibri"/>
                <w:sz w:val="14"/>
                <w:szCs w:val="14"/>
                <w:b w:val="1"/>
                <w:bCs w:val="1"/>
                <w:color w:val="auto"/>
              </w:rPr>
              <w:t>Compensaton ($)</w:t>
            </w:r>
          </w:p>
        </w:tc>
        <w:tc>
          <w:tcPr>
            <w:tcW w:w="1140" w:type="dxa"/>
            <w:vAlign w:val="bottom"/>
            <w:tcBorders>
              <w:bottom w:val="single" w:sz="8" w:color="auto"/>
            </w:tcBorders>
          </w:tcPr>
          <w:p>
            <w:pPr>
              <w:jc w:val="right"/>
              <w:ind w:right="548"/>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213"/>
        </w:trPr>
        <w:tc>
          <w:tcPr>
            <w:tcW w:w="2420" w:type="dxa"/>
            <w:vAlign w:val="bottom"/>
            <w:shd w:val="clear" w:color="auto" w:fill="DBDBDB"/>
          </w:tcPr>
          <w:p>
            <w:pPr>
              <w:ind w:left="80"/>
              <w:spacing w:after="0"/>
              <w:rPr>
                <w:sz w:val="20"/>
                <w:szCs w:val="20"/>
                <w:color w:val="auto"/>
              </w:rPr>
            </w:pPr>
            <w:r>
              <w:rPr>
                <w:rFonts w:ascii="Calibri" w:cs="Calibri" w:eastAsia="Calibri" w:hAnsi="Calibri"/>
                <w:sz w:val="14"/>
                <w:szCs w:val="14"/>
                <w:b w:val="1"/>
                <w:bCs w:val="1"/>
                <w:color w:val="auto"/>
              </w:rPr>
              <w:t>Max Levchin</w:t>
            </w:r>
          </w:p>
        </w:tc>
        <w:tc>
          <w:tcPr>
            <w:tcW w:w="680" w:type="dxa"/>
            <w:vAlign w:val="bottom"/>
            <w:shd w:val="clear" w:color="auto" w:fill="DBDBDB"/>
          </w:tcPr>
          <w:p>
            <w:pPr>
              <w:ind w:left="200"/>
              <w:spacing w:after="0"/>
              <w:rPr>
                <w:sz w:val="20"/>
                <w:szCs w:val="20"/>
                <w:color w:val="auto"/>
              </w:rPr>
            </w:pPr>
            <w:r>
              <w:rPr>
                <w:rFonts w:ascii="Calibri" w:cs="Calibri" w:eastAsia="Calibri" w:hAnsi="Calibri"/>
                <w:sz w:val="14"/>
                <w:szCs w:val="14"/>
                <w:color w:val="auto"/>
              </w:rPr>
              <w:t>2022</w:t>
            </w:r>
          </w:p>
        </w:tc>
        <w:tc>
          <w:tcPr>
            <w:tcW w:w="940" w:type="dxa"/>
            <w:vAlign w:val="bottom"/>
            <w:shd w:val="clear" w:color="auto" w:fill="DBDBDB"/>
          </w:tcPr>
          <w:p>
            <w:pPr>
              <w:jc w:val="right"/>
              <w:ind w:right="88"/>
              <w:spacing w:after="0"/>
              <w:rPr>
                <w:sz w:val="20"/>
                <w:szCs w:val="20"/>
                <w:color w:val="auto"/>
              </w:rPr>
            </w:pPr>
            <w:r>
              <w:rPr>
                <w:rFonts w:ascii="Calibri" w:cs="Calibri" w:eastAsia="Calibri" w:hAnsi="Calibri"/>
                <w:sz w:val="14"/>
                <w:szCs w:val="14"/>
                <w:color w:val="auto"/>
              </w:rPr>
              <w:t>29,122</w:t>
            </w:r>
          </w:p>
        </w:tc>
        <w:tc>
          <w:tcPr>
            <w:tcW w:w="880" w:type="dxa"/>
            <w:vAlign w:val="bottom"/>
            <w:shd w:val="clear" w:color="auto" w:fill="DBDBDB"/>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DBDBDB"/>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38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480" w:type="dxa"/>
            <w:vAlign w:val="bottom"/>
            <w:shd w:val="clear" w:color="auto" w:fill="DBDBDB"/>
          </w:tcPr>
          <w:p>
            <w:pPr>
              <w:jc w:val="right"/>
              <w:ind w:right="188"/>
              <w:spacing w:after="0" w:line="213" w:lineRule="exact"/>
              <w:rPr>
                <w:sz w:val="20"/>
                <w:szCs w:val="20"/>
                <w:color w:val="auto"/>
              </w:rPr>
            </w:pPr>
            <w:r>
              <w:rPr>
                <w:rFonts w:ascii="Calibri" w:cs="Calibri" w:eastAsia="Calibri" w:hAnsi="Calibri"/>
                <w:sz w:val="14"/>
                <w:szCs w:val="14"/>
                <w:color w:val="auto"/>
              </w:rPr>
              <w:t>449,143</w:t>
            </w:r>
            <w:r>
              <w:rPr>
                <w:rFonts w:ascii="Calibri" w:cs="Calibri" w:eastAsia="Calibri" w:hAnsi="Calibri"/>
                <w:sz w:val="18"/>
                <w:szCs w:val="18"/>
                <w:color w:val="auto"/>
                <w:vertAlign w:val="superscript"/>
              </w:rPr>
              <w:t>(3)</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478,265</w:t>
            </w:r>
          </w:p>
        </w:tc>
        <w:tc>
          <w:tcPr>
            <w:tcW w:w="0" w:type="dxa"/>
            <w:vAlign w:val="bottom"/>
          </w:tcPr>
          <w:p>
            <w:pPr>
              <w:spacing w:after="0"/>
              <w:rPr>
                <w:sz w:val="1"/>
                <w:szCs w:val="1"/>
                <w:color w:val="auto"/>
              </w:rPr>
            </w:pPr>
          </w:p>
        </w:tc>
      </w:tr>
      <w:tr>
        <w:trPr>
          <w:trHeight w:val="222"/>
        </w:trPr>
        <w:tc>
          <w:tcPr>
            <w:tcW w:w="2420" w:type="dxa"/>
            <w:vAlign w:val="bottom"/>
            <w:shd w:val="clear" w:color="auto" w:fill="DBDBDB"/>
          </w:tcPr>
          <w:p>
            <w:pPr>
              <w:ind w:left="180"/>
              <w:spacing w:after="0"/>
              <w:rPr>
                <w:sz w:val="20"/>
                <w:szCs w:val="20"/>
                <w:color w:val="auto"/>
              </w:rPr>
            </w:pPr>
            <w:r>
              <w:rPr>
                <w:rFonts w:ascii="Calibri" w:cs="Calibri" w:eastAsia="Calibri" w:hAnsi="Calibri"/>
                <w:sz w:val="14"/>
                <w:szCs w:val="14"/>
                <w:i w:val="1"/>
                <w:iCs w:val="1"/>
                <w:color w:val="auto"/>
              </w:rPr>
              <w:t>CEO</w:t>
            </w:r>
          </w:p>
        </w:tc>
        <w:tc>
          <w:tcPr>
            <w:tcW w:w="680" w:type="dxa"/>
            <w:vAlign w:val="bottom"/>
            <w:shd w:val="clear" w:color="auto" w:fill="DBDBDB"/>
          </w:tcPr>
          <w:p>
            <w:pPr>
              <w:ind w:left="200"/>
              <w:spacing w:after="0"/>
              <w:rPr>
                <w:sz w:val="20"/>
                <w:szCs w:val="20"/>
                <w:color w:val="auto"/>
              </w:rPr>
            </w:pPr>
            <w:r>
              <w:rPr>
                <w:rFonts w:ascii="Calibri" w:cs="Calibri" w:eastAsia="Calibri" w:hAnsi="Calibri"/>
                <w:sz w:val="14"/>
                <w:szCs w:val="14"/>
                <w:color w:val="auto"/>
              </w:rPr>
              <w:t>2021</w:t>
            </w:r>
          </w:p>
        </w:tc>
        <w:tc>
          <w:tcPr>
            <w:tcW w:w="940" w:type="dxa"/>
            <w:vAlign w:val="bottom"/>
            <w:shd w:val="clear" w:color="auto" w:fill="DBDBDB"/>
          </w:tcPr>
          <w:p>
            <w:pPr>
              <w:jc w:val="right"/>
              <w:ind w:right="88"/>
              <w:spacing w:after="0"/>
              <w:rPr>
                <w:sz w:val="20"/>
                <w:szCs w:val="20"/>
                <w:color w:val="auto"/>
              </w:rPr>
            </w:pPr>
            <w:r>
              <w:rPr>
                <w:rFonts w:ascii="Calibri" w:cs="Calibri" w:eastAsia="Calibri" w:hAnsi="Calibri"/>
                <w:sz w:val="14"/>
                <w:szCs w:val="14"/>
                <w:color w:val="auto"/>
              </w:rPr>
              <w:t>10,000</w:t>
            </w:r>
          </w:p>
        </w:tc>
        <w:tc>
          <w:tcPr>
            <w:tcW w:w="880" w:type="dxa"/>
            <w:vAlign w:val="bottom"/>
            <w:shd w:val="clear" w:color="auto" w:fill="DBDBDB"/>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DBDBDB"/>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451,052,591</w:t>
            </w:r>
          </w:p>
        </w:tc>
        <w:tc>
          <w:tcPr>
            <w:tcW w:w="138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480" w:type="dxa"/>
            <w:vAlign w:val="bottom"/>
            <w:shd w:val="clear" w:color="auto" w:fill="DBDBDB"/>
          </w:tcPr>
          <w:p>
            <w:pPr>
              <w:jc w:val="right"/>
              <w:ind w:right="188"/>
              <w:spacing w:after="0"/>
              <w:rPr>
                <w:sz w:val="20"/>
                <w:szCs w:val="20"/>
                <w:color w:val="auto"/>
              </w:rPr>
            </w:pPr>
            <w:r>
              <w:rPr>
                <w:rFonts w:ascii="Calibri" w:cs="Calibri" w:eastAsia="Calibri" w:hAnsi="Calibri"/>
                <w:sz w:val="14"/>
                <w:szCs w:val="14"/>
                <w:color w:val="auto"/>
              </w:rPr>
              <w:t>145,135</w:t>
            </w:r>
            <w:r>
              <w:rPr>
                <w:rFonts w:ascii="Calibri" w:cs="Calibri" w:eastAsia="Calibri" w:hAnsi="Calibri"/>
                <w:sz w:val="18"/>
                <w:szCs w:val="18"/>
                <w:color w:val="auto"/>
                <w:vertAlign w:val="superscript"/>
              </w:rPr>
              <w:t>(3)</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451,207,726</w:t>
            </w:r>
          </w:p>
        </w:tc>
        <w:tc>
          <w:tcPr>
            <w:tcW w:w="0" w:type="dxa"/>
            <w:vAlign w:val="bottom"/>
          </w:tcPr>
          <w:p>
            <w:pPr>
              <w:spacing w:after="0"/>
              <w:rPr>
                <w:sz w:val="1"/>
                <w:szCs w:val="1"/>
                <w:color w:val="auto"/>
              </w:rPr>
            </w:pPr>
          </w:p>
        </w:tc>
      </w:tr>
      <w:tr>
        <w:trPr>
          <w:trHeight w:val="190"/>
        </w:trPr>
        <w:tc>
          <w:tcPr>
            <w:tcW w:w="2420" w:type="dxa"/>
            <w:vAlign w:val="bottom"/>
            <w:shd w:val="clear" w:color="auto" w:fill="DBDBDB"/>
          </w:tcPr>
          <w:p>
            <w:pPr>
              <w:spacing w:after="0"/>
              <w:rPr>
                <w:sz w:val="16"/>
                <w:szCs w:val="16"/>
                <w:color w:val="auto"/>
              </w:rPr>
            </w:pPr>
          </w:p>
        </w:tc>
        <w:tc>
          <w:tcPr>
            <w:tcW w:w="680" w:type="dxa"/>
            <w:vAlign w:val="bottom"/>
            <w:shd w:val="clear" w:color="auto" w:fill="DBDBDB"/>
          </w:tcPr>
          <w:p>
            <w:pPr>
              <w:ind w:left="200"/>
              <w:spacing w:after="0"/>
              <w:rPr>
                <w:sz w:val="20"/>
                <w:szCs w:val="20"/>
                <w:color w:val="auto"/>
              </w:rPr>
            </w:pPr>
            <w:r>
              <w:rPr>
                <w:rFonts w:ascii="Calibri" w:cs="Calibri" w:eastAsia="Calibri" w:hAnsi="Calibri"/>
                <w:sz w:val="14"/>
                <w:szCs w:val="14"/>
                <w:color w:val="auto"/>
              </w:rPr>
              <w:t>2020</w:t>
            </w:r>
          </w:p>
        </w:tc>
        <w:tc>
          <w:tcPr>
            <w:tcW w:w="940" w:type="dxa"/>
            <w:vAlign w:val="bottom"/>
            <w:shd w:val="clear" w:color="auto" w:fill="DBDBDB"/>
          </w:tcPr>
          <w:p>
            <w:pPr>
              <w:jc w:val="right"/>
              <w:ind w:right="88"/>
              <w:spacing w:after="0"/>
              <w:rPr>
                <w:sz w:val="20"/>
                <w:szCs w:val="20"/>
                <w:color w:val="auto"/>
              </w:rPr>
            </w:pPr>
            <w:r>
              <w:rPr>
                <w:rFonts w:ascii="Calibri" w:cs="Calibri" w:eastAsia="Calibri" w:hAnsi="Calibri"/>
                <w:sz w:val="14"/>
                <w:szCs w:val="14"/>
                <w:color w:val="auto"/>
              </w:rPr>
              <w:t>10,000</w:t>
            </w:r>
          </w:p>
        </w:tc>
        <w:tc>
          <w:tcPr>
            <w:tcW w:w="880" w:type="dxa"/>
            <w:vAlign w:val="bottom"/>
            <w:shd w:val="clear" w:color="auto" w:fill="DBDBDB"/>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DBDBDB"/>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38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480" w:type="dxa"/>
            <w:vAlign w:val="bottom"/>
            <w:shd w:val="clear" w:color="auto" w:fill="DBDBDB"/>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10,000</w:t>
            </w:r>
          </w:p>
        </w:tc>
        <w:tc>
          <w:tcPr>
            <w:tcW w:w="0" w:type="dxa"/>
            <w:vAlign w:val="bottom"/>
          </w:tcPr>
          <w:p>
            <w:pPr>
              <w:spacing w:after="0"/>
              <w:rPr>
                <w:sz w:val="1"/>
                <w:szCs w:val="1"/>
                <w:color w:val="auto"/>
              </w:rPr>
            </w:pPr>
          </w:p>
        </w:tc>
      </w:tr>
      <w:tr>
        <w:trPr>
          <w:trHeight w:val="61"/>
        </w:trPr>
        <w:tc>
          <w:tcPr>
            <w:tcW w:w="2420" w:type="dxa"/>
            <w:vAlign w:val="bottom"/>
            <w:shd w:val="clear" w:color="auto" w:fill="DBDBDB"/>
          </w:tcPr>
          <w:p>
            <w:pPr>
              <w:spacing w:after="0"/>
              <w:rPr>
                <w:sz w:val="5"/>
                <w:szCs w:val="5"/>
                <w:color w:val="auto"/>
              </w:rPr>
            </w:pPr>
          </w:p>
        </w:tc>
        <w:tc>
          <w:tcPr>
            <w:tcW w:w="680" w:type="dxa"/>
            <w:vAlign w:val="bottom"/>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880" w:type="dxa"/>
            <w:vAlign w:val="bottom"/>
            <w:shd w:val="clear" w:color="auto" w:fill="DBDBDB"/>
          </w:tcPr>
          <w:p>
            <w:pPr>
              <w:spacing w:after="0"/>
              <w:rPr>
                <w:sz w:val="5"/>
                <w:szCs w:val="5"/>
                <w:color w:val="auto"/>
              </w:rPr>
            </w:pPr>
          </w:p>
        </w:tc>
        <w:tc>
          <w:tcPr>
            <w:tcW w:w="110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1380" w:type="dxa"/>
            <w:vAlign w:val="bottom"/>
            <w:shd w:val="clear" w:color="auto" w:fill="DBDBDB"/>
          </w:tcPr>
          <w:p>
            <w:pPr>
              <w:spacing w:after="0"/>
              <w:rPr>
                <w:sz w:val="5"/>
                <w:szCs w:val="5"/>
                <w:color w:val="auto"/>
              </w:rPr>
            </w:pPr>
          </w:p>
        </w:tc>
        <w:tc>
          <w:tcPr>
            <w:tcW w:w="148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20" w:type="dxa"/>
            <w:vAlign w:val="bottom"/>
          </w:tcPr>
          <w:p>
            <w:pPr>
              <w:ind w:left="80"/>
              <w:spacing w:after="0"/>
              <w:rPr>
                <w:sz w:val="20"/>
                <w:szCs w:val="20"/>
                <w:color w:val="auto"/>
              </w:rPr>
            </w:pPr>
            <w:r>
              <w:rPr>
                <w:rFonts w:ascii="Calibri" w:cs="Calibri" w:eastAsia="Calibri" w:hAnsi="Calibri"/>
                <w:sz w:val="14"/>
                <w:szCs w:val="14"/>
                <w:b w:val="1"/>
                <w:bCs w:val="1"/>
                <w:color w:val="auto"/>
              </w:rPr>
              <w:t>Michael Linford</w:t>
            </w:r>
          </w:p>
        </w:tc>
        <w:tc>
          <w:tcPr>
            <w:tcW w:w="68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940" w:type="dxa"/>
            <w:vAlign w:val="bottom"/>
          </w:tcPr>
          <w:p>
            <w:pPr>
              <w:jc w:val="right"/>
              <w:ind w:right="88"/>
              <w:spacing w:after="0"/>
              <w:rPr>
                <w:sz w:val="20"/>
                <w:szCs w:val="20"/>
                <w:color w:val="auto"/>
              </w:rPr>
            </w:pPr>
            <w:r>
              <w:rPr>
                <w:rFonts w:ascii="Calibri" w:cs="Calibri" w:eastAsia="Calibri" w:hAnsi="Calibri"/>
                <w:sz w:val="14"/>
                <w:szCs w:val="14"/>
                <w:color w:val="auto"/>
              </w:rPr>
              <w:t>457,500</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6,499,994</w:t>
            </w:r>
          </w:p>
        </w:tc>
        <w:tc>
          <w:tcPr>
            <w:tcW w:w="1380" w:type="dxa"/>
            <w:vAlign w:val="bottom"/>
          </w:tcPr>
          <w:p>
            <w:pPr>
              <w:jc w:val="right"/>
              <w:ind w:right="8"/>
              <w:spacing w:after="0"/>
              <w:rPr>
                <w:sz w:val="20"/>
                <w:szCs w:val="20"/>
                <w:color w:val="auto"/>
              </w:rPr>
            </w:pPr>
            <w:r>
              <w:rPr>
                <w:rFonts w:ascii="Calibri" w:cs="Calibri" w:eastAsia="Calibri" w:hAnsi="Calibri"/>
                <w:sz w:val="14"/>
                <w:szCs w:val="14"/>
                <w:color w:val="auto"/>
              </w:rPr>
              <w:t>367,315</w:t>
            </w:r>
          </w:p>
        </w:tc>
        <w:tc>
          <w:tcPr>
            <w:tcW w:w="148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7,324,809</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Calibri" w:cs="Calibri" w:eastAsia="Calibri" w:hAnsi="Calibri"/>
                <w:sz w:val="14"/>
                <w:szCs w:val="14"/>
                <w:i w:val="1"/>
                <w:iCs w:val="1"/>
                <w:color w:val="auto"/>
              </w:rPr>
              <w:t>Chief Financial Ofcer</w:t>
            </w:r>
          </w:p>
        </w:tc>
        <w:tc>
          <w:tcPr>
            <w:tcW w:w="680" w:type="dxa"/>
            <w:vAlign w:val="bottom"/>
          </w:tcPr>
          <w:p>
            <w:pPr>
              <w:ind w:left="200"/>
              <w:spacing w:after="0"/>
              <w:rPr>
                <w:sz w:val="20"/>
                <w:szCs w:val="20"/>
                <w:color w:val="auto"/>
              </w:rPr>
            </w:pPr>
            <w:r>
              <w:rPr>
                <w:rFonts w:ascii="Calibri" w:cs="Calibri" w:eastAsia="Calibri" w:hAnsi="Calibri"/>
                <w:sz w:val="14"/>
                <w:szCs w:val="14"/>
                <w:color w:val="auto"/>
              </w:rPr>
              <w:t>2021</w:t>
            </w:r>
          </w:p>
        </w:tc>
        <w:tc>
          <w:tcPr>
            <w:tcW w:w="940" w:type="dxa"/>
            <w:vAlign w:val="bottom"/>
          </w:tcPr>
          <w:p>
            <w:pPr>
              <w:jc w:val="right"/>
              <w:ind w:right="88"/>
              <w:spacing w:after="0"/>
              <w:rPr>
                <w:sz w:val="20"/>
                <w:szCs w:val="20"/>
                <w:color w:val="auto"/>
              </w:rPr>
            </w:pPr>
            <w:r>
              <w:rPr>
                <w:rFonts w:ascii="Calibri" w:cs="Calibri" w:eastAsia="Calibri" w:hAnsi="Calibri"/>
                <w:sz w:val="14"/>
                <w:szCs w:val="14"/>
                <w:color w:val="auto"/>
              </w:rPr>
              <w:t>417,083</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5,347,251</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7,619,789</w:t>
            </w:r>
          </w:p>
        </w:tc>
        <w:tc>
          <w:tcPr>
            <w:tcW w:w="1380" w:type="dxa"/>
            <w:vAlign w:val="bottom"/>
          </w:tcPr>
          <w:p>
            <w:pPr>
              <w:jc w:val="right"/>
              <w:ind w:right="8"/>
              <w:spacing w:after="0"/>
              <w:rPr>
                <w:sz w:val="20"/>
                <w:szCs w:val="20"/>
                <w:color w:val="auto"/>
              </w:rPr>
            </w:pPr>
            <w:r>
              <w:rPr>
                <w:rFonts w:ascii="Calibri" w:cs="Calibri" w:eastAsia="Calibri" w:hAnsi="Calibri"/>
                <w:sz w:val="14"/>
                <w:szCs w:val="14"/>
                <w:color w:val="auto"/>
              </w:rPr>
              <w:t>192,555</w:t>
            </w:r>
          </w:p>
        </w:tc>
        <w:tc>
          <w:tcPr>
            <w:tcW w:w="148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13,576,678</w:t>
            </w:r>
          </w:p>
        </w:tc>
        <w:tc>
          <w:tcPr>
            <w:tcW w:w="0" w:type="dxa"/>
            <w:vAlign w:val="bottom"/>
          </w:tcPr>
          <w:p>
            <w:pPr>
              <w:spacing w:after="0"/>
              <w:rPr>
                <w:sz w:val="1"/>
                <w:szCs w:val="1"/>
                <w:color w:val="auto"/>
              </w:rPr>
            </w:pPr>
          </w:p>
        </w:tc>
      </w:tr>
      <w:tr>
        <w:trPr>
          <w:trHeight w:val="269"/>
        </w:trPr>
        <w:tc>
          <w:tcPr>
            <w:tcW w:w="24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Calibri" w:cs="Calibri" w:eastAsia="Calibri" w:hAnsi="Calibri"/>
                <w:sz w:val="14"/>
                <w:szCs w:val="14"/>
                <w:color w:val="auto"/>
              </w:rPr>
              <w:t>2020</w:t>
            </w:r>
          </w:p>
        </w:tc>
        <w:tc>
          <w:tcPr>
            <w:tcW w:w="940" w:type="dxa"/>
            <w:vAlign w:val="bottom"/>
          </w:tcPr>
          <w:p>
            <w:pPr>
              <w:jc w:val="right"/>
              <w:ind w:right="88"/>
              <w:spacing w:after="0"/>
              <w:rPr>
                <w:sz w:val="20"/>
                <w:szCs w:val="20"/>
                <w:color w:val="auto"/>
              </w:rPr>
            </w:pPr>
            <w:r>
              <w:rPr>
                <w:rFonts w:ascii="Calibri" w:cs="Calibri" w:eastAsia="Calibri" w:hAnsi="Calibri"/>
                <w:sz w:val="14"/>
                <w:szCs w:val="14"/>
                <w:color w:val="auto"/>
              </w:rPr>
              <w:t>373,333</w:t>
            </w:r>
          </w:p>
        </w:tc>
        <w:tc>
          <w:tcPr>
            <w:tcW w:w="880" w:type="dxa"/>
            <w:vAlign w:val="bottom"/>
          </w:tcPr>
          <w:p>
            <w:pPr>
              <w:jc w:val="right"/>
              <w:ind w:right="28"/>
              <w:spacing w:after="0"/>
              <w:rPr>
                <w:sz w:val="20"/>
                <w:szCs w:val="20"/>
                <w:color w:val="auto"/>
              </w:rPr>
            </w:pPr>
            <w:r>
              <w:rPr>
                <w:rFonts w:ascii="Calibri" w:cs="Calibri" w:eastAsia="Calibri" w:hAnsi="Calibri"/>
                <w:sz w:val="14"/>
                <w:szCs w:val="14"/>
                <w:color w:val="auto"/>
              </w:rPr>
              <w:t>45,000</w:t>
            </w:r>
            <w:r>
              <w:rPr>
                <w:rFonts w:ascii="Calibri" w:cs="Calibri" w:eastAsia="Calibri" w:hAnsi="Calibri"/>
                <w:sz w:val="18"/>
                <w:szCs w:val="18"/>
                <w:color w:val="auto"/>
                <w:vertAlign w:val="superscript"/>
              </w:rPr>
              <w:t>(4)</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3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48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418,333</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shd w:val="clear" w:color="auto" w:fill="DBDBDB"/>
          </w:tcPr>
          <w:p>
            <w:pPr>
              <w:ind w:left="80"/>
              <w:spacing w:after="0" w:line="216" w:lineRule="exact"/>
              <w:rPr>
                <w:sz w:val="20"/>
                <w:szCs w:val="20"/>
                <w:color w:val="auto"/>
              </w:rPr>
            </w:pPr>
            <w:r>
              <w:rPr>
                <w:rFonts w:ascii="Calibri" w:cs="Calibri" w:eastAsia="Calibri" w:hAnsi="Calibri"/>
                <w:sz w:val="14"/>
                <w:szCs w:val="14"/>
                <w:b w:val="1"/>
                <w:bCs w:val="1"/>
                <w:color w:val="auto"/>
              </w:rPr>
              <w:t>Katherine Adkins</w:t>
            </w:r>
            <w:r>
              <w:rPr>
                <w:rFonts w:ascii="Calibri" w:cs="Calibri" w:eastAsia="Calibri" w:hAnsi="Calibri"/>
                <w:sz w:val="18"/>
                <w:szCs w:val="18"/>
                <w:b w:val="1"/>
                <w:bCs w:val="1"/>
                <w:color w:val="auto"/>
                <w:vertAlign w:val="superscript"/>
              </w:rPr>
              <w:t>(5)</w:t>
            </w:r>
          </w:p>
        </w:tc>
        <w:tc>
          <w:tcPr>
            <w:tcW w:w="680" w:type="dxa"/>
            <w:vAlign w:val="bottom"/>
            <w:shd w:val="clear" w:color="auto" w:fill="DBDBDB"/>
          </w:tcPr>
          <w:p>
            <w:pPr>
              <w:ind w:left="200"/>
              <w:spacing w:after="0"/>
              <w:rPr>
                <w:sz w:val="20"/>
                <w:szCs w:val="20"/>
                <w:color w:val="auto"/>
              </w:rPr>
            </w:pPr>
            <w:r>
              <w:rPr>
                <w:rFonts w:ascii="Calibri" w:cs="Calibri" w:eastAsia="Calibri" w:hAnsi="Calibri"/>
                <w:sz w:val="14"/>
                <w:szCs w:val="14"/>
                <w:color w:val="auto"/>
              </w:rPr>
              <w:t>2022</w:t>
            </w:r>
          </w:p>
        </w:tc>
        <w:tc>
          <w:tcPr>
            <w:tcW w:w="940" w:type="dxa"/>
            <w:vAlign w:val="bottom"/>
            <w:shd w:val="clear" w:color="auto" w:fill="DBDBDB"/>
          </w:tcPr>
          <w:p>
            <w:pPr>
              <w:jc w:val="right"/>
              <w:ind w:right="88"/>
              <w:spacing w:after="0"/>
              <w:rPr>
                <w:sz w:val="20"/>
                <w:szCs w:val="20"/>
                <w:color w:val="auto"/>
              </w:rPr>
            </w:pPr>
            <w:r>
              <w:rPr>
                <w:rFonts w:ascii="Calibri" w:cs="Calibri" w:eastAsia="Calibri" w:hAnsi="Calibri"/>
                <w:sz w:val="14"/>
                <w:szCs w:val="14"/>
                <w:color w:val="auto"/>
              </w:rPr>
              <w:t>395,000</w:t>
            </w:r>
          </w:p>
        </w:tc>
        <w:tc>
          <w:tcPr>
            <w:tcW w:w="880" w:type="dxa"/>
            <w:vAlign w:val="bottom"/>
            <w:shd w:val="clear" w:color="auto" w:fill="DBDBDB"/>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DBDBDB"/>
          </w:tcPr>
          <w:p>
            <w:pPr>
              <w:jc w:val="right"/>
              <w:ind w:right="28"/>
              <w:spacing w:after="0"/>
              <w:rPr>
                <w:sz w:val="20"/>
                <w:szCs w:val="20"/>
                <w:color w:val="auto"/>
              </w:rPr>
            </w:pPr>
            <w:r>
              <w:rPr>
                <w:rFonts w:ascii="Calibri" w:cs="Calibri" w:eastAsia="Calibri" w:hAnsi="Calibri"/>
                <w:sz w:val="14"/>
                <w:szCs w:val="14"/>
                <w:color w:val="auto"/>
              </w:rPr>
              <w:t>4,000,038</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4,068,849</w:t>
            </w:r>
          </w:p>
        </w:tc>
        <w:tc>
          <w:tcPr>
            <w:tcW w:w="138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234,172</w:t>
            </w:r>
          </w:p>
        </w:tc>
        <w:tc>
          <w:tcPr>
            <w:tcW w:w="1480" w:type="dxa"/>
            <w:vAlign w:val="bottom"/>
            <w:shd w:val="clear" w:color="auto" w:fill="DBDBDB"/>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8,698,059</w:t>
            </w:r>
          </w:p>
        </w:tc>
        <w:tc>
          <w:tcPr>
            <w:tcW w:w="0" w:type="dxa"/>
            <w:vAlign w:val="bottom"/>
          </w:tcPr>
          <w:p>
            <w:pPr>
              <w:spacing w:after="0"/>
              <w:rPr>
                <w:sz w:val="1"/>
                <w:szCs w:val="1"/>
                <w:color w:val="auto"/>
              </w:rPr>
            </w:pPr>
          </w:p>
        </w:tc>
      </w:tr>
      <w:tr>
        <w:trPr>
          <w:trHeight w:val="183"/>
        </w:trPr>
        <w:tc>
          <w:tcPr>
            <w:tcW w:w="2420" w:type="dxa"/>
            <w:vAlign w:val="bottom"/>
            <w:shd w:val="clear" w:color="auto" w:fill="DBDBDB"/>
          </w:tcPr>
          <w:p>
            <w:pPr>
              <w:ind w:left="140"/>
              <w:spacing w:after="0"/>
              <w:rPr>
                <w:sz w:val="20"/>
                <w:szCs w:val="20"/>
                <w:color w:val="auto"/>
              </w:rPr>
            </w:pPr>
            <w:r>
              <w:rPr>
                <w:rFonts w:ascii="Calibri" w:cs="Calibri" w:eastAsia="Calibri" w:hAnsi="Calibri"/>
                <w:sz w:val="14"/>
                <w:szCs w:val="14"/>
                <w:i w:val="1"/>
                <w:iCs w:val="1"/>
                <w:color w:val="auto"/>
              </w:rPr>
              <w:t>Chief Legal Ofcer</w:t>
            </w:r>
          </w:p>
        </w:tc>
        <w:tc>
          <w:tcPr>
            <w:tcW w:w="6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420" w:type="dxa"/>
            <w:vAlign w:val="bottom"/>
            <w:shd w:val="clear" w:color="auto" w:fill="DBDBDB"/>
          </w:tcPr>
          <w:p>
            <w:pPr>
              <w:spacing w:after="0"/>
              <w:rPr>
                <w:sz w:val="9"/>
                <w:szCs w:val="9"/>
                <w:color w:val="auto"/>
              </w:rPr>
            </w:pPr>
          </w:p>
        </w:tc>
        <w:tc>
          <w:tcPr>
            <w:tcW w:w="680" w:type="dxa"/>
            <w:vAlign w:val="bottom"/>
            <w:shd w:val="clear" w:color="auto" w:fill="DBDBDB"/>
          </w:tcPr>
          <w:p>
            <w:pPr>
              <w:spacing w:after="0"/>
              <w:rPr>
                <w:sz w:val="9"/>
                <w:szCs w:val="9"/>
                <w:color w:val="auto"/>
              </w:rPr>
            </w:pPr>
          </w:p>
        </w:tc>
        <w:tc>
          <w:tcPr>
            <w:tcW w:w="940" w:type="dxa"/>
            <w:vAlign w:val="bottom"/>
            <w:shd w:val="clear" w:color="auto" w:fill="DBDBDB"/>
          </w:tcPr>
          <w:p>
            <w:pPr>
              <w:spacing w:after="0"/>
              <w:rPr>
                <w:sz w:val="9"/>
                <w:szCs w:val="9"/>
                <w:color w:val="auto"/>
              </w:rPr>
            </w:pPr>
          </w:p>
        </w:tc>
        <w:tc>
          <w:tcPr>
            <w:tcW w:w="880" w:type="dxa"/>
            <w:vAlign w:val="bottom"/>
            <w:shd w:val="clear" w:color="auto" w:fill="DBDBDB"/>
          </w:tcPr>
          <w:p>
            <w:pPr>
              <w:spacing w:after="0"/>
              <w:rPr>
                <w:sz w:val="9"/>
                <w:szCs w:val="9"/>
                <w:color w:val="auto"/>
              </w:rPr>
            </w:pPr>
          </w:p>
        </w:tc>
        <w:tc>
          <w:tcPr>
            <w:tcW w:w="1100" w:type="dxa"/>
            <w:vAlign w:val="bottom"/>
            <w:shd w:val="clear" w:color="auto" w:fill="DBDBDB"/>
          </w:tcPr>
          <w:p>
            <w:pPr>
              <w:spacing w:after="0"/>
              <w:rPr>
                <w:sz w:val="9"/>
                <w:szCs w:val="9"/>
                <w:color w:val="auto"/>
              </w:rPr>
            </w:pPr>
          </w:p>
        </w:tc>
        <w:tc>
          <w:tcPr>
            <w:tcW w:w="1140" w:type="dxa"/>
            <w:vAlign w:val="bottom"/>
            <w:shd w:val="clear" w:color="auto" w:fill="DBDBDB"/>
          </w:tcPr>
          <w:p>
            <w:pPr>
              <w:spacing w:after="0"/>
              <w:rPr>
                <w:sz w:val="9"/>
                <w:szCs w:val="9"/>
                <w:color w:val="auto"/>
              </w:rPr>
            </w:pPr>
          </w:p>
        </w:tc>
        <w:tc>
          <w:tcPr>
            <w:tcW w:w="1380" w:type="dxa"/>
            <w:vAlign w:val="bottom"/>
            <w:shd w:val="clear" w:color="auto" w:fill="DBDBDB"/>
          </w:tcPr>
          <w:p>
            <w:pPr>
              <w:spacing w:after="0"/>
              <w:rPr>
                <w:sz w:val="9"/>
                <w:szCs w:val="9"/>
                <w:color w:val="auto"/>
              </w:rPr>
            </w:pPr>
          </w:p>
        </w:tc>
        <w:tc>
          <w:tcPr>
            <w:tcW w:w="1480" w:type="dxa"/>
            <w:vAlign w:val="bottom"/>
            <w:shd w:val="clear" w:color="auto" w:fill="DBDBDB"/>
          </w:tcPr>
          <w:p>
            <w:pPr>
              <w:spacing w:after="0"/>
              <w:rPr>
                <w:sz w:val="9"/>
                <w:szCs w:val="9"/>
                <w:color w:val="auto"/>
              </w:rPr>
            </w:pPr>
          </w:p>
        </w:tc>
        <w:tc>
          <w:tcPr>
            <w:tcW w:w="114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420" w:type="dxa"/>
            <w:vAlign w:val="bottom"/>
          </w:tcPr>
          <w:p>
            <w:pPr>
              <w:ind w:left="80"/>
              <w:spacing w:after="0"/>
              <w:rPr>
                <w:sz w:val="20"/>
                <w:szCs w:val="20"/>
                <w:color w:val="auto"/>
              </w:rPr>
            </w:pPr>
            <w:r>
              <w:rPr>
                <w:rFonts w:ascii="Calibri" w:cs="Calibri" w:eastAsia="Calibri" w:hAnsi="Calibri"/>
                <w:sz w:val="14"/>
                <w:szCs w:val="14"/>
                <w:b w:val="1"/>
                <w:bCs w:val="1"/>
                <w:color w:val="auto"/>
              </w:rPr>
              <w:t>Libor Michalek</w:t>
            </w:r>
          </w:p>
        </w:tc>
        <w:tc>
          <w:tcPr>
            <w:tcW w:w="680" w:type="dxa"/>
            <w:vAlign w:val="bottom"/>
          </w:tcPr>
          <w:p>
            <w:pPr>
              <w:ind w:left="200"/>
              <w:spacing w:after="0"/>
              <w:rPr>
                <w:sz w:val="20"/>
                <w:szCs w:val="20"/>
                <w:color w:val="auto"/>
              </w:rPr>
            </w:pPr>
            <w:r>
              <w:rPr>
                <w:rFonts w:ascii="Calibri" w:cs="Calibri" w:eastAsia="Calibri" w:hAnsi="Calibri"/>
                <w:sz w:val="14"/>
                <w:szCs w:val="14"/>
                <w:color w:val="auto"/>
              </w:rPr>
              <w:t>2022</w:t>
            </w:r>
          </w:p>
        </w:tc>
        <w:tc>
          <w:tcPr>
            <w:tcW w:w="940" w:type="dxa"/>
            <w:vAlign w:val="bottom"/>
          </w:tcPr>
          <w:p>
            <w:pPr>
              <w:jc w:val="right"/>
              <w:ind w:right="88"/>
              <w:spacing w:after="0"/>
              <w:rPr>
                <w:sz w:val="20"/>
                <w:szCs w:val="20"/>
                <w:color w:val="auto"/>
              </w:rPr>
            </w:pPr>
            <w:r>
              <w:rPr>
                <w:rFonts w:ascii="Calibri" w:cs="Calibri" w:eastAsia="Calibri" w:hAnsi="Calibri"/>
                <w:sz w:val="14"/>
                <w:szCs w:val="14"/>
                <w:color w:val="auto"/>
              </w:rPr>
              <w:t>470,000</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6,499,994</w:t>
            </w:r>
          </w:p>
        </w:tc>
        <w:tc>
          <w:tcPr>
            <w:tcW w:w="1380" w:type="dxa"/>
            <w:vAlign w:val="bottom"/>
          </w:tcPr>
          <w:p>
            <w:pPr>
              <w:jc w:val="right"/>
              <w:ind w:right="8"/>
              <w:spacing w:after="0"/>
              <w:rPr>
                <w:sz w:val="20"/>
                <w:szCs w:val="20"/>
                <w:color w:val="auto"/>
              </w:rPr>
            </w:pPr>
            <w:r>
              <w:rPr>
                <w:rFonts w:ascii="Calibri" w:cs="Calibri" w:eastAsia="Calibri" w:hAnsi="Calibri"/>
                <w:sz w:val="14"/>
                <w:szCs w:val="14"/>
                <w:color w:val="auto"/>
              </w:rPr>
              <w:t>377,351</w:t>
            </w:r>
          </w:p>
        </w:tc>
        <w:tc>
          <w:tcPr>
            <w:tcW w:w="148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7,347,345</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Calibri" w:cs="Calibri" w:eastAsia="Calibri" w:hAnsi="Calibri"/>
                <w:sz w:val="14"/>
                <w:szCs w:val="14"/>
                <w:i w:val="1"/>
                <w:iCs w:val="1"/>
                <w:color w:val="auto"/>
              </w:rPr>
              <w:t>President, Technology, Risk and</w:t>
            </w:r>
          </w:p>
        </w:tc>
        <w:tc>
          <w:tcPr>
            <w:tcW w:w="680" w:type="dxa"/>
            <w:vAlign w:val="bottom"/>
          </w:tcPr>
          <w:p>
            <w:pPr>
              <w:ind w:left="200"/>
              <w:spacing w:after="0"/>
              <w:rPr>
                <w:sz w:val="20"/>
                <w:szCs w:val="20"/>
                <w:color w:val="auto"/>
              </w:rPr>
            </w:pPr>
            <w:r>
              <w:rPr>
                <w:rFonts w:ascii="Calibri" w:cs="Calibri" w:eastAsia="Calibri" w:hAnsi="Calibri"/>
                <w:sz w:val="14"/>
                <w:szCs w:val="14"/>
                <w:color w:val="auto"/>
              </w:rPr>
              <w:t>2021</w:t>
            </w:r>
          </w:p>
        </w:tc>
        <w:tc>
          <w:tcPr>
            <w:tcW w:w="940" w:type="dxa"/>
            <w:vAlign w:val="bottom"/>
          </w:tcPr>
          <w:p>
            <w:pPr>
              <w:jc w:val="right"/>
              <w:ind w:right="88"/>
              <w:spacing w:after="0"/>
              <w:rPr>
                <w:sz w:val="20"/>
                <w:szCs w:val="20"/>
                <w:color w:val="auto"/>
              </w:rPr>
            </w:pPr>
            <w:r>
              <w:rPr>
                <w:rFonts w:ascii="Calibri" w:cs="Calibri" w:eastAsia="Calibri" w:hAnsi="Calibri"/>
                <w:sz w:val="14"/>
                <w:szCs w:val="14"/>
                <w:color w:val="auto"/>
              </w:rPr>
              <w:t>431,667</w:t>
            </w:r>
          </w:p>
        </w:tc>
        <w:tc>
          <w:tcPr>
            <w:tcW w:w="880" w:type="dxa"/>
            <w:vAlign w:val="bottom"/>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28"/>
              <w:spacing w:after="0"/>
              <w:rPr>
                <w:sz w:val="20"/>
                <w:szCs w:val="20"/>
                <w:color w:val="auto"/>
              </w:rPr>
            </w:pPr>
            <w:r>
              <w:rPr>
                <w:rFonts w:ascii="Calibri" w:cs="Calibri" w:eastAsia="Calibri" w:hAnsi="Calibri"/>
                <w:sz w:val="14"/>
                <w:szCs w:val="14"/>
                <w:color w:val="auto"/>
              </w:rPr>
              <w:t>3,220,073</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9,736,383</w:t>
            </w:r>
          </w:p>
        </w:tc>
        <w:tc>
          <w:tcPr>
            <w:tcW w:w="1380" w:type="dxa"/>
            <w:vAlign w:val="bottom"/>
          </w:tcPr>
          <w:p>
            <w:pPr>
              <w:jc w:val="right"/>
              <w:ind w:right="8"/>
              <w:spacing w:after="0"/>
              <w:rPr>
                <w:sz w:val="20"/>
                <w:szCs w:val="20"/>
                <w:color w:val="auto"/>
              </w:rPr>
            </w:pPr>
            <w:r>
              <w:rPr>
                <w:rFonts w:ascii="Calibri" w:cs="Calibri" w:eastAsia="Calibri" w:hAnsi="Calibri"/>
                <w:sz w:val="14"/>
                <w:szCs w:val="14"/>
                <w:color w:val="auto"/>
              </w:rPr>
              <w:t>203,496</w:t>
            </w:r>
          </w:p>
        </w:tc>
        <w:tc>
          <w:tcPr>
            <w:tcW w:w="1480" w:type="dxa"/>
            <w:vAlign w:val="bottom"/>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13,591,619</w:t>
            </w:r>
          </w:p>
        </w:tc>
        <w:tc>
          <w:tcPr>
            <w:tcW w:w="0" w:type="dxa"/>
            <w:vAlign w:val="bottom"/>
          </w:tcPr>
          <w:p>
            <w:pPr>
              <w:spacing w:after="0"/>
              <w:rPr>
                <w:sz w:val="1"/>
                <w:szCs w:val="1"/>
                <w:color w:val="auto"/>
              </w:rPr>
            </w:pPr>
          </w:p>
        </w:tc>
      </w:tr>
      <w:tr>
        <w:trPr>
          <w:trHeight w:val="175"/>
        </w:trPr>
        <w:tc>
          <w:tcPr>
            <w:tcW w:w="2420" w:type="dxa"/>
            <w:vAlign w:val="bottom"/>
          </w:tcPr>
          <w:p>
            <w:pPr>
              <w:ind w:left="180"/>
              <w:spacing w:after="0"/>
              <w:rPr>
                <w:sz w:val="20"/>
                <w:szCs w:val="20"/>
                <w:color w:val="auto"/>
              </w:rPr>
            </w:pPr>
            <w:r>
              <w:rPr>
                <w:rFonts w:ascii="Calibri" w:cs="Calibri" w:eastAsia="Calibri" w:hAnsi="Calibri"/>
                <w:sz w:val="14"/>
                <w:szCs w:val="14"/>
                <w:i w:val="1"/>
                <w:iCs w:val="1"/>
                <w:color w:val="auto"/>
              </w:rPr>
              <w:t>Operatons</w:t>
            </w:r>
          </w:p>
        </w:tc>
        <w:tc>
          <w:tcPr>
            <w:tcW w:w="680" w:type="dxa"/>
            <w:vAlign w:val="bottom"/>
            <w:vMerge w:val="restart"/>
          </w:tcPr>
          <w:p>
            <w:pPr>
              <w:ind w:left="200"/>
              <w:spacing w:after="0"/>
              <w:rPr>
                <w:sz w:val="20"/>
                <w:szCs w:val="20"/>
                <w:color w:val="auto"/>
              </w:rPr>
            </w:pPr>
            <w:r>
              <w:rPr>
                <w:rFonts w:ascii="Calibri" w:cs="Calibri" w:eastAsia="Calibri" w:hAnsi="Calibri"/>
                <w:sz w:val="14"/>
                <w:szCs w:val="14"/>
                <w:color w:val="auto"/>
              </w:rPr>
              <w:t>2020</w:t>
            </w:r>
          </w:p>
        </w:tc>
        <w:tc>
          <w:tcPr>
            <w:tcW w:w="940" w:type="dxa"/>
            <w:vAlign w:val="bottom"/>
            <w:vMerge w:val="restart"/>
          </w:tcPr>
          <w:p>
            <w:pPr>
              <w:jc w:val="right"/>
              <w:ind w:right="88"/>
              <w:spacing w:after="0"/>
              <w:rPr>
                <w:sz w:val="20"/>
                <w:szCs w:val="20"/>
                <w:color w:val="auto"/>
              </w:rPr>
            </w:pPr>
            <w:r>
              <w:rPr>
                <w:rFonts w:ascii="Calibri" w:cs="Calibri" w:eastAsia="Calibri" w:hAnsi="Calibri"/>
                <w:sz w:val="14"/>
                <w:szCs w:val="14"/>
                <w:color w:val="auto"/>
              </w:rPr>
              <w:t>373,333</w:t>
            </w:r>
          </w:p>
        </w:tc>
        <w:tc>
          <w:tcPr>
            <w:tcW w:w="880" w:type="dxa"/>
            <w:vAlign w:val="bottom"/>
            <w:vMerge w:val="restart"/>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28"/>
              <w:spacing w:after="0"/>
              <w:rPr>
                <w:sz w:val="20"/>
                <w:szCs w:val="20"/>
                <w:color w:val="auto"/>
              </w:rPr>
            </w:pPr>
            <w:r>
              <w:rPr>
                <w:rFonts w:ascii="Calibri" w:cs="Calibri" w:eastAsia="Calibri" w:hAnsi="Calibri"/>
                <w:sz w:val="14"/>
                <w:szCs w:val="14"/>
                <w:color w:val="auto"/>
              </w:rPr>
              <w:t>—</w:t>
            </w:r>
          </w:p>
        </w:tc>
        <w:tc>
          <w:tcPr>
            <w:tcW w:w="1140" w:type="dxa"/>
            <w:vAlign w:val="bottom"/>
            <w:vMerge w:val="restart"/>
          </w:tcPr>
          <w:p>
            <w:pPr>
              <w:jc w:val="right"/>
              <w:spacing w:after="0"/>
              <w:rPr>
                <w:sz w:val="20"/>
                <w:szCs w:val="20"/>
                <w:color w:val="auto"/>
              </w:rPr>
            </w:pPr>
            <w:r>
              <w:rPr>
                <w:rFonts w:ascii="Calibri" w:cs="Calibri" w:eastAsia="Calibri" w:hAnsi="Calibri"/>
                <w:sz w:val="14"/>
                <w:szCs w:val="14"/>
                <w:color w:val="auto"/>
              </w:rPr>
              <w:t>1,906,680</w:t>
            </w:r>
          </w:p>
        </w:tc>
        <w:tc>
          <w:tcPr>
            <w:tcW w:w="1380" w:type="dxa"/>
            <w:vAlign w:val="bottom"/>
            <w:vMerge w:val="restart"/>
          </w:tcPr>
          <w:p>
            <w:pPr>
              <w:jc w:val="right"/>
              <w:ind w:right="8"/>
              <w:spacing w:after="0"/>
              <w:rPr>
                <w:sz w:val="20"/>
                <w:szCs w:val="20"/>
                <w:color w:val="auto"/>
              </w:rPr>
            </w:pPr>
            <w:r>
              <w:rPr>
                <w:rFonts w:ascii="Calibri" w:cs="Calibri" w:eastAsia="Calibri" w:hAnsi="Calibri"/>
                <w:sz w:val="14"/>
                <w:szCs w:val="14"/>
                <w:color w:val="auto"/>
              </w:rPr>
              <w:t>—</w:t>
            </w:r>
          </w:p>
        </w:tc>
        <w:tc>
          <w:tcPr>
            <w:tcW w:w="1480" w:type="dxa"/>
            <w:vAlign w:val="bottom"/>
            <w:vMerge w:val="restart"/>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vMerge w:val="restart"/>
          </w:tcPr>
          <w:p>
            <w:pPr>
              <w:jc w:val="right"/>
              <w:spacing w:after="0"/>
              <w:rPr>
                <w:sz w:val="20"/>
                <w:szCs w:val="20"/>
                <w:color w:val="auto"/>
              </w:rPr>
            </w:pPr>
            <w:r>
              <w:rPr>
                <w:rFonts w:ascii="Calibri" w:cs="Calibri" w:eastAsia="Calibri" w:hAnsi="Calibri"/>
                <w:sz w:val="14"/>
                <w:szCs w:val="14"/>
                <w:color w:val="auto"/>
              </w:rPr>
              <w:t>2,280,013</w:t>
            </w: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DBDBDB"/>
          </w:tcPr>
          <w:p>
            <w:pPr>
              <w:ind w:left="80"/>
              <w:spacing w:after="0" w:line="216" w:lineRule="exact"/>
              <w:rPr>
                <w:sz w:val="20"/>
                <w:szCs w:val="20"/>
                <w:color w:val="auto"/>
              </w:rPr>
            </w:pPr>
            <w:r>
              <w:rPr>
                <w:rFonts w:ascii="Calibri" w:cs="Calibri" w:eastAsia="Calibri" w:hAnsi="Calibri"/>
                <w:sz w:val="14"/>
                <w:szCs w:val="14"/>
                <w:b w:val="1"/>
                <w:bCs w:val="1"/>
                <w:color w:val="auto"/>
              </w:rPr>
              <w:t>Silvija Martncevic</w:t>
            </w:r>
            <w:r>
              <w:rPr>
                <w:rFonts w:ascii="Calibri" w:cs="Calibri" w:eastAsia="Calibri" w:hAnsi="Calibri"/>
                <w:sz w:val="18"/>
                <w:szCs w:val="18"/>
                <w:color w:val="auto"/>
                <w:vertAlign w:val="superscript"/>
              </w:rPr>
              <w:t>(6)</w:t>
            </w:r>
          </w:p>
        </w:tc>
        <w:tc>
          <w:tcPr>
            <w:tcW w:w="680" w:type="dxa"/>
            <w:vAlign w:val="bottom"/>
            <w:shd w:val="clear" w:color="auto" w:fill="DBDBDB"/>
          </w:tcPr>
          <w:p>
            <w:pPr>
              <w:ind w:left="200"/>
              <w:spacing w:after="0"/>
              <w:rPr>
                <w:sz w:val="20"/>
                <w:szCs w:val="20"/>
                <w:color w:val="auto"/>
              </w:rPr>
            </w:pPr>
            <w:r>
              <w:rPr>
                <w:rFonts w:ascii="Calibri" w:cs="Calibri" w:eastAsia="Calibri" w:hAnsi="Calibri"/>
                <w:sz w:val="14"/>
                <w:szCs w:val="14"/>
                <w:color w:val="auto"/>
              </w:rPr>
              <w:t>2022</w:t>
            </w:r>
          </w:p>
        </w:tc>
        <w:tc>
          <w:tcPr>
            <w:tcW w:w="940" w:type="dxa"/>
            <w:vAlign w:val="bottom"/>
            <w:shd w:val="clear" w:color="auto" w:fill="DBDBDB"/>
          </w:tcPr>
          <w:p>
            <w:pPr>
              <w:jc w:val="right"/>
              <w:ind w:right="88"/>
              <w:spacing w:after="0"/>
              <w:rPr>
                <w:sz w:val="20"/>
                <w:szCs w:val="20"/>
                <w:color w:val="auto"/>
              </w:rPr>
            </w:pPr>
            <w:r>
              <w:rPr>
                <w:rFonts w:ascii="Calibri" w:cs="Calibri" w:eastAsia="Calibri" w:hAnsi="Calibri"/>
                <w:sz w:val="14"/>
                <w:szCs w:val="14"/>
                <w:color w:val="auto"/>
              </w:rPr>
              <w:t>457,500</w:t>
            </w:r>
          </w:p>
        </w:tc>
        <w:tc>
          <w:tcPr>
            <w:tcW w:w="880" w:type="dxa"/>
            <w:vAlign w:val="bottom"/>
            <w:shd w:val="clear" w:color="auto" w:fill="DBDBDB"/>
          </w:tcPr>
          <w:p>
            <w:pPr>
              <w:jc w:val="right"/>
              <w:ind w:right="68"/>
              <w:spacing w:after="0"/>
              <w:rPr>
                <w:sz w:val="20"/>
                <w:szCs w:val="20"/>
                <w:color w:val="auto"/>
              </w:rPr>
            </w:pPr>
            <w:r>
              <w:rPr>
                <w:rFonts w:ascii="Calibri" w:cs="Calibri" w:eastAsia="Calibri" w:hAnsi="Calibri"/>
                <w:sz w:val="14"/>
                <w:szCs w:val="14"/>
                <w:color w:val="auto"/>
              </w:rPr>
              <w:t>—</w:t>
            </w:r>
          </w:p>
        </w:tc>
        <w:tc>
          <w:tcPr>
            <w:tcW w:w="1100" w:type="dxa"/>
            <w:vAlign w:val="bottom"/>
            <w:shd w:val="clear" w:color="auto" w:fill="DBDBDB"/>
          </w:tcPr>
          <w:p>
            <w:pPr>
              <w:jc w:val="right"/>
              <w:ind w:right="28"/>
              <w:spacing w:after="0"/>
              <w:rPr>
                <w:sz w:val="20"/>
                <w:szCs w:val="20"/>
                <w:color w:val="auto"/>
              </w:rPr>
            </w:pPr>
            <w:r>
              <w:rPr>
                <w:rFonts w:ascii="Calibri" w:cs="Calibri" w:eastAsia="Calibri" w:hAnsi="Calibri"/>
                <w:sz w:val="14"/>
                <w:szCs w:val="14"/>
                <w:color w:val="auto"/>
              </w:rPr>
              <w:t>288,222</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1,345,420</w:t>
            </w:r>
          </w:p>
        </w:tc>
        <w:tc>
          <w:tcPr>
            <w:tcW w:w="138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367,315</w:t>
            </w:r>
          </w:p>
        </w:tc>
        <w:tc>
          <w:tcPr>
            <w:tcW w:w="1480" w:type="dxa"/>
            <w:vAlign w:val="bottom"/>
            <w:shd w:val="clear" w:color="auto" w:fill="DBDBDB"/>
          </w:tcPr>
          <w:p>
            <w:pPr>
              <w:jc w:val="right"/>
              <w:ind w:right="248"/>
              <w:spacing w:after="0"/>
              <w:rPr>
                <w:sz w:val="20"/>
                <w:szCs w:val="20"/>
                <w:color w:val="auto"/>
              </w:rPr>
            </w:pPr>
            <w:r>
              <w:rPr>
                <w:rFonts w:ascii="Calibri" w:cs="Calibri" w:eastAsia="Calibri" w:hAnsi="Calibri"/>
                <w:sz w:val="14"/>
                <w:szCs w:val="14"/>
                <w:color w:val="auto"/>
              </w:rPr>
              <w:t>237,500</w:t>
            </w:r>
          </w:p>
        </w:tc>
        <w:tc>
          <w:tcPr>
            <w:tcW w:w="11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2,695,957</w:t>
            </w:r>
          </w:p>
        </w:tc>
        <w:tc>
          <w:tcPr>
            <w:tcW w:w="0" w:type="dxa"/>
            <w:vAlign w:val="bottom"/>
          </w:tcPr>
          <w:p>
            <w:pPr>
              <w:spacing w:after="0"/>
              <w:rPr>
                <w:sz w:val="1"/>
                <w:szCs w:val="1"/>
                <w:color w:val="auto"/>
              </w:rPr>
            </w:pPr>
          </w:p>
        </w:tc>
      </w:tr>
      <w:tr>
        <w:trPr>
          <w:trHeight w:val="224"/>
        </w:trPr>
        <w:tc>
          <w:tcPr>
            <w:tcW w:w="2420" w:type="dxa"/>
            <w:vAlign w:val="bottom"/>
            <w:tcBorders>
              <w:bottom w:val="single" w:sz="8" w:color="DBDBDB"/>
            </w:tcBorders>
            <w:shd w:val="clear" w:color="auto" w:fill="DBDBDB"/>
          </w:tcPr>
          <w:p>
            <w:pPr>
              <w:ind w:left="180"/>
              <w:spacing w:after="0"/>
              <w:rPr>
                <w:sz w:val="20"/>
                <w:szCs w:val="20"/>
                <w:color w:val="auto"/>
              </w:rPr>
            </w:pPr>
            <w:r>
              <w:rPr>
                <w:rFonts w:ascii="Calibri" w:cs="Calibri" w:eastAsia="Calibri" w:hAnsi="Calibri"/>
                <w:sz w:val="14"/>
                <w:szCs w:val="14"/>
                <w:i w:val="1"/>
                <w:iCs w:val="1"/>
                <w:color w:val="auto"/>
              </w:rPr>
              <w:t>Former Chief Commercial Ofcer</w:t>
            </w:r>
          </w:p>
        </w:tc>
        <w:tc>
          <w:tcPr>
            <w:tcW w:w="680" w:type="dxa"/>
            <w:vAlign w:val="bottom"/>
            <w:tcBorders>
              <w:bottom w:val="single" w:sz="8" w:color="DBDBDB"/>
            </w:tcBorders>
            <w:shd w:val="clear" w:color="auto" w:fill="DBDBDB"/>
          </w:tcPr>
          <w:p>
            <w:pPr>
              <w:ind w:left="200"/>
              <w:spacing w:after="0"/>
              <w:rPr>
                <w:sz w:val="20"/>
                <w:szCs w:val="20"/>
                <w:color w:val="auto"/>
              </w:rPr>
            </w:pPr>
            <w:r>
              <w:rPr>
                <w:rFonts w:ascii="Calibri" w:cs="Calibri" w:eastAsia="Calibri" w:hAnsi="Calibri"/>
                <w:sz w:val="14"/>
                <w:szCs w:val="14"/>
                <w:color w:val="auto"/>
              </w:rPr>
              <w:t>2021</w:t>
            </w:r>
          </w:p>
        </w:tc>
        <w:tc>
          <w:tcPr>
            <w:tcW w:w="940" w:type="dxa"/>
            <w:vAlign w:val="bottom"/>
            <w:tcBorders>
              <w:bottom w:val="single" w:sz="8" w:color="DBDBDB"/>
            </w:tcBorders>
            <w:shd w:val="clear" w:color="auto" w:fill="DBDBDB"/>
          </w:tcPr>
          <w:p>
            <w:pPr>
              <w:jc w:val="right"/>
              <w:ind w:right="88"/>
              <w:spacing w:after="0"/>
              <w:rPr>
                <w:sz w:val="20"/>
                <w:szCs w:val="20"/>
                <w:color w:val="auto"/>
              </w:rPr>
            </w:pPr>
            <w:r>
              <w:rPr>
                <w:rFonts w:ascii="Calibri" w:cs="Calibri" w:eastAsia="Calibri" w:hAnsi="Calibri"/>
                <w:sz w:val="14"/>
                <w:szCs w:val="14"/>
                <w:color w:val="auto"/>
              </w:rPr>
              <w:t>410,833</w:t>
            </w:r>
          </w:p>
        </w:tc>
        <w:tc>
          <w:tcPr>
            <w:tcW w:w="880" w:type="dxa"/>
            <w:vAlign w:val="bottom"/>
            <w:tcBorders>
              <w:bottom w:val="single" w:sz="8" w:color="DBDBDB"/>
            </w:tcBorders>
            <w:shd w:val="clear" w:color="auto" w:fill="DBDBDB"/>
          </w:tcPr>
          <w:p>
            <w:pPr>
              <w:jc w:val="right"/>
              <w:ind w:right="28"/>
              <w:spacing w:after="0"/>
              <w:rPr>
                <w:sz w:val="20"/>
                <w:szCs w:val="20"/>
                <w:color w:val="auto"/>
              </w:rPr>
            </w:pPr>
            <w:r>
              <w:rPr>
                <w:rFonts w:ascii="Calibri" w:cs="Calibri" w:eastAsia="Calibri" w:hAnsi="Calibri"/>
                <w:sz w:val="14"/>
                <w:szCs w:val="14"/>
                <w:color w:val="auto"/>
              </w:rPr>
              <w:t>128,941</w:t>
            </w:r>
            <w:r>
              <w:rPr>
                <w:rFonts w:ascii="Calibri" w:cs="Calibri" w:eastAsia="Calibri" w:hAnsi="Calibri"/>
                <w:sz w:val="18"/>
                <w:szCs w:val="18"/>
                <w:color w:val="auto"/>
                <w:vertAlign w:val="superscript"/>
              </w:rPr>
              <w:t>(7)</w:t>
            </w:r>
          </w:p>
        </w:tc>
        <w:tc>
          <w:tcPr>
            <w:tcW w:w="1100" w:type="dxa"/>
            <w:vAlign w:val="bottom"/>
            <w:tcBorders>
              <w:bottom w:val="single" w:sz="8" w:color="DBDBDB"/>
            </w:tcBorders>
            <w:shd w:val="clear" w:color="auto" w:fill="DBDBDB"/>
          </w:tcPr>
          <w:p>
            <w:pPr>
              <w:jc w:val="right"/>
              <w:ind w:right="28"/>
              <w:spacing w:after="0"/>
              <w:rPr>
                <w:sz w:val="20"/>
                <w:szCs w:val="20"/>
                <w:color w:val="auto"/>
              </w:rPr>
            </w:pPr>
            <w:r>
              <w:rPr>
                <w:rFonts w:ascii="Calibri" w:cs="Calibri" w:eastAsia="Calibri" w:hAnsi="Calibri"/>
                <w:sz w:val="14"/>
                <w:szCs w:val="14"/>
                <w:color w:val="auto"/>
              </w:rPr>
              <w:t>5,347,251</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7,619,789</w:t>
            </w:r>
          </w:p>
        </w:tc>
        <w:tc>
          <w:tcPr>
            <w:tcW w:w="138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267,555</w:t>
            </w:r>
          </w:p>
        </w:tc>
        <w:tc>
          <w:tcPr>
            <w:tcW w:w="1480" w:type="dxa"/>
            <w:vAlign w:val="bottom"/>
            <w:tcBorders>
              <w:bottom w:val="single" w:sz="8" w:color="DBDBDB"/>
            </w:tcBorders>
            <w:shd w:val="clear" w:color="auto" w:fill="DBDBDB"/>
          </w:tcPr>
          <w:p>
            <w:pPr>
              <w:jc w:val="right"/>
              <w:ind w:right="248"/>
              <w:spacing w:after="0"/>
              <w:rPr>
                <w:sz w:val="20"/>
                <w:szCs w:val="20"/>
                <w:color w:val="auto"/>
              </w:rPr>
            </w:pPr>
            <w:r>
              <w:rPr>
                <w:rFonts w:ascii="Calibri" w:cs="Calibri" w:eastAsia="Calibri" w:hAnsi="Calibri"/>
                <w:sz w:val="14"/>
                <w:szCs w:val="14"/>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13,774,369</w:t>
            </w: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340" w:hanging="332"/>
        <w:spacing w:after="0" w:line="246" w:lineRule="auto"/>
        <w:tabs>
          <w:tab w:leader="none" w:pos="338"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The amounts reported represent the aggregate grant date fair value of RSU awards and optons granted to the named executve ofcers during the fscal years ended June 30, 2022, 2021 and 2020, calculated in accordance with FASB ASC Topic 718. The assumptons used in calculatng the grant date fair value of the awards reported in this column are set forth in the notes to our consolidated fnancial statements included in our Annual Report on Form 10-K for fscal 2022. The amounts reported in this column refect the accountng cost for these awards and do not correspond to the actual economic value that may be received by the named executve ofcer upon the sale of any of the underlying shares of Class A common stock.</w:t>
      </w:r>
    </w:p>
    <w:p>
      <w:pPr>
        <w:spacing w:after="0" w:line="28"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For fscal 2022, the performance period for the cash incentve plan was July 1, 2021 through June 30, 2022. For fscal 2021, the performance period for the cash incentve plan was January 1, 2021 through June 30, 2021.</w:t>
      </w:r>
    </w:p>
    <w:p>
      <w:pPr>
        <w:spacing w:after="0" w:line="42" w:lineRule="exact"/>
        <w:rPr>
          <w:rFonts w:ascii="Calibri" w:cs="Calibri" w:eastAsia="Calibri" w:hAnsi="Calibri"/>
          <w:sz w:val="14"/>
          <w:szCs w:val="14"/>
          <w:color w:val="auto"/>
        </w:rPr>
      </w:pPr>
    </w:p>
    <w:p>
      <w:pPr>
        <w:jc w:val="both"/>
        <w:ind w:left="340" w:hanging="332"/>
        <w:spacing w:after="0" w:line="237" w:lineRule="auto"/>
        <w:tabs>
          <w:tab w:leader="none" w:pos="338"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The fscal 2022 amount reported includes $448,084 in personal security services and a $1,059 product testng stpend provided to Mr. Levchin. The fscal 2021 amount reported includes $143,985 in personal security services and a $1,150 product testng stpend provided to Mr. Levchin. Although reported in this column as compensaton paid to Mr. Levchin, the Company considers the cost of the personal security services to be a business expense and not a personal beneft to Mr. Levchin.</w:t>
      </w:r>
    </w:p>
    <w:p>
      <w:pPr>
        <w:spacing w:after="0" w:line="46" w:lineRule="exact"/>
        <w:rPr>
          <w:rFonts w:ascii="Calibri" w:cs="Calibri" w:eastAsia="Calibri" w:hAnsi="Calibri"/>
          <w:sz w:val="14"/>
          <w:szCs w:val="14"/>
          <w:color w:val="auto"/>
        </w:rPr>
      </w:pPr>
    </w:p>
    <w:p>
      <w:pPr>
        <w:ind w:left="340" w:hanging="332"/>
        <w:spacing w:after="0"/>
        <w:tabs>
          <w:tab w:leader="none" w:pos="34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The fscal 2020 bonus amount reported for Mr. Linford represents a $45,000 relocaton bonus.</w:t>
      </w:r>
    </w:p>
    <w:p>
      <w:pPr>
        <w:spacing w:after="0" w:line="31" w:lineRule="exact"/>
        <w:rPr>
          <w:rFonts w:ascii="Calibri" w:cs="Calibri" w:eastAsia="Calibri" w:hAnsi="Calibri"/>
          <w:sz w:val="14"/>
          <w:szCs w:val="14"/>
          <w:color w:val="auto"/>
        </w:rPr>
      </w:pPr>
    </w:p>
    <w:p>
      <w:pPr>
        <w:ind w:left="340" w:hanging="332"/>
        <w:spacing w:after="0"/>
        <w:tabs>
          <w:tab w:leader="none" w:pos="34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Ms. Adkins was not a named executve ofcer prior to fscal 2022.</w:t>
      </w:r>
    </w:p>
    <w:p>
      <w:pPr>
        <w:spacing w:after="0" w:line="32" w:lineRule="exact"/>
        <w:rPr>
          <w:rFonts w:ascii="Calibri" w:cs="Calibri" w:eastAsia="Calibri" w:hAnsi="Calibri"/>
          <w:sz w:val="14"/>
          <w:szCs w:val="14"/>
          <w:color w:val="auto"/>
        </w:rPr>
      </w:pPr>
    </w:p>
    <w:p>
      <w:pPr>
        <w:jc w:val="both"/>
        <w:ind w:left="340" w:hanging="332"/>
        <w:spacing w:after="0" w:line="246" w:lineRule="auto"/>
        <w:tabs>
          <w:tab w:leader="none" w:pos="338"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Ms. Martncevic was not a named executve ofcer prior to fscal 2021. Ms. Martncevic joined the Company as Chief Commercial Ofcer in April 2019 and resigned from the Company efectve June 30, 2022. Amounts reported for Ms. Martncevic in the Stock Awards and Opton Awards columns represent the incremental value associated with the acceleraton of vestng of certain RSU awards and optons held by Ms. Martncevic pursuant to the terms of her Transiton Agreement. Amount reported in the All Other Compensaton column represents one-half of Ms. Martncevic’s base salary of $475,000 payable pursuant to the terms of her Transiton Agreement. See “</w:t>
      </w:r>
      <w:r>
        <w:rPr>
          <w:rFonts w:ascii="Calibri" w:cs="Calibri" w:eastAsia="Calibri" w:hAnsi="Calibri"/>
          <w:sz w:val="14"/>
          <w:szCs w:val="14"/>
          <w:i w:val="1"/>
          <w:iCs w:val="1"/>
          <w:color w:val="auto"/>
        </w:rPr>
        <w:t>—Compensaton Discussion and Analysis—Compensaton Elements--Post-Employment Compensaton—Transiton Agreement with Silvija Martncevic</w:t>
      </w:r>
      <w:r>
        <w:rPr>
          <w:rFonts w:ascii="Calibri" w:cs="Calibri" w:eastAsia="Calibri" w:hAnsi="Calibri"/>
          <w:sz w:val="14"/>
          <w:szCs w:val="14"/>
          <w:color w:val="auto"/>
        </w:rPr>
        <w:t>” for more detail.</w:t>
      </w:r>
    </w:p>
    <w:p>
      <w:pPr>
        <w:spacing w:after="0" w:line="28"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The fscal 2021 bonus amount reported for Ms. Martncevic represents amounts earned during fscal 2021 pursuant to her performance bonus plan that was in efect during the frst half of fscal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ectPr>
          <w:pgSz w:w="11900" w:h="16838" w:orient="portrait"/>
          <w:cols w:equalWidth="0" w:num="1">
            <w:col w:w="11240"/>
          </w:cols>
          <w:pgMar w:left="320" w:top="1395" w:right="339" w:bottom="1440" w:gutter="0" w:footer="0" w:header="0"/>
        </w:sectPr>
      </w:pPr>
    </w:p>
    <w:bookmarkStart w:id="41" w:name="page42"/>
    <w:bookmarkEnd w:id="41"/>
    <w:p>
      <w:pPr>
        <w:ind w:left="180"/>
        <w:spacing w:after="0"/>
        <w:rPr>
          <w:sz w:val="20"/>
          <w:szCs w:val="20"/>
          <w:color w:val="auto"/>
        </w:rPr>
      </w:pPr>
      <w:r>
        <w:rPr>
          <w:rFonts w:ascii="Calibri" w:cs="Calibri" w:eastAsia="Calibri" w:hAnsi="Calibri"/>
          <w:sz w:val="22"/>
          <w:szCs w:val="22"/>
          <w:b w:val="1"/>
          <w:bCs w:val="1"/>
          <w:color w:val="auto"/>
        </w:rPr>
        <w:t>Fiscal 2022 Grants of Plan-Based Awards Table</w:t>
      </w:r>
    </w:p>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provides informaton concerning each grant of an award made during fscal 2022 to our named executve ofcers under any incentve or equity compensaton plan. This informaton supplements the informaton about these awards set forth in the Fiscal 2022 Summary Compensaton Table.</w:t>
      </w:r>
    </w:p>
    <w:p>
      <w:pPr>
        <w:sectPr>
          <w:pgSz w:w="11900" w:h="16838" w:orient="portrait"/>
          <w:cols w:equalWidth="0" w:num="1">
            <w:col w:w="11240"/>
          </w:cols>
          <w:pgMar w:left="320" w:top="1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40" w:type="dxa"/>
            <w:vAlign w:val="bottom"/>
            <w:gridSpan w:val="3"/>
          </w:tcPr>
          <w:p>
            <w:pPr>
              <w:jc w:val="center"/>
              <w:spacing w:after="0"/>
              <w:rPr>
                <w:sz w:val="20"/>
                <w:szCs w:val="20"/>
                <w:color w:val="auto"/>
              </w:rPr>
            </w:pPr>
            <w:r>
              <w:rPr>
                <w:rFonts w:ascii="Calibri" w:cs="Calibri" w:eastAsia="Calibri" w:hAnsi="Calibri"/>
                <w:sz w:val="13"/>
                <w:szCs w:val="13"/>
                <w:b w:val="1"/>
                <w:bCs w:val="1"/>
                <w:color w:val="auto"/>
              </w:rPr>
              <w:t>Estmated future payouts under non-</w:t>
            </w:r>
          </w:p>
        </w:tc>
        <w:tc>
          <w:tcPr>
            <w:tcW w:w="2740" w:type="dxa"/>
            <w:vAlign w:val="bottom"/>
            <w:gridSpan w:val="3"/>
          </w:tcPr>
          <w:p>
            <w:pPr>
              <w:jc w:val="center"/>
              <w:spacing w:after="0"/>
              <w:rPr>
                <w:sz w:val="20"/>
                <w:szCs w:val="20"/>
                <w:color w:val="auto"/>
              </w:rPr>
            </w:pPr>
            <w:r>
              <w:rPr>
                <w:rFonts w:ascii="Calibri" w:cs="Calibri" w:eastAsia="Calibri" w:hAnsi="Calibri"/>
                <w:sz w:val="13"/>
                <w:szCs w:val="13"/>
                <w:b w:val="1"/>
                <w:bCs w:val="1"/>
                <w:color w:val="auto"/>
              </w:rPr>
              <w:t>Estmated future payouts under equity</w:t>
            </w:r>
          </w:p>
        </w:tc>
      </w:tr>
      <w:tr>
        <w:trPr>
          <w:trHeight w:val="210"/>
        </w:trPr>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Calibri" w:cs="Calibri" w:eastAsia="Calibri" w:hAnsi="Calibri"/>
                <w:sz w:val="13"/>
                <w:szCs w:val="13"/>
                <w:b w:val="1"/>
                <w:bCs w:val="1"/>
                <w:color w:val="auto"/>
              </w:rPr>
              <w:t>equity incentve plan awards</w:t>
            </w:r>
            <w:r>
              <w:rPr>
                <w:rFonts w:ascii="Calibri" w:cs="Calibri" w:eastAsia="Calibri" w:hAnsi="Calibri"/>
                <w:sz w:val="17"/>
                <w:szCs w:val="17"/>
                <w:b w:val="1"/>
                <w:bCs w:val="1"/>
                <w:color w:val="auto"/>
                <w:vertAlign w:val="superscript"/>
              </w:rPr>
              <w:t>(1)</w:t>
            </w: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
              <w:spacing w:after="0"/>
              <w:rPr>
                <w:sz w:val="20"/>
                <w:szCs w:val="20"/>
                <w:color w:val="auto"/>
              </w:rPr>
            </w:pPr>
            <w:r>
              <w:rPr>
                <w:rFonts w:ascii="Calibri" w:cs="Calibri" w:eastAsia="Calibri" w:hAnsi="Calibri"/>
                <w:sz w:val="13"/>
                <w:szCs w:val="13"/>
                <w:b w:val="1"/>
                <w:bCs w:val="1"/>
                <w:color w:val="auto"/>
              </w:rPr>
              <w:t>incentve plan awards</w:t>
            </w:r>
          </w:p>
        </w:tc>
        <w:tc>
          <w:tcPr>
            <w:tcW w:w="680" w:type="dxa"/>
            <w:vAlign w:val="bottom"/>
            <w:tcBorders>
              <w:bottom w:val="single" w:sz="8" w:color="auto"/>
            </w:tcBorders>
          </w:tcPr>
          <w:p>
            <w:pPr>
              <w:spacing w:after="0"/>
              <w:rPr>
                <w:sz w:val="18"/>
                <w:szCs w:val="18"/>
                <w:color w:val="auto"/>
              </w:rPr>
            </w:pPr>
          </w:p>
        </w:tc>
      </w:tr>
      <w:tr>
        <w:trPr>
          <w:trHeight w:val="162"/>
        </w:trPr>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Calibri" w:cs="Calibri" w:eastAsia="Calibri" w:hAnsi="Calibri"/>
                <w:sz w:val="13"/>
                <w:szCs w:val="13"/>
                <w:b w:val="1"/>
                <w:bCs w:val="1"/>
                <w:color w:val="auto"/>
              </w:rPr>
              <w:t>Approval</w:t>
            </w:r>
          </w:p>
        </w:tc>
        <w:tc>
          <w:tcPr>
            <w:tcW w:w="880" w:type="dxa"/>
            <w:vAlign w:val="bottom"/>
          </w:tcPr>
          <w:p>
            <w:pPr>
              <w:jc w:val="center"/>
              <w:spacing w:after="0"/>
              <w:rPr>
                <w:sz w:val="20"/>
                <w:szCs w:val="20"/>
                <w:color w:val="auto"/>
              </w:rPr>
            </w:pPr>
            <w:r>
              <w:rPr>
                <w:rFonts w:ascii="Calibri" w:cs="Calibri" w:eastAsia="Calibri" w:hAnsi="Calibri"/>
                <w:sz w:val="13"/>
                <w:szCs w:val="13"/>
                <w:b w:val="1"/>
                <w:bCs w:val="1"/>
                <w:color w:val="auto"/>
              </w:rPr>
              <w:t>Threshold</w:t>
            </w:r>
          </w:p>
        </w:tc>
        <w:tc>
          <w:tcPr>
            <w:tcW w:w="74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Target</w:t>
            </w:r>
          </w:p>
        </w:tc>
        <w:tc>
          <w:tcPr>
            <w:tcW w:w="720" w:type="dxa"/>
            <w:vAlign w:val="bottom"/>
          </w:tcPr>
          <w:p>
            <w:pPr>
              <w:jc w:val="center"/>
              <w:spacing w:after="0"/>
              <w:rPr>
                <w:sz w:val="20"/>
                <w:szCs w:val="20"/>
                <w:color w:val="auto"/>
              </w:rPr>
            </w:pPr>
            <w:r>
              <w:rPr>
                <w:rFonts w:ascii="Calibri" w:cs="Calibri" w:eastAsia="Calibri" w:hAnsi="Calibri"/>
                <w:sz w:val="13"/>
                <w:szCs w:val="13"/>
                <w:b w:val="1"/>
                <w:bCs w:val="1"/>
                <w:color w:val="auto"/>
              </w:rPr>
              <w:t>Max</w:t>
            </w:r>
          </w:p>
        </w:tc>
        <w:tc>
          <w:tcPr>
            <w:tcW w:w="720" w:type="dxa"/>
            <w:vAlign w:val="bottom"/>
          </w:tcPr>
          <w:p>
            <w:pPr>
              <w:jc w:val="center"/>
              <w:ind w:left="53"/>
              <w:spacing w:after="0"/>
              <w:rPr>
                <w:sz w:val="20"/>
                <w:szCs w:val="20"/>
                <w:color w:val="auto"/>
              </w:rPr>
            </w:pPr>
            <w:r>
              <w:rPr>
                <w:rFonts w:ascii="Calibri" w:cs="Calibri" w:eastAsia="Calibri" w:hAnsi="Calibri"/>
                <w:sz w:val="13"/>
                <w:szCs w:val="13"/>
                <w:b w:val="1"/>
                <w:bCs w:val="1"/>
                <w:color w:val="auto"/>
              </w:rPr>
              <w:t>Threshold</w:t>
            </w:r>
          </w:p>
        </w:tc>
        <w:tc>
          <w:tcPr>
            <w:tcW w:w="1340" w:type="dxa"/>
            <w:vAlign w:val="bottom"/>
          </w:tcPr>
          <w:p>
            <w:pPr>
              <w:jc w:val="center"/>
              <w:ind w:right="73"/>
              <w:spacing w:after="0"/>
              <w:rPr>
                <w:sz w:val="20"/>
                <w:szCs w:val="20"/>
                <w:color w:val="auto"/>
              </w:rPr>
            </w:pPr>
            <w:r>
              <w:rPr>
                <w:rFonts w:ascii="Calibri" w:cs="Calibri" w:eastAsia="Calibri" w:hAnsi="Calibri"/>
                <w:sz w:val="13"/>
                <w:szCs w:val="13"/>
                <w:b w:val="1"/>
                <w:bCs w:val="1"/>
                <w:color w:val="auto"/>
              </w:rPr>
              <w:t>Target</w:t>
            </w:r>
          </w:p>
        </w:tc>
        <w:tc>
          <w:tcPr>
            <w:tcW w:w="680" w:type="dxa"/>
            <w:vAlign w:val="bottom"/>
          </w:tcPr>
          <w:p>
            <w:pPr>
              <w:jc w:val="center"/>
              <w:ind w:right="213"/>
              <w:spacing w:after="0"/>
              <w:rPr>
                <w:sz w:val="20"/>
                <w:szCs w:val="20"/>
                <w:color w:val="auto"/>
              </w:rPr>
            </w:pPr>
            <w:r>
              <w:rPr>
                <w:rFonts w:ascii="Calibri" w:cs="Calibri" w:eastAsia="Calibri" w:hAnsi="Calibri"/>
                <w:sz w:val="13"/>
                <w:szCs w:val="13"/>
                <w:b w:val="1"/>
                <w:bCs w:val="1"/>
                <w:color w:val="auto"/>
              </w:rPr>
              <w:t>Max</w:t>
            </w:r>
          </w:p>
        </w:tc>
      </w:tr>
      <w:tr>
        <w:trPr>
          <w:trHeight w:val="162"/>
        </w:trPr>
        <w:tc>
          <w:tcPr>
            <w:tcW w:w="700" w:type="dxa"/>
            <w:vAlign w:val="bottom"/>
          </w:tcPr>
          <w:p>
            <w:pPr>
              <w:spacing w:after="0"/>
              <w:rPr>
                <w:sz w:val="20"/>
                <w:szCs w:val="20"/>
                <w:color w:val="auto"/>
              </w:rPr>
            </w:pPr>
            <w:r>
              <w:rPr>
                <w:rFonts w:ascii="Calibri" w:cs="Calibri" w:eastAsia="Calibri" w:hAnsi="Calibri"/>
                <w:sz w:val="13"/>
                <w:szCs w:val="13"/>
                <w:b w:val="1"/>
                <w:bCs w:val="1"/>
                <w:color w:val="auto"/>
              </w:rPr>
              <w:t>Name</w:t>
            </w:r>
          </w:p>
        </w:tc>
        <w:tc>
          <w:tcPr>
            <w:tcW w:w="1100" w:type="dxa"/>
            <w:vAlign w:val="bottom"/>
          </w:tcPr>
          <w:p>
            <w:pPr>
              <w:ind w:left="360"/>
              <w:spacing w:after="0"/>
              <w:rPr>
                <w:sz w:val="20"/>
                <w:szCs w:val="20"/>
                <w:color w:val="auto"/>
              </w:rPr>
            </w:pPr>
            <w:r>
              <w:rPr>
                <w:rFonts w:ascii="Calibri" w:cs="Calibri" w:eastAsia="Calibri" w:hAnsi="Calibri"/>
                <w:sz w:val="13"/>
                <w:szCs w:val="13"/>
                <w:b w:val="1"/>
                <w:bCs w:val="1"/>
                <w:color w:val="auto"/>
              </w:rPr>
              <w:t>Grant Date</w:t>
            </w:r>
          </w:p>
        </w:tc>
        <w:tc>
          <w:tcPr>
            <w:tcW w:w="780" w:type="dxa"/>
            <w:vAlign w:val="bottom"/>
          </w:tcPr>
          <w:p>
            <w:pPr>
              <w:jc w:val="center"/>
              <w:spacing w:after="0"/>
              <w:rPr>
                <w:sz w:val="20"/>
                <w:szCs w:val="20"/>
                <w:color w:val="auto"/>
              </w:rPr>
            </w:pPr>
            <w:r>
              <w:rPr>
                <w:rFonts w:ascii="Calibri" w:cs="Calibri" w:eastAsia="Calibri" w:hAnsi="Calibri"/>
                <w:sz w:val="13"/>
                <w:szCs w:val="13"/>
                <w:b w:val="1"/>
                <w:bCs w:val="1"/>
                <w:color w:val="auto"/>
              </w:rPr>
              <w:t>Date</w:t>
            </w:r>
          </w:p>
        </w:tc>
        <w:tc>
          <w:tcPr>
            <w:tcW w:w="880" w:type="dxa"/>
            <w:vAlign w:val="bottom"/>
          </w:tcPr>
          <w:p>
            <w:pPr>
              <w:jc w:val="right"/>
              <w:ind w:right="313"/>
              <w:spacing w:after="0"/>
              <w:rPr>
                <w:sz w:val="20"/>
                <w:szCs w:val="20"/>
                <w:color w:val="auto"/>
              </w:rPr>
            </w:pPr>
            <w:r>
              <w:rPr>
                <w:rFonts w:ascii="Calibri" w:cs="Calibri" w:eastAsia="Calibri" w:hAnsi="Calibri"/>
                <w:sz w:val="13"/>
                <w:szCs w:val="13"/>
                <w:b w:val="1"/>
                <w:bCs w:val="1"/>
                <w:color w:val="auto"/>
              </w:rPr>
              <w:t>($)</w:t>
            </w:r>
          </w:p>
        </w:tc>
        <w:tc>
          <w:tcPr>
            <w:tcW w:w="740" w:type="dxa"/>
            <w:vAlign w:val="bottom"/>
          </w:tcPr>
          <w:p>
            <w:pPr>
              <w:jc w:val="right"/>
              <w:ind w:right="253"/>
              <w:spacing w:after="0"/>
              <w:rPr>
                <w:sz w:val="20"/>
                <w:szCs w:val="20"/>
                <w:color w:val="auto"/>
              </w:rPr>
            </w:pPr>
            <w:r>
              <w:rPr>
                <w:rFonts w:ascii="Calibri" w:cs="Calibri" w:eastAsia="Calibri" w:hAnsi="Calibri"/>
                <w:sz w:val="13"/>
                <w:szCs w:val="13"/>
                <w:b w:val="1"/>
                <w:bCs w:val="1"/>
                <w:color w:val="auto"/>
              </w:rPr>
              <w:t>($)</w:t>
            </w:r>
          </w:p>
        </w:tc>
        <w:tc>
          <w:tcPr>
            <w:tcW w:w="720" w:type="dxa"/>
            <w:vAlign w:val="bottom"/>
          </w:tcPr>
          <w:p>
            <w:pPr>
              <w:jc w:val="right"/>
              <w:ind w:right="233"/>
              <w:spacing w:after="0"/>
              <w:rPr>
                <w:sz w:val="20"/>
                <w:szCs w:val="20"/>
                <w:color w:val="auto"/>
              </w:rPr>
            </w:pPr>
            <w:r>
              <w:rPr>
                <w:rFonts w:ascii="Calibri" w:cs="Calibri" w:eastAsia="Calibri" w:hAnsi="Calibri"/>
                <w:sz w:val="13"/>
                <w:szCs w:val="13"/>
                <w:b w:val="1"/>
                <w:bCs w:val="1"/>
                <w:color w:val="auto"/>
              </w:rPr>
              <w:t>($)</w:t>
            </w:r>
          </w:p>
        </w:tc>
        <w:tc>
          <w:tcPr>
            <w:tcW w:w="720" w:type="dxa"/>
            <w:vAlign w:val="bottom"/>
          </w:tcPr>
          <w:p>
            <w:pPr>
              <w:jc w:val="right"/>
              <w:ind w:right="173"/>
              <w:spacing w:after="0"/>
              <w:rPr>
                <w:sz w:val="20"/>
                <w:szCs w:val="20"/>
                <w:color w:val="auto"/>
              </w:rPr>
            </w:pPr>
            <w:r>
              <w:rPr>
                <w:rFonts w:ascii="Calibri" w:cs="Calibri" w:eastAsia="Calibri" w:hAnsi="Calibri"/>
                <w:sz w:val="13"/>
                <w:szCs w:val="13"/>
                <w:b w:val="1"/>
                <w:bCs w:val="1"/>
                <w:color w:val="auto"/>
              </w:rPr>
              <w:t>(#)</w:t>
            </w:r>
          </w:p>
        </w:tc>
        <w:tc>
          <w:tcPr>
            <w:tcW w:w="1340" w:type="dxa"/>
            <w:vAlign w:val="bottom"/>
          </w:tcPr>
          <w:p>
            <w:pPr>
              <w:jc w:val="right"/>
              <w:ind w:right="593"/>
              <w:spacing w:after="0"/>
              <w:rPr>
                <w:sz w:val="20"/>
                <w:szCs w:val="20"/>
                <w:color w:val="auto"/>
              </w:rPr>
            </w:pPr>
            <w:r>
              <w:rPr>
                <w:rFonts w:ascii="Calibri" w:cs="Calibri" w:eastAsia="Calibri" w:hAnsi="Calibri"/>
                <w:sz w:val="13"/>
                <w:szCs w:val="13"/>
                <w:b w:val="1"/>
                <w:bCs w:val="1"/>
                <w:color w:val="auto"/>
              </w:rPr>
              <w:t>(#)</w:t>
            </w:r>
          </w:p>
        </w:tc>
        <w:tc>
          <w:tcPr>
            <w:tcW w:w="680" w:type="dxa"/>
            <w:vAlign w:val="bottom"/>
          </w:tcPr>
          <w:p>
            <w:pPr>
              <w:jc w:val="right"/>
              <w:ind w:right="333"/>
              <w:spacing w:after="0"/>
              <w:rPr>
                <w:sz w:val="20"/>
                <w:szCs w:val="20"/>
                <w:color w:val="auto"/>
              </w:rPr>
            </w:pPr>
            <w:r>
              <w:rPr>
                <w:rFonts w:ascii="Calibri" w:cs="Calibri" w:eastAsia="Calibri" w:hAnsi="Calibri"/>
                <w:sz w:val="13"/>
                <w:szCs w:val="13"/>
                <w:b w:val="1"/>
                <w:bCs w:val="1"/>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60" w:type="dxa"/>
            <w:vAlign w:val="bottom"/>
          </w:tcPr>
          <w:p>
            <w:pPr>
              <w:jc w:val="center"/>
              <w:spacing w:after="0"/>
              <w:rPr>
                <w:sz w:val="20"/>
                <w:szCs w:val="20"/>
                <w:color w:val="auto"/>
              </w:rPr>
            </w:pPr>
            <w:r>
              <w:rPr>
                <w:rFonts w:ascii="Calibri" w:cs="Calibri" w:eastAsia="Calibri" w:hAnsi="Calibri"/>
                <w:sz w:val="13"/>
                <w:szCs w:val="13"/>
                <w:b w:val="1"/>
                <w:bCs w:val="1"/>
                <w:color w:val="auto"/>
              </w:rPr>
              <w:t>All Other</w:t>
            </w: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660" w:type="dxa"/>
            <w:vAlign w:val="bottom"/>
          </w:tcPr>
          <w:p>
            <w:pPr>
              <w:jc w:val="center"/>
              <w:spacing w:after="0"/>
              <w:rPr>
                <w:sz w:val="20"/>
                <w:szCs w:val="20"/>
                <w:color w:val="auto"/>
              </w:rPr>
            </w:pPr>
            <w:r>
              <w:rPr>
                <w:rFonts w:ascii="Calibri" w:cs="Calibri" w:eastAsia="Calibri" w:hAnsi="Calibri"/>
                <w:sz w:val="13"/>
                <w:szCs w:val="13"/>
                <w:b w:val="1"/>
                <w:bCs w:val="1"/>
                <w:color w:val="auto"/>
              </w:rPr>
              <w:t>Stock</w:t>
            </w: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All Other</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660" w:type="dxa"/>
            <w:vAlign w:val="bottom"/>
          </w:tcPr>
          <w:p>
            <w:pPr>
              <w:jc w:val="center"/>
              <w:spacing w:after="0"/>
              <w:rPr>
                <w:sz w:val="20"/>
                <w:szCs w:val="20"/>
                <w:color w:val="auto"/>
              </w:rPr>
            </w:pPr>
            <w:r>
              <w:rPr>
                <w:rFonts w:ascii="Calibri" w:cs="Calibri" w:eastAsia="Calibri" w:hAnsi="Calibri"/>
                <w:sz w:val="13"/>
                <w:szCs w:val="13"/>
                <w:b w:val="1"/>
                <w:bCs w:val="1"/>
                <w:color w:val="auto"/>
              </w:rPr>
              <w:t>Awards:</w:t>
            </w: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Opton Awards:</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660" w:type="dxa"/>
            <w:vAlign w:val="bottom"/>
          </w:tcPr>
          <w:p>
            <w:pPr>
              <w:jc w:val="center"/>
              <w:spacing w:after="0"/>
              <w:rPr>
                <w:sz w:val="20"/>
                <w:szCs w:val="20"/>
                <w:color w:val="auto"/>
              </w:rPr>
            </w:pPr>
            <w:r>
              <w:rPr>
                <w:rFonts w:ascii="Calibri" w:cs="Calibri" w:eastAsia="Calibri" w:hAnsi="Calibri"/>
                <w:sz w:val="13"/>
                <w:szCs w:val="13"/>
                <w:b w:val="1"/>
                <w:bCs w:val="1"/>
                <w:color w:val="auto"/>
              </w:rPr>
              <w:t>Number of</w:t>
            </w: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Number of</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rPr>
              <w:t>Exercise or</w:t>
            </w:r>
          </w:p>
        </w:tc>
        <w:tc>
          <w:tcPr>
            <w:tcW w:w="920" w:type="dxa"/>
            <w:vAlign w:val="bottom"/>
          </w:tcPr>
          <w:p>
            <w:pPr>
              <w:jc w:val="center"/>
              <w:ind w:left="19"/>
              <w:spacing w:after="0"/>
              <w:rPr>
                <w:sz w:val="20"/>
                <w:szCs w:val="20"/>
                <w:color w:val="auto"/>
              </w:rPr>
            </w:pPr>
            <w:r>
              <w:rPr>
                <w:rFonts w:ascii="Calibri" w:cs="Calibri" w:eastAsia="Calibri" w:hAnsi="Calibri"/>
                <w:sz w:val="13"/>
                <w:szCs w:val="13"/>
                <w:b w:val="1"/>
                <w:bCs w:val="1"/>
                <w:color w:val="auto"/>
              </w:rPr>
              <w:t>Grant Date Fair</w:t>
            </w:r>
          </w:p>
        </w:tc>
      </w:tr>
      <w:tr>
        <w:trPr>
          <w:trHeight w:val="162"/>
        </w:trPr>
        <w:tc>
          <w:tcPr>
            <w:tcW w:w="660" w:type="dxa"/>
            <w:vAlign w:val="bottom"/>
          </w:tcPr>
          <w:p>
            <w:pPr>
              <w:jc w:val="center"/>
              <w:spacing w:after="0"/>
              <w:rPr>
                <w:sz w:val="20"/>
                <w:szCs w:val="20"/>
                <w:color w:val="auto"/>
              </w:rPr>
            </w:pPr>
            <w:r>
              <w:rPr>
                <w:rFonts w:ascii="Calibri" w:cs="Calibri" w:eastAsia="Calibri" w:hAnsi="Calibri"/>
                <w:sz w:val="13"/>
                <w:szCs w:val="13"/>
                <w:b w:val="1"/>
                <w:bCs w:val="1"/>
                <w:color w:val="auto"/>
              </w:rPr>
              <w:t>Shares of</w:t>
            </w:r>
          </w:p>
        </w:tc>
        <w:tc>
          <w:tcPr>
            <w:tcW w:w="960" w:type="dxa"/>
            <w:vAlign w:val="bottom"/>
          </w:tcPr>
          <w:p>
            <w:pPr>
              <w:jc w:val="center"/>
              <w:spacing w:after="0"/>
              <w:rPr>
                <w:sz w:val="20"/>
                <w:szCs w:val="20"/>
                <w:color w:val="auto"/>
              </w:rPr>
            </w:pPr>
            <w:r>
              <w:rPr>
                <w:rFonts w:ascii="Calibri" w:cs="Calibri" w:eastAsia="Calibri" w:hAnsi="Calibri"/>
                <w:sz w:val="13"/>
                <w:szCs w:val="13"/>
                <w:b w:val="1"/>
                <w:bCs w:val="1"/>
                <w:color w:val="auto"/>
              </w:rPr>
              <w:t>Securites</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rPr>
              <w:t>Base Price of</w:t>
            </w: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rPr>
              <w:t>Value of Stock</w:t>
            </w:r>
          </w:p>
        </w:tc>
      </w:tr>
      <w:tr>
        <w:trPr>
          <w:trHeight w:val="156"/>
        </w:trPr>
        <w:tc>
          <w:tcPr>
            <w:tcW w:w="660" w:type="dxa"/>
            <w:vAlign w:val="bottom"/>
          </w:tcPr>
          <w:p>
            <w:pPr>
              <w:jc w:val="center"/>
              <w:spacing w:after="0" w:line="157" w:lineRule="exact"/>
              <w:rPr>
                <w:sz w:val="20"/>
                <w:szCs w:val="20"/>
                <w:color w:val="auto"/>
              </w:rPr>
            </w:pPr>
            <w:r>
              <w:rPr>
                <w:rFonts w:ascii="Calibri" w:cs="Calibri" w:eastAsia="Calibri" w:hAnsi="Calibri"/>
                <w:sz w:val="13"/>
                <w:szCs w:val="13"/>
                <w:b w:val="1"/>
                <w:bCs w:val="1"/>
                <w:color w:val="auto"/>
              </w:rPr>
              <w:t>Stock or</w:t>
            </w:r>
          </w:p>
        </w:tc>
        <w:tc>
          <w:tcPr>
            <w:tcW w:w="960" w:type="dxa"/>
            <w:vAlign w:val="bottom"/>
          </w:tcPr>
          <w:p>
            <w:pPr>
              <w:jc w:val="center"/>
              <w:spacing w:after="0" w:line="157" w:lineRule="exact"/>
              <w:rPr>
                <w:sz w:val="20"/>
                <w:szCs w:val="20"/>
                <w:color w:val="auto"/>
              </w:rPr>
            </w:pPr>
            <w:r>
              <w:rPr>
                <w:rFonts w:ascii="Calibri" w:cs="Calibri" w:eastAsia="Calibri" w:hAnsi="Calibri"/>
                <w:sz w:val="13"/>
                <w:szCs w:val="13"/>
                <w:b w:val="1"/>
                <w:bCs w:val="1"/>
                <w:color w:val="auto"/>
              </w:rPr>
              <w:t>Underlying</w:t>
            </w:r>
          </w:p>
        </w:tc>
        <w:tc>
          <w:tcPr>
            <w:tcW w:w="840" w:type="dxa"/>
            <w:vAlign w:val="bottom"/>
          </w:tcPr>
          <w:p>
            <w:pPr>
              <w:jc w:val="center"/>
              <w:spacing w:after="0" w:line="157" w:lineRule="exact"/>
              <w:rPr>
                <w:sz w:val="20"/>
                <w:szCs w:val="20"/>
                <w:color w:val="auto"/>
              </w:rPr>
            </w:pPr>
            <w:r>
              <w:rPr>
                <w:rFonts w:ascii="Calibri" w:cs="Calibri" w:eastAsia="Calibri" w:hAnsi="Calibri"/>
                <w:sz w:val="13"/>
                <w:szCs w:val="13"/>
                <w:b w:val="1"/>
                <w:bCs w:val="1"/>
                <w:color w:val="auto"/>
              </w:rPr>
              <w:t>Opton</w:t>
            </w:r>
          </w:p>
        </w:tc>
        <w:tc>
          <w:tcPr>
            <w:tcW w:w="920" w:type="dxa"/>
            <w:vAlign w:val="bottom"/>
          </w:tcPr>
          <w:p>
            <w:pPr>
              <w:jc w:val="center"/>
              <w:spacing w:after="0" w:line="157" w:lineRule="exact"/>
              <w:rPr>
                <w:sz w:val="20"/>
                <w:szCs w:val="20"/>
                <w:color w:val="auto"/>
              </w:rPr>
            </w:pPr>
            <w:r>
              <w:rPr>
                <w:rFonts w:ascii="Calibri" w:cs="Calibri" w:eastAsia="Calibri" w:hAnsi="Calibri"/>
                <w:sz w:val="13"/>
                <w:szCs w:val="13"/>
                <w:b w:val="1"/>
                <w:bCs w:val="1"/>
                <w:color w:val="auto"/>
              </w:rPr>
              <w:t>Awards</w:t>
            </w:r>
          </w:p>
        </w:tc>
      </w:tr>
      <w:tr>
        <w:trPr>
          <w:trHeight w:val="217"/>
        </w:trPr>
        <w:tc>
          <w:tcPr>
            <w:tcW w:w="660" w:type="dxa"/>
            <w:vAlign w:val="bottom"/>
          </w:tcPr>
          <w:p>
            <w:pPr>
              <w:jc w:val="center"/>
              <w:spacing w:after="0" w:line="200" w:lineRule="exact"/>
              <w:rPr>
                <w:sz w:val="20"/>
                <w:szCs w:val="20"/>
                <w:color w:val="auto"/>
              </w:rPr>
            </w:pPr>
            <w:r>
              <w:rPr>
                <w:rFonts w:ascii="Calibri" w:cs="Calibri" w:eastAsia="Calibri" w:hAnsi="Calibri"/>
                <w:sz w:val="13"/>
                <w:szCs w:val="13"/>
                <w:b w:val="1"/>
                <w:bCs w:val="1"/>
                <w:color w:val="auto"/>
                <w:w w:val="98"/>
              </w:rPr>
              <w:t>Units (#)</w:t>
            </w:r>
            <w:r>
              <w:rPr>
                <w:rFonts w:ascii="Calibri" w:cs="Calibri" w:eastAsia="Calibri" w:hAnsi="Calibri"/>
                <w:sz w:val="17"/>
                <w:szCs w:val="17"/>
                <w:b w:val="1"/>
                <w:bCs w:val="1"/>
                <w:color w:val="auto"/>
                <w:w w:val="98"/>
                <w:vertAlign w:val="superscript"/>
              </w:rPr>
              <w:t>(2)</w:t>
            </w:r>
          </w:p>
        </w:tc>
        <w:tc>
          <w:tcPr>
            <w:tcW w:w="960" w:type="dxa"/>
            <w:vAlign w:val="bottom"/>
          </w:tcPr>
          <w:p>
            <w:pPr>
              <w:jc w:val="center"/>
              <w:spacing w:after="0" w:line="200" w:lineRule="exact"/>
              <w:rPr>
                <w:sz w:val="20"/>
                <w:szCs w:val="20"/>
                <w:color w:val="auto"/>
              </w:rPr>
            </w:pPr>
            <w:r>
              <w:rPr>
                <w:rFonts w:ascii="Calibri" w:cs="Calibri" w:eastAsia="Calibri" w:hAnsi="Calibri"/>
                <w:sz w:val="13"/>
                <w:szCs w:val="13"/>
                <w:b w:val="1"/>
                <w:bCs w:val="1"/>
                <w:color w:val="auto"/>
              </w:rPr>
              <w:t>Optons (#)</w:t>
            </w:r>
            <w:r>
              <w:rPr>
                <w:rFonts w:ascii="Calibri" w:cs="Calibri" w:eastAsia="Calibri" w:hAnsi="Calibri"/>
                <w:sz w:val="17"/>
                <w:szCs w:val="17"/>
                <w:b w:val="1"/>
                <w:bCs w:val="1"/>
                <w:color w:val="auto"/>
                <w:vertAlign w:val="superscript"/>
              </w:rPr>
              <w:t>(2)</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rPr>
              <w:t>Awards ($)</w:t>
            </w:r>
          </w:p>
        </w:tc>
        <w:tc>
          <w:tcPr>
            <w:tcW w:w="920" w:type="dxa"/>
            <w:vAlign w:val="bottom"/>
          </w:tcPr>
          <w:p>
            <w:pPr>
              <w:jc w:val="center"/>
              <w:spacing w:after="0" w:line="217" w:lineRule="exact"/>
              <w:rPr>
                <w:sz w:val="20"/>
                <w:szCs w:val="20"/>
                <w:color w:val="auto"/>
              </w:rPr>
            </w:pPr>
            <w:r>
              <w:rPr>
                <w:rFonts w:ascii="Calibri" w:cs="Calibri" w:eastAsia="Calibri" w:hAnsi="Calibri"/>
                <w:sz w:val="23"/>
                <w:szCs w:val="23"/>
                <w:b w:val="1"/>
                <w:bCs w:val="1"/>
                <w:color w:val="auto"/>
                <w:w w:val="98"/>
                <w:vertAlign w:val="subscript"/>
              </w:rPr>
              <w:t>($)</w:t>
            </w:r>
            <w:r>
              <w:rPr>
                <w:rFonts w:ascii="Calibri" w:cs="Calibri" w:eastAsia="Calibri" w:hAnsi="Calibri"/>
                <w:sz w:val="8"/>
                <w:szCs w:val="8"/>
                <w:b w:val="1"/>
                <w:bCs w:val="1"/>
                <w:color w:val="auto"/>
                <w:w w:val="98"/>
              </w:rPr>
              <w:t>(3)</w:t>
            </w:r>
          </w:p>
        </w:tc>
      </w:tr>
    </w:tbl>
    <w:p>
      <w:pPr>
        <w:spacing w:after="0" w:line="1" w:lineRule="exact"/>
        <w:rPr>
          <w:sz w:val="20"/>
          <w:szCs w:val="20"/>
          <w:color w:val="auto"/>
        </w:rPr>
      </w:pPr>
    </w:p>
    <w:p>
      <w:pPr>
        <w:sectPr>
          <w:pgSz w:w="11900" w:h="16838" w:orient="portrait"/>
          <w:cols w:equalWidth="0" w:num="2">
            <w:col w:w="7680" w:space="60"/>
            <w:col w:w="3500"/>
          </w:cols>
          <w:pgMar w:left="320" w:top="139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980" w:type="dxa"/>
            <w:vAlign w:val="bottom"/>
            <w:tcBorders>
              <w:top w:val="single" w:sz="8" w:color="auto"/>
              <w:bottom w:val="single" w:sz="8" w:color="DBDBDB"/>
            </w:tcBorders>
            <w:shd w:val="clear" w:color="auto" w:fill="DBDBDB"/>
          </w:tcPr>
          <w:p>
            <w:pPr>
              <w:ind w:left="20"/>
              <w:spacing w:after="0"/>
              <w:rPr>
                <w:sz w:val="20"/>
                <w:szCs w:val="20"/>
                <w:color w:val="auto"/>
              </w:rPr>
            </w:pPr>
            <w:r>
              <w:rPr>
                <w:rFonts w:ascii="Calibri" w:cs="Calibri" w:eastAsia="Calibri" w:hAnsi="Calibri"/>
                <w:sz w:val="14"/>
                <w:szCs w:val="14"/>
                <w:color w:val="auto"/>
              </w:rPr>
              <w:t>Max Levchin</w:t>
            </w:r>
          </w:p>
        </w:tc>
        <w:tc>
          <w:tcPr>
            <w:tcW w:w="80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rPr>
              <w:t>—</w:t>
            </w:r>
          </w:p>
        </w:tc>
        <w:tc>
          <w:tcPr>
            <w:tcW w:w="82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rPr>
              <w:t>—</w:t>
            </w:r>
          </w:p>
        </w:tc>
        <w:tc>
          <w:tcPr>
            <w:tcW w:w="84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tcBorders>
              <w:top w:val="single" w:sz="8" w:color="auto"/>
              <w:bottom w:val="single" w:sz="8" w:color="DBDBDB"/>
            </w:tcBorders>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tcBorders>
              <w:top w:val="single" w:sz="8" w:color="auto"/>
              <w:bottom w:val="single" w:sz="8" w:color="DBDBDB"/>
            </w:tcBorders>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auto"/>
              <w:bottom w:val="single" w:sz="8" w:color="DBDBDB"/>
            </w:tcBorders>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tcBorders>
              <w:top w:val="single" w:sz="8" w:color="auto"/>
              <w:bottom w:val="single" w:sz="8" w:color="DBDBDB"/>
            </w:tcBorders>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Calibri" w:cs="Calibri" w:eastAsia="Calibri" w:hAnsi="Calibri"/>
                <w:sz w:val="14"/>
                <w:szCs w:val="14"/>
                <w:color w:val="auto"/>
              </w:rPr>
              <w:t>Michael Linford</w:t>
            </w:r>
          </w:p>
        </w:tc>
        <w:tc>
          <w:tcPr>
            <w:tcW w:w="800" w:type="dxa"/>
            <w:vAlign w:val="bottom"/>
          </w:tcPr>
          <w:p>
            <w:pPr>
              <w:jc w:val="center"/>
              <w:spacing w:after="0"/>
              <w:rPr>
                <w:sz w:val="20"/>
                <w:szCs w:val="20"/>
                <w:color w:val="auto"/>
              </w:rPr>
            </w:pPr>
            <w:r>
              <w:rPr>
                <w:rFonts w:ascii="Calibri" w:cs="Calibri" w:eastAsia="Calibri" w:hAnsi="Calibri"/>
                <w:sz w:val="14"/>
                <w:szCs w:val="14"/>
                <w:color w:val="auto"/>
              </w:rPr>
              <w:t>7/1/21</w:t>
            </w:r>
          </w:p>
        </w:tc>
        <w:tc>
          <w:tcPr>
            <w:tcW w:w="820" w:type="dxa"/>
            <w:vAlign w:val="bottom"/>
          </w:tcPr>
          <w:p>
            <w:pPr>
              <w:jc w:val="center"/>
              <w:spacing w:after="0"/>
              <w:rPr>
                <w:sz w:val="20"/>
                <w:szCs w:val="20"/>
                <w:color w:val="auto"/>
              </w:rPr>
            </w:pPr>
            <w:r>
              <w:rPr>
                <w:rFonts w:ascii="Calibri" w:cs="Calibri" w:eastAsia="Calibri" w:hAnsi="Calibri"/>
                <w:sz w:val="14"/>
                <w:szCs w:val="14"/>
                <w:color w:val="auto"/>
              </w:rPr>
              <w:t>9/2/21</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171,563</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343,125</w:t>
            </w:r>
          </w:p>
        </w:tc>
        <w:tc>
          <w:tcPr>
            <w:tcW w:w="1060" w:type="dxa"/>
            <w:vAlign w:val="bottom"/>
          </w:tcPr>
          <w:p>
            <w:pPr>
              <w:jc w:val="right"/>
              <w:ind w:right="288"/>
              <w:spacing w:after="0"/>
              <w:rPr>
                <w:sz w:val="20"/>
                <w:szCs w:val="20"/>
                <w:color w:val="auto"/>
              </w:rPr>
            </w:pPr>
            <w:r>
              <w:rPr>
                <w:rFonts w:ascii="Calibri" w:cs="Calibri" w:eastAsia="Calibri" w:hAnsi="Calibri"/>
                <w:sz w:val="14"/>
                <w:szCs w:val="14"/>
                <w:color w:val="auto"/>
              </w:rPr>
              <w:t>514,688</w:t>
            </w:r>
          </w:p>
        </w:tc>
        <w:tc>
          <w:tcPr>
            <w:tcW w:w="920" w:type="dxa"/>
            <w:vAlign w:val="bottom"/>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color w:val="auto"/>
              </w:rPr>
              <w:t>6/8/22</w:t>
            </w:r>
          </w:p>
        </w:tc>
        <w:tc>
          <w:tcPr>
            <w:tcW w:w="820" w:type="dxa"/>
            <w:vAlign w:val="bottom"/>
          </w:tcPr>
          <w:p>
            <w:pPr>
              <w:jc w:val="center"/>
              <w:spacing w:after="0"/>
              <w:rPr>
                <w:sz w:val="20"/>
                <w:szCs w:val="20"/>
                <w:color w:val="auto"/>
              </w:rPr>
            </w:pPr>
            <w:r>
              <w:rPr>
                <w:rFonts w:ascii="Calibri" w:cs="Calibri" w:eastAsia="Calibri" w:hAnsi="Calibri"/>
                <w:sz w:val="14"/>
                <w:szCs w:val="14"/>
                <w:color w:val="auto"/>
              </w:rPr>
              <w:t>6/8/22</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168"/>
              <w:spacing w:after="0"/>
              <w:rPr>
                <w:sz w:val="20"/>
                <w:szCs w:val="20"/>
                <w:color w:val="auto"/>
              </w:rPr>
            </w:pPr>
            <w:r>
              <w:rPr>
                <w:rFonts w:ascii="Calibri" w:cs="Calibri" w:eastAsia="Calibri" w:hAnsi="Calibri"/>
                <w:sz w:val="14"/>
                <w:szCs w:val="14"/>
                <w:color w:val="auto"/>
              </w:rPr>
              <w:t>536,746</w:t>
            </w:r>
          </w:p>
        </w:tc>
        <w:tc>
          <w:tcPr>
            <w:tcW w:w="800" w:type="dxa"/>
            <w:vAlign w:val="bottom"/>
          </w:tcPr>
          <w:p>
            <w:pPr>
              <w:jc w:val="right"/>
              <w:ind w:right="168"/>
              <w:spacing w:after="0"/>
              <w:rPr>
                <w:sz w:val="20"/>
                <w:szCs w:val="20"/>
                <w:color w:val="auto"/>
              </w:rPr>
            </w:pPr>
            <w:r>
              <w:rPr>
                <w:rFonts w:ascii="Calibri" w:cs="Calibri" w:eastAsia="Calibri" w:hAnsi="Calibri"/>
                <w:sz w:val="14"/>
                <w:szCs w:val="14"/>
                <w:color w:val="auto"/>
              </w:rPr>
              <w:t>23.33</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6,499,994</w:t>
            </w:r>
          </w:p>
        </w:tc>
        <w:tc>
          <w:tcPr>
            <w:tcW w:w="0" w:type="dxa"/>
            <w:vAlign w:val="bottom"/>
          </w:tcPr>
          <w:p>
            <w:pPr>
              <w:spacing w:after="0"/>
              <w:rPr>
                <w:sz w:val="1"/>
                <w:szCs w:val="1"/>
                <w:color w:val="auto"/>
              </w:rPr>
            </w:pPr>
          </w:p>
        </w:tc>
      </w:tr>
      <w:tr>
        <w:trPr>
          <w:trHeight w:val="61"/>
        </w:trPr>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980" w:type="dxa"/>
            <w:vAlign w:val="bottom"/>
            <w:shd w:val="clear" w:color="auto" w:fill="DBDBDB"/>
          </w:tcPr>
          <w:p>
            <w:pPr>
              <w:ind w:left="20"/>
              <w:spacing w:after="0"/>
              <w:rPr>
                <w:sz w:val="20"/>
                <w:szCs w:val="20"/>
                <w:color w:val="auto"/>
              </w:rPr>
            </w:pPr>
            <w:r>
              <w:rPr>
                <w:rFonts w:ascii="Calibri" w:cs="Calibri" w:eastAsia="Calibri" w:hAnsi="Calibri"/>
                <w:sz w:val="14"/>
                <w:szCs w:val="14"/>
                <w:color w:val="auto"/>
              </w:rPr>
              <w:t>Katherine</w:t>
            </w: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7/1/21</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9/2/21</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109,375</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218,750</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328,125</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5"/>
        </w:trPr>
        <w:tc>
          <w:tcPr>
            <w:tcW w:w="980" w:type="dxa"/>
            <w:vAlign w:val="bottom"/>
            <w:shd w:val="clear" w:color="auto" w:fill="DBDBDB"/>
          </w:tcPr>
          <w:p>
            <w:pPr>
              <w:ind w:left="20"/>
              <w:spacing w:after="0"/>
              <w:rPr>
                <w:sz w:val="20"/>
                <w:szCs w:val="20"/>
                <w:color w:val="auto"/>
              </w:rPr>
            </w:pPr>
            <w:r>
              <w:rPr>
                <w:rFonts w:ascii="Calibri" w:cs="Calibri" w:eastAsia="Calibri" w:hAnsi="Calibri"/>
                <w:sz w:val="14"/>
                <w:szCs w:val="14"/>
                <w:color w:val="auto"/>
              </w:rPr>
              <w:t>Adkins</w:t>
            </w:r>
          </w:p>
        </w:tc>
        <w:tc>
          <w:tcPr>
            <w:tcW w:w="800" w:type="dxa"/>
            <w:vAlign w:val="bottom"/>
            <w:vMerge w:val="restart"/>
            <w:shd w:val="clear" w:color="auto" w:fill="DBDBDB"/>
          </w:tcPr>
          <w:p>
            <w:pPr>
              <w:jc w:val="center"/>
              <w:spacing w:after="0"/>
              <w:rPr>
                <w:sz w:val="20"/>
                <w:szCs w:val="20"/>
                <w:color w:val="auto"/>
              </w:rPr>
            </w:pPr>
            <w:r>
              <w:rPr>
                <w:rFonts w:ascii="Calibri" w:cs="Calibri" w:eastAsia="Calibri" w:hAnsi="Calibri"/>
                <w:sz w:val="14"/>
                <w:szCs w:val="14"/>
                <w:color w:val="auto"/>
              </w:rPr>
              <w:t>1/4/22</w:t>
            </w:r>
          </w:p>
        </w:tc>
        <w:tc>
          <w:tcPr>
            <w:tcW w:w="820" w:type="dxa"/>
            <w:vAlign w:val="bottom"/>
            <w:vMerge w:val="restart"/>
            <w:shd w:val="clear" w:color="auto" w:fill="DBDBDB"/>
          </w:tcPr>
          <w:p>
            <w:pPr>
              <w:jc w:val="center"/>
              <w:spacing w:after="0"/>
              <w:rPr>
                <w:sz w:val="20"/>
                <w:szCs w:val="20"/>
                <w:color w:val="auto"/>
              </w:rPr>
            </w:pPr>
            <w:r>
              <w:rPr>
                <w:rFonts w:ascii="Calibri" w:cs="Calibri" w:eastAsia="Calibri" w:hAnsi="Calibri"/>
                <w:sz w:val="14"/>
                <w:szCs w:val="14"/>
                <w:color w:val="auto"/>
              </w:rPr>
              <w:t>1/4/22</w:t>
            </w:r>
          </w:p>
        </w:tc>
        <w:tc>
          <w:tcPr>
            <w:tcW w:w="84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vMerge w:val="restart"/>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vMerge w:val="restart"/>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vMerge w:val="restart"/>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14,636</w:t>
            </w:r>
          </w:p>
        </w:tc>
        <w:tc>
          <w:tcPr>
            <w:tcW w:w="94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1,250,061</w:t>
            </w:r>
          </w:p>
        </w:tc>
        <w:tc>
          <w:tcPr>
            <w:tcW w:w="0" w:type="dxa"/>
            <w:vAlign w:val="bottom"/>
          </w:tcPr>
          <w:p>
            <w:pPr>
              <w:spacing w:after="0"/>
              <w:rPr>
                <w:sz w:val="1"/>
                <w:szCs w:val="1"/>
                <w:color w:val="auto"/>
              </w:rPr>
            </w:pPr>
          </w:p>
        </w:tc>
      </w:tr>
      <w:tr>
        <w:trPr>
          <w:trHeight w:val="54"/>
        </w:trPr>
        <w:tc>
          <w:tcPr>
            <w:tcW w:w="980" w:type="dxa"/>
            <w:vAlign w:val="bottom"/>
            <w:shd w:val="clear" w:color="auto" w:fill="DBDBDB"/>
          </w:tcPr>
          <w:p>
            <w:pPr>
              <w:spacing w:after="0"/>
              <w:rPr>
                <w:sz w:val="4"/>
                <w:szCs w:val="4"/>
                <w:color w:val="auto"/>
              </w:rPr>
            </w:pPr>
          </w:p>
        </w:tc>
        <w:tc>
          <w:tcPr>
            <w:tcW w:w="800" w:type="dxa"/>
            <w:vAlign w:val="bottom"/>
            <w:vMerge w:val="continue"/>
            <w:shd w:val="clear" w:color="auto" w:fill="DBDBDB"/>
          </w:tcPr>
          <w:p>
            <w:pPr>
              <w:spacing w:after="0"/>
              <w:rPr>
                <w:sz w:val="4"/>
                <w:szCs w:val="4"/>
                <w:color w:val="auto"/>
              </w:rPr>
            </w:pPr>
          </w:p>
        </w:tc>
        <w:tc>
          <w:tcPr>
            <w:tcW w:w="820" w:type="dxa"/>
            <w:vAlign w:val="bottom"/>
            <w:vMerge w:val="continue"/>
            <w:shd w:val="clear" w:color="auto" w:fill="DBDBDB"/>
          </w:tcPr>
          <w:p>
            <w:pPr>
              <w:spacing w:after="0"/>
              <w:rPr>
                <w:sz w:val="4"/>
                <w:szCs w:val="4"/>
                <w:color w:val="auto"/>
              </w:rPr>
            </w:pPr>
          </w:p>
        </w:tc>
        <w:tc>
          <w:tcPr>
            <w:tcW w:w="840" w:type="dxa"/>
            <w:vAlign w:val="bottom"/>
            <w:vMerge w:val="continue"/>
            <w:shd w:val="clear" w:color="auto" w:fill="DBDBDB"/>
          </w:tcPr>
          <w:p>
            <w:pPr>
              <w:spacing w:after="0"/>
              <w:rPr>
                <w:sz w:val="4"/>
                <w:szCs w:val="4"/>
                <w:color w:val="auto"/>
              </w:rPr>
            </w:pPr>
          </w:p>
        </w:tc>
        <w:tc>
          <w:tcPr>
            <w:tcW w:w="720" w:type="dxa"/>
            <w:vAlign w:val="bottom"/>
            <w:vMerge w:val="continue"/>
            <w:shd w:val="clear" w:color="auto" w:fill="DBDBDB"/>
          </w:tcPr>
          <w:p>
            <w:pPr>
              <w:spacing w:after="0"/>
              <w:rPr>
                <w:sz w:val="4"/>
                <w:szCs w:val="4"/>
                <w:color w:val="auto"/>
              </w:rPr>
            </w:pPr>
          </w:p>
        </w:tc>
        <w:tc>
          <w:tcPr>
            <w:tcW w:w="1060" w:type="dxa"/>
            <w:vAlign w:val="bottom"/>
            <w:vMerge w:val="continue"/>
            <w:shd w:val="clear" w:color="auto" w:fill="DBDBDB"/>
          </w:tcPr>
          <w:p>
            <w:pPr>
              <w:spacing w:after="0"/>
              <w:rPr>
                <w:sz w:val="4"/>
                <w:szCs w:val="4"/>
                <w:color w:val="auto"/>
              </w:rPr>
            </w:pPr>
          </w:p>
        </w:tc>
        <w:tc>
          <w:tcPr>
            <w:tcW w:w="920" w:type="dxa"/>
            <w:vAlign w:val="bottom"/>
            <w:vMerge w:val="continue"/>
            <w:shd w:val="clear" w:color="auto" w:fill="DBDBDB"/>
          </w:tcPr>
          <w:p>
            <w:pPr>
              <w:spacing w:after="0"/>
              <w:rPr>
                <w:sz w:val="4"/>
                <w:szCs w:val="4"/>
                <w:color w:val="auto"/>
              </w:rPr>
            </w:pPr>
          </w:p>
        </w:tc>
        <w:tc>
          <w:tcPr>
            <w:tcW w:w="940" w:type="dxa"/>
            <w:vAlign w:val="bottom"/>
            <w:vMerge w:val="continue"/>
            <w:shd w:val="clear" w:color="auto" w:fill="DBDBDB"/>
          </w:tcPr>
          <w:p>
            <w:pPr>
              <w:spacing w:after="0"/>
              <w:rPr>
                <w:sz w:val="4"/>
                <w:szCs w:val="4"/>
                <w:color w:val="auto"/>
              </w:rPr>
            </w:pPr>
          </w:p>
        </w:tc>
        <w:tc>
          <w:tcPr>
            <w:tcW w:w="680" w:type="dxa"/>
            <w:vAlign w:val="bottom"/>
            <w:vMerge w:val="continue"/>
            <w:shd w:val="clear" w:color="auto" w:fill="DBDBDB"/>
          </w:tcPr>
          <w:p>
            <w:pPr>
              <w:spacing w:after="0"/>
              <w:rPr>
                <w:sz w:val="4"/>
                <w:szCs w:val="4"/>
                <w:color w:val="auto"/>
              </w:rPr>
            </w:pPr>
          </w:p>
        </w:tc>
        <w:tc>
          <w:tcPr>
            <w:tcW w:w="840" w:type="dxa"/>
            <w:vAlign w:val="bottom"/>
            <w:vMerge w:val="continue"/>
            <w:shd w:val="clear" w:color="auto" w:fill="DBDBDB"/>
          </w:tcPr>
          <w:p>
            <w:pPr>
              <w:spacing w:after="0"/>
              <w:rPr>
                <w:sz w:val="4"/>
                <w:szCs w:val="4"/>
                <w:color w:val="auto"/>
              </w:rPr>
            </w:pPr>
          </w:p>
        </w:tc>
        <w:tc>
          <w:tcPr>
            <w:tcW w:w="940" w:type="dxa"/>
            <w:vAlign w:val="bottom"/>
            <w:vMerge w:val="continue"/>
            <w:shd w:val="clear" w:color="auto" w:fill="DBDBDB"/>
          </w:tcPr>
          <w:p>
            <w:pPr>
              <w:spacing w:after="0"/>
              <w:rPr>
                <w:sz w:val="4"/>
                <w:szCs w:val="4"/>
                <w:color w:val="auto"/>
              </w:rPr>
            </w:pPr>
          </w:p>
        </w:tc>
        <w:tc>
          <w:tcPr>
            <w:tcW w:w="800" w:type="dxa"/>
            <w:vAlign w:val="bottom"/>
            <w:vMerge w:val="continue"/>
            <w:shd w:val="clear" w:color="auto" w:fill="DBDBDB"/>
          </w:tcPr>
          <w:p>
            <w:pPr>
              <w:spacing w:after="0"/>
              <w:rPr>
                <w:sz w:val="4"/>
                <w:szCs w:val="4"/>
                <w:color w:val="auto"/>
              </w:rPr>
            </w:pPr>
          </w:p>
        </w:tc>
        <w:tc>
          <w:tcPr>
            <w:tcW w:w="8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1/4/22</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1/4/22</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29,015</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85.41</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1,249,966</w:t>
            </w:r>
          </w:p>
        </w:tc>
        <w:tc>
          <w:tcPr>
            <w:tcW w:w="0" w:type="dxa"/>
            <w:vAlign w:val="bottom"/>
          </w:tcPr>
          <w:p>
            <w:pPr>
              <w:spacing w:after="0"/>
              <w:rPr>
                <w:sz w:val="1"/>
                <w:szCs w:val="1"/>
                <w:color w:val="auto"/>
              </w:rPr>
            </w:pPr>
          </w:p>
        </w:tc>
      </w:tr>
      <w:tr>
        <w:trPr>
          <w:trHeight w:val="230"/>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4/22/22</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4/22/22</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4,239</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31.16</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68,884</w:t>
            </w:r>
          </w:p>
        </w:tc>
        <w:tc>
          <w:tcPr>
            <w:tcW w:w="0" w:type="dxa"/>
            <w:vAlign w:val="bottom"/>
          </w:tcPr>
          <w:p>
            <w:pPr>
              <w:spacing w:after="0"/>
              <w:rPr>
                <w:sz w:val="1"/>
                <w:szCs w:val="1"/>
                <w:color w:val="auto"/>
              </w:rPr>
            </w:pPr>
          </w:p>
        </w:tc>
      </w:tr>
      <w:tr>
        <w:trPr>
          <w:trHeight w:val="229"/>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6/8/22</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6/8/22</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227,085</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23.33</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2,749,999</w:t>
            </w:r>
          </w:p>
        </w:tc>
        <w:tc>
          <w:tcPr>
            <w:tcW w:w="0" w:type="dxa"/>
            <w:vAlign w:val="bottom"/>
          </w:tcPr>
          <w:p>
            <w:pPr>
              <w:spacing w:after="0"/>
              <w:rPr>
                <w:sz w:val="1"/>
                <w:szCs w:val="1"/>
                <w:color w:val="auto"/>
              </w:rPr>
            </w:pPr>
          </w:p>
        </w:tc>
      </w:tr>
      <w:tr>
        <w:trPr>
          <w:trHeight w:val="229"/>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6/8/22</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6/8/22</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117,873</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2,749,977</w:t>
            </w:r>
          </w:p>
        </w:tc>
        <w:tc>
          <w:tcPr>
            <w:tcW w:w="0" w:type="dxa"/>
            <w:vAlign w:val="bottom"/>
          </w:tcPr>
          <w:p>
            <w:pPr>
              <w:spacing w:after="0"/>
              <w:rPr>
                <w:sz w:val="1"/>
                <w:szCs w:val="1"/>
                <w:color w:val="auto"/>
              </w:rPr>
            </w:pPr>
          </w:p>
        </w:tc>
      </w:tr>
      <w:tr>
        <w:trPr>
          <w:trHeight w:val="61"/>
        </w:trPr>
        <w:tc>
          <w:tcPr>
            <w:tcW w:w="980" w:type="dxa"/>
            <w:vAlign w:val="bottom"/>
            <w:tcBorders>
              <w:bottom w:val="single" w:sz="8" w:color="B6B6B6"/>
            </w:tcBorders>
            <w:shd w:val="clear" w:color="auto" w:fill="DBDBDB"/>
          </w:tcPr>
          <w:p>
            <w:pPr>
              <w:spacing w:after="0"/>
              <w:rPr>
                <w:sz w:val="5"/>
                <w:szCs w:val="5"/>
                <w:color w:val="auto"/>
              </w:rPr>
            </w:pPr>
          </w:p>
        </w:tc>
        <w:tc>
          <w:tcPr>
            <w:tcW w:w="800" w:type="dxa"/>
            <w:vAlign w:val="bottom"/>
            <w:shd w:val="clear" w:color="auto" w:fill="DBDBDB"/>
          </w:tcPr>
          <w:p>
            <w:pPr>
              <w:spacing w:after="0"/>
              <w:rPr>
                <w:sz w:val="5"/>
                <w:szCs w:val="5"/>
                <w:color w:val="auto"/>
              </w:rPr>
            </w:pPr>
          </w:p>
        </w:tc>
        <w:tc>
          <w:tcPr>
            <w:tcW w:w="820" w:type="dxa"/>
            <w:vAlign w:val="bottom"/>
            <w:shd w:val="clear" w:color="auto" w:fill="DBDBDB"/>
          </w:tcPr>
          <w:p>
            <w:pPr>
              <w:spacing w:after="0"/>
              <w:rPr>
                <w:sz w:val="5"/>
                <w:szCs w:val="5"/>
                <w:color w:val="auto"/>
              </w:rPr>
            </w:pPr>
          </w:p>
        </w:tc>
        <w:tc>
          <w:tcPr>
            <w:tcW w:w="840" w:type="dxa"/>
            <w:vAlign w:val="bottom"/>
            <w:shd w:val="clear" w:color="auto" w:fill="DBDBDB"/>
          </w:tcPr>
          <w:p>
            <w:pPr>
              <w:spacing w:after="0"/>
              <w:rPr>
                <w:sz w:val="5"/>
                <w:szCs w:val="5"/>
                <w:color w:val="auto"/>
              </w:rPr>
            </w:pPr>
          </w:p>
        </w:tc>
        <w:tc>
          <w:tcPr>
            <w:tcW w:w="720" w:type="dxa"/>
            <w:vAlign w:val="bottom"/>
            <w:shd w:val="clear" w:color="auto" w:fill="DBDBDB"/>
          </w:tcPr>
          <w:p>
            <w:pPr>
              <w:spacing w:after="0"/>
              <w:rPr>
                <w:sz w:val="5"/>
                <w:szCs w:val="5"/>
                <w:color w:val="auto"/>
              </w:rPr>
            </w:pPr>
          </w:p>
        </w:tc>
        <w:tc>
          <w:tcPr>
            <w:tcW w:w="1060" w:type="dxa"/>
            <w:vAlign w:val="bottom"/>
            <w:shd w:val="clear" w:color="auto" w:fill="DBDBDB"/>
          </w:tcPr>
          <w:p>
            <w:pPr>
              <w:spacing w:after="0"/>
              <w:rPr>
                <w:sz w:val="5"/>
                <w:szCs w:val="5"/>
                <w:color w:val="auto"/>
              </w:rPr>
            </w:pPr>
          </w:p>
        </w:tc>
        <w:tc>
          <w:tcPr>
            <w:tcW w:w="920" w:type="dxa"/>
            <w:vAlign w:val="bottom"/>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680" w:type="dxa"/>
            <w:vAlign w:val="bottom"/>
            <w:shd w:val="clear" w:color="auto" w:fill="DBDBDB"/>
          </w:tcPr>
          <w:p>
            <w:pPr>
              <w:spacing w:after="0"/>
              <w:rPr>
                <w:sz w:val="5"/>
                <w:szCs w:val="5"/>
                <w:color w:val="auto"/>
              </w:rPr>
            </w:pPr>
          </w:p>
        </w:tc>
        <w:tc>
          <w:tcPr>
            <w:tcW w:w="840" w:type="dxa"/>
            <w:vAlign w:val="bottom"/>
            <w:shd w:val="clear" w:color="auto" w:fill="DBDBDB"/>
          </w:tcPr>
          <w:p>
            <w:pPr>
              <w:spacing w:after="0"/>
              <w:rPr>
                <w:sz w:val="5"/>
                <w:szCs w:val="5"/>
                <w:color w:val="auto"/>
              </w:rPr>
            </w:pPr>
          </w:p>
        </w:tc>
        <w:tc>
          <w:tcPr>
            <w:tcW w:w="940" w:type="dxa"/>
            <w:vAlign w:val="bottom"/>
            <w:shd w:val="clear" w:color="auto" w:fill="DBDBDB"/>
          </w:tcPr>
          <w:p>
            <w:pPr>
              <w:spacing w:after="0"/>
              <w:rPr>
                <w:sz w:val="5"/>
                <w:szCs w:val="5"/>
                <w:color w:val="auto"/>
              </w:rPr>
            </w:pPr>
          </w:p>
        </w:tc>
        <w:tc>
          <w:tcPr>
            <w:tcW w:w="800" w:type="dxa"/>
            <w:vAlign w:val="bottom"/>
            <w:shd w:val="clear" w:color="auto" w:fill="DBDBDB"/>
          </w:tcPr>
          <w:p>
            <w:pPr>
              <w:spacing w:after="0"/>
              <w:rPr>
                <w:sz w:val="5"/>
                <w:szCs w:val="5"/>
                <w:color w:val="auto"/>
              </w:rPr>
            </w:pPr>
          </w:p>
        </w:tc>
        <w:tc>
          <w:tcPr>
            <w:tcW w:w="8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980" w:type="dxa"/>
            <w:vAlign w:val="bottom"/>
          </w:tcPr>
          <w:p>
            <w:pPr>
              <w:ind w:left="20"/>
              <w:spacing w:after="0" w:line="164" w:lineRule="exact"/>
              <w:rPr>
                <w:sz w:val="20"/>
                <w:szCs w:val="20"/>
                <w:color w:val="auto"/>
              </w:rPr>
            </w:pPr>
            <w:r>
              <w:rPr>
                <w:rFonts w:ascii="Calibri" w:cs="Calibri" w:eastAsia="Calibri" w:hAnsi="Calibri"/>
                <w:sz w:val="14"/>
                <w:szCs w:val="14"/>
                <w:color w:val="auto"/>
              </w:rPr>
              <w:t>Libor Michalek</w:t>
            </w:r>
          </w:p>
        </w:tc>
        <w:tc>
          <w:tcPr>
            <w:tcW w:w="800" w:type="dxa"/>
            <w:vAlign w:val="bottom"/>
          </w:tcPr>
          <w:p>
            <w:pPr>
              <w:jc w:val="center"/>
              <w:spacing w:after="0" w:line="150" w:lineRule="exact"/>
              <w:rPr>
                <w:sz w:val="20"/>
                <w:szCs w:val="20"/>
                <w:color w:val="auto"/>
              </w:rPr>
            </w:pPr>
            <w:r>
              <w:rPr>
                <w:rFonts w:ascii="Calibri" w:cs="Calibri" w:eastAsia="Calibri" w:hAnsi="Calibri"/>
                <w:sz w:val="14"/>
                <w:szCs w:val="14"/>
                <w:color w:val="auto"/>
              </w:rPr>
              <w:t>7/1/21</w:t>
            </w:r>
          </w:p>
        </w:tc>
        <w:tc>
          <w:tcPr>
            <w:tcW w:w="820" w:type="dxa"/>
            <w:vAlign w:val="bottom"/>
          </w:tcPr>
          <w:p>
            <w:pPr>
              <w:jc w:val="center"/>
              <w:spacing w:after="0" w:line="150" w:lineRule="exact"/>
              <w:rPr>
                <w:sz w:val="20"/>
                <w:szCs w:val="20"/>
                <w:color w:val="auto"/>
              </w:rPr>
            </w:pPr>
            <w:r>
              <w:rPr>
                <w:rFonts w:ascii="Calibri" w:cs="Calibri" w:eastAsia="Calibri" w:hAnsi="Calibri"/>
                <w:sz w:val="14"/>
                <w:szCs w:val="14"/>
                <w:color w:val="auto"/>
              </w:rPr>
              <w:t>9/2/21</w:t>
            </w:r>
          </w:p>
        </w:tc>
        <w:tc>
          <w:tcPr>
            <w:tcW w:w="840" w:type="dxa"/>
            <w:vAlign w:val="bottom"/>
          </w:tcPr>
          <w:p>
            <w:pPr>
              <w:jc w:val="right"/>
              <w:spacing w:after="0" w:line="150" w:lineRule="exact"/>
              <w:rPr>
                <w:sz w:val="20"/>
                <w:szCs w:val="20"/>
                <w:color w:val="auto"/>
              </w:rPr>
            </w:pPr>
            <w:r>
              <w:rPr>
                <w:rFonts w:ascii="Calibri" w:cs="Calibri" w:eastAsia="Calibri" w:hAnsi="Calibri"/>
                <w:sz w:val="14"/>
                <w:szCs w:val="14"/>
                <w:color w:val="auto"/>
              </w:rPr>
              <w:t>176,250</w:t>
            </w:r>
          </w:p>
        </w:tc>
        <w:tc>
          <w:tcPr>
            <w:tcW w:w="720" w:type="dxa"/>
            <w:vAlign w:val="bottom"/>
          </w:tcPr>
          <w:p>
            <w:pPr>
              <w:jc w:val="right"/>
              <w:spacing w:after="0" w:line="150" w:lineRule="exact"/>
              <w:rPr>
                <w:sz w:val="20"/>
                <w:szCs w:val="20"/>
                <w:color w:val="auto"/>
              </w:rPr>
            </w:pPr>
            <w:r>
              <w:rPr>
                <w:rFonts w:ascii="Calibri" w:cs="Calibri" w:eastAsia="Calibri" w:hAnsi="Calibri"/>
                <w:sz w:val="14"/>
                <w:szCs w:val="14"/>
                <w:color w:val="auto"/>
              </w:rPr>
              <w:t>352,500</w:t>
            </w:r>
          </w:p>
        </w:tc>
        <w:tc>
          <w:tcPr>
            <w:tcW w:w="1060" w:type="dxa"/>
            <w:vAlign w:val="bottom"/>
          </w:tcPr>
          <w:p>
            <w:pPr>
              <w:jc w:val="right"/>
              <w:ind w:right="288"/>
              <w:spacing w:after="0" w:line="150" w:lineRule="exact"/>
              <w:rPr>
                <w:sz w:val="20"/>
                <w:szCs w:val="20"/>
                <w:color w:val="auto"/>
              </w:rPr>
            </w:pPr>
            <w:r>
              <w:rPr>
                <w:rFonts w:ascii="Calibri" w:cs="Calibri" w:eastAsia="Calibri" w:hAnsi="Calibri"/>
                <w:sz w:val="14"/>
                <w:szCs w:val="14"/>
                <w:color w:val="auto"/>
              </w:rPr>
              <w:t>528,750</w:t>
            </w:r>
          </w:p>
        </w:tc>
        <w:tc>
          <w:tcPr>
            <w:tcW w:w="920" w:type="dxa"/>
            <w:vAlign w:val="bottom"/>
          </w:tcPr>
          <w:p>
            <w:pPr>
              <w:ind w:left="380"/>
              <w:spacing w:after="0" w:line="150" w:lineRule="exact"/>
              <w:rPr>
                <w:sz w:val="20"/>
                <w:szCs w:val="20"/>
                <w:color w:val="auto"/>
              </w:rPr>
            </w:pPr>
            <w:r>
              <w:rPr>
                <w:rFonts w:ascii="Calibri" w:cs="Calibri" w:eastAsia="Calibri" w:hAnsi="Calibri"/>
                <w:sz w:val="14"/>
                <w:szCs w:val="14"/>
                <w:color w:val="auto"/>
              </w:rPr>
              <w:t>—</w:t>
            </w:r>
          </w:p>
        </w:tc>
        <w:tc>
          <w:tcPr>
            <w:tcW w:w="940" w:type="dxa"/>
            <w:vAlign w:val="bottom"/>
          </w:tcPr>
          <w:p>
            <w:pPr>
              <w:ind w:left="400"/>
              <w:spacing w:after="0" w:line="150" w:lineRule="exact"/>
              <w:rPr>
                <w:sz w:val="20"/>
                <w:szCs w:val="20"/>
                <w:color w:val="auto"/>
              </w:rPr>
            </w:pPr>
            <w:r>
              <w:rPr>
                <w:rFonts w:ascii="Calibri" w:cs="Calibri" w:eastAsia="Calibri" w:hAnsi="Calibri"/>
                <w:sz w:val="14"/>
                <w:szCs w:val="14"/>
                <w:color w:val="auto"/>
              </w:rPr>
              <w:t>—</w:t>
            </w:r>
          </w:p>
        </w:tc>
        <w:tc>
          <w:tcPr>
            <w:tcW w:w="680" w:type="dxa"/>
            <w:vAlign w:val="bottom"/>
          </w:tcPr>
          <w:p>
            <w:pPr>
              <w:ind w:left="400"/>
              <w:spacing w:after="0" w:line="150" w:lineRule="exact"/>
              <w:rPr>
                <w:sz w:val="20"/>
                <w:szCs w:val="20"/>
                <w:color w:val="auto"/>
              </w:rPr>
            </w:pPr>
            <w:r>
              <w:rPr>
                <w:rFonts w:ascii="Calibri" w:cs="Calibri" w:eastAsia="Calibri" w:hAnsi="Calibri"/>
                <w:sz w:val="14"/>
                <w:szCs w:val="14"/>
                <w:color w:val="auto"/>
              </w:rPr>
              <w:t>—</w:t>
            </w:r>
          </w:p>
        </w:tc>
        <w:tc>
          <w:tcPr>
            <w:tcW w:w="840" w:type="dxa"/>
            <w:vAlign w:val="bottom"/>
          </w:tcPr>
          <w:p>
            <w:pPr>
              <w:jc w:val="right"/>
              <w:ind w:right="168"/>
              <w:spacing w:after="0" w:line="150" w:lineRule="exact"/>
              <w:rPr>
                <w:sz w:val="20"/>
                <w:szCs w:val="20"/>
                <w:color w:val="auto"/>
              </w:rPr>
            </w:pPr>
            <w:r>
              <w:rPr>
                <w:rFonts w:ascii="Calibri" w:cs="Calibri" w:eastAsia="Calibri" w:hAnsi="Calibri"/>
                <w:sz w:val="14"/>
                <w:szCs w:val="14"/>
                <w:color w:val="auto"/>
              </w:rPr>
              <w:t>—</w:t>
            </w:r>
          </w:p>
        </w:tc>
        <w:tc>
          <w:tcPr>
            <w:tcW w:w="940" w:type="dxa"/>
            <w:vAlign w:val="bottom"/>
          </w:tcPr>
          <w:p>
            <w:pPr>
              <w:jc w:val="right"/>
              <w:ind w:right="168"/>
              <w:spacing w:after="0" w:line="150"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ind w:right="168"/>
              <w:spacing w:after="0" w:line="150" w:lineRule="exact"/>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line="150"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Calibri" w:cs="Calibri" w:eastAsia="Calibri" w:hAnsi="Calibri"/>
                <w:sz w:val="14"/>
                <w:szCs w:val="14"/>
                <w:color w:val="auto"/>
              </w:rPr>
              <w:t>6/8/22</w:t>
            </w:r>
          </w:p>
        </w:tc>
        <w:tc>
          <w:tcPr>
            <w:tcW w:w="820" w:type="dxa"/>
            <w:vAlign w:val="bottom"/>
          </w:tcPr>
          <w:p>
            <w:pPr>
              <w:jc w:val="center"/>
              <w:spacing w:after="0"/>
              <w:rPr>
                <w:sz w:val="20"/>
                <w:szCs w:val="20"/>
                <w:color w:val="auto"/>
              </w:rPr>
            </w:pPr>
            <w:r>
              <w:rPr>
                <w:rFonts w:ascii="Calibri" w:cs="Calibri" w:eastAsia="Calibri" w:hAnsi="Calibri"/>
                <w:sz w:val="14"/>
                <w:szCs w:val="14"/>
                <w:color w:val="auto"/>
              </w:rPr>
              <w:t>6/8/22</w:t>
            </w:r>
          </w:p>
        </w:tc>
        <w:tc>
          <w:tcPr>
            <w:tcW w:w="8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168"/>
              <w:spacing w:after="0"/>
              <w:rPr>
                <w:sz w:val="20"/>
                <w:szCs w:val="20"/>
                <w:color w:val="auto"/>
              </w:rPr>
            </w:pPr>
            <w:r>
              <w:rPr>
                <w:rFonts w:ascii="Calibri" w:cs="Calibri" w:eastAsia="Calibri" w:hAnsi="Calibri"/>
                <w:sz w:val="14"/>
                <w:szCs w:val="14"/>
                <w:color w:val="auto"/>
              </w:rPr>
              <w:t>536,746</w:t>
            </w:r>
          </w:p>
        </w:tc>
        <w:tc>
          <w:tcPr>
            <w:tcW w:w="800" w:type="dxa"/>
            <w:vAlign w:val="bottom"/>
          </w:tcPr>
          <w:p>
            <w:pPr>
              <w:jc w:val="right"/>
              <w:ind w:right="168"/>
              <w:spacing w:after="0"/>
              <w:rPr>
                <w:sz w:val="20"/>
                <w:szCs w:val="20"/>
                <w:color w:val="auto"/>
              </w:rPr>
            </w:pPr>
            <w:r>
              <w:rPr>
                <w:rFonts w:ascii="Calibri" w:cs="Calibri" w:eastAsia="Calibri" w:hAnsi="Calibri"/>
                <w:sz w:val="14"/>
                <w:szCs w:val="14"/>
                <w:color w:val="auto"/>
              </w:rPr>
              <w:t>23.33</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6,499,994</w:t>
            </w:r>
          </w:p>
        </w:tc>
        <w:tc>
          <w:tcPr>
            <w:tcW w:w="0" w:type="dxa"/>
            <w:vAlign w:val="bottom"/>
          </w:tcPr>
          <w:p>
            <w:pPr>
              <w:spacing w:after="0"/>
              <w:rPr>
                <w:sz w:val="1"/>
                <w:szCs w:val="1"/>
                <w:color w:val="auto"/>
              </w:rPr>
            </w:pPr>
          </w:p>
        </w:tc>
      </w:tr>
      <w:tr>
        <w:trPr>
          <w:trHeight w:val="60"/>
        </w:trPr>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980" w:type="dxa"/>
            <w:vAlign w:val="bottom"/>
            <w:shd w:val="clear" w:color="auto" w:fill="DBDBDB"/>
          </w:tcPr>
          <w:p>
            <w:pPr>
              <w:ind w:left="20"/>
              <w:spacing w:after="0" w:line="169" w:lineRule="exact"/>
              <w:rPr>
                <w:sz w:val="20"/>
                <w:szCs w:val="20"/>
                <w:color w:val="auto"/>
              </w:rPr>
            </w:pPr>
            <w:r>
              <w:rPr>
                <w:rFonts w:ascii="Calibri" w:cs="Calibri" w:eastAsia="Calibri" w:hAnsi="Calibri"/>
                <w:sz w:val="14"/>
                <w:szCs w:val="14"/>
                <w:color w:val="auto"/>
              </w:rPr>
              <w:t>Silvija</w:t>
            </w:r>
          </w:p>
        </w:tc>
        <w:tc>
          <w:tcPr>
            <w:tcW w:w="800" w:type="dxa"/>
            <w:vAlign w:val="bottom"/>
            <w:shd w:val="clear" w:color="auto" w:fill="DBDBDB"/>
          </w:tcPr>
          <w:p>
            <w:pPr>
              <w:jc w:val="center"/>
              <w:spacing w:after="0" w:line="169" w:lineRule="exact"/>
              <w:rPr>
                <w:sz w:val="20"/>
                <w:szCs w:val="20"/>
                <w:color w:val="auto"/>
              </w:rPr>
            </w:pPr>
            <w:r>
              <w:rPr>
                <w:rFonts w:ascii="Calibri" w:cs="Calibri" w:eastAsia="Calibri" w:hAnsi="Calibri"/>
                <w:sz w:val="14"/>
                <w:szCs w:val="14"/>
                <w:color w:val="auto"/>
              </w:rPr>
              <w:t>6/6/19</w:t>
            </w:r>
          </w:p>
        </w:tc>
        <w:tc>
          <w:tcPr>
            <w:tcW w:w="820" w:type="dxa"/>
            <w:vAlign w:val="bottom"/>
            <w:shd w:val="clear" w:color="auto" w:fill="DBDBDB"/>
          </w:tcPr>
          <w:p>
            <w:pPr>
              <w:jc w:val="center"/>
              <w:spacing w:after="0" w:line="169" w:lineRule="exact"/>
              <w:rPr>
                <w:sz w:val="20"/>
                <w:szCs w:val="20"/>
                <w:color w:val="auto"/>
              </w:rPr>
            </w:pPr>
            <w:r>
              <w:rPr>
                <w:rFonts w:ascii="Calibri" w:cs="Calibri" w:eastAsia="Calibri" w:hAnsi="Calibri"/>
                <w:sz w:val="14"/>
                <w:szCs w:val="14"/>
                <w:color w:val="auto"/>
              </w:rPr>
              <w:t>6/6/19</w:t>
            </w:r>
          </w:p>
        </w:tc>
        <w:tc>
          <w:tcPr>
            <w:tcW w:w="84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line="169"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line="169" w:lineRule="exact"/>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line="169" w:lineRule="exact"/>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line="169"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line="169" w:lineRule="exact"/>
              <w:rPr>
                <w:sz w:val="20"/>
                <w:szCs w:val="20"/>
                <w:color w:val="auto"/>
              </w:rPr>
            </w:pPr>
            <w:r>
              <w:rPr>
                <w:rFonts w:ascii="Calibri" w:cs="Calibri" w:eastAsia="Calibri" w:hAnsi="Calibri"/>
                <w:sz w:val="14"/>
                <w:szCs w:val="14"/>
                <w:color w:val="auto"/>
              </w:rPr>
              <w:t>66,667</w:t>
            </w:r>
          </w:p>
        </w:tc>
        <w:tc>
          <w:tcPr>
            <w:tcW w:w="800" w:type="dxa"/>
            <w:vAlign w:val="bottom"/>
            <w:shd w:val="clear" w:color="auto" w:fill="DBDBDB"/>
          </w:tcPr>
          <w:p>
            <w:pPr>
              <w:jc w:val="right"/>
              <w:ind w:right="168"/>
              <w:spacing w:after="0" w:line="169" w:lineRule="exact"/>
              <w:rPr>
                <w:sz w:val="20"/>
                <w:szCs w:val="20"/>
                <w:color w:val="auto"/>
              </w:rPr>
            </w:pPr>
            <w:r>
              <w:rPr>
                <w:rFonts w:ascii="Calibri" w:cs="Calibri" w:eastAsia="Calibri" w:hAnsi="Calibri"/>
                <w:sz w:val="14"/>
                <w:szCs w:val="14"/>
                <w:color w:val="auto"/>
              </w:rPr>
              <w:t>8.80</w:t>
            </w:r>
          </w:p>
        </w:tc>
        <w:tc>
          <w:tcPr>
            <w:tcW w:w="880" w:type="dxa"/>
            <w:vAlign w:val="bottom"/>
            <w:shd w:val="clear" w:color="auto" w:fill="DBDBDB"/>
          </w:tcPr>
          <w:p>
            <w:pPr>
              <w:jc w:val="right"/>
              <w:spacing w:after="0" w:line="169" w:lineRule="exact"/>
              <w:rPr>
                <w:sz w:val="20"/>
                <w:szCs w:val="20"/>
                <w:color w:val="auto"/>
              </w:rPr>
            </w:pPr>
            <w:r>
              <w:rPr>
                <w:rFonts w:ascii="Calibri" w:cs="Calibri" w:eastAsia="Calibri" w:hAnsi="Calibri"/>
                <w:sz w:val="14"/>
                <w:szCs w:val="14"/>
                <w:color w:val="auto"/>
              </w:rPr>
              <w:t>1,134,006</w:t>
            </w:r>
          </w:p>
        </w:tc>
        <w:tc>
          <w:tcPr>
            <w:tcW w:w="0" w:type="dxa"/>
            <w:vAlign w:val="bottom"/>
          </w:tcPr>
          <w:p>
            <w:pPr>
              <w:spacing w:after="0"/>
              <w:rPr>
                <w:sz w:val="1"/>
                <w:szCs w:val="1"/>
                <w:color w:val="auto"/>
              </w:rPr>
            </w:pPr>
          </w:p>
        </w:tc>
      </w:tr>
      <w:tr>
        <w:trPr>
          <w:trHeight w:val="196"/>
        </w:trPr>
        <w:tc>
          <w:tcPr>
            <w:tcW w:w="980" w:type="dxa"/>
            <w:vAlign w:val="bottom"/>
            <w:shd w:val="clear" w:color="auto" w:fill="DBDBDB"/>
          </w:tcPr>
          <w:p>
            <w:pPr>
              <w:ind w:left="20"/>
              <w:spacing w:after="0" w:line="196" w:lineRule="exact"/>
              <w:rPr>
                <w:sz w:val="20"/>
                <w:szCs w:val="20"/>
                <w:color w:val="auto"/>
              </w:rPr>
            </w:pPr>
            <w:r>
              <w:rPr>
                <w:rFonts w:ascii="Calibri" w:cs="Calibri" w:eastAsia="Calibri" w:hAnsi="Calibri"/>
                <w:sz w:val="14"/>
                <w:szCs w:val="14"/>
                <w:color w:val="auto"/>
              </w:rPr>
              <w:t>Martncevic</w:t>
            </w:r>
            <w:r>
              <w:rPr>
                <w:rFonts w:ascii="Calibri" w:cs="Calibri" w:eastAsia="Calibri" w:hAnsi="Calibri"/>
                <w:sz w:val="18"/>
                <w:szCs w:val="18"/>
                <w:color w:val="auto"/>
                <w:vertAlign w:val="superscript"/>
              </w:rPr>
              <w:t>(4)</w:t>
            </w:r>
          </w:p>
        </w:tc>
        <w:tc>
          <w:tcPr>
            <w:tcW w:w="800" w:type="dxa"/>
            <w:vAlign w:val="bottom"/>
            <w:vMerge w:val="restart"/>
            <w:shd w:val="clear" w:color="auto" w:fill="DBDBDB"/>
          </w:tcPr>
          <w:p>
            <w:pPr>
              <w:jc w:val="center"/>
              <w:spacing w:after="0"/>
              <w:rPr>
                <w:sz w:val="20"/>
                <w:szCs w:val="20"/>
                <w:color w:val="auto"/>
              </w:rPr>
            </w:pPr>
            <w:r>
              <w:rPr>
                <w:rFonts w:ascii="Calibri" w:cs="Calibri" w:eastAsia="Calibri" w:hAnsi="Calibri"/>
                <w:sz w:val="14"/>
                <w:szCs w:val="14"/>
                <w:color w:val="auto"/>
              </w:rPr>
              <w:t>12/31/20</w:t>
            </w:r>
          </w:p>
        </w:tc>
        <w:tc>
          <w:tcPr>
            <w:tcW w:w="820" w:type="dxa"/>
            <w:vAlign w:val="bottom"/>
            <w:vMerge w:val="restart"/>
            <w:shd w:val="clear" w:color="auto" w:fill="DBDBDB"/>
          </w:tcPr>
          <w:p>
            <w:pPr>
              <w:jc w:val="center"/>
              <w:spacing w:after="0"/>
              <w:rPr>
                <w:sz w:val="20"/>
                <w:szCs w:val="20"/>
                <w:color w:val="auto"/>
              </w:rPr>
            </w:pPr>
            <w:r>
              <w:rPr>
                <w:rFonts w:ascii="Calibri" w:cs="Calibri" w:eastAsia="Calibri" w:hAnsi="Calibri"/>
                <w:sz w:val="14"/>
                <w:szCs w:val="14"/>
                <w:color w:val="auto"/>
              </w:rPr>
              <w:t>12/31/20</w:t>
            </w:r>
          </w:p>
        </w:tc>
        <w:tc>
          <w:tcPr>
            <w:tcW w:w="84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vMerge w:val="restart"/>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vMerge w:val="restart"/>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vMerge w:val="restart"/>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3,334</w:t>
            </w:r>
          </w:p>
        </w:tc>
        <w:tc>
          <w:tcPr>
            <w:tcW w:w="94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vMerge w:val="restart"/>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vMerge w:val="restart"/>
            <w:shd w:val="clear" w:color="auto" w:fill="DBDBDB"/>
          </w:tcPr>
          <w:p>
            <w:pPr>
              <w:jc w:val="right"/>
              <w:spacing w:after="0"/>
              <w:rPr>
                <w:sz w:val="20"/>
                <w:szCs w:val="20"/>
                <w:color w:val="auto"/>
              </w:rPr>
            </w:pPr>
            <w:r>
              <w:rPr>
                <w:rFonts w:ascii="Calibri" w:cs="Calibri" w:eastAsia="Calibri" w:hAnsi="Calibri"/>
                <w:sz w:val="14"/>
                <w:szCs w:val="14"/>
                <w:color w:val="auto"/>
              </w:rPr>
              <w:t>79,082</w:t>
            </w:r>
          </w:p>
        </w:tc>
        <w:tc>
          <w:tcPr>
            <w:tcW w:w="0" w:type="dxa"/>
            <w:vAlign w:val="bottom"/>
          </w:tcPr>
          <w:p>
            <w:pPr>
              <w:spacing w:after="0"/>
              <w:rPr>
                <w:sz w:val="1"/>
                <w:szCs w:val="1"/>
                <w:color w:val="auto"/>
              </w:rPr>
            </w:pPr>
          </w:p>
        </w:tc>
      </w:tr>
      <w:tr>
        <w:trPr>
          <w:trHeight w:val="34"/>
        </w:trPr>
        <w:tc>
          <w:tcPr>
            <w:tcW w:w="980" w:type="dxa"/>
            <w:vAlign w:val="bottom"/>
            <w:shd w:val="clear" w:color="auto" w:fill="DBDBDB"/>
          </w:tcPr>
          <w:p>
            <w:pPr>
              <w:spacing w:after="0"/>
              <w:rPr>
                <w:sz w:val="2"/>
                <w:szCs w:val="2"/>
                <w:color w:val="auto"/>
              </w:rPr>
            </w:pPr>
          </w:p>
        </w:tc>
        <w:tc>
          <w:tcPr>
            <w:tcW w:w="800" w:type="dxa"/>
            <w:vAlign w:val="bottom"/>
            <w:vMerge w:val="continue"/>
            <w:shd w:val="clear" w:color="auto" w:fill="DBDBDB"/>
          </w:tcPr>
          <w:p>
            <w:pPr>
              <w:spacing w:after="0"/>
              <w:rPr>
                <w:sz w:val="2"/>
                <w:szCs w:val="2"/>
                <w:color w:val="auto"/>
              </w:rPr>
            </w:pPr>
          </w:p>
        </w:tc>
        <w:tc>
          <w:tcPr>
            <w:tcW w:w="820" w:type="dxa"/>
            <w:vAlign w:val="bottom"/>
            <w:vMerge w:val="continue"/>
            <w:shd w:val="clear" w:color="auto" w:fill="DBDBDB"/>
          </w:tcPr>
          <w:p>
            <w:pPr>
              <w:spacing w:after="0"/>
              <w:rPr>
                <w:sz w:val="2"/>
                <w:szCs w:val="2"/>
                <w:color w:val="auto"/>
              </w:rPr>
            </w:pPr>
          </w:p>
        </w:tc>
        <w:tc>
          <w:tcPr>
            <w:tcW w:w="840" w:type="dxa"/>
            <w:vAlign w:val="bottom"/>
            <w:vMerge w:val="continue"/>
            <w:shd w:val="clear" w:color="auto" w:fill="DBDBDB"/>
          </w:tcPr>
          <w:p>
            <w:pPr>
              <w:spacing w:after="0"/>
              <w:rPr>
                <w:sz w:val="2"/>
                <w:szCs w:val="2"/>
                <w:color w:val="auto"/>
              </w:rPr>
            </w:pPr>
          </w:p>
        </w:tc>
        <w:tc>
          <w:tcPr>
            <w:tcW w:w="720" w:type="dxa"/>
            <w:vAlign w:val="bottom"/>
            <w:vMerge w:val="continue"/>
            <w:shd w:val="clear" w:color="auto" w:fill="DBDBDB"/>
          </w:tcPr>
          <w:p>
            <w:pPr>
              <w:spacing w:after="0"/>
              <w:rPr>
                <w:sz w:val="2"/>
                <w:szCs w:val="2"/>
                <w:color w:val="auto"/>
              </w:rPr>
            </w:pPr>
          </w:p>
        </w:tc>
        <w:tc>
          <w:tcPr>
            <w:tcW w:w="1060" w:type="dxa"/>
            <w:vAlign w:val="bottom"/>
            <w:vMerge w:val="continue"/>
            <w:shd w:val="clear" w:color="auto" w:fill="DBDBDB"/>
          </w:tcPr>
          <w:p>
            <w:pPr>
              <w:spacing w:after="0"/>
              <w:rPr>
                <w:sz w:val="2"/>
                <w:szCs w:val="2"/>
                <w:color w:val="auto"/>
              </w:rPr>
            </w:pPr>
          </w:p>
        </w:tc>
        <w:tc>
          <w:tcPr>
            <w:tcW w:w="920" w:type="dxa"/>
            <w:vAlign w:val="bottom"/>
            <w:vMerge w:val="continue"/>
            <w:shd w:val="clear" w:color="auto" w:fill="DBDBDB"/>
          </w:tcPr>
          <w:p>
            <w:pPr>
              <w:spacing w:after="0"/>
              <w:rPr>
                <w:sz w:val="2"/>
                <w:szCs w:val="2"/>
                <w:color w:val="auto"/>
              </w:rPr>
            </w:pPr>
          </w:p>
        </w:tc>
        <w:tc>
          <w:tcPr>
            <w:tcW w:w="940" w:type="dxa"/>
            <w:vAlign w:val="bottom"/>
            <w:vMerge w:val="continue"/>
            <w:shd w:val="clear" w:color="auto" w:fill="DBDBDB"/>
          </w:tcPr>
          <w:p>
            <w:pPr>
              <w:spacing w:after="0"/>
              <w:rPr>
                <w:sz w:val="2"/>
                <w:szCs w:val="2"/>
                <w:color w:val="auto"/>
              </w:rPr>
            </w:pPr>
          </w:p>
        </w:tc>
        <w:tc>
          <w:tcPr>
            <w:tcW w:w="680" w:type="dxa"/>
            <w:vAlign w:val="bottom"/>
            <w:vMerge w:val="continue"/>
            <w:shd w:val="clear" w:color="auto" w:fill="DBDBDB"/>
          </w:tcPr>
          <w:p>
            <w:pPr>
              <w:spacing w:after="0"/>
              <w:rPr>
                <w:sz w:val="2"/>
                <w:szCs w:val="2"/>
                <w:color w:val="auto"/>
              </w:rPr>
            </w:pPr>
          </w:p>
        </w:tc>
        <w:tc>
          <w:tcPr>
            <w:tcW w:w="840" w:type="dxa"/>
            <w:vAlign w:val="bottom"/>
            <w:vMerge w:val="continue"/>
            <w:shd w:val="clear" w:color="auto" w:fill="DBDBDB"/>
          </w:tcPr>
          <w:p>
            <w:pPr>
              <w:spacing w:after="0"/>
              <w:rPr>
                <w:sz w:val="2"/>
                <w:szCs w:val="2"/>
                <w:color w:val="auto"/>
              </w:rPr>
            </w:pPr>
          </w:p>
        </w:tc>
        <w:tc>
          <w:tcPr>
            <w:tcW w:w="940" w:type="dxa"/>
            <w:vAlign w:val="bottom"/>
            <w:vMerge w:val="continue"/>
            <w:shd w:val="clear" w:color="auto" w:fill="DBDBDB"/>
          </w:tcPr>
          <w:p>
            <w:pPr>
              <w:spacing w:after="0"/>
              <w:rPr>
                <w:sz w:val="2"/>
                <w:szCs w:val="2"/>
                <w:color w:val="auto"/>
              </w:rPr>
            </w:pPr>
          </w:p>
        </w:tc>
        <w:tc>
          <w:tcPr>
            <w:tcW w:w="800" w:type="dxa"/>
            <w:vAlign w:val="bottom"/>
            <w:vMerge w:val="continue"/>
            <w:shd w:val="clear" w:color="auto" w:fill="DBDBDB"/>
          </w:tcPr>
          <w:p>
            <w:pPr>
              <w:spacing w:after="0"/>
              <w:rPr>
                <w:sz w:val="2"/>
                <w:szCs w:val="2"/>
                <w:color w:val="auto"/>
              </w:rPr>
            </w:pPr>
          </w:p>
        </w:tc>
        <w:tc>
          <w:tcPr>
            <w:tcW w:w="880" w:type="dxa"/>
            <w:vAlign w:val="bottom"/>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1/13/21</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11/18/21</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8,817</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209,139</w:t>
            </w:r>
          </w:p>
        </w:tc>
        <w:tc>
          <w:tcPr>
            <w:tcW w:w="0" w:type="dxa"/>
            <w:vAlign w:val="bottom"/>
          </w:tcPr>
          <w:p>
            <w:pPr>
              <w:spacing w:after="0"/>
              <w:rPr>
                <w:sz w:val="1"/>
                <w:szCs w:val="1"/>
                <w:color w:val="auto"/>
              </w:rPr>
            </w:pPr>
          </w:p>
        </w:tc>
      </w:tr>
      <w:tr>
        <w:trPr>
          <w:trHeight w:val="229"/>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1/13/21</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11/18/21</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34,715</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49.00</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211,414</w:t>
            </w:r>
          </w:p>
        </w:tc>
        <w:tc>
          <w:tcPr>
            <w:tcW w:w="0" w:type="dxa"/>
            <w:vAlign w:val="bottom"/>
          </w:tcPr>
          <w:p>
            <w:pPr>
              <w:spacing w:after="0"/>
              <w:rPr>
                <w:sz w:val="1"/>
                <w:szCs w:val="1"/>
                <w:color w:val="auto"/>
              </w:rPr>
            </w:pPr>
          </w:p>
        </w:tc>
      </w:tr>
      <w:tr>
        <w:trPr>
          <w:trHeight w:val="230"/>
        </w:trPr>
        <w:tc>
          <w:tcPr>
            <w:tcW w:w="980" w:type="dxa"/>
            <w:vAlign w:val="bottom"/>
            <w:shd w:val="clear" w:color="auto" w:fill="DBDBDB"/>
          </w:tcPr>
          <w:p>
            <w:pPr>
              <w:spacing w:after="0"/>
              <w:rPr>
                <w:sz w:val="19"/>
                <w:szCs w:val="19"/>
                <w:color w:val="auto"/>
              </w:rPr>
            </w:pPr>
          </w:p>
        </w:tc>
        <w:tc>
          <w:tcPr>
            <w:tcW w:w="80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7/1/21</w:t>
            </w:r>
          </w:p>
        </w:tc>
        <w:tc>
          <w:tcPr>
            <w:tcW w:w="8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9/2/21</w:t>
            </w:r>
          </w:p>
        </w:tc>
        <w:tc>
          <w:tcPr>
            <w:tcW w:w="8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171,563</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343,125</w:t>
            </w:r>
          </w:p>
        </w:tc>
        <w:tc>
          <w:tcPr>
            <w:tcW w:w="1060" w:type="dxa"/>
            <w:vAlign w:val="bottom"/>
            <w:shd w:val="clear" w:color="auto" w:fill="DBDBDB"/>
          </w:tcPr>
          <w:p>
            <w:pPr>
              <w:jc w:val="right"/>
              <w:ind w:right="288"/>
              <w:spacing w:after="0"/>
              <w:rPr>
                <w:sz w:val="20"/>
                <w:szCs w:val="20"/>
                <w:color w:val="auto"/>
              </w:rPr>
            </w:pPr>
            <w:r>
              <w:rPr>
                <w:rFonts w:ascii="Calibri" w:cs="Calibri" w:eastAsia="Calibri" w:hAnsi="Calibri"/>
                <w:sz w:val="14"/>
                <w:szCs w:val="14"/>
                <w:color w:val="auto"/>
              </w:rPr>
              <w:t>514,688</w:t>
            </w:r>
          </w:p>
        </w:tc>
        <w:tc>
          <w:tcPr>
            <w:tcW w:w="920" w:type="dxa"/>
            <w:vAlign w:val="bottom"/>
            <w:shd w:val="clear" w:color="auto" w:fill="DBDBDB"/>
          </w:tcPr>
          <w:p>
            <w:pPr>
              <w:ind w:left="380"/>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DBDBDB"/>
          </w:tcPr>
          <w:p>
            <w:pPr>
              <w:ind w:left="400"/>
              <w:spacing w:after="0"/>
              <w:rPr>
                <w:sz w:val="20"/>
                <w:szCs w:val="20"/>
                <w:color w:val="auto"/>
              </w:rPr>
            </w:pPr>
            <w:r>
              <w:rPr>
                <w:rFonts w:ascii="Calibri" w:cs="Calibri" w:eastAsia="Calibri" w:hAnsi="Calibri"/>
                <w:sz w:val="14"/>
                <w:szCs w:val="14"/>
                <w:color w:val="auto"/>
              </w:rPr>
              <w:t>—</w:t>
            </w:r>
          </w:p>
        </w:tc>
        <w:tc>
          <w:tcPr>
            <w:tcW w:w="8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BDBDB"/>
          </w:tcPr>
          <w:p>
            <w:pPr>
              <w:jc w:val="right"/>
              <w:ind w:right="168"/>
              <w:spacing w:after="0"/>
              <w:rPr>
                <w:sz w:val="20"/>
                <w:szCs w:val="20"/>
                <w:color w:val="auto"/>
              </w:rPr>
            </w:pPr>
            <w:r>
              <w:rPr>
                <w:rFonts w:ascii="Calibri" w:cs="Calibri" w:eastAsia="Calibri" w:hAnsi="Calibri"/>
                <w:sz w:val="14"/>
                <w:szCs w:val="14"/>
                <w:color w:val="auto"/>
              </w:rPr>
              <w:t>—</w:t>
            </w:r>
          </w:p>
        </w:tc>
        <w:tc>
          <w:tcPr>
            <w:tcW w:w="8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60"/>
        </w:trPr>
        <w:tc>
          <w:tcPr>
            <w:tcW w:w="980" w:type="dxa"/>
            <w:vAlign w:val="bottom"/>
            <w:tcBorders>
              <w:bottom w:val="single" w:sz="8" w:color="auto"/>
            </w:tcBorders>
            <w:shd w:val="clear" w:color="auto" w:fill="DBDBDB"/>
          </w:tcPr>
          <w:p>
            <w:pPr>
              <w:spacing w:after="0"/>
              <w:rPr>
                <w:sz w:val="5"/>
                <w:szCs w:val="5"/>
                <w:color w:val="auto"/>
              </w:rPr>
            </w:pPr>
          </w:p>
        </w:tc>
        <w:tc>
          <w:tcPr>
            <w:tcW w:w="800" w:type="dxa"/>
            <w:vAlign w:val="bottom"/>
            <w:tcBorders>
              <w:bottom w:val="single" w:sz="8" w:color="auto"/>
            </w:tcBorders>
            <w:shd w:val="clear" w:color="auto" w:fill="DBDBDB"/>
          </w:tcPr>
          <w:p>
            <w:pPr>
              <w:spacing w:after="0"/>
              <w:rPr>
                <w:sz w:val="5"/>
                <w:szCs w:val="5"/>
                <w:color w:val="auto"/>
              </w:rPr>
            </w:pPr>
          </w:p>
        </w:tc>
        <w:tc>
          <w:tcPr>
            <w:tcW w:w="820" w:type="dxa"/>
            <w:vAlign w:val="bottom"/>
            <w:tcBorders>
              <w:bottom w:val="single" w:sz="8" w:color="auto"/>
            </w:tcBorders>
            <w:shd w:val="clear" w:color="auto" w:fill="DBDBDB"/>
          </w:tcPr>
          <w:p>
            <w:pPr>
              <w:spacing w:after="0"/>
              <w:rPr>
                <w:sz w:val="5"/>
                <w:szCs w:val="5"/>
                <w:color w:val="auto"/>
              </w:rPr>
            </w:pPr>
          </w:p>
        </w:tc>
        <w:tc>
          <w:tcPr>
            <w:tcW w:w="840" w:type="dxa"/>
            <w:vAlign w:val="bottom"/>
            <w:tcBorders>
              <w:bottom w:val="single" w:sz="8" w:color="auto"/>
            </w:tcBorders>
            <w:shd w:val="clear" w:color="auto" w:fill="DBDBDB"/>
          </w:tcPr>
          <w:p>
            <w:pPr>
              <w:spacing w:after="0"/>
              <w:rPr>
                <w:sz w:val="5"/>
                <w:szCs w:val="5"/>
                <w:color w:val="auto"/>
              </w:rPr>
            </w:pPr>
          </w:p>
        </w:tc>
        <w:tc>
          <w:tcPr>
            <w:tcW w:w="720" w:type="dxa"/>
            <w:vAlign w:val="bottom"/>
            <w:tcBorders>
              <w:bottom w:val="single" w:sz="8" w:color="auto"/>
            </w:tcBorders>
            <w:shd w:val="clear" w:color="auto" w:fill="DBDBDB"/>
          </w:tcPr>
          <w:p>
            <w:pPr>
              <w:spacing w:after="0"/>
              <w:rPr>
                <w:sz w:val="5"/>
                <w:szCs w:val="5"/>
                <w:color w:val="auto"/>
              </w:rPr>
            </w:pPr>
          </w:p>
        </w:tc>
        <w:tc>
          <w:tcPr>
            <w:tcW w:w="1060" w:type="dxa"/>
            <w:vAlign w:val="bottom"/>
            <w:tcBorders>
              <w:bottom w:val="single" w:sz="8" w:color="auto"/>
            </w:tcBorders>
            <w:shd w:val="clear" w:color="auto" w:fill="DBDBDB"/>
          </w:tcPr>
          <w:p>
            <w:pPr>
              <w:spacing w:after="0"/>
              <w:rPr>
                <w:sz w:val="5"/>
                <w:szCs w:val="5"/>
                <w:color w:val="auto"/>
              </w:rPr>
            </w:pPr>
          </w:p>
        </w:tc>
        <w:tc>
          <w:tcPr>
            <w:tcW w:w="920" w:type="dxa"/>
            <w:vAlign w:val="bottom"/>
            <w:tcBorders>
              <w:bottom w:val="single" w:sz="8" w:color="auto"/>
            </w:tcBorders>
            <w:shd w:val="clear" w:color="auto" w:fill="DBDBDB"/>
          </w:tcPr>
          <w:p>
            <w:pPr>
              <w:spacing w:after="0"/>
              <w:rPr>
                <w:sz w:val="5"/>
                <w:szCs w:val="5"/>
                <w:color w:val="auto"/>
              </w:rPr>
            </w:pPr>
          </w:p>
        </w:tc>
        <w:tc>
          <w:tcPr>
            <w:tcW w:w="940" w:type="dxa"/>
            <w:vAlign w:val="bottom"/>
            <w:tcBorders>
              <w:bottom w:val="single" w:sz="8" w:color="auto"/>
            </w:tcBorders>
            <w:shd w:val="clear" w:color="auto" w:fill="DBDBDB"/>
          </w:tcPr>
          <w:p>
            <w:pPr>
              <w:spacing w:after="0"/>
              <w:rPr>
                <w:sz w:val="5"/>
                <w:szCs w:val="5"/>
                <w:color w:val="auto"/>
              </w:rPr>
            </w:pPr>
          </w:p>
        </w:tc>
        <w:tc>
          <w:tcPr>
            <w:tcW w:w="680" w:type="dxa"/>
            <w:vAlign w:val="bottom"/>
            <w:tcBorders>
              <w:bottom w:val="single" w:sz="8" w:color="auto"/>
            </w:tcBorders>
            <w:shd w:val="clear" w:color="auto" w:fill="DBDBDB"/>
          </w:tcPr>
          <w:p>
            <w:pPr>
              <w:spacing w:after="0"/>
              <w:rPr>
                <w:sz w:val="5"/>
                <w:szCs w:val="5"/>
                <w:color w:val="auto"/>
              </w:rPr>
            </w:pPr>
          </w:p>
        </w:tc>
        <w:tc>
          <w:tcPr>
            <w:tcW w:w="840" w:type="dxa"/>
            <w:vAlign w:val="bottom"/>
            <w:tcBorders>
              <w:bottom w:val="single" w:sz="8" w:color="auto"/>
            </w:tcBorders>
            <w:shd w:val="clear" w:color="auto" w:fill="DBDBDB"/>
          </w:tcPr>
          <w:p>
            <w:pPr>
              <w:spacing w:after="0"/>
              <w:rPr>
                <w:sz w:val="5"/>
                <w:szCs w:val="5"/>
                <w:color w:val="auto"/>
              </w:rPr>
            </w:pPr>
          </w:p>
        </w:tc>
        <w:tc>
          <w:tcPr>
            <w:tcW w:w="940" w:type="dxa"/>
            <w:vAlign w:val="bottom"/>
            <w:tcBorders>
              <w:bottom w:val="single" w:sz="8" w:color="auto"/>
            </w:tcBorders>
            <w:shd w:val="clear" w:color="auto" w:fill="DBDBDB"/>
          </w:tcPr>
          <w:p>
            <w:pPr>
              <w:spacing w:after="0"/>
              <w:rPr>
                <w:sz w:val="5"/>
                <w:szCs w:val="5"/>
                <w:color w:val="auto"/>
              </w:rPr>
            </w:pPr>
          </w:p>
        </w:tc>
        <w:tc>
          <w:tcPr>
            <w:tcW w:w="800" w:type="dxa"/>
            <w:vAlign w:val="bottom"/>
            <w:tcBorders>
              <w:bottom w:val="single" w:sz="8" w:color="auto"/>
            </w:tcBorders>
            <w:shd w:val="clear" w:color="auto" w:fill="DBDBDB"/>
          </w:tcPr>
          <w:p>
            <w:pPr>
              <w:spacing w:after="0"/>
              <w:rPr>
                <w:sz w:val="5"/>
                <w:szCs w:val="5"/>
                <w:color w:val="auto"/>
              </w:rPr>
            </w:pPr>
          </w:p>
        </w:tc>
        <w:tc>
          <w:tcPr>
            <w:tcW w:w="88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hanging="332"/>
        <w:spacing w:after="0" w:line="237" w:lineRule="auto"/>
        <w:tabs>
          <w:tab w:leader="none" w:pos="338"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Refects threshold, target and maximum potental payments for awards granted under the cash incentve plan as described under “—</w:t>
      </w:r>
      <w:r>
        <w:rPr>
          <w:rFonts w:ascii="Calibri" w:cs="Calibri" w:eastAsia="Calibri" w:hAnsi="Calibri"/>
          <w:sz w:val="14"/>
          <w:szCs w:val="14"/>
          <w:i w:val="1"/>
          <w:iCs w:val="1"/>
          <w:color w:val="auto"/>
        </w:rPr>
        <w:t>Compensaton Discussion and Analysis—</w:t>
      </w:r>
      <w:r>
        <w:rPr>
          <w:rFonts w:ascii="Calibri" w:cs="Calibri" w:eastAsia="Calibri" w:hAnsi="Calibri"/>
          <w:sz w:val="14"/>
          <w:szCs w:val="14"/>
          <w:color w:val="auto"/>
        </w:rPr>
        <w:t xml:space="preserve"> </w:t>
      </w:r>
      <w:r>
        <w:rPr>
          <w:rFonts w:ascii="Calibri" w:cs="Calibri" w:eastAsia="Calibri" w:hAnsi="Calibri"/>
          <w:sz w:val="14"/>
          <w:szCs w:val="14"/>
          <w:i w:val="1"/>
          <w:iCs w:val="1"/>
          <w:color w:val="auto"/>
        </w:rPr>
        <w:t>Compensaton Elements—Annual Cash Incentve Opportunites: Cash Incentve Plan.</w:t>
      </w:r>
      <w:r>
        <w:rPr>
          <w:rFonts w:ascii="Calibri" w:cs="Calibri" w:eastAsia="Calibri" w:hAnsi="Calibri"/>
          <w:sz w:val="14"/>
          <w:szCs w:val="14"/>
          <w:color w:val="auto"/>
        </w:rPr>
        <w:t>” Under the terms of the cash incentve plan, the named executve ofcers (other than Mr. Levchin) are</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eligible to receive cash awards subject to the achievement of pre-established corporate performance measures.</w:t>
      </w:r>
    </w:p>
    <w:p>
      <w:pPr>
        <w:spacing w:after="0" w:line="46" w:lineRule="exact"/>
        <w:rPr>
          <w:rFonts w:ascii="Calibri" w:cs="Calibri" w:eastAsia="Calibri" w:hAnsi="Calibri"/>
          <w:sz w:val="14"/>
          <w:szCs w:val="14"/>
          <w:color w:val="auto"/>
        </w:rPr>
      </w:pPr>
    </w:p>
    <w:p>
      <w:pPr>
        <w:ind w:left="340" w:hanging="332"/>
        <w:spacing w:after="0"/>
        <w:tabs>
          <w:tab w:leader="none" w:pos="340"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All RSU awards and optons were granted pursuant to the 2012 Stock Plan.</w:t>
      </w:r>
    </w:p>
    <w:p>
      <w:pPr>
        <w:spacing w:after="0" w:line="32" w:lineRule="exact"/>
        <w:rPr>
          <w:rFonts w:ascii="Calibri" w:cs="Calibri" w:eastAsia="Calibri" w:hAnsi="Calibri"/>
          <w:sz w:val="14"/>
          <w:szCs w:val="14"/>
          <w:color w:val="auto"/>
        </w:rPr>
      </w:pPr>
    </w:p>
    <w:p>
      <w:pPr>
        <w:jc w:val="both"/>
        <w:ind w:left="340" w:hanging="332"/>
        <w:spacing w:after="0" w:line="239" w:lineRule="auto"/>
        <w:tabs>
          <w:tab w:leader="none" w:pos="338"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The amounts reported represent the aggregate grant date fair value of the RSU awards and optons granted to the named executve ofcers calculated in accordance with FASB ASC Topic 718. The assumptons used in calculatng the grant date fair value of the awards reported in this column are set forth in the notes to our consolidated fnancial statements included in our Annual Report on Form 10-K for fscal 2022. The amounts reported in this column refect the accountng cost for these awards and do not correspond to the actual economic value that may be received by the named executve ofcer upon the sale of any of the underlying shares of Class A common stock.</w:t>
      </w:r>
    </w:p>
    <w:p>
      <w:pPr>
        <w:spacing w:after="0" w:line="48" w:lineRule="exact"/>
        <w:rPr>
          <w:rFonts w:ascii="Calibri" w:cs="Calibri" w:eastAsia="Calibri" w:hAnsi="Calibri"/>
          <w:sz w:val="14"/>
          <w:szCs w:val="14"/>
          <w:color w:val="auto"/>
        </w:rPr>
      </w:pPr>
    </w:p>
    <w:p>
      <w:pPr>
        <w:jc w:val="both"/>
        <w:ind w:left="340" w:hanging="332"/>
        <w:spacing w:after="0" w:line="237" w:lineRule="auto"/>
        <w:tabs>
          <w:tab w:leader="none" w:pos="338" w:val="left"/>
        </w:tabs>
        <w:numPr>
          <w:ilvl w:val="0"/>
          <w:numId w:val="46"/>
        </w:numPr>
        <w:rPr>
          <w:rFonts w:ascii="Calibri" w:cs="Calibri" w:eastAsia="Calibri" w:hAnsi="Calibri"/>
          <w:sz w:val="14"/>
          <w:szCs w:val="14"/>
          <w:color w:val="auto"/>
        </w:rPr>
      </w:pPr>
      <w:r>
        <w:rPr>
          <w:rFonts w:ascii="Calibri" w:cs="Calibri" w:eastAsia="Calibri" w:hAnsi="Calibri"/>
          <w:sz w:val="14"/>
          <w:szCs w:val="14"/>
          <w:color w:val="auto"/>
        </w:rPr>
        <w:t>The amounts reported for Ms. Martncevic’s awards represent the incremental value associated with the acceleraton of vestng of certain RSUs and optons held by Ms. Martncevic pursuant to the terms of her Transiton Agreement. See “</w:t>
      </w:r>
      <w:r>
        <w:rPr>
          <w:rFonts w:ascii="Calibri" w:cs="Calibri" w:eastAsia="Calibri" w:hAnsi="Calibri"/>
          <w:sz w:val="14"/>
          <w:szCs w:val="14"/>
          <w:i w:val="1"/>
          <w:iCs w:val="1"/>
          <w:color w:val="auto"/>
        </w:rPr>
        <w:t>—Compensaton Discussion and Analysis—Compensaton Elements—Post-Employment Compensaton—Transiton Agreement</w:t>
      </w:r>
      <w:r>
        <w:rPr>
          <w:rFonts w:ascii="Calibri" w:cs="Calibri" w:eastAsia="Calibri" w:hAnsi="Calibri"/>
          <w:sz w:val="14"/>
          <w:szCs w:val="14"/>
          <w:color w:val="auto"/>
        </w:rPr>
        <w:t xml:space="preserve"> </w:t>
      </w:r>
      <w:r>
        <w:rPr>
          <w:rFonts w:ascii="Calibri" w:cs="Calibri" w:eastAsia="Calibri" w:hAnsi="Calibri"/>
          <w:sz w:val="14"/>
          <w:szCs w:val="14"/>
          <w:i w:val="1"/>
          <w:iCs w:val="1"/>
          <w:color w:val="auto"/>
        </w:rPr>
        <w:t>with Silvija Martncevic</w:t>
      </w: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ectPr>
          <w:pgSz w:w="11900" w:h="16838" w:orient="portrait"/>
          <w:cols w:equalWidth="0" w:num="1">
            <w:col w:w="11240"/>
          </w:cols>
          <w:pgMar w:left="320" w:top="1396" w:right="33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22"/>
          <w:szCs w:val="22"/>
          <w:b w:val="1"/>
          <w:bCs w:val="1"/>
          <w:color w:val="auto"/>
        </w:rPr>
        <w:t>Fiscal 2022 Outstanding Equity Awards as of Fiscal Year-End Table</w:t>
      </w:r>
    </w:p>
    <w:p>
      <w:pPr>
        <w:spacing w:after="0" w:line="19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sets forth certain informaton about outstanding equity awards granted to our named executve ofcers that remained outstanding as of June 30, 2022.</w:t>
      </w:r>
    </w:p>
    <w:p>
      <w:pPr>
        <w:spacing w:after="0" w:line="193" w:lineRule="exact"/>
        <w:rPr>
          <w:sz w:val="20"/>
          <w:szCs w:val="20"/>
          <w:color w:val="auto"/>
        </w:rPr>
      </w:pPr>
    </w:p>
    <w:p>
      <w:pPr>
        <w:ind w:left="9760"/>
        <w:spacing w:after="0"/>
        <w:rPr>
          <w:sz w:val="20"/>
          <w:szCs w:val="20"/>
          <w:color w:val="auto"/>
        </w:rPr>
      </w:pPr>
      <w:r>
        <w:rPr>
          <w:rFonts w:ascii="Calibri" w:cs="Calibri" w:eastAsia="Calibri" w:hAnsi="Calibri"/>
          <w:sz w:val="14"/>
          <w:szCs w:val="14"/>
          <w:b w:val="1"/>
          <w:bCs w:val="1"/>
          <w:color w:val="auto"/>
        </w:rPr>
        <w:t>Stock Awards</w:t>
      </w:r>
      <w:r>
        <w:rPr>
          <w:rFonts w:ascii="Calibri" w:cs="Calibri" w:eastAsia="Calibri" w:hAnsi="Calibri"/>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17"/>
        </w:trPr>
        <w:tc>
          <w:tcPr>
            <w:tcW w:w="13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spacing w:after="0" w:line="216" w:lineRule="exact"/>
              <w:rPr>
                <w:sz w:val="20"/>
                <w:szCs w:val="20"/>
                <w:color w:val="auto"/>
              </w:rPr>
            </w:pPr>
            <w:r>
              <w:rPr>
                <w:rFonts w:ascii="Calibri" w:cs="Calibri" w:eastAsia="Calibri" w:hAnsi="Calibri"/>
                <w:sz w:val="14"/>
                <w:szCs w:val="14"/>
                <w:b w:val="1"/>
                <w:bCs w:val="1"/>
                <w:color w:val="auto"/>
              </w:rPr>
              <w:t>Opton Awards</w:t>
            </w:r>
            <w:r>
              <w:rPr>
                <w:rFonts w:ascii="Calibri" w:cs="Calibri" w:eastAsia="Calibri" w:hAnsi="Calibri"/>
                <w:sz w:val="18"/>
                <w:szCs w:val="18"/>
                <w:b w:val="1"/>
                <w:bCs w:val="1"/>
                <w:color w:val="auto"/>
                <w:vertAlign w:val="superscript"/>
              </w:rPr>
              <w:t>(1)</w:t>
            </w:r>
          </w:p>
        </w:tc>
        <w:tc>
          <w:tcPr>
            <w:tcW w:w="1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5"/>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jc w:val="center"/>
              <w:ind w:right="8"/>
              <w:spacing w:after="0" w:line="165" w:lineRule="exact"/>
              <w:rPr>
                <w:sz w:val="20"/>
                <w:szCs w:val="20"/>
                <w:color w:val="auto"/>
              </w:rPr>
            </w:pPr>
            <w:r>
              <w:rPr>
                <w:rFonts w:ascii="Calibri" w:cs="Calibri" w:eastAsia="Calibri" w:hAnsi="Calibri"/>
                <w:sz w:val="14"/>
                <w:szCs w:val="14"/>
                <w:b w:val="1"/>
                <w:bCs w:val="1"/>
                <w:color w:val="auto"/>
              </w:rPr>
              <w:t>Equity Incentve Plan</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center"/>
              <w:spacing w:after="0" w:line="167" w:lineRule="exact"/>
              <w:rPr>
                <w:sz w:val="20"/>
                <w:szCs w:val="20"/>
                <w:color w:val="auto"/>
              </w:rPr>
            </w:pPr>
            <w:r>
              <w:rPr>
                <w:rFonts w:ascii="Calibri" w:cs="Calibri" w:eastAsia="Calibri" w:hAnsi="Calibri"/>
                <w:sz w:val="14"/>
                <w:szCs w:val="14"/>
                <w:b w:val="1"/>
                <w:bCs w:val="1"/>
                <w:color w:val="auto"/>
              </w:rPr>
              <w:t>Number of</w:t>
            </w:r>
          </w:p>
        </w:tc>
        <w:tc>
          <w:tcPr>
            <w:tcW w:w="1240" w:type="dxa"/>
            <w:vAlign w:val="bottom"/>
          </w:tcPr>
          <w:p>
            <w:pPr>
              <w:jc w:val="center"/>
              <w:spacing w:after="0" w:line="167" w:lineRule="exact"/>
              <w:rPr>
                <w:sz w:val="20"/>
                <w:szCs w:val="20"/>
                <w:color w:val="auto"/>
              </w:rPr>
            </w:pPr>
            <w:r>
              <w:rPr>
                <w:rFonts w:ascii="Calibri" w:cs="Calibri" w:eastAsia="Calibri" w:hAnsi="Calibri"/>
                <w:sz w:val="14"/>
                <w:szCs w:val="14"/>
                <w:b w:val="1"/>
                <w:bCs w:val="1"/>
                <w:color w:val="auto"/>
              </w:rPr>
              <w:t>Number of</w:t>
            </w:r>
          </w:p>
        </w:tc>
        <w:tc>
          <w:tcPr>
            <w:tcW w:w="1560" w:type="dxa"/>
            <w:vAlign w:val="bottom"/>
          </w:tcPr>
          <w:p>
            <w:pPr>
              <w:jc w:val="center"/>
              <w:ind w:right="28"/>
              <w:spacing w:after="0" w:line="167" w:lineRule="exact"/>
              <w:rPr>
                <w:sz w:val="20"/>
                <w:szCs w:val="20"/>
                <w:color w:val="auto"/>
              </w:rPr>
            </w:pPr>
            <w:r>
              <w:rPr>
                <w:rFonts w:ascii="Calibri" w:cs="Calibri" w:eastAsia="Calibri" w:hAnsi="Calibri"/>
                <w:sz w:val="14"/>
                <w:szCs w:val="14"/>
                <w:b w:val="1"/>
                <w:bCs w:val="1"/>
                <w:color w:val="auto"/>
              </w:rPr>
              <w:t>Awards: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67" w:lineRule="exact"/>
              <w:rPr>
                <w:sz w:val="20"/>
                <w:szCs w:val="20"/>
                <w:color w:val="auto"/>
              </w:rPr>
            </w:pPr>
            <w:r>
              <w:rPr>
                <w:rFonts w:ascii="Calibri" w:cs="Calibri" w:eastAsia="Calibri" w:hAnsi="Calibri"/>
                <w:sz w:val="14"/>
                <w:szCs w:val="14"/>
                <w:b w:val="1"/>
                <w:bCs w:val="1"/>
                <w:color w:val="auto"/>
              </w:rPr>
              <w:t>Number of</w:t>
            </w:r>
          </w:p>
        </w:tc>
        <w:tc>
          <w:tcPr>
            <w:tcW w:w="1020" w:type="dxa"/>
            <w:vAlign w:val="bottom"/>
          </w:tcPr>
          <w:p>
            <w:pPr>
              <w:jc w:val="center"/>
              <w:spacing w:after="0" w:line="167" w:lineRule="exact"/>
              <w:rPr>
                <w:sz w:val="20"/>
                <w:szCs w:val="20"/>
                <w:color w:val="auto"/>
              </w:rPr>
            </w:pPr>
            <w:r>
              <w:rPr>
                <w:rFonts w:ascii="Calibri" w:cs="Calibri" w:eastAsia="Calibri" w:hAnsi="Calibri"/>
                <w:sz w:val="14"/>
                <w:szCs w:val="14"/>
                <w:b w:val="1"/>
                <w:bCs w:val="1"/>
                <w:color w:val="auto"/>
              </w:rPr>
              <w:t>Market Value of</w:t>
            </w:r>
          </w:p>
        </w:tc>
      </w:tr>
      <w:tr>
        <w:trPr>
          <w:trHeight w:val="176"/>
        </w:trPr>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Securites</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Securites</w:t>
            </w:r>
          </w:p>
        </w:tc>
        <w:tc>
          <w:tcPr>
            <w:tcW w:w="1560" w:type="dxa"/>
            <w:vAlign w:val="bottom"/>
          </w:tcPr>
          <w:p>
            <w:pPr>
              <w:jc w:val="center"/>
              <w:spacing w:after="0"/>
              <w:rPr>
                <w:sz w:val="20"/>
                <w:szCs w:val="20"/>
                <w:color w:val="auto"/>
              </w:rPr>
            </w:pPr>
            <w:r>
              <w:rPr>
                <w:rFonts w:ascii="Calibri" w:cs="Calibri" w:eastAsia="Calibri" w:hAnsi="Calibri"/>
                <w:sz w:val="14"/>
                <w:szCs w:val="14"/>
                <w:b w:val="1"/>
                <w:bCs w:val="1"/>
                <w:color w:val="auto"/>
              </w:rPr>
              <w:t>Number of Securites</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Shares or Units</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Shares or Units</w:t>
            </w:r>
          </w:p>
        </w:tc>
      </w:tr>
      <w:tr>
        <w:trPr>
          <w:trHeight w:val="175"/>
        </w:trPr>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Underlying</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Underlying</w:t>
            </w:r>
          </w:p>
        </w:tc>
        <w:tc>
          <w:tcPr>
            <w:tcW w:w="1560" w:type="dxa"/>
            <w:vAlign w:val="bottom"/>
          </w:tcPr>
          <w:p>
            <w:pPr>
              <w:jc w:val="center"/>
              <w:ind w:right="28"/>
              <w:spacing w:after="0"/>
              <w:rPr>
                <w:sz w:val="20"/>
                <w:szCs w:val="20"/>
                <w:color w:val="auto"/>
              </w:rPr>
            </w:pPr>
            <w:r>
              <w:rPr>
                <w:rFonts w:ascii="Calibri" w:cs="Calibri" w:eastAsia="Calibri" w:hAnsi="Calibri"/>
                <w:sz w:val="14"/>
                <w:szCs w:val="14"/>
                <w:b w:val="1"/>
                <w:bCs w:val="1"/>
                <w:color w:val="auto"/>
              </w:rPr>
              <w:t>Underlying</w:t>
            </w:r>
          </w:p>
        </w:tc>
        <w:tc>
          <w:tcPr>
            <w:tcW w:w="720" w:type="dxa"/>
            <w:vAlign w:val="bottom"/>
          </w:tcPr>
          <w:p>
            <w:pPr>
              <w:jc w:val="center"/>
              <w:spacing w:after="0"/>
              <w:rPr>
                <w:sz w:val="20"/>
                <w:szCs w:val="20"/>
                <w:color w:val="auto"/>
              </w:rPr>
            </w:pPr>
            <w:r>
              <w:rPr>
                <w:rFonts w:ascii="Calibri" w:cs="Calibri" w:eastAsia="Calibri" w:hAnsi="Calibri"/>
                <w:sz w:val="14"/>
                <w:szCs w:val="14"/>
                <w:b w:val="1"/>
                <w:bCs w:val="1"/>
                <w:color w:val="auto"/>
              </w:rPr>
              <w:t>Opton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of Stock That</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of Stock That</w:t>
            </w:r>
          </w:p>
        </w:tc>
      </w:tr>
      <w:tr>
        <w:trPr>
          <w:trHeight w:val="176"/>
        </w:trPr>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Vestng</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Unexercised</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Unexercised</w:t>
            </w:r>
          </w:p>
        </w:tc>
        <w:tc>
          <w:tcPr>
            <w:tcW w:w="156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Unexercised Unearned</w:t>
            </w:r>
          </w:p>
        </w:tc>
        <w:tc>
          <w:tcPr>
            <w:tcW w:w="720" w:type="dxa"/>
            <w:vAlign w:val="bottom"/>
          </w:tcPr>
          <w:p>
            <w:pPr>
              <w:jc w:val="center"/>
              <w:spacing w:after="0"/>
              <w:rPr>
                <w:sz w:val="20"/>
                <w:szCs w:val="20"/>
                <w:color w:val="auto"/>
              </w:rPr>
            </w:pPr>
            <w:r>
              <w:rPr>
                <w:rFonts w:ascii="Calibri" w:cs="Calibri" w:eastAsia="Calibri" w:hAnsi="Calibri"/>
                <w:sz w:val="14"/>
                <w:szCs w:val="14"/>
                <w:b w:val="1"/>
                <w:bCs w:val="1"/>
                <w:color w:val="auto"/>
              </w:rPr>
              <w:t>Exercise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Have Not</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Have Not</w:t>
            </w:r>
          </w:p>
        </w:tc>
      </w:tr>
      <w:tr>
        <w:trPr>
          <w:trHeight w:val="176"/>
        </w:trPr>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Commence-</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Optons (#)</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Optons (#)</w:t>
            </w:r>
          </w:p>
        </w:tc>
        <w:tc>
          <w:tcPr>
            <w:tcW w:w="156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Optons</w:t>
            </w:r>
          </w:p>
        </w:tc>
        <w:tc>
          <w:tcPr>
            <w:tcW w:w="720" w:type="dxa"/>
            <w:vAlign w:val="bottom"/>
          </w:tcPr>
          <w:p>
            <w:pPr>
              <w:jc w:val="center"/>
              <w:spacing w:after="0"/>
              <w:rPr>
                <w:sz w:val="20"/>
                <w:szCs w:val="20"/>
                <w:color w:val="auto"/>
              </w:rPr>
            </w:pPr>
            <w:r>
              <w:rPr>
                <w:rFonts w:ascii="Calibri" w:cs="Calibri" w:eastAsia="Calibri" w:hAnsi="Calibri"/>
                <w:sz w:val="14"/>
                <w:szCs w:val="14"/>
                <w:b w:val="1"/>
                <w:bCs w:val="1"/>
                <w:color w:val="auto"/>
              </w:rPr>
              <w:t>Price</w:t>
            </w:r>
          </w:p>
        </w:tc>
        <w:tc>
          <w:tcPr>
            <w:tcW w:w="1080" w:type="dxa"/>
            <w:vAlign w:val="bottom"/>
            <w:gridSpan w:val="2"/>
          </w:tcPr>
          <w:p>
            <w:pPr>
              <w:ind w:left="300"/>
              <w:spacing w:after="0"/>
              <w:rPr>
                <w:sz w:val="20"/>
                <w:szCs w:val="20"/>
                <w:color w:val="auto"/>
              </w:rPr>
            </w:pPr>
            <w:r>
              <w:rPr>
                <w:rFonts w:ascii="Calibri" w:cs="Calibri" w:eastAsia="Calibri" w:hAnsi="Calibri"/>
                <w:sz w:val="14"/>
                <w:szCs w:val="14"/>
                <w:b w:val="1"/>
                <w:bCs w:val="1"/>
                <w:color w:val="auto"/>
              </w:rPr>
              <w:t>Opton</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Vested</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Vested</w:t>
            </w:r>
          </w:p>
        </w:tc>
      </w:tr>
      <w:tr>
        <w:trPr>
          <w:trHeight w:val="170"/>
        </w:trPr>
        <w:tc>
          <w:tcPr>
            <w:tcW w:w="1380" w:type="dxa"/>
            <w:vAlign w:val="bottom"/>
          </w:tcPr>
          <w:p>
            <w:pPr>
              <w:ind w:left="20"/>
              <w:spacing w:after="0"/>
              <w:rPr>
                <w:sz w:val="20"/>
                <w:szCs w:val="20"/>
                <w:color w:val="auto"/>
              </w:rPr>
            </w:pPr>
            <w:r>
              <w:rPr>
                <w:rFonts w:ascii="Calibri" w:cs="Calibri" w:eastAsia="Calibri" w:hAnsi="Calibri"/>
                <w:sz w:val="14"/>
                <w:szCs w:val="14"/>
                <w:b w:val="1"/>
                <w:bCs w:val="1"/>
                <w:color w:val="auto"/>
              </w:rPr>
              <w:t>Name</w:t>
            </w:r>
          </w:p>
        </w:tc>
        <w:tc>
          <w:tcPr>
            <w:tcW w:w="1120" w:type="dxa"/>
            <w:vAlign w:val="bottom"/>
          </w:tcPr>
          <w:p>
            <w:pPr>
              <w:ind w:left="240"/>
              <w:spacing w:after="0"/>
              <w:rPr>
                <w:sz w:val="20"/>
                <w:szCs w:val="20"/>
                <w:color w:val="auto"/>
              </w:rPr>
            </w:pPr>
            <w:r>
              <w:rPr>
                <w:rFonts w:ascii="Calibri" w:cs="Calibri" w:eastAsia="Calibri" w:hAnsi="Calibri"/>
                <w:sz w:val="14"/>
                <w:szCs w:val="14"/>
                <w:b w:val="1"/>
                <w:bCs w:val="1"/>
                <w:color w:val="auto"/>
              </w:rPr>
              <w:t>Grant Date</w:t>
            </w: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rPr>
              <w:t>ment Date</w:t>
            </w: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Exercisable</w:t>
            </w: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rPr>
              <w:t>Unexercisable</w:t>
            </w:r>
          </w:p>
        </w:tc>
        <w:tc>
          <w:tcPr>
            <w:tcW w:w="156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08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Expiraton Date</w:t>
            </w:r>
          </w:p>
        </w:tc>
        <w:tc>
          <w:tcPr>
            <w:tcW w:w="98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r>
      <w:tr>
        <w:trPr>
          <w:trHeight w:val="60"/>
        </w:trPr>
        <w:tc>
          <w:tcPr>
            <w:tcW w:w="1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6"/>
        </w:trPr>
        <w:tc>
          <w:tcPr>
            <w:tcW w:w="1380" w:type="dxa"/>
            <w:vAlign w:val="bottom"/>
          </w:tcPr>
          <w:p>
            <w:pPr>
              <w:ind w:left="20"/>
              <w:spacing w:after="0"/>
              <w:rPr>
                <w:sz w:val="20"/>
                <w:szCs w:val="20"/>
                <w:color w:val="auto"/>
              </w:rPr>
            </w:pPr>
            <w:r>
              <w:rPr>
                <w:rFonts w:ascii="Calibri" w:cs="Calibri" w:eastAsia="Calibri" w:hAnsi="Calibri"/>
                <w:sz w:val="14"/>
                <w:szCs w:val="14"/>
                <w:color w:val="auto"/>
              </w:rPr>
              <w:t>Max Levchin</w:t>
            </w:r>
          </w:p>
        </w:tc>
        <w:tc>
          <w:tcPr>
            <w:tcW w:w="1120" w:type="dxa"/>
            <w:vAlign w:val="bottom"/>
          </w:tcPr>
          <w:p>
            <w:pPr>
              <w:jc w:val="center"/>
              <w:spacing w:after="0" w:line="216" w:lineRule="exact"/>
              <w:rPr>
                <w:sz w:val="20"/>
                <w:szCs w:val="20"/>
                <w:color w:val="auto"/>
              </w:rPr>
            </w:pPr>
            <w:r>
              <w:rPr>
                <w:rFonts w:ascii="Calibri" w:cs="Calibri" w:eastAsia="Calibri" w:hAnsi="Calibri"/>
                <w:sz w:val="14"/>
                <w:szCs w:val="14"/>
                <w:color w:val="auto"/>
                <w:w w:val="97"/>
              </w:rPr>
              <w:t>1/12/21</w:t>
            </w:r>
            <w:r>
              <w:rPr>
                <w:rFonts w:ascii="Calibri" w:cs="Calibri" w:eastAsia="Calibri" w:hAnsi="Calibri"/>
                <w:sz w:val="18"/>
                <w:szCs w:val="18"/>
                <w:color w:val="auto"/>
                <w:w w:val="97"/>
                <w:vertAlign w:val="superscript"/>
              </w:rPr>
              <w:t>(2)</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1,875,000</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2,125,000</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8,500,000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49.00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1/12/31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1380" w:type="dxa"/>
            <w:vAlign w:val="bottom"/>
            <w:shd w:val="clear" w:color="auto" w:fill="DBDBDB"/>
          </w:tcPr>
          <w:p>
            <w:pPr>
              <w:ind w:left="20"/>
              <w:spacing w:after="0"/>
              <w:rPr>
                <w:sz w:val="20"/>
                <w:szCs w:val="20"/>
                <w:color w:val="auto"/>
              </w:rPr>
            </w:pPr>
            <w:r>
              <w:rPr>
                <w:rFonts w:ascii="Calibri" w:cs="Calibri" w:eastAsia="Calibri" w:hAnsi="Calibri"/>
                <w:sz w:val="14"/>
                <w:szCs w:val="14"/>
                <w:color w:val="auto"/>
              </w:rPr>
              <w:t>Michael Linford</w:t>
            </w: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7"/>
              </w:rPr>
              <w:t>8/27/18</w:t>
            </w:r>
            <w:r>
              <w:rPr>
                <w:rFonts w:ascii="Calibri" w:cs="Calibri" w:eastAsia="Calibri" w:hAnsi="Calibri"/>
                <w:sz w:val="18"/>
                <w:szCs w:val="18"/>
                <w:color w:val="auto"/>
                <w:w w:val="97"/>
                <w:vertAlign w:val="superscript"/>
              </w:rPr>
              <w:t>(3)</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8/27/18</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1,196,770</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62,100</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5.39</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8/27/28</w:t>
            </w:r>
          </w:p>
        </w:tc>
        <w:tc>
          <w:tcPr>
            <w:tcW w:w="1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22"/>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5"/>
              </w:rPr>
              <w:t>11/18/20</w:t>
            </w:r>
            <w:r>
              <w:rPr>
                <w:rFonts w:ascii="Calibri" w:cs="Calibri" w:eastAsia="Calibri" w:hAnsi="Calibri"/>
                <w:sz w:val="18"/>
                <w:szCs w:val="18"/>
                <w:color w:val="auto"/>
                <w:w w:val="95"/>
                <w:vertAlign w:val="superscript"/>
              </w:rPr>
              <w:t>(6)</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shd w:val="clear" w:color="auto" w:fill="DBDBDB"/>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73,837</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1,333,496</w:t>
            </w:r>
          </w:p>
        </w:tc>
      </w:tr>
      <w:tr>
        <w:trPr>
          <w:trHeight w:val="230"/>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5"/>
              </w:rPr>
              <w:t>12/31/20</w:t>
            </w:r>
            <w:r>
              <w:rPr>
                <w:rFonts w:ascii="Calibri" w:cs="Calibri" w:eastAsia="Calibri" w:hAnsi="Calibri"/>
                <w:sz w:val="18"/>
                <w:szCs w:val="18"/>
                <w:color w:val="auto"/>
                <w:w w:val="95"/>
                <w:vertAlign w:val="superscript"/>
              </w:rPr>
              <w:t>(5)</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shd w:val="clear" w:color="auto" w:fill="DBDBDB"/>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23,334</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421,412</w:t>
            </w:r>
          </w:p>
        </w:tc>
      </w:tr>
      <w:tr>
        <w:trPr>
          <w:trHeight w:val="229"/>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7"/>
              </w:rPr>
              <w:t>1/12/21</w:t>
            </w:r>
            <w:r>
              <w:rPr>
                <w:rFonts w:ascii="Calibri" w:cs="Calibri" w:eastAsia="Calibri" w:hAnsi="Calibri"/>
                <w:sz w:val="18"/>
                <w:szCs w:val="18"/>
                <w:color w:val="auto"/>
                <w:w w:val="97"/>
                <w:vertAlign w:val="superscript"/>
              </w:rPr>
              <w:t>(6)</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13,018</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290,733</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49.00</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1/13/31</w:t>
            </w:r>
          </w:p>
        </w:tc>
        <w:tc>
          <w:tcPr>
            <w:tcW w:w="1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31"/>
        </w:trPr>
        <w:tc>
          <w:tcPr>
            <w:tcW w:w="1380" w:type="dxa"/>
            <w:vAlign w:val="bottom"/>
            <w:tcBorders>
              <w:bottom w:val="single" w:sz="8" w:color="DBDBDB"/>
            </w:tcBorders>
            <w:shd w:val="clear" w:color="auto" w:fill="DBDBDB"/>
          </w:tcPr>
          <w:p>
            <w:pPr>
              <w:spacing w:after="0"/>
              <w:rPr>
                <w:sz w:val="20"/>
                <w:szCs w:val="20"/>
                <w:color w:val="auto"/>
              </w:rPr>
            </w:pPr>
          </w:p>
        </w:tc>
        <w:tc>
          <w:tcPr>
            <w:tcW w:w="112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w w:val="98"/>
              </w:rPr>
              <w:t>6/8/22</w:t>
            </w:r>
            <w:r>
              <w:rPr>
                <w:rFonts w:ascii="Calibri" w:cs="Calibri" w:eastAsia="Calibri" w:hAnsi="Calibri"/>
                <w:sz w:val="18"/>
                <w:szCs w:val="18"/>
                <w:color w:val="auto"/>
                <w:w w:val="98"/>
                <w:vertAlign w:val="superscript"/>
              </w:rPr>
              <w:t>(5)</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rPr>
              <w:t>7/1/22</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536,746</w:t>
            </w:r>
          </w:p>
        </w:tc>
        <w:tc>
          <w:tcPr>
            <w:tcW w:w="1560" w:type="dxa"/>
            <w:vAlign w:val="bottom"/>
            <w:tcBorders>
              <w:bottom w:val="single" w:sz="8" w:color="DBDBDB"/>
            </w:tcBorders>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23.33</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6/8/32</w:t>
            </w:r>
          </w:p>
        </w:tc>
        <w:tc>
          <w:tcPr>
            <w:tcW w:w="100" w:type="dxa"/>
            <w:vAlign w:val="bottom"/>
            <w:tcBorders>
              <w:bottom w:val="single" w:sz="8" w:color="DBDBDB"/>
            </w:tcBorders>
            <w:shd w:val="clear" w:color="auto" w:fill="DBDBDB"/>
          </w:tcPr>
          <w:p>
            <w:pPr>
              <w:spacing w:after="0"/>
              <w:rPr>
                <w:sz w:val="20"/>
                <w:szCs w:val="20"/>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15"/>
        </w:trPr>
        <w:tc>
          <w:tcPr>
            <w:tcW w:w="1380" w:type="dxa"/>
            <w:vAlign w:val="bottom"/>
          </w:tcPr>
          <w:p>
            <w:pPr>
              <w:ind w:left="20"/>
              <w:spacing w:after="0"/>
              <w:rPr>
                <w:sz w:val="20"/>
                <w:szCs w:val="20"/>
                <w:color w:val="auto"/>
              </w:rPr>
            </w:pPr>
            <w:r>
              <w:rPr>
                <w:rFonts w:ascii="Calibri" w:cs="Calibri" w:eastAsia="Calibri" w:hAnsi="Calibri"/>
                <w:sz w:val="14"/>
                <w:szCs w:val="14"/>
                <w:color w:val="auto"/>
              </w:rPr>
              <w:t>Katherine Adkins</w:t>
            </w:r>
          </w:p>
        </w:tc>
        <w:tc>
          <w:tcPr>
            <w:tcW w:w="1120" w:type="dxa"/>
            <w:vAlign w:val="bottom"/>
          </w:tcPr>
          <w:p>
            <w:pPr>
              <w:jc w:val="center"/>
              <w:spacing w:after="0" w:line="216" w:lineRule="exact"/>
              <w:rPr>
                <w:sz w:val="20"/>
                <w:szCs w:val="20"/>
                <w:color w:val="auto"/>
              </w:rPr>
            </w:pPr>
            <w:r>
              <w:rPr>
                <w:rFonts w:ascii="Calibri" w:cs="Calibri" w:eastAsia="Calibri" w:hAnsi="Calibri"/>
                <w:sz w:val="14"/>
                <w:szCs w:val="14"/>
                <w:color w:val="auto"/>
                <w:w w:val="97"/>
              </w:rPr>
              <w:t>6/30/20</w:t>
            </w:r>
            <w:r>
              <w:rPr>
                <w:rFonts w:ascii="Calibri" w:cs="Calibri" w:eastAsia="Calibri" w:hAnsi="Calibri"/>
                <w:sz w:val="18"/>
                <w:szCs w:val="18"/>
                <w:color w:val="auto"/>
                <w:w w:val="97"/>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9/16/19</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88,000</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40,000</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8.80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6/30/30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183"/>
        </w:trPr>
        <w:tc>
          <w:tcPr>
            <w:tcW w:w="1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rPr>
              <w:t>10/26/20</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8/1/20</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4,650</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83,979</w:t>
            </w:r>
          </w:p>
        </w:tc>
      </w:tr>
      <w:tr>
        <w:trPr>
          <w:trHeight w:val="269"/>
        </w:trPr>
        <w:tc>
          <w:tcPr>
            <w:tcW w:w="13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8"/>
              </w:rPr>
              <w:t>6/1/21</w:t>
            </w:r>
            <w:r>
              <w:rPr>
                <w:rFonts w:ascii="Calibri" w:cs="Calibri" w:eastAsia="Calibri" w:hAnsi="Calibri"/>
                <w:sz w:val="18"/>
                <w:szCs w:val="18"/>
                <w:color w:val="auto"/>
                <w:w w:val="98"/>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6/1/21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2,768</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19,932</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62.52</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6/1/31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29"/>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7"/>
              </w:rPr>
              <w:t>6/24/21</w:t>
            </w:r>
            <w:r>
              <w:rPr>
                <w:rFonts w:ascii="Calibri" w:cs="Calibri" w:eastAsia="Calibri" w:hAnsi="Calibri"/>
                <w:sz w:val="18"/>
                <w:szCs w:val="18"/>
                <w:color w:val="auto"/>
                <w:w w:val="97"/>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6/1/21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5,960</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107,638</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8"/>
              </w:rPr>
              <w:t>1/4/22</w:t>
            </w:r>
            <w:r>
              <w:rPr>
                <w:rFonts w:ascii="Calibri" w:cs="Calibri" w:eastAsia="Calibri" w:hAnsi="Calibri"/>
                <w:sz w:val="18"/>
                <w:szCs w:val="18"/>
                <w:color w:val="auto"/>
                <w:w w:val="98"/>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3,022</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25,993</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85.41</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1/4/32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8"/>
              </w:rPr>
              <w:t>1/4/22</w:t>
            </w:r>
            <w:r>
              <w:rPr>
                <w:rFonts w:ascii="Calibri" w:cs="Calibri" w:eastAsia="Calibri" w:hAnsi="Calibri"/>
                <w:sz w:val="18"/>
                <w:szCs w:val="18"/>
                <w:color w:val="auto"/>
                <w:w w:val="98"/>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13,112</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236,803</w:t>
            </w:r>
          </w:p>
        </w:tc>
      </w:tr>
      <w:tr>
        <w:trPr>
          <w:trHeight w:val="229"/>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7"/>
              </w:rPr>
              <w:t>4/22/22</w:t>
            </w:r>
            <w:r>
              <w:rPr>
                <w:rFonts w:ascii="Calibri" w:cs="Calibri" w:eastAsia="Calibri" w:hAnsi="Calibri"/>
                <w:sz w:val="18"/>
                <w:szCs w:val="18"/>
                <w:color w:val="auto"/>
                <w:w w:val="97"/>
                <w:vertAlign w:val="superscript"/>
              </w:rPr>
              <w:t>(4)</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4/1/22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176</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4,063</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31.16</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4/22/32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8"/>
              </w:rPr>
              <w:t>6/8/22</w:t>
            </w:r>
            <w:r>
              <w:rPr>
                <w:rFonts w:ascii="Calibri" w:cs="Calibri" w:eastAsia="Calibri" w:hAnsi="Calibri"/>
                <w:sz w:val="18"/>
                <w:szCs w:val="18"/>
                <w:color w:val="auto"/>
                <w:w w:val="98"/>
                <w:vertAlign w:val="superscript"/>
              </w:rPr>
              <w:t>(5)</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7/1/22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227,085</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23.33</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6/8/32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8"/>
              </w:rPr>
              <w:t>6/8/22</w:t>
            </w:r>
            <w:r>
              <w:rPr>
                <w:rFonts w:ascii="Calibri" w:cs="Calibri" w:eastAsia="Calibri" w:hAnsi="Calibri"/>
                <w:sz w:val="18"/>
                <w:szCs w:val="18"/>
                <w:color w:val="auto"/>
                <w:w w:val="98"/>
                <w:vertAlign w:val="superscript"/>
              </w:rPr>
              <w:t>(5)</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7/1/22</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117,873</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2,128,786</w:t>
            </w:r>
          </w:p>
        </w:tc>
      </w:tr>
      <w:tr>
        <w:trPr>
          <w:trHeight w:val="21"/>
        </w:trPr>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5"/>
        </w:trPr>
        <w:tc>
          <w:tcPr>
            <w:tcW w:w="1380" w:type="dxa"/>
            <w:vAlign w:val="bottom"/>
            <w:shd w:val="clear" w:color="auto" w:fill="DBDBDB"/>
          </w:tcPr>
          <w:p>
            <w:pPr>
              <w:ind w:left="20"/>
              <w:spacing w:after="0"/>
              <w:rPr>
                <w:sz w:val="20"/>
                <w:szCs w:val="20"/>
                <w:color w:val="auto"/>
              </w:rPr>
            </w:pPr>
            <w:r>
              <w:rPr>
                <w:rFonts w:ascii="Calibri" w:cs="Calibri" w:eastAsia="Calibri" w:hAnsi="Calibri"/>
                <w:sz w:val="14"/>
                <w:szCs w:val="14"/>
                <w:color w:val="auto"/>
              </w:rPr>
              <w:t>Libor Michalek</w:t>
            </w:r>
          </w:p>
        </w:tc>
        <w:tc>
          <w:tcPr>
            <w:tcW w:w="1120" w:type="dxa"/>
            <w:vAlign w:val="bottom"/>
            <w:shd w:val="clear" w:color="auto" w:fill="DBDBDB"/>
          </w:tcPr>
          <w:p>
            <w:pPr>
              <w:jc w:val="center"/>
              <w:spacing w:after="0" w:line="216" w:lineRule="exact"/>
              <w:rPr>
                <w:sz w:val="20"/>
                <w:szCs w:val="20"/>
                <w:color w:val="auto"/>
              </w:rPr>
            </w:pPr>
            <w:r>
              <w:rPr>
                <w:rFonts w:ascii="Calibri" w:cs="Calibri" w:eastAsia="Calibri" w:hAnsi="Calibri"/>
                <w:sz w:val="14"/>
                <w:szCs w:val="14"/>
                <w:color w:val="auto"/>
                <w:w w:val="95"/>
              </w:rPr>
              <w:t>11/17/17</w:t>
            </w:r>
            <w:r>
              <w:rPr>
                <w:rFonts w:ascii="Calibri" w:cs="Calibri" w:eastAsia="Calibri" w:hAnsi="Calibri"/>
                <w:sz w:val="18"/>
                <w:szCs w:val="18"/>
                <w:color w:val="auto"/>
                <w:w w:val="95"/>
                <w:vertAlign w:val="superscript"/>
              </w:rPr>
              <w:t>(4)</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10/9/17</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200,000</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2.04</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11/17/27</w:t>
            </w:r>
          </w:p>
        </w:tc>
        <w:tc>
          <w:tcPr>
            <w:tcW w:w="10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22"/>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5"/>
              </w:rPr>
              <w:t>12/17/19</w:t>
            </w:r>
            <w:r>
              <w:rPr>
                <w:rFonts w:ascii="Calibri" w:cs="Calibri" w:eastAsia="Calibri" w:hAnsi="Calibri"/>
                <w:sz w:val="18"/>
                <w:szCs w:val="18"/>
                <w:color w:val="auto"/>
                <w:w w:val="95"/>
                <w:vertAlign w:val="superscript"/>
              </w:rPr>
              <w:t>(4)</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12/4/19</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375,000</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225,000</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8.80</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12/17/29</w:t>
            </w:r>
          </w:p>
        </w:tc>
        <w:tc>
          <w:tcPr>
            <w:tcW w:w="1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30"/>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5"/>
              </w:rPr>
              <w:t>11/18/20</w:t>
            </w:r>
            <w:r>
              <w:rPr>
                <w:rFonts w:ascii="Calibri" w:cs="Calibri" w:eastAsia="Calibri" w:hAnsi="Calibri"/>
                <w:sz w:val="18"/>
                <w:szCs w:val="18"/>
                <w:color w:val="auto"/>
                <w:w w:val="95"/>
                <w:vertAlign w:val="superscript"/>
              </w:rPr>
              <w:t>(6)</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shd w:val="clear" w:color="auto" w:fill="DBDBDB"/>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94,347</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1,703,907</w:t>
            </w:r>
          </w:p>
        </w:tc>
      </w:tr>
      <w:tr>
        <w:trPr>
          <w:trHeight w:val="230"/>
        </w:trPr>
        <w:tc>
          <w:tcPr>
            <w:tcW w:w="1380" w:type="dxa"/>
            <w:vAlign w:val="bottom"/>
            <w:shd w:val="clear" w:color="auto" w:fill="DBDBDB"/>
          </w:tcPr>
          <w:p>
            <w:pPr>
              <w:spacing w:after="0"/>
              <w:rPr>
                <w:sz w:val="19"/>
                <w:szCs w:val="19"/>
                <w:color w:val="auto"/>
              </w:rPr>
            </w:pPr>
          </w:p>
        </w:tc>
        <w:tc>
          <w:tcPr>
            <w:tcW w:w="112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w w:val="97"/>
              </w:rPr>
              <w:t>1/12/21</w:t>
            </w:r>
            <w:r>
              <w:rPr>
                <w:rFonts w:ascii="Calibri" w:cs="Calibri" w:eastAsia="Calibri" w:hAnsi="Calibri"/>
                <w:sz w:val="18"/>
                <w:szCs w:val="18"/>
                <w:color w:val="auto"/>
                <w:w w:val="97"/>
                <w:vertAlign w:val="superscript"/>
              </w:rPr>
              <w:t>(6)</w:t>
            </w:r>
          </w:p>
        </w:tc>
        <w:tc>
          <w:tcPr>
            <w:tcW w:w="1080" w:type="dxa"/>
            <w:vAlign w:val="bottom"/>
            <w:shd w:val="clear" w:color="auto" w:fill="DBDBDB"/>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72,080</w:t>
            </w:r>
          </w:p>
        </w:tc>
        <w:tc>
          <w:tcPr>
            <w:tcW w:w="1240" w:type="dxa"/>
            <w:vAlign w:val="bottom"/>
            <w:shd w:val="clear" w:color="auto" w:fill="DBDBDB"/>
          </w:tcPr>
          <w:p>
            <w:pPr>
              <w:jc w:val="right"/>
              <w:ind w:right="8"/>
              <w:spacing w:after="0"/>
              <w:rPr>
                <w:sz w:val="20"/>
                <w:szCs w:val="20"/>
                <w:color w:val="auto"/>
              </w:rPr>
            </w:pPr>
            <w:r>
              <w:rPr>
                <w:rFonts w:ascii="Calibri" w:cs="Calibri" w:eastAsia="Calibri" w:hAnsi="Calibri"/>
                <w:sz w:val="14"/>
                <w:szCs w:val="14"/>
                <w:color w:val="auto"/>
              </w:rPr>
              <w:t>371,491</w:t>
            </w:r>
          </w:p>
        </w:tc>
        <w:tc>
          <w:tcPr>
            <w:tcW w:w="1560" w:type="dxa"/>
            <w:vAlign w:val="bottom"/>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49.00</w:t>
            </w: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1/13/31</w:t>
            </w:r>
          </w:p>
        </w:tc>
        <w:tc>
          <w:tcPr>
            <w:tcW w:w="1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31"/>
        </w:trPr>
        <w:tc>
          <w:tcPr>
            <w:tcW w:w="1380" w:type="dxa"/>
            <w:vAlign w:val="bottom"/>
            <w:tcBorders>
              <w:bottom w:val="single" w:sz="8" w:color="DBDBDB"/>
            </w:tcBorders>
            <w:shd w:val="clear" w:color="auto" w:fill="DBDBDB"/>
          </w:tcPr>
          <w:p>
            <w:pPr>
              <w:spacing w:after="0"/>
              <w:rPr>
                <w:sz w:val="20"/>
                <w:szCs w:val="20"/>
                <w:color w:val="auto"/>
              </w:rPr>
            </w:pPr>
          </w:p>
        </w:tc>
        <w:tc>
          <w:tcPr>
            <w:tcW w:w="112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w w:val="98"/>
              </w:rPr>
              <w:t>6/8/22</w:t>
            </w:r>
            <w:r>
              <w:rPr>
                <w:rFonts w:ascii="Calibri" w:cs="Calibri" w:eastAsia="Calibri" w:hAnsi="Calibri"/>
                <w:sz w:val="18"/>
                <w:szCs w:val="18"/>
                <w:color w:val="auto"/>
                <w:w w:val="98"/>
                <w:vertAlign w:val="superscript"/>
              </w:rPr>
              <w:t>(5)</w:t>
            </w:r>
          </w:p>
        </w:tc>
        <w:tc>
          <w:tcPr>
            <w:tcW w:w="1080" w:type="dxa"/>
            <w:vAlign w:val="bottom"/>
            <w:tcBorders>
              <w:bottom w:val="single" w:sz="8" w:color="DBDBDB"/>
            </w:tcBorders>
            <w:shd w:val="clear" w:color="auto" w:fill="DBDBDB"/>
          </w:tcPr>
          <w:p>
            <w:pPr>
              <w:jc w:val="center"/>
              <w:spacing w:after="0"/>
              <w:rPr>
                <w:sz w:val="20"/>
                <w:szCs w:val="20"/>
                <w:color w:val="auto"/>
              </w:rPr>
            </w:pPr>
            <w:r>
              <w:rPr>
                <w:rFonts w:ascii="Calibri" w:cs="Calibri" w:eastAsia="Calibri" w:hAnsi="Calibri"/>
                <w:sz w:val="14"/>
                <w:szCs w:val="14"/>
                <w:color w:val="auto"/>
              </w:rPr>
              <w:t>7/1/22</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536,746</w:t>
            </w:r>
          </w:p>
        </w:tc>
        <w:tc>
          <w:tcPr>
            <w:tcW w:w="1560" w:type="dxa"/>
            <w:vAlign w:val="bottom"/>
            <w:tcBorders>
              <w:bottom w:val="single" w:sz="8" w:color="DBDBDB"/>
            </w:tcBorders>
            <w:shd w:val="clear" w:color="auto" w:fill="DBDBDB"/>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23.33</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6/8/32</w:t>
            </w:r>
          </w:p>
        </w:tc>
        <w:tc>
          <w:tcPr>
            <w:tcW w:w="100" w:type="dxa"/>
            <w:vAlign w:val="bottom"/>
            <w:tcBorders>
              <w:bottom w:val="single" w:sz="8" w:color="DBDBDB"/>
            </w:tcBorders>
            <w:shd w:val="clear" w:color="auto" w:fill="DBDBDB"/>
          </w:tcPr>
          <w:p>
            <w:pPr>
              <w:spacing w:after="0"/>
              <w:rPr>
                <w:sz w:val="20"/>
                <w:szCs w:val="20"/>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w:t>
            </w:r>
          </w:p>
        </w:tc>
      </w:tr>
      <w:tr>
        <w:trPr>
          <w:trHeight w:val="215"/>
        </w:trPr>
        <w:tc>
          <w:tcPr>
            <w:tcW w:w="1380" w:type="dxa"/>
            <w:vAlign w:val="bottom"/>
          </w:tcPr>
          <w:p>
            <w:pPr>
              <w:ind w:left="20"/>
              <w:spacing w:after="0"/>
              <w:rPr>
                <w:sz w:val="20"/>
                <w:szCs w:val="20"/>
                <w:color w:val="auto"/>
              </w:rPr>
            </w:pPr>
            <w:r>
              <w:rPr>
                <w:rFonts w:ascii="Calibri" w:cs="Calibri" w:eastAsia="Calibri" w:hAnsi="Calibri"/>
                <w:sz w:val="14"/>
                <w:szCs w:val="14"/>
                <w:color w:val="auto"/>
              </w:rPr>
              <w:t>Silvija Martncevic</w:t>
            </w:r>
          </w:p>
        </w:tc>
        <w:tc>
          <w:tcPr>
            <w:tcW w:w="1120" w:type="dxa"/>
            <w:vAlign w:val="bottom"/>
          </w:tcPr>
          <w:p>
            <w:pPr>
              <w:jc w:val="center"/>
              <w:spacing w:after="0" w:line="216" w:lineRule="exact"/>
              <w:rPr>
                <w:sz w:val="20"/>
                <w:szCs w:val="20"/>
                <w:color w:val="auto"/>
              </w:rPr>
            </w:pPr>
            <w:r>
              <w:rPr>
                <w:rFonts w:ascii="Calibri" w:cs="Calibri" w:eastAsia="Calibri" w:hAnsi="Calibri"/>
                <w:sz w:val="14"/>
                <w:szCs w:val="14"/>
                <w:color w:val="auto"/>
                <w:w w:val="98"/>
              </w:rPr>
              <w:t>6/6/19</w:t>
            </w:r>
            <w:r>
              <w:rPr>
                <w:rFonts w:ascii="Calibri" w:cs="Calibri" w:eastAsia="Calibri" w:hAnsi="Calibri"/>
                <w:sz w:val="18"/>
                <w:szCs w:val="18"/>
                <w:color w:val="auto"/>
                <w:w w:val="98"/>
                <w:vertAlign w:val="superscript"/>
              </w:rPr>
              <w:t>(3)</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4/29/19</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448,434</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166,667</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8.80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6/6/29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22"/>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5"/>
              </w:rPr>
              <w:t>11/18/20</w:t>
            </w:r>
            <w:r>
              <w:rPr>
                <w:rFonts w:ascii="Calibri" w:cs="Calibri" w:eastAsia="Calibri" w:hAnsi="Calibri"/>
                <w:sz w:val="18"/>
                <w:szCs w:val="18"/>
                <w:color w:val="auto"/>
                <w:w w:val="95"/>
                <w:vertAlign w:val="superscript"/>
              </w:rPr>
              <w:t>(6)</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73,837</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1,333,496</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5"/>
              </w:rPr>
              <w:t>12/31/20</w:t>
            </w:r>
            <w:r>
              <w:rPr>
                <w:rFonts w:ascii="Calibri" w:cs="Calibri" w:eastAsia="Calibri" w:hAnsi="Calibri"/>
                <w:sz w:val="18"/>
                <w:szCs w:val="18"/>
                <w:color w:val="auto"/>
                <w:w w:val="95"/>
                <w:vertAlign w:val="superscript"/>
              </w:rPr>
              <w:t>(5)</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80" w:type="dxa"/>
            <w:vAlign w:val="bottom"/>
            <w:gridSpan w:val="2"/>
          </w:tcPr>
          <w:p>
            <w:pPr>
              <w:ind w:left="800"/>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23,334</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421,412</w:t>
            </w:r>
          </w:p>
        </w:tc>
      </w:tr>
      <w:tr>
        <w:trPr>
          <w:trHeight w:val="230"/>
        </w:trPr>
        <w:tc>
          <w:tcPr>
            <w:tcW w:w="13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Calibri" w:cs="Calibri" w:eastAsia="Calibri" w:hAnsi="Calibri"/>
                <w:sz w:val="14"/>
                <w:szCs w:val="14"/>
                <w:color w:val="auto"/>
                <w:w w:val="97"/>
              </w:rPr>
              <w:t>1/12/21</w:t>
            </w:r>
            <w:r>
              <w:rPr>
                <w:rFonts w:ascii="Calibri" w:cs="Calibri" w:eastAsia="Calibri" w:hAnsi="Calibri"/>
                <w:sz w:val="18"/>
                <w:szCs w:val="18"/>
                <w:color w:val="auto"/>
                <w:w w:val="97"/>
                <w:vertAlign w:val="superscript"/>
              </w:rPr>
              <w:t>(6)</w:t>
            </w:r>
          </w:p>
        </w:tc>
        <w:tc>
          <w:tcPr>
            <w:tcW w:w="1080" w:type="dxa"/>
            <w:vAlign w:val="bottom"/>
          </w:tcPr>
          <w:p>
            <w:pPr>
              <w:jc w:val="center"/>
              <w:spacing w:after="0"/>
              <w:rPr>
                <w:sz w:val="20"/>
                <w:szCs w:val="20"/>
                <w:color w:val="auto"/>
              </w:rPr>
            </w:pPr>
            <w:r>
              <w:rPr>
                <w:rFonts w:ascii="Calibri" w:cs="Calibri" w:eastAsia="Calibri" w:hAnsi="Calibri"/>
                <w:sz w:val="14"/>
                <w:szCs w:val="14"/>
                <w:color w:val="auto"/>
              </w:rPr>
              <w:t>1/1/21</w:t>
            </w:r>
          </w:p>
        </w:tc>
        <w:tc>
          <w:tcPr>
            <w:tcW w:w="1040" w:type="dxa"/>
            <w:vAlign w:val="bottom"/>
          </w:tcPr>
          <w:p>
            <w:pPr>
              <w:jc w:val="right"/>
              <w:spacing w:after="0"/>
              <w:rPr>
                <w:sz w:val="20"/>
                <w:szCs w:val="20"/>
                <w:color w:val="auto"/>
              </w:rPr>
            </w:pPr>
            <w:r>
              <w:rPr>
                <w:rFonts w:ascii="Calibri" w:cs="Calibri" w:eastAsia="Calibri" w:hAnsi="Calibri"/>
                <w:sz w:val="14"/>
                <w:szCs w:val="14"/>
                <w:color w:val="auto"/>
              </w:rPr>
              <w:t>56,410</w:t>
            </w:r>
          </w:p>
        </w:tc>
        <w:tc>
          <w:tcPr>
            <w:tcW w:w="1240" w:type="dxa"/>
            <w:vAlign w:val="bottom"/>
          </w:tcPr>
          <w:p>
            <w:pPr>
              <w:jc w:val="right"/>
              <w:ind w:right="8"/>
              <w:spacing w:after="0"/>
              <w:rPr>
                <w:sz w:val="20"/>
                <w:szCs w:val="20"/>
                <w:color w:val="auto"/>
              </w:rPr>
            </w:pPr>
            <w:r>
              <w:rPr>
                <w:rFonts w:ascii="Calibri" w:cs="Calibri" w:eastAsia="Calibri" w:hAnsi="Calibri"/>
                <w:sz w:val="14"/>
                <w:szCs w:val="14"/>
                <w:color w:val="auto"/>
              </w:rPr>
              <w:t>290,733</w:t>
            </w:r>
          </w:p>
        </w:tc>
        <w:tc>
          <w:tcPr>
            <w:tcW w:w="1560" w:type="dxa"/>
            <w:vAlign w:val="bottom"/>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49.00</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1/13/31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All of the outstanding optons and RSU awards were granted pursuant to the 2012 Stock Plan.</w:t>
      </w:r>
    </w:p>
    <w:p>
      <w:pPr>
        <w:spacing w:after="0" w:line="32"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Represents the Value Creaton Award granted to Mr. Levchin. For details regarding the vestng of the Value Creaton Award, see “</w:t>
      </w:r>
      <w:r>
        <w:rPr>
          <w:rFonts w:ascii="Calibri" w:cs="Calibri" w:eastAsia="Calibri" w:hAnsi="Calibri"/>
          <w:sz w:val="14"/>
          <w:szCs w:val="14"/>
          <w:i w:val="1"/>
          <w:iCs w:val="1"/>
          <w:color w:val="auto"/>
        </w:rPr>
        <w:t>—Compensaton Discussion and Analysis—Compensaton</w:t>
      </w:r>
      <w:r>
        <w:rPr>
          <w:rFonts w:ascii="Calibri" w:cs="Calibri" w:eastAsia="Calibri" w:hAnsi="Calibri"/>
          <w:sz w:val="14"/>
          <w:szCs w:val="14"/>
          <w:color w:val="auto"/>
        </w:rPr>
        <w:t xml:space="preserve"> </w:t>
      </w:r>
      <w:r>
        <w:rPr>
          <w:rFonts w:ascii="Calibri" w:cs="Calibri" w:eastAsia="Calibri" w:hAnsi="Calibri"/>
          <w:sz w:val="14"/>
          <w:szCs w:val="14"/>
          <w:i w:val="1"/>
          <w:iCs w:val="1"/>
          <w:color w:val="auto"/>
        </w:rPr>
        <w:t>Elements—Long-Term Incentve Compensaton—CEO Long-Term Equity Compensaton</w:t>
      </w:r>
      <w:r>
        <w:rPr>
          <w:rFonts w:ascii="Calibri" w:cs="Calibri" w:eastAsia="Calibri" w:hAnsi="Calibri"/>
          <w:sz w:val="14"/>
          <w:szCs w:val="14"/>
          <w:color w:val="auto"/>
        </w:rPr>
        <w:t>.”</w:t>
      </w:r>
    </w:p>
    <w:p>
      <w:pPr>
        <w:spacing w:after="0" w:line="20" w:lineRule="exact"/>
        <w:rPr>
          <w:rFonts w:ascii="Calibri" w:cs="Calibri" w:eastAsia="Calibri" w:hAnsi="Calibri"/>
          <w:sz w:val="14"/>
          <w:szCs w:val="14"/>
          <w:color w:val="auto"/>
        </w:rPr>
      </w:pPr>
    </w:p>
    <w:p>
      <w:pPr>
        <w:ind w:left="340" w:right="20" w:hanging="332"/>
        <w:spacing w:after="0" w:line="256" w:lineRule="auto"/>
        <w:tabs>
          <w:tab w:leader="none" w:pos="338"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Vests with respect to 1</w:t>
      </w:r>
      <w:r>
        <w:rPr>
          <w:rFonts w:ascii="Arial" w:cs="Arial" w:eastAsia="Arial" w:hAnsi="Arial"/>
          <w:sz w:val="14"/>
          <w:szCs w:val="14"/>
          <w:color w:val="auto"/>
        </w:rPr>
        <w:t>∕</w:t>
      </w:r>
      <w:r>
        <w:rPr>
          <w:rFonts w:ascii="Calibri" w:cs="Calibri" w:eastAsia="Calibri" w:hAnsi="Calibri"/>
          <w:sz w:val="14"/>
          <w:szCs w:val="14"/>
          <w:color w:val="auto"/>
        </w:rPr>
        <w:t>4 of the shares of our Class A common stock underlying the opton on the one-year anniversary of the vestng commencement date and the remaining 3</w:t>
      </w:r>
      <w:r>
        <w:rPr>
          <w:rFonts w:ascii="Arial" w:cs="Arial" w:eastAsia="Arial" w:hAnsi="Arial"/>
          <w:sz w:val="14"/>
          <w:szCs w:val="14"/>
          <w:color w:val="auto"/>
        </w:rPr>
        <w:t>∕</w:t>
      </w:r>
      <w:r>
        <w:rPr>
          <w:rFonts w:ascii="Calibri" w:cs="Calibri" w:eastAsia="Calibri" w:hAnsi="Calibri"/>
          <w:sz w:val="14"/>
          <w:szCs w:val="14"/>
          <w:color w:val="auto"/>
        </w:rPr>
        <w:t>4 of the shares underlying the opton vest in equal monthly installments over the subsequent three years, in each case subject to contnued service as of each vestng date.</w:t>
      </w:r>
    </w:p>
    <w:p>
      <w:pPr>
        <w:spacing w:after="0" w:line="21"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Vests monthly at the rate of 1/48 of the shares of our Class A common stock underlying the opton following the vestng commencement date, subject to contnued service as of each vestng date.</w:t>
      </w:r>
    </w:p>
    <w:p>
      <w:pPr>
        <w:spacing w:after="0" w:line="42"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Vests monthly at the rate of 1/24 of the shares of our Class A common stock underlying the opton following the vestng commencement date, subject to contnued service as of each vestng date.</w:t>
      </w:r>
    </w:p>
    <w:p>
      <w:pPr>
        <w:spacing w:after="0" w:line="29"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47"/>
        </w:numPr>
        <w:rPr>
          <w:rFonts w:ascii="Calibri" w:cs="Calibri" w:eastAsia="Calibri" w:hAnsi="Calibri"/>
          <w:sz w:val="14"/>
          <w:szCs w:val="14"/>
          <w:color w:val="auto"/>
        </w:rPr>
      </w:pPr>
      <w:r>
        <w:rPr>
          <w:rFonts w:ascii="Calibri" w:cs="Calibri" w:eastAsia="Calibri" w:hAnsi="Calibri"/>
          <w:sz w:val="14"/>
          <w:szCs w:val="14"/>
          <w:color w:val="auto"/>
        </w:rPr>
        <w:t>Vests over four and 1/2 years, with the frst 5% of each grant vestng afer six months, and the remainder of each grant vestng in quarterly installments over the remaining four years, in annual aggregate amounts equal to 15%, 20%, 30% and 30%, respectvely, in each case subject to contnued service as of each vestng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ectPr>
          <w:pgSz w:w="11900" w:h="16838" w:orient="portrait"/>
          <w:cols w:equalWidth="0" w:num="1">
            <w:col w:w="11240"/>
          </w:cols>
          <w:pgMar w:left="320" w:top="1396" w:right="339" w:bottom="1440" w:gutter="0" w:footer="0" w:header="0"/>
        </w:sectPr>
      </w:pPr>
    </w:p>
    <w:bookmarkStart w:id="43" w:name="page44"/>
    <w:bookmarkEnd w:id="43"/>
    <w:p>
      <w:pPr>
        <w:spacing w:after="0" w:line="31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Fiscal 2022 Opton Exercises and Stock Vested Table</w:t>
      </w:r>
    </w:p>
    <w:p>
      <w:pPr>
        <w:spacing w:after="0" w:line="18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following table sets forth the number of shares of Class A common stock acquired and the value realized upon the exercise of optons and the vestng of stock awards by each of our named executve ofcers for fscal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640" w:type="dxa"/>
            <w:vAlign w:val="bottom"/>
            <w:gridSpan w:val="3"/>
          </w:tcPr>
          <w:p>
            <w:pPr>
              <w:ind w:left="1340"/>
              <w:spacing w:after="0"/>
              <w:rPr>
                <w:sz w:val="20"/>
                <w:szCs w:val="20"/>
                <w:color w:val="auto"/>
              </w:rPr>
            </w:pPr>
            <w:r>
              <w:rPr>
                <w:rFonts w:ascii="Calibri" w:cs="Calibri" w:eastAsia="Calibri" w:hAnsi="Calibri"/>
                <w:sz w:val="14"/>
                <w:szCs w:val="14"/>
                <w:b w:val="1"/>
                <w:bCs w:val="1"/>
                <w:color w:val="auto"/>
              </w:rPr>
              <w:t>Opton Awards</w:t>
            </w:r>
          </w:p>
        </w:tc>
        <w:tc>
          <w:tcPr>
            <w:tcW w:w="3440" w:type="dxa"/>
            <w:vAlign w:val="bottom"/>
            <w:gridSpan w:val="2"/>
          </w:tcPr>
          <w:p>
            <w:pPr>
              <w:jc w:val="right"/>
              <w:ind w:right="1248"/>
              <w:spacing w:after="0"/>
              <w:rPr>
                <w:sz w:val="20"/>
                <w:szCs w:val="20"/>
                <w:color w:val="auto"/>
              </w:rPr>
            </w:pPr>
            <w:r>
              <w:rPr>
                <w:rFonts w:ascii="Calibri" w:cs="Calibri" w:eastAsia="Calibri" w:hAnsi="Calibri"/>
                <w:sz w:val="14"/>
                <w:szCs w:val="14"/>
                <w:b w:val="1"/>
                <w:bCs w:val="1"/>
                <w:color w:val="auto"/>
              </w:rPr>
              <w:t>Stock Awards</w:t>
            </w:r>
          </w:p>
        </w:tc>
      </w:tr>
      <w:tr>
        <w:trPr>
          <w:trHeight w:val="60"/>
        </w:trPr>
        <w:tc>
          <w:tcPr>
            <w:tcW w:w="414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155"/>
        </w:trPr>
        <w:tc>
          <w:tcPr>
            <w:tcW w:w="4140" w:type="dxa"/>
            <w:vAlign w:val="bottom"/>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Number of Shares Acquired</w:t>
            </w:r>
          </w:p>
        </w:tc>
        <w:tc>
          <w:tcPr>
            <w:tcW w:w="1720" w:type="dxa"/>
            <w:vAlign w:val="bottom"/>
          </w:tcPr>
          <w:p>
            <w:pPr>
              <w:jc w:val="right"/>
              <w:ind w:right="8"/>
              <w:spacing w:after="0" w:line="155" w:lineRule="exact"/>
              <w:rPr>
                <w:sz w:val="20"/>
                <w:szCs w:val="20"/>
                <w:color w:val="auto"/>
              </w:rPr>
            </w:pPr>
            <w:r>
              <w:rPr>
                <w:rFonts w:ascii="Calibri" w:cs="Calibri" w:eastAsia="Calibri" w:hAnsi="Calibri"/>
                <w:sz w:val="14"/>
                <w:szCs w:val="14"/>
                <w:b w:val="1"/>
                <w:bCs w:val="1"/>
                <w:color w:val="auto"/>
              </w:rPr>
              <w:t>Value Realized on Exercise</w:t>
            </w:r>
          </w:p>
        </w:tc>
        <w:tc>
          <w:tcPr>
            <w:tcW w:w="100" w:type="dxa"/>
            <w:vAlign w:val="bottom"/>
          </w:tcPr>
          <w:p>
            <w:pPr>
              <w:spacing w:after="0"/>
              <w:rPr>
                <w:sz w:val="13"/>
                <w:szCs w:val="13"/>
                <w:color w:val="auto"/>
              </w:rPr>
            </w:pPr>
          </w:p>
        </w:tc>
        <w:tc>
          <w:tcPr>
            <w:tcW w:w="182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rPr>
              <w:t>Number of Shares</w:t>
            </w:r>
          </w:p>
        </w:tc>
        <w:tc>
          <w:tcPr>
            <w:tcW w:w="1620" w:type="dxa"/>
            <w:vAlign w:val="bottom"/>
          </w:tcPr>
          <w:p>
            <w:pPr>
              <w:jc w:val="right"/>
              <w:spacing w:after="0" w:line="155" w:lineRule="exact"/>
              <w:rPr>
                <w:sz w:val="20"/>
                <w:szCs w:val="20"/>
                <w:color w:val="auto"/>
              </w:rPr>
            </w:pPr>
            <w:r>
              <w:rPr>
                <w:rFonts w:ascii="Calibri" w:cs="Calibri" w:eastAsia="Calibri" w:hAnsi="Calibri"/>
                <w:sz w:val="14"/>
                <w:szCs w:val="14"/>
                <w:b w:val="1"/>
                <w:bCs w:val="1"/>
                <w:color w:val="auto"/>
              </w:rPr>
              <w:t>Value Realized on Vestng</w:t>
            </w:r>
          </w:p>
        </w:tc>
      </w:tr>
      <w:tr>
        <w:trPr>
          <w:trHeight w:val="176"/>
        </w:trPr>
        <w:tc>
          <w:tcPr>
            <w:tcW w:w="41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Calibri" w:cs="Calibri" w:eastAsia="Calibri" w:hAnsi="Calibri"/>
                <w:sz w:val="14"/>
                <w:szCs w:val="14"/>
                <w:b w:val="1"/>
                <w:bCs w:val="1"/>
                <w:color w:val="auto"/>
              </w:rPr>
              <w:t>on Exercise</w:t>
            </w:r>
          </w:p>
        </w:tc>
        <w:tc>
          <w:tcPr>
            <w:tcW w:w="1720" w:type="dxa"/>
            <w:vAlign w:val="bottom"/>
          </w:tcPr>
          <w:p>
            <w:pPr>
              <w:jc w:val="right"/>
              <w:ind w:right="648"/>
              <w:spacing w:after="0" w:line="175"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(1)</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Calibri" w:cs="Calibri" w:eastAsia="Calibri" w:hAnsi="Calibri"/>
                <w:sz w:val="14"/>
                <w:szCs w:val="14"/>
                <w:b w:val="1"/>
                <w:bCs w:val="1"/>
                <w:color w:val="auto"/>
              </w:rPr>
              <w:t>Acquired on Vestng</w:t>
            </w:r>
          </w:p>
        </w:tc>
        <w:tc>
          <w:tcPr>
            <w:tcW w:w="1620" w:type="dxa"/>
            <w:vAlign w:val="bottom"/>
          </w:tcPr>
          <w:p>
            <w:pPr>
              <w:jc w:val="right"/>
              <w:ind w:right="588"/>
              <w:spacing w:after="0" w:line="175"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(2)</w:t>
            </w:r>
          </w:p>
        </w:tc>
      </w:tr>
      <w:tr>
        <w:trPr>
          <w:trHeight w:val="170"/>
        </w:trPr>
        <w:tc>
          <w:tcPr>
            <w:tcW w:w="4140" w:type="dxa"/>
            <w:vAlign w:val="bottom"/>
          </w:tcPr>
          <w:p>
            <w:pPr>
              <w:ind w:left="80"/>
              <w:spacing w:after="0"/>
              <w:rPr>
                <w:sz w:val="20"/>
                <w:szCs w:val="20"/>
                <w:color w:val="auto"/>
              </w:rPr>
            </w:pPr>
            <w:r>
              <w:rPr>
                <w:rFonts w:ascii="Calibri" w:cs="Calibri" w:eastAsia="Calibri" w:hAnsi="Calibri"/>
                <w:sz w:val="14"/>
                <w:szCs w:val="14"/>
                <w:b w:val="1"/>
                <w:bCs w:val="1"/>
                <w:color w:val="auto"/>
              </w:rPr>
              <w:t>Name</w:t>
            </w:r>
          </w:p>
        </w:tc>
        <w:tc>
          <w:tcPr>
            <w:tcW w:w="18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alibri" w:cs="Calibri" w:eastAsia="Calibri" w:hAnsi="Calibri"/>
                <w:sz w:val="14"/>
                <w:szCs w:val="14"/>
                <w:b w:val="1"/>
                <w:bCs w:val="1"/>
                <w:color w:val="auto"/>
              </w:rPr>
              <w:t>(#)</w:t>
            </w:r>
          </w:p>
        </w:tc>
        <w:tc>
          <w:tcPr>
            <w:tcW w:w="1620" w:type="dxa"/>
            <w:vAlign w:val="bottom"/>
          </w:tcPr>
          <w:p>
            <w:pPr>
              <w:spacing w:after="0"/>
              <w:rPr>
                <w:sz w:val="14"/>
                <w:szCs w:val="14"/>
                <w:color w:val="auto"/>
              </w:rPr>
            </w:pPr>
          </w:p>
        </w:tc>
      </w:tr>
      <w:tr>
        <w:trPr>
          <w:trHeight w:val="61"/>
        </w:trPr>
        <w:tc>
          <w:tcPr>
            <w:tcW w:w="41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03"/>
        </w:trPr>
        <w:tc>
          <w:tcPr>
            <w:tcW w:w="4140" w:type="dxa"/>
            <w:vAlign w:val="bottom"/>
            <w:tcBorders>
              <w:bottom w:val="single" w:sz="8" w:color="DBDBDB"/>
            </w:tcBorders>
            <w:shd w:val="clear" w:color="auto" w:fill="DBDBDB"/>
          </w:tcPr>
          <w:p>
            <w:pPr>
              <w:ind w:left="80"/>
              <w:spacing w:after="0" w:line="164" w:lineRule="exact"/>
              <w:rPr>
                <w:sz w:val="20"/>
                <w:szCs w:val="20"/>
                <w:color w:val="auto"/>
              </w:rPr>
            </w:pPr>
            <w:r>
              <w:rPr>
                <w:rFonts w:ascii="Calibri" w:cs="Calibri" w:eastAsia="Calibri" w:hAnsi="Calibri"/>
                <w:sz w:val="14"/>
                <w:szCs w:val="14"/>
                <w:color w:val="auto"/>
              </w:rPr>
              <w:t>Max Levchin</w:t>
            </w:r>
          </w:p>
        </w:tc>
        <w:tc>
          <w:tcPr>
            <w:tcW w:w="1820" w:type="dxa"/>
            <w:vAlign w:val="bottom"/>
            <w:tcBorders>
              <w:bottom w:val="single" w:sz="8" w:color="DBDBDB"/>
            </w:tcBorders>
            <w:shd w:val="clear" w:color="auto" w:fill="DBDBDB"/>
          </w:tcPr>
          <w:p>
            <w:pPr>
              <w:jc w:val="right"/>
              <w:ind w:right="8"/>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Borders>
              <w:bottom w:val="single" w:sz="8" w:color="DBDBDB"/>
            </w:tcBorders>
            <w:gridSpan w:val="2"/>
            <w:shd w:val="clear" w:color="auto" w:fill="DBDBDB"/>
          </w:tcPr>
          <w:p>
            <w:pPr>
              <w:ind w:left="1540"/>
              <w:spacing w:after="0" w:line="164" w:lineRule="exact"/>
              <w:rPr>
                <w:sz w:val="20"/>
                <w:szCs w:val="20"/>
                <w:color w:val="auto"/>
              </w:rPr>
            </w:pPr>
            <w:r>
              <w:rPr>
                <w:rFonts w:ascii="Calibri" w:cs="Calibri" w:eastAsia="Calibri" w:hAnsi="Calibri"/>
                <w:sz w:val="14"/>
                <w:szCs w:val="14"/>
                <w:color w:val="auto"/>
              </w:rPr>
              <w:t>—</w:t>
            </w:r>
          </w:p>
        </w:tc>
        <w:tc>
          <w:tcPr>
            <w:tcW w:w="1820" w:type="dxa"/>
            <w:vAlign w:val="bottom"/>
            <w:tcBorders>
              <w:bottom w:val="single" w:sz="8" w:color="DBDBDB"/>
            </w:tcBorders>
            <w:shd w:val="clear" w:color="auto" w:fill="DBDBDB"/>
          </w:tcPr>
          <w:p>
            <w:pPr>
              <w:jc w:val="right"/>
              <w:spacing w:after="0" w:line="164" w:lineRule="exact"/>
              <w:rPr>
                <w:sz w:val="20"/>
                <w:szCs w:val="20"/>
                <w:color w:val="auto"/>
              </w:rPr>
            </w:pPr>
            <w:r>
              <w:rPr>
                <w:rFonts w:ascii="Calibri" w:cs="Calibri" w:eastAsia="Calibri" w:hAnsi="Calibri"/>
                <w:sz w:val="14"/>
                <w:szCs w:val="14"/>
                <w:color w:val="auto"/>
              </w:rPr>
              <w:t>—</w:t>
            </w:r>
          </w:p>
        </w:tc>
        <w:tc>
          <w:tcPr>
            <w:tcW w:w="1620" w:type="dxa"/>
            <w:vAlign w:val="bottom"/>
            <w:tcBorders>
              <w:bottom w:val="single" w:sz="8" w:color="DBDBDB"/>
            </w:tcBorders>
            <w:shd w:val="clear" w:color="auto" w:fill="DBDBDB"/>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170"/>
        </w:trPr>
        <w:tc>
          <w:tcPr>
            <w:tcW w:w="4140" w:type="dxa"/>
            <w:vAlign w:val="bottom"/>
          </w:tcPr>
          <w:p>
            <w:pPr>
              <w:ind w:left="80"/>
              <w:spacing w:after="0"/>
              <w:rPr>
                <w:sz w:val="20"/>
                <w:szCs w:val="20"/>
                <w:color w:val="auto"/>
              </w:rPr>
            </w:pPr>
            <w:r>
              <w:rPr>
                <w:rFonts w:ascii="Calibri" w:cs="Calibri" w:eastAsia="Calibri" w:hAnsi="Calibri"/>
                <w:sz w:val="14"/>
                <w:szCs w:val="14"/>
                <w:color w:val="auto"/>
              </w:rPr>
              <w:t>Michael Linford</w:t>
            </w:r>
          </w:p>
        </w:tc>
        <w:tc>
          <w:tcPr>
            <w:tcW w:w="1820" w:type="dxa"/>
            <w:vAlign w:val="bottom"/>
          </w:tcPr>
          <w:p>
            <w:pPr>
              <w:jc w:val="right"/>
              <w:ind w:right="8"/>
              <w:spacing w:after="0"/>
              <w:rPr>
                <w:sz w:val="20"/>
                <w:szCs w:val="20"/>
                <w:color w:val="auto"/>
              </w:rPr>
            </w:pPr>
            <w:r>
              <w:rPr>
                <w:rFonts w:ascii="Calibri" w:cs="Calibri" w:eastAsia="Calibri" w:hAnsi="Calibri"/>
                <w:sz w:val="14"/>
                <w:szCs w:val="14"/>
                <w:color w:val="auto"/>
              </w:rPr>
              <w:t>206,542</w:t>
            </w:r>
          </w:p>
        </w:tc>
        <w:tc>
          <w:tcPr>
            <w:tcW w:w="1720" w:type="dxa"/>
            <w:vAlign w:val="bottom"/>
          </w:tcPr>
          <w:p>
            <w:pPr>
              <w:jc w:val="right"/>
              <w:spacing w:after="0"/>
              <w:rPr>
                <w:sz w:val="20"/>
                <w:szCs w:val="20"/>
                <w:color w:val="auto"/>
              </w:rPr>
            </w:pPr>
            <w:r>
              <w:rPr>
                <w:rFonts w:ascii="Calibri" w:cs="Calibri" w:eastAsia="Calibri" w:hAnsi="Calibri"/>
                <w:sz w:val="14"/>
                <w:szCs w:val="14"/>
                <w:color w:val="auto"/>
              </w:rPr>
              <w:t>20,870,781</w:t>
            </w: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alibri" w:cs="Calibri" w:eastAsia="Calibri" w:hAnsi="Calibri"/>
                <w:sz w:val="14"/>
                <w:szCs w:val="14"/>
                <w:color w:val="auto"/>
              </w:rPr>
              <w:t>54,326</w:t>
            </w:r>
          </w:p>
        </w:tc>
        <w:tc>
          <w:tcPr>
            <w:tcW w:w="1620" w:type="dxa"/>
            <w:vAlign w:val="bottom"/>
          </w:tcPr>
          <w:p>
            <w:pPr>
              <w:jc w:val="right"/>
              <w:spacing w:after="0"/>
              <w:rPr>
                <w:sz w:val="20"/>
                <w:szCs w:val="20"/>
                <w:color w:val="auto"/>
              </w:rPr>
            </w:pPr>
            <w:r>
              <w:rPr>
                <w:rFonts w:ascii="Calibri" w:cs="Calibri" w:eastAsia="Calibri" w:hAnsi="Calibri"/>
                <w:sz w:val="14"/>
                <w:szCs w:val="14"/>
                <w:color w:val="auto"/>
              </w:rPr>
              <w:t>4,238,492</w:t>
            </w:r>
          </w:p>
        </w:tc>
      </w:tr>
      <w:tr>
        <w:trPr>
          <w:trHeight w:val="60"/>
        </w:trPr>
        <w:tc>
          <w:tcPr>
            <w:tcW w:w="4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09"/>
        </w:trPr>
        <w:tc>
          <w:tcPr>
            <w:tcW w:w="414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4"/>
                <w:szCs w:val="14"/>
                <w:color w:val="auto"/>
              </w:rPr>
              <w:t>Katherine Adkins</w:t>
            </w:r>
          </w:p>
        </w:tc>
        <w:tc>
          <w:tcPr>
            <w:tcW w:w="182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3,875</w:t>
            </w:r>
          </w:p>
        </w:tc>
        <w:tc>
          <w:tcPr>
            <w:tcW w:w="1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240,396</w:t>
            </w:r>
          </w:p>
        </w:tc>
        <w:tc>
          <w:tcPr>
            <w:tcW w:w="100" w:type="dxa"/>
            <w:vAlign w:val="bottom"/>
            <w:tcBorders>
              <w:bottom w:val="single" w:sz="8" w:color="DBDBDB"/>
            </w:tcBorders>
            <w:shd w:val="clear" w:color="auto" w:fill="DBDBDB"/>
          </w:tcPr>
          <w:p>
            <w:pPr>
              <w:spacing w:after="0"/>
              <w:rPr>
                <w:sz w:val="18"/>
                <w:szCs w:val="18"/>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31,410</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2,350,767</w:t>
            </w:r>
          </w:p>
        </w:tc>
      </w:tr>
      <w:tr>
        <w:trPr>
          <w:trHeight w:val="170"/>
        </w:trPr>
        <w:tc>
          <w:tcPr>
            <w:tcW w:w="4140" w:type="dxa"/>
            <w:vAlign w:val="bottom"/>
          </w:tcPr>
          <w:p>
            <w:pPr>
              <w:ind w:left="80"/>
              <w:spacing w:after="0"/>
              <w:rPr>
                <w:sz w:val="20"/>
                <w:szCs w:val="20"/>
                <w:color w:val="auto"/>
              </w:rPr>
            </w:pPr>
            <w:r>
              <w:rPr>
                <w:rFonts w:ascii="Calibri" w:cs="Calibri" w:eastAsia="Calibri" w:hAnsi="Calibri"/>
                <w:sz w:val="14"/>
                <w:szCs w:val="14"/>
                <w:color w:val="auto"/>
              </w:rPr>
              <w:t>Libor Michalek</w:t>
            </w:r>
          </w:p>
        </w:tc>
        <w:tc>
          <w:tcPr>
            <w:tcW w:w="1820" w:type="dxa"/>
            <w:vAlign w:val="bottom"/>
          </w:tcPr>
          <w:p>
            <w:pPr>
              <w:jc w:val="right"/>
              <w:ind w:right="8"/>
              <w:spacing w:after="0"/>
              <w:rPr>
                <w:sz w:val="20"/>
                <w:szCs w:val="20"/>
                <w:color w:val="auto"/>
              </w:rPr>
            </w:pPr>
            <w:r>
              <w:rPr>
                <w:rFonts w:ascii="Calibri" w:cs="Calibri" w:eastAsia="Calibri" w:hAnsi="Calibri"/>
                <w:sz w:val="14"/>
                <w:szCs w:val="14"/>
                <w:color w:val="auto"/>
              </w:rPr>
              <w:t>311,614</w:t>
            </w:r>
          </w:p>
        </w:tc>
        <w:tc>
          <w:tcPr>
            <w:tcW w:w="1720" w:type="dxa"/>
            <w:vAlign w:val="bottom"/>
          </w:tcPr>
          <w:p>
            <w:pPr>
              <w:jc w:val="right"/>
              <w:spacing w:after="0"/>
              <w:rPr>
                <w:sz w:val="20"/>
                <w:szCs w:val="20"/>
                <w:color w:val="auto"/>
              </w:rPr>
            </w:pPr>
            <w:r>
              <w:rPr>
                <w:rFonts w:ascii="Calibri" w:cs="Calibri" w:eastAsia="Calibri" w:hAnsi="Calibri"/>
                <w:sz w:val="14"/>
                <w:szCs w:val="14"/>
                <w:color w:val="auto"/>
              </w:rPr>
              <w:t>40,162,857</w:t>
            </w:r>
          </w:p>
        </w:tc>
        <w:tc>
          <w:tcPr>
            <w:tcW w:w="10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alibri" w:cs="Calibri" w:eastAsia="Calibri" w:hAnsi="Calibri"/>
                <w:sz w:val="14"/>
                <w:szCs w:val="14"/>
                <w:color w:val="auto"/>
              </w:rPr>
              <w:t>18,306</w:t>
            </w:r>
          </w:p>
        </w:tc>
        <w:tc>
          <w:tcPr>
            <w:tcW w:w="1620" w:type="dxa"/>
            <w:vAlign w:val="bottom"/>
          </w:tcPr>
          <w:p>
            <w:pPr>
              <w:jc w:val="right"/>
              <w:spacing w:after="0"/>
              <w:rPr>
                <w:sz w:val="20"/>
                <w:szCs w:val="20"/>
                <w:color w:val="auto"/>
              </w:rPr>
            </w:pPr>
            <w:r>
              <w:rPr>
                <w:rFonts w:ascii="Calibri" w:cs="Calibri" w:eastAsia="Calibri" w:hAnsi="Calibri"/>
                <w:sz w:val="14"/>
                <w:szCs w:val="14"/>
                <w:color w:val="auto"/>
              </w:rPr>
              <w:t>1,504,669</w:t>
            </w:r>
          </w:p>
        </w:tc>
      </w:tr>
      <w:tr>
        <w:trPr>
          <w:trHeight w:val="60"/>
        </w:trPr>
        <w:tc>
          <w:tcPr>
            <w:tcW w:w="4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10"/>
        </w:trPr>
        <w:tc>
          <w:tcPr>
            <w:tcW w:w="414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4"/>
                <w:szCs w:val="14"/>
                <w:color w:val="auto"/>
              </w:rPr>
              <w:t>Silvija Martncevic</w:t>
            </w:r>
          </w:p>
        </w:tc>
        <w:tc>
          <w:tcPr>
            <w:tcW w:w="182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150,000</w:t>
            </w:r>
          </w:p>
        </w:tc>
        <w:tc>
          <w:tcPr>
            <w:tcW w:w="17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21,763,845</w:t>
            </w:r>
          </w:p>
        </w:tc>
        <w:tc>
          <w:tcPr>
            <w:tcW w:w="100" w:type="dxa"/>
            <w:vAlign w:val="bottom"/>
            <w:tcBorders>
              <w:bottom w:val="single" w:sz="8" w:color="DBDBDB"/>
            </w:tcBorders>
            <w:shd w:val="clear" w:color="auto" w:fill="DBDBDB"/>
          </w:tcPr>
          <w:p>
            <w:pPr>
              <w:spacing w:after="0"/>
              <w:rPr>
                <w:sz w:val="18"/>
                <w:szCs w:val="18"/>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54,326</w:t>
            </w:r>
          </w:p>
        </w:tc>
        <w:tc>
          <w:tcPr>
            <w:tcW w:w="16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4,238,492</w:t>
            </w:r>
          </w:p>
        </w:tc>
      </w:tr>
      <w:tr>
        <w:trPr>
          <w:trHeight w:val="20"/>
        </w:trPr>
        <w:tc>
          <w:tcPr>
            <w:tcW w:w="4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340" w:hanging="332"/>
        <w:spacing w:after="0" w:line="245" w:lineRule="auto"/>
        <w:tabs>
          <w:tab w:leader="none" w:pos="338"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The value realized on exercise is calculated as the diference between the closing price of our Class A common stock on the date of exercise and the applicable exercise price of the optons multplied by the number of exercised shares.</w:t>
      </w:r>
    </w:p>
    <w:p>
      <w:pPr>
        <w:spacing w:after="0" w:line="29" w:lineRule="exact"/>
        <w:rPr>
          <w:rFonts w:ascii="Calibri" w:cs="Calibri" w:eastAsia="Calibri" w:hAnsi="Calibri"/>
          <w:sz w:val="14"/>
          <w:szCs w:val="14"/>
          <w:color w:val="auto"/>
        </w:rPr>
      </w:pPr>
    </w:p>
    <w:p>
      <w:pPr>
        <w:jc w:val="both"/>
        <w:ind w:left="340" w:hanging="332"/>
        <w:spacing w:after="0" w:line="247" w:lineRule="auto"/>
        <w:tabs>
          <w:tab w:leader="none" w:pos="338" w:val="left"/>
        </w:tabs>
        <w:numPr>
          <w:ilvl w:val="0"/>
          <w:numId w:val="48"/>
        </w:numPr>
        <w:rPr>
          <w:rFonts w:ascii="Calibri" w:cs="Calibri" w:eastAsia="Calibri" w:hAnsi="Calibri"/>
          <w:sz w:val="14"/>
          <w:szCs w:val="14"/>
          <w:color w:val="auto"/>
        </w:rPr>
      </w:pPr>
      <w:r>
        <w:rPr>
          <w:rFonts w:ascii="Calibri" w:cs="Calibri" w:eastAsia="Calibri" w:hAnsi="Calibri"/>
          <w:sz w:val="14"/>
          <w:szCs w:val="14"/>
          <w:color w:val="auto"/>
        </w:rPr>
        <w:t>The value realized on vestng equals the closing price of our Class A common stock on the vestng date multplied by the number of vested shares. The value realized on vestng is not necessarily indicatve of value actually received by the named executve ofcer, as the named executve ofcer may choose to hold (rather than sell) some or all of the shares acquired upon vestng.</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Fiscal 2022 Potental Payments upon Terminaton or Change in Control</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Annual Cash Incentve Plan</w:t>
      </w:r>
    </w:p>
    <w:p>
      <w:pPr>
        <w:spacing w:after="0" w:line="24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annual cash incentve plan provides that, in the event of a change in control of the Company, plan partcipants, including our named executve ofcers (other than our CEO), will receive a pro-rata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incentve plan awards determined based on the target or actual performance level, whichever is higher</w:t>
      </w:r>
      <w:r>
        <w:rPr>
          <w:rFonts w:ascii="Calibri" w:cs="Calibri" w:eastAsia="Calibri" w:hAnsi="Calibri"/>
          <w:sz w:val="18"/>
          <w:szCs w:val="18"/>
          <w:b w:val="1"/>
          <w:bCs w:val="1"/>
          <w:color w:val="auto"/>
        </w:rPr>
        <w:t>.</w:t>
      </w:r>
    </w:p>
    <w:p>
      <w:pPr>
        <w:spacing w:after="0" w:line="415" w:lineRule="exact"/>
        <w:rPr>
          <w:sz w:val="20"/>
          <w:szCs w:val="20"/>
          <w:color w:val="auto"/>
        </w:rPr>
      </w:pPr>
    </w:p>
    <w:p>
      <w:pPr>
        <w:sectPr>
          <w:pgSz w:w="11900" w:h="16838" w:orient="portrait"/>
          <w:cols w:equalWidth="0" w:num="2">
            <w:col w:w="5280" w:space="580"/>
            <w:col w:w="5380"/>
          </w:cols>
          <w:pgMar w:left="320" w:top="1440"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Ofcer Severance Plan</w:t>
      </w:r>
    </w:p>
    <w:p>
      <w:pPr>
        <w:spacing w:after="0" w:line="244" w:lineRule="exact"/>
        <w:rPr>
          <w:sz w:val="20"/>
          <w:szCs w:val="20"/>
          <w:color w:val="auto"/>
        </w:rPr>
      </w:pPr>
    </w:p>
    <w:p>
      <w:pPr>
        <w:spacing w:after="0"/>
        <w:rPr>
          <w:sz w:val="20"/>
          <w:szCs w:val="20"/>
          <w:color w:val="auto"/>
        </w:rPr>
      </w:pPr>
      <w:r>
        <w:rPr>
          <w:rFonts w:ascii="Calibri" w:cs="Calibri" w:eastAsia="Calibri" w:hAnsi="Calibri"/>
          <w:sz w:val="17"/>
          <w:szCs w:val="17"/>
          <w:u w:val="single" w:color="auto"/>
          <w:color w:val="auto"/>
        </w:rPr>
        <w:t>Potental Payments Upon Terminaton of Employment Within Change in Control Period</w:t>
      </w:r>
    </w:p>
    <w:p>
      <w:pPr>
        <w:sectPr>
          <w:pgSz w:w="11900" w:h="16838" w:orient="portrait"/>
          <w:cols w:equalWidth="0" w:num="1">
            <w:col w:w="11240"/>
          </w:cols>
          <w:pgMar w:left="320" w:top="1440" w:right="339" w:bottom="1440" w:gutter="0" w:footer="0" w:header="0"/>
          <w:type w:val="continuous"/>
        </w:sectPr>
      </w:pPr>
    </w:p>
    <w:p>
      <w:pPr>
        <w:spacing w:after="0" w:line="2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adopted an ofcer severance plan for certain of our ofcers, including our named executve ofcers, that provides for severance pay and benefts upon a qualifying terminaton of employment. Generally, if a named executve ofcer’s employment is terminated for any reason other than for cause (as defned below), death or disability within three months prior to or 12 months following the consummaton of a change in control of the Company, which such period is referred to as the change in control period, or if the named executve ofcer resigns for good reason within the change in control period, then the ofcer severance plan provides for such named executve ofcer to receive:</w:t>
      </w:r>
    </w:p>
    <w:p>
      <w:pPr>
        <w:spacing w:after="0" w:line="76" w:lineRule="exact"/>
        <w:rPr>
          <w:sz w:val="20"/>
          <w:szCs w:val="20"/>
          <w:color w:val="auto"/>
        </w:rPr>
      </w:pPr>
    </w:p>
    <w:p>
      <w:pPr>
        <w:jc w:val="both"/>
        <w:ind w:left="340" w:hanging="251"/>
        <w:spacing w:after="0" w:line="235" w:lineRule="auto"/>
        <w:tabs>
          <w:tab w:leader="none" w:pos="33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a lump sum cash severance payment equal to the sum of (i) the named executve ofcer’s annual base salary, as in efect immediately prior to the partcipant’s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ind w:left="245" w:right="120"/>
        <w:spacing w:after="0" w:line="235" w:lineRule="auto"/>
        <w:rPr>
          <w:sz w:val="20"/>
          <w:szCs w:val="20"/>
          <w:color w:val="auto"/>
        </w:rPr>
      </w:pPr>
      <w:r>
        <w:rPr>
          <w:rFonts w:ascii="Calibri" w:cs="Calibri" w:eastAsia="Calibri" w:hAnsi="Calibri"/>
          <w:sz w:val="18"/>
          <w:szCs w:val="18"/>
          <w:color w:val="auto"/>
        </w:rPr>
        <w:t>terminaton, multplied by 150% for our CEO and 100% for each of our other named executve ofcers, plus (ii) a pro-rata amount of the named executve ofcer’s target annual cash incentve plan opportunity, if any, as in efect for the fscal year in which his or her terminaton of employment occurs;</w:t>
      </w:r>
    </w:p>
    <w:p>
      <w:pPr>
        <w:spacing w:after="0" w:line="72" w:lineRule="exact"/>
        <w:rPr>
          <w:sz w:val="20"/>
          <w:szCs w:val="20"/>
          <w:color w:val="auto"/>
        </w:rPr>
      </w:pPr>
    </w:p>
    <w:p>
      <w:pPr>
        <w:jc w:val="both"/>
        <w:ind w:left="245" w:right="120" w:hanging="245"/>
        <w:spacing w:after="0" w:line="235" w:lineRule="auto"/>
        <w:tabs>
          <w:tab w:leader="none" w:pos="238"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payment or reimbursement of the cost of post-terminaton contnued health benefts for a period of up to 18 months for our CEO and up to 12 months for each of our other named executve ofcers; and</w:t>
      </w:r>
    </w:p>
    <w:p>
      <w:pPr>
        <w:spacing w:after="0" w:line="70" w:lineRule="exact"/>
        <w:rPr>
          <w:rFonts w:ascii="Calibri" w:cs="Calibri" w:eastAsia="Calibri" w:hAnsi="Calibri"/>
          <w:sz w:val="18"/>
          <w:szCs w:val="18"/>
          <w:color w:val="auto"/>
        </w:rPr>
      </w:pPr>
    </w:p>
    <w:p>
      <w:pPr>
        <w:jc w:val="both"/>
        <w:ind w:left="245" w:right="120" w:hanging="245"/>
        <w:spacing w:after="0" w:line="235" w:lineRule="auto"/>
        <w:tabs>
          <w:tab w:leader="none" w:pos="238"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immediate acceleraton of vestng of all of the then-unvested shares subject to each named executve ofcer’s then-outstanding tme-based equity awards.</w:t>
      </w:r>
    </w:p>
    <w:p>
      <w:pPr>
        <w:spacing w:after="0" w:line="564" w:lineRule="exact"/>
        <w:rPr>
          <w:sz w:val="20"/>
          <w:szCs w:val="20"/>
          <w:color w:val="auto"/>
        </w:rPr>
      </w:pPr>
    </w:p>
    <w:p>
      <w:pPr>
        <w:sectPr>
          <w:pgSz w:w="11900" w:h="16838" w:orient="portrait"/>
          <w:cols w:equalWidth="0" w:num="2">
            <w:col w:w="5420" w:space="375"/>
            <w:col w:w="5445"/>
          </w:cols>
          <w:pgMar w:left="320" w:top="1440"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Calibri" w:cs="Calibri" w:eastAsia="Calibri" w:hAnsi="Calibri"/>
          <w:sz w:val="17"/>
          <w:szCs w:val="17"/>
          <w:u w:val="single" w:color="auto"/>
          <w:color w:val="auto"/>
        </w:rPr>
        <w:t>Potental Payments Upon Terminaton of Employment Outside of Change in Control Period</w:t>
      </w:r>
    </w:p>
    <w:p>
      <w:pPr>
        <w:sectPr>
          <w:pgSz w:w="11900" w:h="16838" w:orient="portrait"/>
          <w:cols w:equalWidth="0" w:num="1">
            <w:col w:w="11240"/>
          </w:cols>
          <w:pgMar w:left="320" w:top="1440" w:right="339" w:bottom="1440" w:gutter="0" w:footer="0" w:header="0"/>
          <w:type w:val="continuous"/>
        </w:sectPr>
      </w:pPr>
    </w:p>
    <w:p>
      <w:pPr>
        <w:spacing w:after="0" w:line="18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Generally, if a named executve ofcer’s employment is terminated for any reason other than for cause, death 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disability outside of a change in control period, or, in the case of our CEO only, the named executve ofcer resigns</w:t>
      </w:r>
    </w:p>
    <w:p>
      <w:pPr>
        <w:spacing w:after="0" w:line="200" w:lineRule="exact"/>
        <w:rPr>
          <w:sz w:val="20"/>
          <w:szCs w:val="20"/>
          <w:color w:val="auto"/>
        </w:rPr>
      </w:pPr>
    </w:p>
    <w:p>
      <w:pPr>
        <w:sectPr>
          <w:pgSz w:w="11900" w:h="16838" w:orient="portrait"/>
          <w:cols w:equalWidth="0" w:num="2">
            <w:col w:w="5420" w:space="300"/>
            <w:col w:w="5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40</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good reason (as defned below) outside of a change in control period, then the ofcer severance plan provides for such named executve ofcer to receive:</w:t>
      </w:r>
    </w:p>
    <w:p>
      <w:pPr>
        <w:spacing w:after="0" w:line="70" w:lineRule="exact"/>
        <w:rPr>
          <w:sz w:val="20"/>
          <w:szCs w:val="20"/>
          <w:color w:val="auto"/>
        </w:rPr>
      </w:pPr>
    </w:p>
    <w:p>
      <w:pPr>
        <w:jc w:val="both"/>
        <w:ind w:left="340" w:hanging="251"/>
        <w:spacing w:after="0" w:line="235" w:lineRule="auto"/>
        <w:tabs>
          <w:tab w:leader="none" w:pos="333"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a lump sum payment equal to the named executve ofcer’s annual base salary, as in efect immediately prior to the partcipant’s terminaton, multplied by 100% for our CEO and 50% for each of our other</w:t>
      </w:r>
    </w:p>
    <w:p>
      <w:pPr>
        <w:spacing w:after="0" w:line="363" w:lineRule="exact"/>
        <w:rPr>
          <w:sz w:val="20"/>
          <w:szCs w:val="20"/>
          <w:color w:val="auto"/>
        </w:rPr>
      </w:pPr>
    </w:p>
    <w:p>
      <w:pPr>
        <w:ind w:left="80"/>
        <w:spacing w:after="0"/>
        <w:rPr>
          <w:sz w:val="20"/>
          <w:szCs w:val="20"/>
          <w:color w:val="auto"/>
        </w:rPr>
      </w:pPr>
      <w:r>
        <w:rPr>
          <w:rFonts w:ascii="Calibri" w:cs="Calibri" w:eastAsia="Calibri" w:hAnsi="Calibri"/>
          <w:sz w:val="18"/>
          <w:szCs w:val="18"/>
          <w:u w:val="single" w:color="auto"/>
          <w:color w:val="auto"/>
        </w:rPr>
        <w:t>Summary of Terms of Ofcer Severance Plan</w:t>
      </w:r>
    </w:p>
    <w:p>
      <w:pPr>
        <w:spacing w:after="0" w:line="20" w:lineRule="exact"/>
        <w:rPr>
          <w:sz w:val="20"/>
          <w:szCs w:val="20"/>
          <w:color w:val="auto"/>
        </w:rPr>
      </w:pPr>
      <w:r>
        <w:rPr>
          <w:sz w:val="20"/>
          <w:szCs w:val="20"/>
          <w:color w:val="auto"/>
        </w:rPr>
        <w:br w:type="column"/>
      </w:r>
    </w:p>
    <w:p>
      <w:pPr>
        <w:ind w:left="245"/>
        <w:spacing w:after="0"/>
        <w:rPr>
          <w:sz w:val="20"/>
          <w:szCs w:val="20"/>
          <w:color w:val="auto"/>
        </w:rPr>
      </w:pPr>
      <w:r>
        <w:rPr>
          <w:rFonts w:ascii="Calibri" w:cs="Calibri" w:eastAsia="Calibri" w:hAnsi="Calibri"/>
          <w:sz w:val="18"/>
          <w:szCs w:val="18"/>
          <w:color w:val="auto"/>
        </w:rPr>
        <w:t>named executve ofcers; and</w:t>
      </w:r>
    </w:p>
    <w:p>
      <w:pPr>
        <w:spacing w:after="0" w:line="177" w:lineRule="exact"/>
        <w:rPr>
          <w:sz w:val="20"/>
          <w:szCs w:val="20"/>
          <w:color w:val="auto"/>
        </w:rPr>
      </w:pPr>
    </w:p>
    <w:p>
      <w:pPr>
        <w:jc w:val="both"/>
        <w:ind w:left="245" w:hanging="245"/>
        <w:spacing w:after="0" w:line="235" w:lineRule="auto"/>
        <w:tabs>
          <w:tab w:leader="none" w:pos="238"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payment or reimbursement of the cost of post-terminaton contnued health benefts for a period of up to 12 months for our CEO and six months for each of our other named executve ofcers.</w:t>
      </w:r>
    </w:p>
    <w:p>
      <w:pPr>
        <w:spacing w:after="0" w:line="1312" w:lineRule="exact"/>
        <w:rPr>
          <w:sz w:val="20"/>
          <w:szCs w:val="20"/>
          <w:color w:val="auto"/>
        </w:rPr>
      </w:pPr>
    </w:p>
    <w:p>
      <w:pPr>
        <w:sectPr>
          <w:pgSz w:w="11900" w:h="16838" w:orient="portrait"/>
          <w:cols w:equalWidth="0" w:num="2">
            <w:col w:w="5420" w:space="375"/>
            <w:col w:w="5325"/>
          </w:cols>
          <w:pgMar w:left="320" w:top="1408" w:right="459" w:bottom="1440" w:gutter="0" w:footer="0" w:header="0"/>
        </w:sectPr>
      </w:pPr>
    </w:p>
    <w:p>
      <w:pPr>
        <w:jc w:val="both"/>
        <w:spacing w:after="0" w:line="235" w:lineRule="auto"/>
        <w:rPr>
          <w:sz w:val="20"/>
          <w:szCs w:val="20"/>
          <w:color w:val="auto"/>
        </w:rPr>
      </w:pPr>
      <w:r>
        <w:rPr>
          <w:rFonts w:ascii="Calibri" w:cs="Calibri" w:eastAsia="Calibri" w:hAnsi="Calibri"/>
          <w:sz w:val="18"/>
          <w:szCs w:val="18"/>
          <w:color w:val="auto"/>
        </w:rPr>
        <w:t>In order to receive severance payments and benefts under the ofcer severance plan, a partcipant must tmely execute and not revoke a release of claims in favor of the Company. In additon, the ofcer severance plan provides that, if any payment or benefts to a partcipant, including the payments and benefts under the ofcer severance plan, would consttute an “excess parachute payment” within the meaning of Secton 280G of the Code and would therefore be subject to an excise tax under Secton 4999 of the Code, then such payments and benefts (1) will be reduced to the extent necessary so that no amount is subject to the excise tax, or (2) not reduced, whichever, afer taking into account all applicable federal, state, and local employment and income taxes and the excise tax, results in the partcipant’s receipt, on an afer-tax basis, of the greater payments and benefts.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ofcer severance plan, “cause” means any of the following reasons (with any references to us interpreted to include any subsidiary or afliate of ours):</w:t>
      </w:r>
    </w:p>
    <w:p>
      <w:pPr>
        <w:spacing w:after="0" w:line="70" w:lineRule="exact"/>
        <w:rPr>
          <w:sz w:val="20"/>
          <w:szCs w:val="20"/>
          <w:color w:val="auto"/>
        </w:rPr>
      </w:pPr>
    </w:p>
    <w:p>
      <w:pPr>
        <w:jc w:val="both"/>
        <w:ind w:left="340" w:hanging="251"/>
        <w:spacing w:after="0" w:line="235" w:lineRule="auto"/>
        <w:tabs>
          <w:tab w:leader="none" w:pos="33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willful conduct by the partcipant consttutng a material act of misconduct in connecton with the performance of the partcipant’s dutes, including, without limitaton, misappropriaton of funds or property of us or any of its subsidiaries or afliates other than the occasional, customary, and de minimis use of our property for personal purposes;</w:t>
      </w:r>
    </w:p>
    <w:p>
      <w:pPr>
        <w:spacing w:after="0" w:line="86" w:lineRule="exact"/>
        <w:rPr>
          <w:rFonts w:ascii="Calibri" w:cs="Calibri" w:eastAsia="Calibri" w:hAnsi="Calibri"/>
          <w:sz w:val="18"/>
          <w:szCs w:val="18"/>
          <w:color w:val="auto"/>
        </w:rPr>
      </w:pPr>
    </w:p>
    <w:p>
      <w:pPr>
        <w:jc w:val="both"/>
        <w:ind w:left="340" w:hanging="251"/>
        <w:spacing w:after="0" w:line="235" w:lineRule="auto"/>
        <w:tabs>
          <w:tab w:leader="none" w:pos="33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convicton of, or plea of guilty or no contest to, any felony or any crime involving moral turpitude, deceit, dishonesty, or fraud, or any conduct by the partcipant that would reasonably be expected to result in material injury or reputatonal harm to us or any of our subsidiaries and afliates if the partcipant was retained in the partcipant’s positon;</w:t>
      </w:r>
    </w:p>
    <w:p>
      <w:pPr>
        <w:spacing w:after="0" w:line="72" w:lineRule="exact"/>
        <w:rPr>
          <w:rFonts w:ascii="Calibri" w:cs="Calibri" w:eastAsia="Calibri" w:hAnsi="Calibri"/>
          <w:sz w:val="18"/>
          <w:szCs w:val="18"/>
          <w:color w:val="auto"/>
        </w:rPr>
      </w:pPr>
    </w:p>
    <w:p>
      <w:pPr>
        <w:jc w:val="both"/>
        <w:ind w:left="340" w:hanging="251"/>
        <w:spacing w:after="0" w:line="235" w:lineRule="auto"/>
        <w:tabs>
          <w:tab w:leader="none" w:pos="33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contnued non-performance by the partcipant of his or her dutes to us (other than by reason of his or her physical or mental illness, incapacity, or disability) which has contnued for 30 days following writen notce of such non-performance from us;</w:t>
      </w:r>
    </w:p>
    <w:p>
      <w:pPr>
        <w:spacing w:after="0" w:line="70" w:lineRule="exact"/>
        <w:rPr>
          <w:rFonts w:ascii="Calibri" w:cs="Calibri" w:eastAsia="Calibri" w:hAnsi="Calibri"/>
          <w:sz w:val="18"/>
          <w:szCs w:val="18"/>
          <w:color w:val="auto"/>
        </w:rPr>
      </w:pPr>
    </w:p>
    <w:p>
      <w:pPr>
        <w:ind w:left="340" w:hanging="251"/>
        <w:spacing w:after="0" w:line="235" w:lineRule="auto"/>
        <w:tabs>
          <w:tab w:leader="none" w:pos="33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breach by the partcipant of any of the provisions contained in any confdentality, inventon assignment, or similar agreement with us;</w:t>
      </w:r>
    </w:p>
    <w:p>
      <w:pPr>
        <w:spacing w:after="0" w:line="20" w:lineRule="exact"/>
        <w:rPr>
          <w:sz w:val="20"/>
          <w:szCs w:val="20"/>
          <w:color w:val="auto"/>
        </w:rPr>
      </w:pPr>
      <w:r>
        <w:rPr>
          <w:sz w:val="20"/>
          <w:szCs w:val="20"/>
          <w:color w:val="auto"/>
        </w:rPr>
        <w:br w:type="column"/>
      </w:r>
    </w:p>
    <w:p>
      <w:pPr>
        <w:ind w:left="320" w:hanging="245"/>
        <w:spacing w:after="0" w:line="235" w:lineRule="auto"/>
        <w:tabs>
          <w:tab w:leader="none" w:pos="313"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a material violaton by the partcipant of our writen employment policies; or</w:t>
      </w:r>
    </w:p>
    <w:p>
      <w:pPr>
        <w:spacing w:after="0" w:line="69" w:lineRule="exact"/>
        <w:rPr>
          <w:rFonts w:ascii="Calibri" w:cs="Calibri" w:eastAsia="Calibri" w:hAnsi="Calibri"/>
          <w:sz w:val="18"/>
          <w:szCs w:val="18"/>
          <w:color w:val="auto"/>
        </w:rPr>
      </w:pPr>
    </w:p>
    <w:p>
      <w:pPr>
        <w:jc w:val="both"/>
        <w:ind w:left="320" w:hanging="245"/>
        <w:spacing w:after="0" w:line="235" w:lineRule="auto"/>
        <w:tabs>
          <w:tab w:leader="none" w:pos="313"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the partcipant’s failure to cooperate with a bona fde internal investgaton or an investgaton by regulatory or law enforcement authorites, afer being instructed by us to cooperate, or the partcipant’s willful destructon or failure to preserve documents or other materials known to be relevant to such investgaton or the inducement of others to fail to cooperate or to produce documents or other materials in connecton with such investgaton.</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ofcer severance plan, “good reason” means the partcipant’s terminaton of his or her employment afer the occurrence of one or more of the following events:</w:t>
      </w:r>
    </w:p>
    <w:p>
      <w:pPr>
        <w:spacing w:after="0" w:line="84" w:lineRule="exact"/>
        <w:rPr>
          <w:sz w:val="20"/>
          <w:szCs w:val="20"/>
          <w:color w:val="auto"/>
        </w:rPr>
      </w:pPr>
    </w:p>
    <w:p>
      <w:pPr>
        <w:ind w:left="320" w:hanging="245"/>
        <w:spacing w:after="0" w:line="235" w:lineRule="auto"/>
        <w:tabs>
          <w:tab w:leader="none" w:pos="313"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 material diminuton in the partcipant’s responsibilites, authority, or dutes (other than a change in reportng relatonship or ttle);</w:t>
      </w:r>
    </w:p>
    <w:p>
      <w:pPr>
        <w:spacing w:after="0" w:line="69" w:lineRule="exact"/>
        <w:rPr>
          <w:rFonts w:ascii="Calibri" w:cs="Calibri" w:eastAsia="Calibri" w:hAnsi="Calibri"/>
          <w:sz w:val="18"/>
          <w:szCs w:val="18"/>
          <w:color w:val="auto"/>
        </w:rPr>
      </w:pPr>
    </w:p>
    <w:p>
      <w:pPr>
        <w:jc w:val="both"/>
        <w:ind w:left="320" w:hanging="245"/>
        <w:spacing w:after="0" w:line="235" w:lineRule="auto"/>
        <w:tabs>
          <w:tab w:leader="none" w:pos="313"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 material reducton in the partcipant’s base salary except for across-the-board salary reductons similarly afectng all or substantally all management employees;</w:t>
      </w:r>
    </w:p>
    <w:p>
      <w:pPr>
        <w:spacing w:after="0" w:line="70" w:lineRule="exact"/>
        <w:rPr>
          <w:rFonts w:ascii="Calibri" w:cs="Calibri" w:eastAsia="Calibri" w:hAnsi="Calibri"/>
          <w:sz w:val="18"/>
          <w:szCs w:val="18"/>
          <w:color w:val="auto"/>
        </w:rPr>
      </w:pPr>
    </w:p>
    <w:p>
      <w:pPr>
        <w:ind w:left="320" w:hanging="245"/>
        <w:spacing w:after="0" w:line="235" w:lineRule="auto"/>
        <w:tabs>
          <w:tab w:leader="none" w:pos="313"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a relocaton of the ofce at which the partcipant is principally employed to a locaton more than 35 miles from such ofce; or</w:t>
      </w:r>
    </w:p>
    <w:p>
      <w:pPr>
        <w:spacing w:after="0" w:line="82" w:lineRule="exact"/>
        <w:rPr>
          <w:rFonts w:ascii="Calibri" w:cs="Calibri" w:eastAsia="Calibri" w:hAnsi="Calibri"/>
          <w:sz w:val="18"/>
          <w:szCs w:val="18"/>
          <w:color w:val="auto"/>
        </w:rPr>
      </w:pPr>
    </w:p>
    <w:p>
      <w:pPr>
        <w:ind w:left="320" w:hanging="245"/>
        <w:spacing w:after="0" w:line="235" w:lineRule="auto"/>
        <w:tabs>
          <w:tab w:leader="none" w:pos="313"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the failure of any successor to the Company to assume and agree to be bound by the terms and conditons of the ofcer severance plan.</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for the partcipant’s terminaton of his or her employment to be for good reason, the partcipant must reasonably determine in good faith that a “good reason” conditon has occurred and not terminate his or her employment with us without frst providing us with writen notce of occurrence of the conditon within 30 days of the occurrence of the conditon and cooperatng in good faith for a cure period of 30 days following the date of the writen notce to remedy that conditon. If the conditon contnues to exist following the expiraton of the 30-day cure period, the partcipant must terminate his or her employment and provide writen notce of such terminaton to us within 30 days afer the end of that cure period.</w:t>
      </w:r>
    </w:p>
    <w:p>
      <w:pPr>
        <w:spacing w:after="0" w:line="383"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41</w:t>
      </w:r>
    </w:p>
    <w:p>
      <w:pPr>
        <w:sectPr>
          <w:pgSz w:w="11900" w:h="16838" w:orient="portrait"/>
          <w:cols w:equalWidth="0" w:num="1">
            <w:col w:w="11120"/>
          </w:cols>
          <w:pgMar w:left="320" w:top="1408" w:right="4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8"/>
          <w:szCs w:val="18"/>
          <w:b w:val="1"/>
          <w:bCs w:val="1"/>
          <w:i w:val="1"/>
          <w:iCs w:val="1"/>
          <w:color w:val="auto"/>
        </w:rPr>
        <w:t>Estmated Payments Upon Terminaton or Change in Control</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describe the potental payments that would have been provided to each of our named executve ofcers pursuant to the annual cash incentve plan and/or ofcer severance plan, as applicable, in the event of a change in control and/or qualifying terminaton of employment, assuming that the applicable triggering event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took place on June 30, 2022. There can be no assurance that a triggering event would produce the same or similar results as those estmated below, and any actual payments and benefts may be diferent.</w:t>
      </w:r>
    </w:p>
    <w:p>
      <w:pPr>
        <w:spacing w:after="0" w:line="630" w:lineRule="exact"/>
        <w:rPr>
          <w:sz w:val="20"/>
          <w:szCs w:val="20"/>
          <w:color w:val="auto"/>
        </w:rPr>
      </w:pPr>
    </w:p>
    <w:p>
      <w:pPr>
        <w:sectPr>
          <w:pgSz w:w="11900" w:h="16838" w:orient="portrait"/>
          <w:cols w:equalWidth="0" w:num="2">
            <w:col w:w="5420" w:space="300"/>
            <w:col w:w="5520"/>
          </w:cols>
          <w:pgMar w:left="320" w:top="1408" w:right="33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140" w:type="dxa"/>
            <w:vAlign w:val="bottom"/>
          </w:tcPr>
          <w:p>
            <w:pPr>
              <w:jc w:val="right"/>
              <w:ind w:right="5012"/>
              <w:spacing w:after="0"/>
              <w:rPr>
                <w:sz w:val="20"/>
                <w:szCs w:val="20"/>
                <w:color w:val="auto"/>
              </w:rPr>
            </w:pPr>
            <w:r>
              <w:rPr>
                <w:rFonts w:ascii="Calibri" w:cs="Calibri" w:eastAsia="Calibri" w:hAnsi="Calibri"/>
                <w:sz w:val="14"/>
                <w:szCs w:val="14"/>
                <w:b w:val="1"/>
                <w:bCs w:val="1"/>
                <w:color w:val="auto"/>
              </w:rPr>
              <w:t>Change in Control</w:t>
            </w:r>
          </w:p>
        </w:tc>
      </w:tr>
      <w:tr>
        <w:trPr>
          <w:trHeight w:val="60"/>
        </w:trPr>
        <w:tc>
          <w:tcPr>
            <w:tcW w:w="3080" w:type="dxa"/>
            <w:vAlign w:val="bottom"/>
            <w:tcBorders>
              <w:bottom w:val="single" w:sz="8" w:color="auto"/>
            </w:tcBorders>
          </w:tcPr>
          <w:p>
            <w:pPr>
              <w:spacing w:after="0"/>
              <w:rPr>
                <w:sz w:val="5"/>
                <w:szCs w:val="5"/>
                <w:color w:val="auto"/>
              </w:rPr>
            </w:pPr>
          </w:p>
        </w:tc>
        <w:tc>
          <w:tcPr>
            <w:tcW w:w="8140" w:type="dxa"/>
            <w:vAlign w:val="bottom"/>
            <w:tcBorders>
              <w:bottom w:val="single" w:sz="8" w:color="auto"/>
            </w:tcBorders>
          </w:tcPr>
          <w:p>
            <w:pPr>
              <w:spacing w:after="0"/>
              <w:rPr>
                <w:sz w:val="5"/>
                <w:szCs w:val="5"/>
                <w:color w:val="auto"/>
              </w:rPr>
            </w:pPr>
          </w:p>
        </w:tc>
      </w:tr>
      <w:tr>
        <w:trPr>
          <w:trHeight w:val="162"/>
        </w:trPr>
        <w:tc>
          <w:tcPr>
            <w:tcW w:w="3080" w:type="dxa"/>
            <w:vAlign w:val="bottom"/>
          </w:tcPr>
          <w:p>
            <w:pPr>
              <w:spacing w:after="0"/>
              <w:rPr>
                <w:sz w:val="14"/>
                <w:szCs w:val="14"/>
                <w:color w:val="auto"/>
              </w:rPr>
            </w:pPr>
          </w:p>
        </w:tc>
        <w:tc>
          <w:tcPr>
            <w:tcW w:w="8140" w:type="dxa"/>
            <w:vAlign w:val="bottom"/>
          </w:tcPr>
          <w:p>
            <w:pPr>
              <w:jc w:val="right"/>
              <w:ind w:right="312"/>
              <w:spacing w:after="0" w:line="162" w:lineRule="exact"/>
              <w:rPr>
                <w:sz w:val="20"/>
                <w:szCs w:val="20"/>
                <w:color w:val="auto"/>
              </w:rPr>
            </w:pPr>
            <w:r>
              <w:rPr>
                <w:rFonts w:ascii="Calibri" w:cs="Calibri" w:eastAsia="Calibri" w:hAnsi="Calibri"/>
                <w:sz w:val="14"/>
                <w:szCs w:val="14"/>
                <w:b w:val="1"/>
                <w:bCs w:val="1"/>
                <w:color w:val="auto"/>
              </w:rPr>
              <w:t>Annual Cash Incentve Plan Payment</w:t>
            </w:r>
          </w:p>
        </w:tc>
      </w:tr>
      <w:tr>
        <w:trPr>
          <w:trHeight w:val="237"/>
        </w:trPr>
        <w:tc>
          <w:tcPr>
            <w:tcW w:w="3080" w:type="dxa"/>
            <w:vAlign w:val="bottom"/>
            <w:tcBorders>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Name</w:t>
            </w:r>
          </w:p>
        </w:tc>
        <w:tc>
          <w:tcPr>
            <w:tcW w:w="8140" w:type="dxa"/>
            <w:vAlign w:val="bottom"/>
            <w:tcBorders>
              <w:bottom w:val="single" w:sz="8" w:color="auto"/>
            </w:tcBorders>
          </w:tcPr>
          <w:p>
            <w:pPr>
              <w:jc w:val="right"/>
              <w:ind w:right="1272"/>
              <w:spacing w:after="0" w:line="237" w:lineRule="exact"/>
              <w:rPr>
                <w:sz w:val="20"/>
                <w:szCs w:val="20"/>
                <w:color w:val="auto"/>
              </w:rPr>
            </w:pPr>
            <w:r>
              <w:rPr>
                <w:rFonts w:ascii="Calibri" w:cs="Calibri" w:eastAsia="Calibri" w:hAnsi="Calibri"/>
                <w:sz w:val="25"/>
                <w:szCs w:val="25"/>
                <w:b w:val="1"/>
                <w:bCs w:val="1"/>
                <w:color w:val="auto"/>
                <w:vertAlign w:val="subscript"/>
              </w:rPr>
              <w:t>($)</w:t>
            </w:r>
            <w:r>
              <w:rPr>
                <w:rFonts w:ascii="Calibri" w:cs="Calibri" w:eastAsia="Calibri" w:hAnsi="Calibri"/>
                <w:sz w:val="9"/>
                <w:szCs w:val="9"/>
                <w:b w:val="1"/>
                <w:bCs w:val="1"/>
                <w:color w:val="auto"/>
              </w:rPr>
              <w:t>(1)</w:t>
            </w:r>
          </w:p>
        </w:tc>
      </w:tr>
      <w:tr>
        <w:trPr>
          <w:trHeight w:val="203"/>
        </w:trPr>
        <w:tc>
          <w:tcPr>
            <w:tcW w:w="3080" w:type="dxa"/>
            <w:vAlign w:val="bottom"/>
            <w:tcBorders>
              <w:bottom w:val="single" w:sz="8" w:color="DBDBDB"/>
            </w:tcBorders>
            <w:shd w:val="clear" w:color="auto" w:fill="DBDBDB"/>
          </w:tcPr>
          <w:p>
            <w:pPr>
              <w:ind w:left="80"/>
              <w:spacing w:after="0" w:line="164" w:lineRule="exact"/>
              <w:rPr>
                <w:sz w:val="20"/>
                <w:szCs w:val="20"/>
                <w:color w:val="auto"/>
              </w:rPr>
            </w:pPr>
            <w:r>
              <w:rPr>
                <w:rFonts w:ascii="Calibri" w:cs="Calibri" w:eastAsia="Calibri" w:hAnsi="Calibri"/>
                <w:sz w:val="14"/>
                <w:szCs w:val="14"/>
                <w:color w:val="auto"/>
              </w:rPr>
              <w:t>Max Levchin</w:t>
            </w:r>
          </w:p>
        </w:tc>
        <w:tc>
          <w:tcPr>
            <w:tcW w:w="8140" w:type="dxa"/>
            <w:vAlign w:val="bottom"/>
            <w:tcBorders>
              <w:bottom w:val="single" w:sz="8" w:color="DBDBDB"/>
            </w:tcBorders>
            <w:shd w:val="clear" w:color="auto" w:fill="DBDBDB"/>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170"/>
        </w:trPr>
        <w:tc>
          <w:tcPr>
            <w:tcW w:w="3080" w:type="dxa"/>
            <w:vAlign w:val="bottom"/>
          </w:tcPr>
          <w:p>
            <w:pPr>
              <w:ind w:left="80"/>
              <w:spacing w:after="0"/>
              <w:rPr>
                <w:sz w:val="20"/>
                <w:szCs w:val="20"/>
                <w:color w:val="auto"/>
              </w:rPr>
            </w:pPr>
            <w:r>
              <w:rPr>
                <w:rFonts w:ascii="Calibri" w:cs="Calibri" w:eastAsia="Calibri" w:hAnsi="Calibri"/>
                <w:sz w:val="14"/>
                <w:szCs w:val="14"/>
                <w:color w:val="auto"/>
              </w:rPr>
              <w:t>Michael Linford</w:t>
            </w:r>
          </w:p>
        </w:tc>
        <w:tc>
          <w:tcPr>
            <w:tcW w:w="8140" w:type="dxa"/>
            <w:vAlign w:val="bottom"/>
          </w:tcPr>
          <w:p>
            <w:pPr>
              <w:jc w:val="right"/>
              <w:spacing w:after="0"/>
              <w:rPr>
                <w:sz w:val="20"/>
                <w:szCs w:val="20"/>
                <w:color w:val="auto"/>
              </w:rPr>
            </w:pPr>
            <w:r>
              <w:rPr>
                <w:rFonts w:ascii="Calibri" w:cs="Calibri" w:eastAsia="Calibri" w:hAnsi="Calibri"/>
                <w:sz w:val="14"/>
                <w:szCs w:val="14"/>
                <w:color w:val="auto"/>
              </w:rPr>
              <w:t>356,250</w:t>
            </w:r>
          </w:p>
        </w:tc>
      </w:tr>
      <w:tr>
        <w:trPr>
          <w:trHeight w:val="60"/>
        </w:trPr>
        <w:tc>
          <w:tcPr>
            <w:tcW w:w="3080" w:type="dxa"/>
            <w:vAlign w:val="bottom"/>
          </w:tcPr>
          <w:p>
            <w:pPr>
              <w:spacing w:after="0"/>
              <w:rPr>
                <w:sz w:val="5"/>
                <w:szCs w:val="5"/>
                <w:color w:val="auto"/>
              </w:rPr>
            </w:pPr>
          </w:p>
        </w:tc>
        <w:tc>
          <w:tcPr>
            <w:tcW w:w="8140" w:type="dxa"/>
            <w:vAlign w:val="bottom"/>
          </w:tcPr>
          <w:p>
            <w:pPr>
              <w:spacing w:after="0"/>
              <w:rPr>
                <w:sz w:val="5"/>
                <w:szCs w:val="5"/>
                <w:color w:val="auto"/>
              </w:rPr>
            </w:pPr>
          </w:p>
        </w:tc>
      </w:tr>
      <w:tr>
        <w:trPr>
          <w:trHeight w:val="210"/>
        </w:trPr>
        <w:tc>
          <w:tcPr>
            <w:tcW w:w="308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4"/>
                <w:szCs w:val="14"/>
                <w:color w:val="auto"/>
              </w:rPr>
              <w:t>Katherine Adkins</w:t>
            </w:r>
          </w:p>
        </w:tc>
        <w:tc>
          <w:tcPr>
            <w:tcW w:w="81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255,000</w:t>
            </w:r>
          </w:p>
        </w:tc>
      </w:tr>
      <w:tr>
        <w:trPr>
          <w:trHeight w:val="170"/>
        </w:trPr>
        <w:tc>
          <w:tcPr>
            <w:tcW w:w="3080" w:type="dxa"/>
            <w:vAlign w:val="bottom"/>
          </w:tcPr>
          <w:p>
            <w:pPr>
              <w:ind w:left="80"/>
              <w:spacing w:after="0"/>
              <w:rPr>
                <w:sz w:val="20"/>
                <w:szCs w:val="20"/>
                <w:color w:val="auto"/>
              </w:rPr>
            </w:pPr>
            <w:r>
              <w:rPr>
                <w:rFonts w:ascii="Calibri" w:cs="Calibri" w:eastAsia="Calibri" w:hAnsi="Calibri"/>
                <w:sz w:val="14"/>
                <w:szCs w:val="14"/>
                <w:color w:val="auto"/>
              </w:rPr>
              <w:t>Libor Michalek</w:t>
            </w:r>
          </w:p>
        </w:tc>
        <w:tc>
          <w:tcPr>
            <w:tcW w:w="8140" w:type="dxa"/>
            <w:vAlign w:val="bottom"/>
          </w:tcPr>
          <w:p>
            <w:pPr>
              <w:jc w:val="right"/>
              <w:spacing w:after="0"/>
              <w:rPr>
                <w:sz w:val="20"/>
                <w:szCs w:val="20"/>
                <w:color w:val="auto"/>
              </w:rPr>
            </w:pPr>
            <w:r>
              <w:rPr>
                <w:rFonts w:ascii="Calibri" w:cs="Calibri" w:eastAsia="Calibri" w:hAnsi="Calibri"/>
                <w:sz w:val="14"/>
                <w:szCs w:val="14"/>
                <w:color w:val="auto"/>
              </w:rPr>
              <w:t>356,250</w:t>
            </w:r>
          </w:p>
        </w:tc>
      </w:tr>
      <w:tr>
        <w:trPr>
          <w:trHeight w:val="60"/>
        </w:trPr>
        <w:tc>
          <w:tcPr>
            <w:tcW w:w="3080" w:type="dxa"/>
            <w:vAlign w:val="bottom"/>
            <w:tcBorders>
              <w:bottom w:val="single" w:sz="8" w:color="auto"/>
            </w:tcBorders>
          </w:tcPr>
          <w:p>
            <w:pPr>
              <w:spacing w:after="0"/>
              <w:rPr>
                <w:sz w:val="5"/>
                <w:szCs w:val="5"/>
                <w:color w:val="auto"/>
              </w:rPr>
            </w:pPr>
          </w:p>
        </w:tc>
        <w:tc>
          <w:tcPr>
            <w:tcW w:w="8140" w:type="dxa"/>
            <w:vAlign w:val="bottom"/>
            <w:tcBorders>
              <w:bottom w:val="single" w:sz="8" w:color="auto"/>
            </w:tcBorders>
          </w:tcPr>
          <w:p>
            <w:pPr>
              <w:spacing w:after="0"/>
              <w:rPr>
                <w:sz w:val="5"/>
                <w:szCs w:val="5"/>
                <w:color w:val="auto"/>
              </w:rPr>
            </w:pPr>
          </w:p>
        </w:tc>
      </w:tr>
    </w:tbl>
    <w:p>
      <w:pPr>
        <w:spacing w:after="0" w:line="107" w:lineRule="exact"/>
        <w:rPr>
          <w:sz w:val="20"/>
          <w:szCs w:val="20"/>
          <w:color w:val="auto"/>
        </w:rPr>
      </w:pPr>
    </w:p>
    <w:p>
      <w:pPr>
        <w:ind w:left="340" w:right="20" w:hanging="332"/>
        <w:spacing w:after="0" w:line="233" w:lineRule="auto"/>
        <w:tabs>
          <w:tab w:leader="none" w:pos="338" w:val="left"/>
        </w:tabs>
        <w:numPr>
          <w:ilvl w:val="0"/>
          <w:numId w:val="56"/>
        </w:numPr>
        <w:rPr>
          <w:rFonts w:ascii="Calibri" w:cs="Calibri" w:eastAsia="Calibri" w:hAnsi="Calibri"/>
          <w:sz w:val="14"/>
          <w:szCs w:val="14"/>
          <w:color w:val="auto"/>
        </w:rPr>
      </w:pPr>
      <w:r>
        <w:rPr>
          <w:rFonts w:ascii="Calibri" w:cs="Calibri" w:eastAsia="Calibri" w:hAnsi="Calibri"/>
          <w:sz w:val="14"/>
          <w:szCs w:val="14"/>
          <w:color w:val="auto"/>
        </w:rPr>
        <w:t>Represents a lump sum cash payment in an amount equal to the named executve ofcer’s target annual cash incentve plan opportunity, if any, in efect as of June 30, 2022 as if a change in control occurred on June 30, 2022.</w:t>
      </w: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Qualifying Terminaton Within a Change in Control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7123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000" w:type="dxa"/>
            <w:vAlign w:val="bottom"/>
            <w:vMerge w:val="restart"/>
          </w:tcPr>
          <w:p>
            <w:pPr>
              <w:jc w:val="right"/>
              <w:ind w:right="213"/>
              <w:spacing w:after="0"/>
              <w:rPr>
                <w:sz w:val="20"/>
                <w:szCs w:val="20"/>
                <w:color w:val="auto"/>
              </w:rPr>
            </w:pPr>
            <w:r>
              <w:rPr>
                <w:rFonts w:ascii="Calibri" w:cs="Calibri" w:eastAsia="Calibri" w:hAnsi="Calibri"/>
                <w:sz w:val="14"/>
                <w:szCs w:val="14"/>
                <w:b w:val="1"/>
                <w:bCs w:val="1"/>
                <w:color w:val="auto"/>
              </w:rPr>
              <w:t>Cash Severance</w:t>
            </w: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rPr>
              <w:t>Annual Cash Incentve</w:t>
            </w:r>
          </w:p>
        </w:tc>
        <w:tc>
          <w:tcPr>
            <w:tcW w:w="1480" w:type="dxa"/>
            <w:vAlign w:val="bottom"/>
            <w:vMerge w:val="restart"/>
          </w:tcPr>
          <w:p>
            <w:pPr>
              <w:jc w:val="right"/>
              <w:ind w:right="88"/>
              <w:spacing w:after="0"/>
              <w:rPr>
                <w:sz w:val="20"/>
                <w:szCs w:val="20"/>
                <w:color w:val="auto"/>
              </w:rPr>
            </w:pPr>
            <w:r>
              <w:rPr>
                <w:rFonts w:ascii="Calibri" w:cs="Calibri" w:eastAsia="Calibri" w:hAnsi="Calibri"/>
                <w:sz w:val="14"/>
                <w:szCs w:val="14"/>
                <w:b w:val="1"/>
                <w:bCs w:val="1"/>
                <w:color w:val="auto"/>
              </w:rPr>
              <w:t>Value of Accelerated</w:t>
            </w:r>
          </w:p>
        </w:tc>
        <w:tc>
          <w:tcPr>
            <w:tcW w:w="1520" w:type="dxa"/>
            <w:vAlign w:val="bottom"/>
            <w:vMerge w:val="restart"/>
          </w:tcPr>
          <w:p>
            <w:pPr>
              <w:jc w:val="right"/>
              <w:ind w:right="148"/>
              <w:spacing w:after="0"/>
              <w:rPr>
                <w:sz w:val="20"/>
                <w:szCs w:val="20"/>
                <w:color w:val="auto"/>
              </w:rPr>
            </w:pPr>
            <w:r>
              <w:rPr>
                <w:rFonts w:ascii="Calibri" w:cs="Calibri" w:eastAsia="Calibri" w:hAnsi="Calibri"/>
                <w:sz w:val="14"/>
                <w:szCs w:val="14"/>
                <w:b w:val="1"/>
                <w:bCs w:val="1"/>
                <w:color w:val="auto"/>
              </w:rPr>
              <w:t>Value of Accelerated</w:t>
            </w:r>
          </w:p>
        </w:tc>
        <w:tc>
          <w:tcPr>
            <w:tcW w:w="1640" w:type="dxa"/>
            <w:vAlign w:val="bottom"/>
            <w:vMerge w:val="restart"/>
          </w:tcPr>
          <w:p>
            <w:pPr>
              <w:jc w:val="right"/>
              <w:ind w:right="413"/>
              <w:spacing w:after="0"/>
              <w:rPr>
                <w:sz w:val="20"/>
                <w:szCs w:val="20"/>
                <w:color w:val="auto"/>
              </w:rPr>
            </w:pPr>
            <w:r>
              <w:rPr>
                <w:rFonts w:ascii="Calibri" w:cs="Calibri" w:eastAsia="Calibri" w:hAnsi="Calibri"/>
                <w:sz w:val="14"/>
                <w:szCs w:val="14"/>
                <w:b w:val="1"/>
                <w:bCs w:val="1"/>
                <w:color w:val="auto"/>
              </w:rPr>
              <w:t>Value of Benefts</w:t>
            </w:r>
          </w:p>
        </w:tc>
        <w:tc>
          <w:tcPr>
            <w:tcW w:w="1220" w:type="dxa"/>
            <w:vAlign w:val="bottom"/>
            <w:vMerge w:val="restart"/>
          </w:tcPr>
          <w:p>
            <w:pPr>
              <w:jc w:val="right"/>
              <w:ind w:right="52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50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Plan Payment</w:t>
            </w:r>
          </w:p>
        </w:tc>
        <w:tc>
          <w:tcPr>
            <w:tcW w:w="14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auto"/>
            </w:tcBorders>
          </w:tcPr>
          <w:p>
            <w:pPr>
              <w:ind w:left="60"/>
              <w:spacing w:after="0"/>
              <w:rPr>
                <w:sz w:val="20"/>
                <w:szCs w:val="20"/>
                <w:color w:val="auto"/>
              </w:rPr>
            </w:pPr>
            <w:r>
              <w:rPr>
                <w:rFonts w:ascii="Calibri" w:cs="Calibri" w:eastAsia="Calibri" w:hAnsi="Calibri"/>
                <w:sz w:val="14"/>
                <w:szCs w:val="14"/>
                <w:b w:val="1"/>
                <w:bCs w:val="1"/>
                <w:color w:val="auto"/>
              </w:rPr>
              <w:t>Name</w:t>
            </w:r>
          </w:p>
        </w:tc>
        <w:tc>
          <w:tcPr>
            <w:tcW w:w="2000" w:type="dxa"/>
            <w:vAlign w:val="bottom"/>
            <w:tcBorders>
              <w:bottom w:val="single" w:sz="8" w:color="auto"/>
            </w:tcBorders>
          </w:tcPr>
          <w:p>
            <w:pPr>
              <w:jc w:val="right"/>
              <w:ind w:right="533"/>
              <w:spacing w:after="0" w:line="237" w:lineRule="exact"/>
              <w:rPr>
                <w:sz w:val="20"/>
                <w:szCs w:val="20"/>
                <w:color w:val="auto"/>
              </w:rPr>
            </w:pPr>
            <w:r>
              <w:rPr>
                <w:rFonts w:ascii="Calibri" w:cs="Calibri" w:eastAsia="Calibri" w:hAnsi="Calibri"/>
                <w:sz w:val="25"/>
                <w:szCs w:val="25"/>
                <w:b w:val="1"/>
                <w:bCs w:val="1"/>
                <w:color w:val="auto"/>
                <w:vertAlign w:val="subscript"/>
              </w:rPr>
              <w:t>($)</w:t>
            </w:r>
            <w:r>
              <w:rPr>
                <w:rFonts w:ascii="Calibri" w:cs="Calibri" w:eastAsia="Calibri" w:hAnsi="Calibri"/>
                <w:sz w:val="9"/>
                <w:szCs w:val="9"/>
                <w:b w:val="1"/>
                <w:bCs w:val="1"/>
                <w:color w:val="auto"/>
              </w:rPr>
              <w:t>(1)</w:t>
            </w:r>
          </w:p>
        </w:tc>
        <w:tc>
          <w:tcPr>
            <w:tcW w:w="1500" w:type="dxa"/>
            <w:vAlign w:val="bottom"/>
            <w:tcBorders>
              <w:bottom w:val="single" w:sz="8" w:color="auto"/>
            </w:tcBorders>
          </w:tcPr>
          <w:p>
            <w:pPr>
              <w:jc w:val="center"/>
              <w:spacing w:after="0" w:line="237" w:lineRule="exact"/>
              <w:rPr>
                <w:sz w:val="20"/>
                <w:szCs w:val="20"/>
                <w:color w:val="auto"/>
              </w:rPr>
            </w:pPr>
            <w:r>
              <w:rPr>
                <w:rFonts w:ascii="Calibri" w:cs="Calibri" w:eastAsia="Calibri" w:hAnsi="Calibri"/>
                <w:sz w:val="25"/>
                <w:szCs w:val="25"/>
                <w:b w:val="1"/>
                <w:bCs w:val="1"/>
                <w:color w:val="auto"/>
                <w:w w:val="89"/>
                <w:vertAlign w:val="subscript"/>
              </w:rPr>
              <w:t>($)</w:t>
            </w:r>
            <w:r>
              <w:rPr>
                <w:rFonts w:ascii="Calibri" w:cs="Calibri" w:eastAsia="Calibri" w:hAnsi="Calibri"/>
                <w:sz w:val="9"/>
                <w:szCs w:val="9"/>
                <w:b w:val="1"/>
                <w:bCs w:val="1"/>
                <w:color w:val="auto"/>
                <w:w w:val="89"/>
              </w:rPr>
              <w:t>(2)</w:t>
            </w:r>
          </w:p>
        </w:tc>
        <w:tc>
          <w:tcPr>
            <w:tcW w:w="1480" w:type="dxa"/>
            <w:vAlign w:val="bottom"/>
            <w:tcBorders>
              <w:bottom w:val="single" w:sz="8" w:color="auto"/>
            </w:tcBorders>
          </w:tcPr>
          <w:p>
            <w:pPr>
              <w:jc w:val="right"/>
              <w:ind w:right="148"/>
              <w:spacing w:after="0" w:line="216" w:lineRule="exact"/>
              <w:rPr>
                <w:sz w:val="20"/>
                <w:szCs w:val="20"/>
                <w:color w:val="auto"/>
              </w:rPr>
            </w:pPr>
            <w:r>
              <w:rPr>
                <w:rFonts w:ascii="Calibri" w:cs="Calibri" w:eastAsia="Calibri" w:hAnsi="Calibri"/>
                <w:sz w:val="14"/>
                <w:szCs w:val="14"/>
                <w:b w:val="1"/>
                <w:bCs w:val="1"/>
                <w:color w:val="auto"/>
              </w:rPr>
              <w:t>Stock Awards ($)</w:t>
            </w:r>
            <w:r>
              <w:rPr>
                <w:rFonts w:ascii="Calibri" w:cs="Calibri" w:eastAsia="Calibri" w:hAnsi="Calibri"/>
                <w:sz w:val="18"/>
                <w:szCs w:val="18"/>
                <w:b w:val="1"/>
                <w:bCs w:val="1"/>
                <w:color w:val="auto"/>
                <w:vertAlign w:val="superscript"/>
              </w:rPr>
              <w:t>(3)</w:t>
            </w:r>
          </w:p>
        </w:tc>
        <w:tc>
          <w:tcPr>
            <w:tcW w:w="1520" w:type="dxa"/>
            <w:vAlign w:val="bottom"/>
            <w:tcBorders>
              <w:bottom w:val="single" w:sz="8" w:color="auto"/>
            </w:tcBorders>
          </w:tcPr>
          <w:p>
            <w:pPr>
              <w:jc w:val="right"/>
              <w:ind w:right="148"/>
              <w:spacing w:after="0" w:line="216" w:lineRule="exact"/>
              <w:rPr>
                <w:sz w:val="20"/>
                <w:szCs w:val="20"/>
                <w:color w:val="auto"/>
              </w:rPr>
            </w:pPr>
            <w:r>
              <w:rPr>
                <w:rFonts w:ascii="Calibri" w:cs="Calibri" w:eastAsia="Calibri" w:hAnsi="Calibri"/>
                <w:sz w:val="14"/>
                <w:szCs w:val="14"/>
                <w:b w:val="1"/>
                <w:bCs w:val="1"/>
                <w:color w:val="auto"/>
              </w:rPr>
              <w:t>Opton Awards ($)</w:t>
            </w:r>
            <w:r>
              <w:rPr>
                <w:rFonts w:ascii="Calibri" w:cs="Calibri" w:eastAsia="Calibri" w:hAnsi="Calibri"/>
                <w:sz w:val="18"/>
                <w:szCs w:val="18"/>
                <w:b w:val="1"/>
                <w:bCs w:val="1"/>
                <w:color w:val="auto"/>
                <w:vertAlign w:val="superscript"/>
              </w:rPr>
              <w:t>(4)</w:t>
            </w:r>
          </w:p>
        </w:tc>
        <w:tc>
          <w:tcPr>
            <w:tcW w:w="1640" w:type="dxa"/>
            <w:vAlign w:val="bottom"/>
            <w:tcBorders>
              <w:bottom w:val="single" w:sz="8" w:color="auto"/>
            </w:tcBorders>
          </w:tcPr>
          <w:p>
            <w:pPr>
              <w:jc w:val="right"/>
              <w:ind w:right="793"/>
              <w:spacing w:after="0" w:line="237" w:lineRule="exact"/>
              <w:rPr>
                <w:sz w:val="20"/>
                <w:szCs w:val="20"/>
                <w:color w:val="auto"/>
              </w:rPr>
            </w:pPr>
            <w:r>
              <w:rPr>
                <w:rFonts w:ascii="Calibri" w:cs="Calibri" w:eastAsia="Calibri" w:hAnsi="Calibri"/>
                <w:sz w:val="25"/>
                <w:szCs w:val="25"/>
                <w:b w:val="1"/>
                <w:bCs w:val="1"/>
                <w:color w:val="auto"/>
                <w:vertAlign w:val="subscript"/>
              </w:rPr>
              <w:t>($)</w:t>
            </w:r>
            <w:r>
              <w:rPr>
                <w:rFonts w:ascii="Calibri" w:cs="Calibri" w:eastAsia="Calibri" w:hAnsi="Calibri"/>
                <w:sz w:val="9"/>
                <w:szCs w:val="9"/>
                <w:b w:val="1"/>
                <w:bCs w:val="1"/>
                <w:color w:val="auto"/>
              </w:rPr>
              <w:t>(5)</w:t>
            </w:r>
          </w:p>
        </w:tc>
        <w:tc>
          <w:tcPr>
            <w:tcW w:w="1220" w:type="dxa"/>
            <w:vAlign w:val="bottom"/>
            <w:tcBorders>
              <w:bottom w:val="single" w:sz="8" w:color="auto"/>
            </w:tcBorders>
          </w:tcPr>
          <w:p>
            <w:pPr>
              <w:jc w:val="right"/>
              <w:ind w:right="588"/>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203"/>
        </w:trPr>
        <w:tc>
          <w:tcPr>
            <w:tcW w:w="1860" w:type="dxa"/>
            <w:vAlign w:val="bottom"/>
            <w:tcBorders>
              <w:bottom w:val="single" w:sz="8" w:color="DBDBDB"/>
            </w:tcBorders>
            <w:shd w:val="clear" w:color="auto" w:fill="DBDBDB"/>
          </w:tcPr>
          <w:p>
            <w:pPr>
              <w:ind w:left="60"/>
              <w:spacing w:after="0" w:line="164" w:lineRule="exact"/>
              <w:rPr>
                <w:sz w:val="20"/>
                <w:szCs w:val="20"/>
                <w:color w:val="auto"/>
              </w:rPr>
            </w:pPr>
            <w:r>
              <w:rPr>
                <w:rFonts w:ascii="Calibri" w:cs="Calibri" w:eastAsia="Calibri" w:hAnsi="Calibri"/>
                <w:sz w:val="14"/>
                <w:szCs w:val="14"/>
                <w:color w:val="auto"/>
              </w:rPr>
              <w:t>Max Levchin</w:t>
            </w:r>
          </w:p>
        </w:tc>
        <w:tc>
          <w:tcPr>
            <w:tcW w:w="2000" w:type="dxa"/>
            <w:vAlign w:val="bottom"/>
            <w:tcBorders>
              <w:bottom w:val="single" w:sz="8" w:color="DBDBDB"/>
            </w:tcBorders>
            <w:shd w:val="clear" w:color="auto" w:fill="DBDBDB"/>
          </w:tcPr>
          <w:p>
            <w:pPr>
              <w:jc w:val="right"/>
              <w:spacing w:after="0" w:line="164" w:lineRule="exact"/>
              <w:rPr>
                <w:sz w:val="20"/>
                <w:szCs w:val="20"/>
                <w:color w:val="auto"/>
              </w:rPr>
            </w:pPr>
            <w:r>
              <w:rPr>
                <w:rFonts w:ascii="Calibri" w:cs="Calibri" w:eastAsia="Calibri" w:hAnsi="Calibri"/>
                <w:sz w:val="14"/>
                <w:szCs w:val="14"/>
                <w:color w:val="auto"/>
              </w:rPr>
              <w:t>43,683</w:t>
            </w:r>
          </w:p>
        </w:tc>
        <w:tc>
          <w:tcPr>
            <w:tcW w:w="1500" w:type="dxa"/>
            <w:vAlign w:val="bottom"/>
            <w:tcBorders>
              <w:bottom w:val="single" w:sz="8" w:color="DBDBDB"/>
            </w:tcBorders>
            <w:shd w:val="clear" w:color="auto" w:fill="DBDBDB"/>
          </w:tcPr>
          <w:p>
            <w:pPr>
              <w:jc w:val="right"/>
              <w:ind w:right="32"/>
              <w:spacing w:after="0" w:line="164"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DBDBDB"/>
            </w:tcBorders>
            <w:shd w:val="clear" w:color="auto" w:fill="DBDBDB"/>
          </w:tcPr>
          <w:p>
            <w:pPr>
              <w:jc w:val="right"/>
              <w:ind w:right="28"/>
              <w:spacing w:after="0" w:line="164"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DBDBDB"/>
            </w:tcBorders>
            <w:shd w:val="clear" w:color="auto" w:fill="DBDBDB"/>
          </w:tcPr>
          <w:p>
            <w:pPr>
              <w:jc w:val="right"/>
              <w:ind w:right="68"/>
              <w:spacing w:after="0" w:line="164" w:lineRule="exact"/>
              <w:rPr>
                <w:sz w:val="20"/>
                <w:szCs w:val="20"/>
                <w:color w:val="auto"/>
              </w:rPr>
            </w:pPr>
            <w:r>
              <w:rPr>
                <w:rFonts w:ascii="Calibri" w:cs="Calibri" w:eastAsia="Calibri" w:hAnsi="Calibri"/>
                <w:sz w:val="14"/>
                <w:szCs w:val="14"/>
                <w:color w:val="auto"/>
              </w:rPr>
              <w:t>—</w:t>
            </w:r>
          </w:p>
        </w:tc>
        <w:tc>
          <w:tcPr>
            <w:tcW w:w="1640" w:type="dxa"/>
            <w:vAlign w:val="bottom"/>
            <w:tcBorders>
              <w:bottom w:val="single" w:sz="8" w:color="DBDBDB"/>
            </w:tcBorders>
            <w:shd w:val="clear" w:color="auto" w:fill="DBDBDB"/>
          </w:tcPr>
          <w:p>
            <w:pPr>
              <w:jc w:val="right"/>
              <w:ind w:right="253"/>
              <w:spacing w:after="0" w:line="164" w:lineRule="exact"/>
              <w:rPr>
                <w:sz w:val="20"/>
                <w:szCs w:val="20"/>
                <w:color w:val="auto"/>
              </w:rPr>
            </w:pPr>
            <w:r>
              <w:rPr>
                <w:rFonts w:ascii="Calibri" w:cs="Calibri" w:eastAsia="Calibri" w:hAnsi="Calibri"/>
                <w:sz w:val="14"/>
                <w:szCs w:val="14"/>
                <w:color w:val="auto"/>
              </w:rPr>
              <w:t>30,785</w:t>
            </w:r>
          </w:p>
        </w:tc>
        <w:tc>
          <w:tcPr>
            <w:tcW w:w="1220" w:type="dxa"/>
            <w:vAlign w:val="bottom"/>
            <w:tcBorders>
              <w:bottom w:val="single" w:sz="8" w:color="DBDBDB"/>
            </w:tcBorders>
            <w:shd w:val="clear" w:color="auto" w:fill="DBDBDB"/>
          </w:tcPr>
          <w:p>
            <w:pPr>
              <w:jc w:val="right"/>
              <w:spacing w:after="0" w:line="164" w:lineRule="exact"/>
              <w:rPr>
                <w:sz w:val="20"/>
                <w:szCs w:val="20"/>
                <w:color w:val="auto"/>
              </w:rPr>
            </w:pPr>
            <w:r>
              <w:rPr>
                <w:rFonts w:ascii="Calibri" w:cs="Calibri" w:eastAsia="Calibri" w:hAnsi="Calibri"/>
                <w:sz w:val="14"/>
                <w:szCs w:val="14"/>
                <w:color w:val="auto"/>
              </w:rPr>
              <w:t>74,468</w:t>
            </w:r>
          </w:p>
        </w:tc>
        <w:tc>
          <w:tcPr>
            <w:tcW w:w="0" w:type="dxa"/>
            <w:vAlign w:val="bottom"/>
          </w:tcPr>
          <w:p>
            <w:pPr>
              <w:spacing w:after="0"/>
              <w:rPr>
                <w:sz w:val="1"/>
                <w:szCs w:val="1"/>
                <w:color w:val="auto"/>
              </w:rPr>
            </w:pPr>
          </w:p>
        </w:tc>
      </w:tr>
      <w:tr>
        <w:trPr>
          <w:trHeight w:val="170"/>
        </w:trPr>
        <w:tc>
          <w:tcPr>
            <w:tcW w:w="1860" w:type="dxa"/>
            <w:vAlign w:val="bottom"/>
          </w:tcPr>
          <w:p>
            <w:pPr>
              <w:ind w:left="60"/>
              <w:spacing w:after="0"/>
              <w:rPr>
                <w:sz w:val="20"/>
                <w:szCs w:val="20"/>
                <w:color w:val="auto"/>
              </w:rPr>
            </w:pPr>
            <w:r>
              <w:rPr>
                <w:rFonts w:ascii="Calibri" w:cs="Calibri" w:eastAsia="Calibri" w:hAnsi="Calibri"/>
                <w:sz w:val="14"/>
                <w:szCs w:val="14"/>
                <w:color w:val="auto"/>
              </w:rPr>
              <w:t>Michael Linford</w:t>
            </w:r>
          </w:p>
        </w:tc>
        <w:tc>
          <w:tcPr>
            <w:tcW w:w="2000" w:type="dxa"/>
            <w:vAlign w:val="bottom"/>
          </w:tcPr>
          <w:p>
            <w:pPr>
              <w:jc w:val="right"/>
              <w:spacing w:after="0"/>
              <w:rPr>
                <w:sz w:val="20"/>
                <w:szCs w:val="20"/>
                <w:color w:val="auto"/>
              </w:rPr>
            </w:pPr>
            <w:r>
              <w:rPr>
                <w:rFonts w:ascii="Calibri" w:cs="Calibri" w:eastAsia="Calibri" w:hAnsi="Calibri"/>
                <w:sz w:val="14"/>
                <w:szCs w:val="14"/>
                <w:color w:val="auto"/>
              </w:rPr>
              <w:t>831,250</w:t>
            </w:r>
          </w:p>
        </w:tc>
        <w:tc>
          <w:tcPr>
            <w:tcW w:w="1500" w:type="dxa"/>
            <w:vAlign w:val="bottom"/>
          </w:tcPr>
          <w:p>
            <w:pPr>
              <w:jc w:val="right"/>
              <w:ind w:right="32"/>
              <w:spacing w:after="0"/>
              <w:rPr>
                <w:sz w:val="20"/>
                <w:szCs w:val="20"/>
                <w:color w:val="auto"/>
              </w:rPr>
            </w:pPr>
            <w:r>
              <w:rPr>
                <w:rFonts w:ascii="Calibri" w:cs="Calibri" w:eastAsia="Calibri" w:hAnsi="Calibri"/>
                <w:sz w:val="14"/>
                <w:szCs w:val="14"/>
                <w:color w:val="auto"/>
              </w:rPr>
              <w:t>356,250</w:t>
            </w:r>
          </w:p>
        </w:tc>
        <w:tc>
          <w:tcPr>
            <w:tcW w:w="1480" w:type="dxa"/>
            <w:vAlign w:val="bottom"/>
          </w:tcPr>
          <w:p>
            <w:pPr>
              <w:jc w:val="right"/>
              <w:ind w:right="28"/>
              <w:spacing w:after="0"/>
              <w:rPr>
                <w:sz w:val="20"/>
                <w:szCs w:val="20"/>
                <w:color w:val="auto"/>
              </w:rPr>
            </w:pPr>
            <w:r>
              <w:rPr>
                <w:rFonts w:ascii="Calibri" w:cs="Calibri" w:eastAsia="Calibri" w:hAnsi="Calibri"/>
                <w:sz w:val="14"/>
                <w:szCs w:val="14"/>
                <w:color w:val="auto"/>
              </w:rPr>
              <w:t>1,754,908</w:t>
            </w:r>
          </w:p>
        </w:tc>
        <w:tc>
          <w:tcPr>
            <w:tcW w:w="1520" w:type="dxa"/>
            <w:vAlign w:val="bottom"/>
          </w:tcPr>
          <w:p>
            <w:pPr>
              <w:jc w:val="right"/>
              <w:ind w:right="68"/>
              <w:spacing w:after="0"/>
              <w:rPr>
                <w:sz w:val="20"/>
                <w:szCs w:val="20"/>
                <w:color w:val="auto"/>
              </w:rPr>
            </w:pPr>
            <w:r>
              <w:rPr>
                <w:rFonts w:ascii="Calibri" w:cs="Calibri" w:eastAsia="Calibri" w:hAnsi="Calibri"/>
                <w:sz w:val="14"/>
                <w:szCs w:val="14"/>
                <w:color w:val="auto"/>
              </w:rPr>
              <w:t>786,807</w:t>
            </w:r>
          </w:p>
        </w:tc>
        <w:tc>
          <w:tcPr>
            <w:tcW w:w="1640" w:type="dxa"/>
            <w:vAlign w:val="bottom"/>
          </w:tcPr>
          <w:p>
            <w:pPr>
              <w:jc w:val="right"/>
              <w:ind w:right="253"/>
              <w:spacing w:after="0"/>
              <w:rPr>
                <w:sz w:val="20"/>
                <w:szCs w:val="20"/>
                <w:color w:val="auto"/>
              </w:rPr>
            </w:pPr>
            <w:r>
              <w:rPr>
                <w:rFonts w:ascii="Calibri" w:cs="Calibri" w:eastAsia="Calibri" w:hAnsi="Calibri"/>
                <w:sz w:val="14"/>
                <w:szCs w:val="14"/>
                <w:color w:val="auto"/>
              </w:rPr>
              <w:t>20,523</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3,749,738</w:t>
            </w:r>
          </w:p>
        </w:tc>
        <w:tc>
          <w:tcPr>
            <w:tcW w:w="0" w:type="dxa"/>
            <w:vAlign w:val="bottom"/>
          </w:tcPr>
          <w:p>
            <w:pPr>
              <w:spacing w:after="0"/>
              <w:rPr>
                <w:sz w:val="1"/>
                <w:szCs w:val="1"/>
                <w:color w:val="auto"/>
              </w:rPr>
            </w:pPr>
          </w:p>
        </w:tc>
      </w:tr>
      <w:tr>
        <w:trPr>
          <w:trHeight w:val="60"/>
        </w:trPr>
        <w:tc>
          <w:tcPr>
            <w:tcW w:w="18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DBDBDB"/>
            </w:tcBorders>
            <w:shd w:val="clear" w:color="auto" w:fill="DBDBDB"/>
          </w:tcPr>
          <w:p>
            <w:pPr>
              <w:ind w:left="60"/>
              <w:spacing w:after="0"/>
              <w:rPr>
                <w:sz w:val="20"/>
                <w:szCs w:val="20"/>
                <w:color w:val="auto"/>
              </w:rPr>
            </w:pPr>
            <w:r>
              <w:rPr>
                <w:rFonts w:ascii="Calibri" w:cs="Calibri" w:eastAsia="Calibri" w:hAnsi="Calibri"/>
                <w:sz w:val="14"/>
                <w:szCs w:val="14"/>
                <w:color w:val="auto"/>
              </w:rPr>
              <w:t>Katherine Adkins</w:t>
            </w:r>
          </w:p>
        </w:tc>
        <w:tc>
          <w:tcPr>
            <w:tcW w:w="20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680,000</w:t>
            </w:r>
          </w:p>
        </w:tc>
        <w:tc>
          <w:tcPr>
            <w:tcW w:w="1500" w:type="dxa"/>
            <w:vAlign w:val="bottom"/>
            <w:tcBorders>
              <w:bottom w:val="single" w:sz="8" w:color="DBDBDB"/>
            </w:tcBorders>
            <w:shd w:val="clear" w:color="auto" w:fill="DBDBDB"/>
          </w:tcPr>
          <w:p>
            <w:pPr>
              <w:jc w:val="right"/>
              <w:ind w:right="32"/>
              <w:spacing w:after="0"/>
              <w:rPr>
                <w:sz w:val="20"/>
                <w:szCs w:val="20"/>
                <w:color w:val="auto"/>
              </w:rPr>
            </w:pPr>
            <w:r>
              <w:rPr>
                <w:rFonts w:ascii="Calibri" w:cs="Calibri" w:eastAsia="Calibri" w:hAnsi="Calibri"/>
                <w:sz w:val="14"/>
                <w:szCs w:val="14"/>
                <w:color w:val="auto"/>
              </w:rPr>
              <w:t>255,000</w:t>
            </w:r>
          </w:p>
        </w:tc>
        <w:tc>
          <w:tcPr>
            <w:tcW w:w="1480" w:type="dxa"/>
            <w:vAlign w:val="bottom"/>
            <w:tcBorders>
              <w:bottom w:val="single" w:sz="8" w:color="DBDBDB"/>
            </w:tcBorders>
            <w:shd w:val="clear" w:color="auto" w:fill="DBDBDB"/>
          </w:tcPr>
          <w:p>
            <w:pPr>
              <w:jc w:val="right"/>
              <w:ind w:right="28"/>
              <w:spacing w:after="0"/>
              <w:rPr>
                <w:sz w:val="20"/>
                <w:szCs w:val="20"/>
                <w:color w:val="auto"/>
              </w:rPr>
            </w:pPr>
            <w:r>
              <w:rPr>
                <w:rFonts w:ascii="Calibri" w:cs="Calibri" w:eastAsia="Calibri" w:hAnsi="Calibri"/>
                <w:sz w:val="14"/>
                <w:szCs w:val="14"/>
                <w:color w:val="auto"/>
              </w:rPr>
              <w:t>2,557,206</w:t>
            </w:r>
          </w:p>
        </w:tc>
        <w:tc>
          <w:tcPr>
            <w:tcW w:w="1520" w:type="dxa"/>
            <w:vAlign w:val="bottom"/>
            <w:tcBorders>
              <w:bottom w:val="single" w:sz="8" w:color="DBDBDB"/>
            </w:tcBorders>
            <w:shd w:val="clear" w:color="auto" w:fill="DBDBDB"/>
          </w:tcPr>
          <w:p>
            <w:pPr>
              <w:jc w:val="right"/>
              <w:ind w:right="68"/>
              <w:spacing w:after="0"/>
              <w:rPr>
                <w:sz w:val="20"/>
                <w:szCs w:val="20"/>
                <w:color w:val="auto"/>
              </w:rPr>
            </w:pPr>
            <w:r>
              <w:rPr>
                <w:rFonts w:ascii="Calibri" w:cs="Calibri" w:eastAsia="Calibri" w:hAnsi="Calibri"/>
                <w:sz w:val="14"/>
                <w:szCs w:val="14"/>
                <w:color w:val="auto"/>
              </w:rPr>
              <w:t>370,400</w:t>
            </w:r>
          </w:p>
        </w:tc>
        <w:tc>
          <w:tcPr>
            <w:tcW w:w="1640" w:type="dxa"/>
            <w:vAlign w:val="bottom"/>
            <w:tcBorders>
              <w:bottom w:val="single" w:sz="8" w:color="DBDBDB"/>
            </w:tcBorders>
            <w:shd w:val="clear" w:color="auto" w:fill="DBDBDB"/>
          </w:tcPr>
          <w:p>
            <w:pPr>
              <w:jc w:val="right"/>
              <w:ind w:right="253"/>
              <w:spacing w:after="0"/>
              <w:rPr>
                <w:sz w:val="20"/>
                <w:szCs w:val="20"/>
                <w:color w:val="auto"/>
              </w:rPr>
            </w:pPr>
            <w:r>
              <w:rPr>
                <w:rFonts w:ascii="Calibri" w:cs="Calibri" w:eastAsia="Calibri" w:hAnsi="Calibri"/>
                <w:sz w:val="14"/>
                <w:szCs w:val="14"/>
                <w:color w:val="auto"/>
              </w:rPr>
              <w:t>20,523</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3,883,129</w:t>
            </w:r>
          </w:p>
        </w:tc>
        <w:tc>
          <w:tcPr>
            <w:tcW w:w="0" w:type="dxa"/>
            <w:vAlign w:val="bottom"/>
          </w:tcPr>
          <w:p>
            <w:pPr>
              <w:spacing w:after="0"/>
              <w:rPr>
                <w:sz w:val="1"/>
                <w:szCs w:val="1"/>
                <w:color w:val="auto"/>
              </w:rPr>
            </w:pPr>
          </w:p>
        </w:tc>
      </w:tr>
      <w:tr>
        <w:trPr>
          <w:trHeight w:val="170"/>
        </w:trPr>
        <w:tc>
          <w:tcPr>
            <w:tcW w:w="1860" w:type="dxa"/>
            <w:vAlign w:val="bottom"/>
          </w:tcPr>
          <w:p>
            <w:pPr>
              <w:ind w:left="60"/>
              <w:spacing w:after="0"/>
              <w:rPr>
                <w:sz w:val="20"/>
                <w:szCs w:val="20"/>
                <w:color w:val="auto"/>
              </w:rPr>
            </w:pPr>
            <w:r>
              <w:rPr>
                <w:rFonts w:ascii="Calibri" w:cs="Calibri" w:eastAsia="Calibri" w:hAnsi="Calibri"/>
                <w:sz w:val="14"/>
                <w:szCs w:val="14"/>
                <w:color w:val="auto"/>
              </w:rPr>
              <w:t>Libor Michalek</w:t>
            </w:r>
          </w:p>
        </w:tc>
        <w:tc>
          <w:tcPr>
            <w:tcW w:w="2000" w:type="dxa"/>
            <w:vAlign w:val="bottom"/>
          </w:tcPr>
          <w:p>
            <w:pPr>
              <w:jc w:val="right"/>
              <w:spacing w:after="0"/>
              <w:rPr>
                <w:sz w:val="20"/>
                <w:szCs w:val="20"/>
                <w:color w:val="auto"/>
              </w:rPr>
            </w:pPr>
            <w:r>
              <w:rPr>
                <w:rFonts w:ascii="Calibri" w:cs="Calibri" w:eastAsia="Calibri" w:hAnsi="Calibri"/>
                <w:sz w:val="14"/>
                <w:szCs w:val="14"/>
                <w:color w:val="auto"/>
              </w:rPr>
              <w:t>831,250</w:t>
            </w:r>
          </w:p>
        </w:tc>
        <w:tc>
          <w:tcPr>
            <w:tcW w:w="1500" w:type="dxa"/>
            <w:vAlign w:val="bottom"/>
          </w:tcPr>
          <w:p>
            <w:pPr>
              <w:jc w:val="right"/>
              <w:ind w:right="32"/>
              <w:spacing w:after="0"/>
              <w:rPr>
                <w:sz w:val="20"/>
                <w:szCs w:val="20"/>
                <w:color w:val="auto"/>
              </w:rPr>
            </w:pPr>
            <w:r>
              <w:rPr>
                <w:rFonts w:ascii="Calibri" w:cs="Calibri" w:eastAsia="Calibri" w:hAnsi="Calibri"/>
                <w:sz w:val="14"/>
                <w:szCs w:val="14"/>
                <w:color w:val="auto"/>
              </w:rPr>
              <w:t>356,250</w:t>
            </w:r>
          </w:p>
        </w:tc>
        <w:tc>
          <w:tcPr>
            <w:tcW w:w="1480" w:type="dxa"/>
            <w:vAlign w:val="bottom"/>
          </w:tcPr>
          <w:p>
            <w:pPr>
              <w:jc w:val="right"/>
              <w:ind w:right="28"/>
              <w:spacing w:after="0"/>
              <w:rPr>
                <w:sz w:val="20"/>
                <w:szCs w:val="20"/>
                <w:color w:val="auto"/>
              </w:rPr>
            </w:pPr>
            <w:r>
              <w:rPr>
                <w:rFonts w:ascii="Calibri" w:cs="Calibri" w:eastAsia="Calibri" w:hAnsi="Calibri"/>
                <w:sz w:val="14"/>
                <w:szCs w:val="14"/>
                <w:color w:val="auto"/>
              </w:rPr>
              <w:t>1,703,907</w:t>
            </w:r>
          </w:p>
        </w:tc>
        <w:tc>
          <w:tcPr>
            <w:tcW w:w="1520" w:type="dxa"/>
            <w:vAlign w:val="bottom"/>
          </w:tcPr>
          <w:p>
            <w:pPr>
              <w:jc w:val="right"/>
              <w:ind w:right="68"/>
              <w:spacing w:after="0"/>
              <w:rPr>
                <w:sz w:val="20"/>
                <w:szCs w:val="20"/>
                <w:color w:val="auto"/>
              </w:rPr>
            </w:pPr>
            <w:r>
              <w:rPr>
                <w:rFonts w:ascii="Calibri" w:cs="Calibri" w:eastAsia="Calibri" w:hAnsi="Calibri"/>
                <w:sz w:val="14"/>
                <w:szCs w:val="14"/>
                <w:color w:val="auto"/>
              </w:rPr>
              <w:t>2,083,500</w:t>
            </w:r>
          </w:p>
        </w:tc>
        <w:tc>
          <w:tcPr>
            <w:tcW w:w="1640" w:type="dxa"/>
            <w:vAlign w:val="bottom"/>
          </w:tcPr>
          <w:p>
            <w:pPr>
              <w:jc w:val="right"/>
              <w:ind w:right="253"/>
              <w:spacing w:after="0"/>
              <w:rPr>
                <w:sz w:val="20"/>
                <w:szCs w:val="20"/>
                <w:color w:val="auto"/>
              </w:rPr>
            </w:pPr>
            <w:r>
              <w:rPr>
                <w:rFonts w:ascii="Calibri" w:cs="Calibri" w:eastAsia="Calibri" w:hAnsi="Calibri"/>
                <w:sz w:val="14"/>
                <w:szCs w:val="14"/>
                <w:color w:val="auto"/>
              </w:rPr>
              <w:t>20,523</w:t>
            </w:r>
          </w:p>
        </w:tc>
        <w:tc>
          <w:tcPr>
            <w:tcW w:w="1220" w:type="dxa"/>
            <w:vAlign w:val="bottom"/>
          </w:tcPr>
          <w:p>
            <w:pPr>
              <w:jc w:val="right"/>
              <w:spacing w:after="0"/>
              <w:rPr>
                <w:sz w:val="20"/>
                <w:szCs w:val="20"/>
                <w:color w:val="auto"/>
              </w:rPr>
            </w:pPr>
            <w:r>
              <w:rPr>
                <w:rFonts w:ascii="Calibri" w:cs="Calibri" w:eastAsia="Calibri" w:hAnsi="Calibri"/>
                <w:sz w:val="14"/>
                <w:szCs w:val="14"/>
                <w:color w:val="auto"/>
              </w:rPr>
              <w:t>4,995,430</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45" w:lineRule="auto"/>
        <w:tabs>
          <w:tab w:leader="none" w:pos="338"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Represents a lump sum cash payment in an amount equal to the sum of (i) the named executve ofcer’s annual base salary in efect as of June 30, 2022, multplied by 150% for our CEO and 100% for our other named executve ofcers, plus (ii) the named executve ofcer’s target annual cash incentve plan opportunity, if any, in efect as of June 30, 2022.</w:t>
      </w:r>
    </w:p>
    <w:p>
      <w:pPr>
        <w:spacing w:after="0" w:line="69"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Represents a lump sum cash payment in an amount equal to the named executve ofcer’s target annual cash incentve plan opportunity, if any, in efect as of June 30, 2022 as if a change in control occurred on June 30, 2022.</w:t>
      </w:r>
    </w:p>
    <w:p>
      <w:pPr>
        <w:spacing w:after="0" w:line="42" w:lineRule="exact"/>
        <w:rPr>
          <w:rFonts w:ascii="Calibri" w:cs="Calibri" w:eastAsia="Calibri" w:hAnsi="Calibri"/>
          <w:sz w:val="14"/>
          <w:szCs w:val="14"/>
          <w:color w:val="auto"/>
        </w:rPr>
      </w:pPr>
    </w:p>
    <w:p>
      <w:pPr>
        <w:ind w:left="340" w:hanging="332"/>
        <w:spacing w:after="0" w:line="233" w:lineRule="auto"/>
        <w:tabs>
          <w:tab w:leader="none" w:pos="338"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The value of accelerated vestng of unvested RSU awards is based upon the closing price of our Class A common stock on June 30, 2022 of $18.06 per share multplied by the number of unvested RSUs.</w:t>
      </w:r>
    </w:p>
    <w:p>
      <w:pPr>
        <w:spacing w:after="0" w:line="46"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The value of accelerated vestng of unvested in-the-money optons is based on the diference between the closing price of our Class A common stock on June 30, 2022 of $18.06 per share and the exercise price per opton multplied by the number of unvested optons. The value of accelerated vestng of unvested out-of-the money optons is assumed to be $0.</w:t>
      </w:r>
    </w:p>
    <w:p>
      <w:pPr>
        <w:spacing w:after="0" w:line="28" w:lineRule="exact"/>
        <w:rPr>
          <w:rFonts w:ascii="Calibri" w:cs="Calibri" w:eastAsia="Calibri" w:hAnsi="Calibri"/>
          <w:sz w:val="14"/>
          <w:szCs w:val="14"/>
          <w:color w:val="auto"/>
        </w:rPr>
      </w:pPr>
    </w:p>
    <w:p>
      <w:pPr>
        <w:ind w:left="340" w:hanging="332"/>
        <w:spacing w:after="0"/>
        <w:tabs>
          <w:tab w:leader="none" w:pos="340" w:val="left"/>
        </w:tabs>
        <w:numPr>
          <w:ilvl w:val="0"/>
          <w:numId w:val="57"/>
        </w:numPr>
        <w:rPr>
          <w:rFonts w:ascii="Calibri" w:cs="Calibri" w:eastAsia="Calibri" w:hAnsi="Calibri"/>
          <w:sz w:val="14"/>
          <w:szCs w:val="14"/>
          <w:color w:val="auto"/>
        </w:rPr>
      </w:pPr>
      <w:r>
        <w:rPr>
          <w:rFonts w:ascii="Calibri" w:cs="Calibri" w:eastAsia="Calibri" w:hAnsi="Calibri"/>
          <w:sz w:val="14"/>
          <w:szCs w:val="14"/>
          <w:color w:val="auto"/>
        </w:rPr>
        <w:t>Represents the monthly premiums for contnued health benefts as of June 30, 2022 for 18 months for our CEO and 12 months for each of our other named executve ofcers.</w:t>
      </w: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Qualifying Terminaton Outside of a Change in Control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23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02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Cash Severance</w:t>
            </w:r>
          </w:p>
        </w:tc>
        <w:tc>
          <w:tcPr>
            <w:tcW w:w="1500" w:type="dxa"/>
            <w:vAlign w:val="bottom"/>
          </w:tcPr>
          <w:p>
            <w:pPr>
              <w:jc w:val="center"/>
              <w:spacing w:after="0"/>
              <w:rPr>
                <w:sz w:val="20"/>
                <w:szCs w:val="20"/>
                <w:color w:val="auto"/>
              </w:rPr>
            </w:pPr>
            <w:r>
              <w:rPr>
                <w:rFonts w:ascii="Calibri" w:cs="Calibri" w:eastAsia="Calibri" w:hAnsi="Calibri"/>
                <w:sz w:val="14"/>
                <w:szCs w:val="14"/>
                <w:b w:val="1"/>
                <w:bCs w:val="1"/>
                <w:color w:val="auto"/>
              </w:rPr>
              <w:t>Annual Cash Incentve</w:t>
            </w:r>
          </w:p>
        </w:tc>
        <w:tc>
          <w:tcPr>
            <w:tcW w:w="1460" w:type="dxa"/>
            <w:vAlign w:val="bottom"/>
          </w:tcPr>
          <w:p>
            <w:pPr>
              <w:jc w:val="center"/>
              <w:ind w:right="8"/>
              <w:spacing w:after="0"/>
              <w:rPr>
                <w:sz w:val="20"/>
                <w:szCs w:val="20"/>
                <w:color w:val="auto"/>
              </w:rPr>
            </w:pPr>
            <w:r>
              <w:rPr>
                <w:rFonts w:ascii="Calibri" w:cs="Calibri" w:eastAsia="Calibri" w:hAnsi="Calibri"/>
                <w:sz w:val="14"/>
                <w:szCs w:val="14"/>
                <w:b w:val="1"/>
                <w:bCs w:val="1"/>
                <w:color w:val="auto"/>
              </w:rPr>
              <w:t>Value of Accelerated</w:t>
            </w:r>
          </w:p>
        </w:tc>
        <w:tc>
          <w:tcPr>
            <w:tcW w:w="1520" w:type="dxa"/>
            <w:vAlign w:val="bottom"/>
          </w:tcPr>
          <w:p>
            <w:pPr>
              <w:jc w:val="center"/>
              <w:ind w:right="28"/>
              <w:spacing w:after="0"/>
              <w:rPr>
                <w:sz w:val="20"/>
                <w:szCs w:val="20"/>
                <w:color w:val="auto"/>
              </w:rPr>
            </w:pPr>
            <w:r>
              <w:rPr>
                <w:rFonts w:ascii="Calibri" w:cs="Calibri" w:eastAsia="Calibri" w:hAnsi="Calibri"/>
                <w:sz w:val="14"/>
                <w:szCs w:val="14"/>
                <w:b w:val="1"/>
                <w:bCs w:val="1"/>
                <w:color w:val="auto"/>
              </w:rPr>
              <w:t>Value of Accelerated</w:t>
            </w:r>
          </w:p>
        </w:tc>
        <w:tc>
          <w:tcPr>
            <w:tcW w:w="1660" w:type="dxa"/>
            <w:vAlign w:val="bottom"/>
            <w:vMerge w:val="restart"/>
          </w:tcPr>
          <w:p>
            <w:pPr>
              <w:jc w:val="right"/>
              <w:ind w:right="428"/>
              <w:spacing w:after="0"/>
              <w:rPr>
                <w:sz w:val="20"/>
                <w:szCs w:val="20"/>
                <w:color w:val="auto"/>
              </w:rPr>
            </w:pPr>
            <w:r>
              <w:rPr>
                <w:rFonts w:ascii="Calibri" w:cs="Calibri" w:eastAsia="Calibri" w:hAnsi="Calibri"/>
                <w:sz w:val="14"/>
                <w:szCs w:val="14"/>
                <w:b w:val="1"/>
                <w:bCs w:val="1"/>
                <w:color w:val="auto"/>
              </w:rPr>
              <w:t>Value of Benefts</w:t>
            </w:r>
          </w:p>
        </w:tc>
        <w:tc>
          <w:tcPr>
            <w:tcW w:w="1200" w:type="dxa"/>
            <w:vAlign w:val="bottom"/>
            <w:vMerge w:val="restart"/>
          </w:tcPr>
          <w:p>
            <w:pPr>
              <w:jc w:val="right"/>
              <w:ind w:right="508"/>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8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150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Plan Payment</w:t>
            </w:r>
          </w:p>
        </w:tc>
        <w:tc>
          <w:tcPr>
            <w:tcW w:w="146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rPr>
              <w:t>Stock Awards</w:t>
            </w:r>
          </w:p>
        </w:tc>
        <w:tc>
          <w:tcPr>
            <w:tcW w:w="1520" w:type="dxa"/>
            <w:vAlign w:val="bottom"/>
          </w:tcPr>
          <w:p>
            <w:pPr>
              <w:jc w:val="center"/>
              <w:ind w:right="68"/>
              <w:spacing w:after="0" w:line="161" w:lineRule="exact"/>
              <w:rPr>
                <w:sz w:val="20"/>
                <w:szCs w:val="20"/>
                <w:color w:val="auto"/>
              </w:rPr>
            </w:pPr>
            <w:r>
              <w:rPr>
                <w:rFonts w:ascii="Calibri" w:cs="Calibri" w:eastAsia="Calibri" w:hAnsi="Calibri"/>
                <w:sz w:val="14"/>
                <w:szCs w:val="14"/>
                <w:b w:val="1"/>
                <w:bCs w:val="1"/>
                <w:color w:val="auto"/>
              </w:rPr>
              <w:t>Opton Awards</w:t>
            </w:r>
          </w:p>
        </w:tc>
        <w:tc>
          <w:tcPr>
            <w:tcW w:w="16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860" w:type="dxa"/>
            <w:vAlign w:val="bottom"/>
            <w:tcBorders>
              <w:bottom w:val="single" w:sz="8" w:color="auto"/>
            </w:tcBorders>
          </w:tcPr>
          <w:p>
            <w:pPr>
              <w:ind w:left="80"/>
              <w:spacing w:after="0"/>
              <w:rPr>
                <w:sz w:val="20"/>
                <w:szCs w:val="20"/>
                <w:color w:val="auto"/>
              </w:rPr>
            </w:pPr>
            <w:r>
              <w:rPr>
                <w:rFonts w:ascii="Calibri" w:cs="Calibri" w:eastAsia="Calibri" w:hAnsi="Calibri"/>
                <w:sz w:val="14"/>
                <w:szCs w:val="14"/>
                <w:b w:val="1"/>
                <w:bCs w:val="1"/>
                <w:color w:val="auto"/>
              </w:rPr>
              <w:t>Name</w:t>
            </w:r>
          </w:p>
        </w:tc>
        <w:tc>
          <w:tcPr>
            <w:tcW w:w="2020" w:type="dxa"/>
            <w:vAlign w:val="bottom"/>
            <w:tcBorders>
              <w:bottom w:val="single" w:sz="8" w:color="auto"/>
            </w:tcBorders>
          </w:tcPr>
          <w:p>
            <w:pPr>
              <w:jc w:val="right"/>
              <w:ind w:right="548"/>
              <w:spacing w:after="0" w:line="216"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(1)</w:t>
            </w: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88"/>
              </w:rPr>
              <w:t>($)</w:t>
            </w:r>
            <w:r>
              <w:rPr>
                <w:rFonts w:ascii="Calibri" w:cs="Calibri" w:eastAsia="Calibri" w:hAnsi="Calibri"/>
                <w:sz w:val="18"/>
                <w:szCs w:val="18"/>
                <w:b w:val="1"/>
                <w:bCs w:val="1"/>
                <w:color w:val="auto"/>
                <w:w w:val="88"/>
                <w:vertAlign w:val="superscript"/>
              </w:rPr>
              <w:t>(2)</w:t>
            </w:r>
          </w:p>
        </w:tc>
        <w:tc>
          <w:tcPr>
            <w:tcW w:w="14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w:t>
            </w:r>
          </w:p>
        </w:tc>
        <w:tc>
          <w:tcPr>
            <w:tcW w:w="1520" w:type="dxa"/>
            <w:vAlign w:val="bottom"/>
            <w:tcBorders>
              <w:bottom w:val="single" w:sz="8" w:color="auto"/>
            </w:tcBorders>
          </w:tcPr>
          <w:p>
            <w:pPr>
              <w:jc w:val="center"/>
              <w:ind w:right="48"/>
              <w:spacing w:after="0"/>
              <w:rPr>
                <w:sz w:val="20"/>
                <w:szCs w:val="20"/>
                <w:color w:val="auto"/>
              </w:rPr>
            </w:pPr>
            <w:r>
              <w:rPr>
                <w:rFonts w:ascii="Calibri" w:cs="Calibri" w:eastAsia="Calibri" w:hAnsi="Calibri"/>
                <w:sz w:val="14"/>
                <w:szCs w:val="14"/>
                <w:b w:val="1"/>
                <w:bCs w:val="1"/>
                <w:color w:val="auto"/>
              </w:rPr>
              <w:t>($)</w:t>
            </w:r>
          </w:p>
        </w:tc>
        <w:tc>
          <w:tcPr>
            <w:tcW w:w="1660" w:type="dxa"/>
            <w:vAlign w:val="bottom"/>
            <w:tcBorders>
              <w:bottom w:val="single" w:sz="8" w:color="auto"/>
            </w:tcBorders>
          </w:tcPr>
          <w:p>
            <w:pPr>
              <w:jc w:val="right"/>
              <w:ind w:right="788"/>
              <w:spacing w:after="0" w:line="216"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8"/>
                <w:szCs w:val="18"/>
                <w:b w:val="1"/>
                <w:bCs w:val="1"/>
                <w:color w:val="auto"/>
                <w:vertAlign w:val="superscript"/>
              </w:rPr>
              <w:t>(3)</w:t>
            </w:r>
          </w:p>
        </w:tc>
        <w:tc>
          <w:tcPr>
            <w:tcW w:w="1200" w:type="dxa"/>
            <w:vAlign w:val="bottom"/>
            <w:tcBorders>
              <w:bottom w:val="single" w:sz="8" w:color="auto"/>
            </w:tcBorders>
          </w:tcPr>
          <w:p>
            <w:pPr>
              <w:jc w:val="right"/>
              <w:ind w:right="568"/>
              <w:spacing w:after="0"/>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207"/>
        </w:trPr>
        <w:tc>
          <w:tcPr>
            <w:tcW w:w="1860" w:type="dxa"/>
            <w:vAlign w:val="bottom"/>
            <w:tcBorders>
              <w:bottom w:val="single" w:sz="8" w:color="DBDBDB"/>
            </w:tcBorders>
            <w:shd w:val="clear" w:color="auto" w:fill="DBDBDB"/>
          </w:tcPr>
          <w:p>
            <w:pPr>
              <w:ind w:left="80"/>
              <w:spacing w:after="0" w:line="167" w:lineRule="exact"/>
              <w:rPr>
                <w:sz w:val="20"/>
                <w:szCs w:val="20"/>
                <w:color w:val="auto"/>
              </w:rPr>
            </w:pPr>
            <w:r>
              <w:rPr>
                <w:rFonts w:ascii="Calibri" w:cs="Calibri" w:eastAsia="Calibri" w:hAnsi="Calibri"/>
                <w:sz w:val="14"/>
                <w:szCs w:val="14"/>
                <w:color w:val="auto"/>
              </w:rPr>
              <w:t>Max Levchin</w:t>
            </w:r>
          </w:p>
        </w:tc>
        <w:tc>
          <w:tcPr>
            <w:tcW w:w="2020" w:type="dxa"/>
            <w:vAlign w:val="bottom"/>
            <w:tcBorders>
              <w:bottom w:val="single" w:sz="8" w:color="DBDBDB"/>
            </w:tcBorders>
            <w:shd w:val="clear" w:color="auto" w:fill="DBDBDB"/>
          </w:tcPr>
          <w:p>
            <w:pPr>
              <w:jc w:val="right"/>
              <w:ind w:right="8"/>
              <w:spacing w:after="0" w:line="167" w:lineRule="exact"/>
              <w:rPr>
                <w:sz w:val="20"/>
                <w:szCs w:val="20"/>
                <w:color w:val="auto"/>
              </w:rPr>
            </w:pPr>
            <w:r>
              <w:rPr>
                <w:rFonts w:ascii="Calibri" w:cs="Calibri" w:eastAsia="Calibri" w:hAnsi="Calibri"/>
                <w:sz w:val="14"/>
                <w:szCs w:val="14"/>
                <w:color w:val="auto"/>
              </w:rPr>
              <w:t>29,122</w:t>
            </w:r>
          </w:p>
        </w:tc>
        <w:tc>
          <w:tcPr>
            <w:tcW w:w="1500" w:type="dxa"/>
            <w:vAlign w:val="bottom"/>
            <w:tcBorders>
              <w:bottom w:val="single" w:sz="8" w:color="DBDBDB"/>
            </w:tcBorders>
            <w:shd w:val="clear" w:color="auto" w:fill="DBDBDB"/>
          </w:tcPr>
          <w:p>
            <w:pPr>
              <w:jc w:val="right"/>
              <w:ind w:right="28"/>
              <w:spacing w:after="0" w:line="167" w:lineRule="exact"/>
              <w:rPr>
                <w:sz w:val="20"/>
                <w:szCs w:val="20"/>
                <w:color w:val="auto"/>
              </w:rPr>
            </w:pPr>
            <w:r>
              <w:rPr>
                <w:rFonts w:ascii="Calibri" w:cs="Calibri" w:eastAsia="Calibri" w:hAnsi="Calibri"/>
                <w:sz w:val="14"/>
                <w:szCs w:val="14"/>
                <w:color w:val="auto"/>
              </w:rPr>
              <w:t>—</w:t>
            </w:r>
          </w:p>
        </w:tc>
        <w:tc>
          <w:tcPr>
            <w:tcW w:w="1460" w:type="dxa"/>
            <w:vAlign w:val="bottom"/>
            <w:tcBorders>
              <w:bottom w:val="single" w:sz="8" w:color="DBDBDB"/>
            </w:tcBorders>
            <w:shd w:val="clear" w:color="auto" w:fill="DBDBDB"/>
          </w:tcPr>
          <w:p>
            <w:pPr>
              <w:ind w:left="1240"/>
              <w:spacing w:after="0" w:line="167"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DBDBDB"/>
            </w:tcBorders>
            <w:shd w:val="clear" w:color="auto" w:fill="DBDBDB"/>
          </w:tcPr>
          <w:p>
            <w:pPr>
              <w:ind w:left="1240"/>
              <w:spacing w:after="0" w:line="167" w:lineRule="exact"/>
              <w:rPr>
                <w:sz w:val="20"/>
                <w:szCs w:val="20"/>
                <w:color w:val="auto"/>
              </w:rPr>
            </w:pPr>
            <w:r>
              <w:rPr>
                <w:rFonts w:ascii="Calibri" w:cs="Calibri" w:eastAsia="Calibri" w:hAnsi="Calibri"/>
                <w:sz w:val="14"/>
                <w:szCs w:val="14"/>
                <w:color w:val="auto"/>
              </w:rPr>
              <w:t>—</w:t>
            </w:r>
          </w:p>
        </w:tc>
        <w:tc>
          <w:tcPr>
            <w:tcW w:w="1660" w:type="dxa"/>
            <w:vAlign w:val="bottom"/>
            <w:tcBorders>
              <w:bottom w:val="single" w:sz="8" w:color="DBDBDB"/>
            </w:tcBorders>
            <w:shd w:val="clear" w:color="auto" w:fill="DBDBDB"/>
          </w:tcPr>
          <w:p>
            <w:pPr>
              <w:jc w:val="right"/>
              <w:ind w:right="248"/>
              <w:spacing w:after="0" w:line="167" w:lineRule="exact"/>
              <w:rPr>
                <w:sz w:val="20"/>
                <w:szCs w:val="20"/>
                <w:color w:val="auto"/>
              </w:rPr>
            </w:pPr>
            <w:r>
              <w:rPr>
                <w:rFonts w:ascii="Calibri" w:cs="Calibri" w:eastAsia="Calibri" w:hAnsi="Calibri"/>
                <w:sz w:val="14"/>
                <w:szCs w:val="14"/>
                <w:color w:val="auto"/>
              </w:rPr>
              <w:t>20,523</w:t>
            </w:r>
          </w:p>
        </w:tc>
        <w:tc>
          <w:tcPr>
            <w:tcW w:w="1200" w:type="dxa"/>
            <w:vAlign w:val="bottom"/>
            <w:tcBorders>
              <w:bottom w:val="single" w:sz="8" w:color="DBDBDB"/>
            </w:tcBorders>
            <w:shd w:val="clear" w:color="auto" w:fill="DBDBDB"/>
          </w:tcPr>
          <w:p>
            <w:pPr>
              <w:jc w:val="right"/>
              <w:spacing w:after="0" w:line="167" w:lineRule="exact"/>
              <w:rPr>
                <w:sz w:val="20"/>
                <w:szCs w:val="20"/>
                <w:color w:val="auto"/>
              </w:rPr>
            </w:pPr>
            <w:r>
              <w:rPr>
                <w:rFonts w:ascii="Calibri" w:cs="Calibri" w:eastAsia="Calibri" w:hAnsi="Calibri"/>
                <w:sz w:val="14"/>
                <w:szCs w:val="14"/>
                <w:color w:val="auto"/>
              </w:rPr>
              <w:t>49,645</w:t>
            </w:r>
          </w:p>
        </w:tc>
        <w:tc>
          <w:tcPr>
            <w:tcW w:w="0" w:type="dxa"/>
            <w:vAlign w:val="bottom"/>
          </w:tcPr>
          <w:p>
            <w:pPr>
              <w:spacing w:after="0"/>
              <w:rPr>
                <w:sz w:val="1"/>
                <w:szCs w:val="1"/>
                <w:color w:val="auto"/>
              </w:rPr>
            </w:pPr>
          </w:p>
        </w:tc>
      </w:tr>
      <w:tr>
        <w:trPr>
          <w:trHeight w:val="170"/>
        </w:trPr>
        <w:tc>
          <w:tcPr>
            <w:tcW w:w="1860" w:type="dxa"/>
            <w:vAlign w:val="bottom"/>
          </w:tcPr>
          <w:p>
            <w:pPr>
              <w:ind w:left="80"/>
              <w:spacing w:after="0"/>
              <w:rPr>
                <w:sz w:val="20"/>
                <w:szCs w:val="20"/>
                <w:color w:val="auto"/>
              </w:rPr>
            </w:pPr>
            <w:r>
              <w:rPr>
                <w:rFonts w:ascii="Calibri" w:cs="Calibri" w:eastAsia="Calibri" w:hAnsi="Calibri"/>
                <w:sz w:val="14"/>
                <w:szCs w:val="14"/>
                <w:color w:val="auto"/>
              </w:rPr>
              <w:t>Michael Linford</w:t>
            </w:r>
          </w:p>
        </w:tc>
        <w:tc>
          <w:tcPr>
            <w:tcW w:w="2020" w:type="dxa"/>
            <w:vAlign w:val="bottom"/>
          </w:tcPr>
          <w:p>
            <w:pPr>
              <w:jc w:val="right"/>
              <w:ind w:right="8"/>
              <w:spacing w:after="0"/>
              <w:rPr>
                <w:sz w:val="20"/>
                <w:szCs w:val="20"/>
                <w:color w:val="auto"/>
              </w:rPr>
            </w:pPr>
            <w:r>
              <w:rPr>
                <w:rFonts w:ascii="Calibri" w:cs="Calibri" w:eastAsia="Calibri" w:hAnsi="Calibri"/>
                <w:sz w:val="14"/>
                <w:szCs w:val="14"/>
                <w:color w:val="auto"/>
              </w:rPr>
              <w:t>237,500</w:t>
            </w:r>
          </w:p>
        </w:tc>
        <w:tc>
          <w:tcPr>
            <w:tcW w:w="1500" w:type="dxa"/>
            <w:vAlign w:val="bottom"/>
          </w:tcPr>
          <w:p>
            <w:pPr>
              <w:jc w:val="right"/>
              <w:ind w:right="28"/>
              <w:spacing w:after="0"/>
              <w:rPr>
                <w:sz w:val="20"/>
                <w:szCs w:val="20"/>
                <w:color w:val="auto"/>
              </w:rPr>
            </w:pPr>
            <w:r>
              <w:rPr>
                <w:rFonts w:ascii="Calibri" w:cs="Calibri" w:eastAsia="Calibri" w:hAnsi="Calibri"/>
                <w:sz w:val="14"/>
                <w:szCs w:val="14"/>
                <w:color w:val="auto"/>
              </w:rPr>
              <w:t>356,250</w:t>
            </w:r>
          </w:p>
        </w:tc>
        <w:tc>
          <w:tcPr>
            <w:tcW w:w="1460" w:type="dxa"/>
            <w:vAlign w:val="bottom"/>
          </w:tcPr>
          <w:p>
            <w:pPr>
              <w:ind w:left="1240"/>
              <w:spacing w:after="0"/>
              <w:rPr>
                <w:sz w:val="20"/>
                <w:szCs w:val="20"/>
                <w:color w:val="auto"/>
              </w:rPr>
            </w:pPr>
            <w:r>
              <w:rPr>
                <w:rFonts w:ascii="Calibri" w:cs="Calibri" w:eastAsia="Calibri" w:hAnsi="Calibri"/>
                <w:sz w:val="14"/>
                <w:szCs w:val="14"/>
                <w:color w:val="auto"/>
              </w:rPr>
              <w:t>—</w:t>
            </w:r>
          </w:p>
        </w:tc>
        <w:tc>
          <w:tcPr>
            <w:tcW w:w="1520" w:type="dxa"/>
            <w:vAlign w:val="bottom"/>
          </w:tcPr>
          <w:p>
            <w:pPr>
              <w:ind w:left="1240"/>
              <w:spacing w:after="0"/>
              <w:rPr>
                <w:sz w:val="20"/>
                <w:szCs w:val="20"/>
                <w:color w:val="auto"/>
              </w:rPr>
            </w:pPr>
            <w:r>
              <w:rPr>
                <w:rFonts w:ascii="Calibri" w:cs="Calibri" w:eastAsia="Calibri" w:hAnsi="Calibri"/>
                <w:sz w:val="14"/>
                <w:szCs w:val="14"/>
                <w:color w:val="auto"/>
              </w:rPr>
              <w:t>—</w:t>
            </w:r>
          </w:p>
        </w:tc>
        <w:tc>
          <w:tcPr>
            <w:tcW w:w="1660" w:type="dxa"/>
            <w:vAlign w:val="bottom"/>
          </w:tcPr>
          <w:p>
            <w:pPr>
              <w:jc w:val="right"/>
              <w:ind w:right="248"/>
              <w:spacing w:after="0"/>
              <w:rPr>
                <w:sz w:val="20"/>
                <w:szCs w:val="20"/>
                <w:color w:val="auto"/>
              </w:rPr>
            </w:pPr>
            <w:r>
              <w:rPr>
                <w:rFonts w:ascii="Calibri" w:cs="Calibri" w:eastAsia="Calibri" w:hAnsi="Calibri"/>
                <w:sz w:val="14"/>
                <w:szCs w:val="14"/>
                <w:color w:val="auto"/>
              </w:rPr>
              <w:t>10,262</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604,012</w:t>
            </w:r>
          </w:p>
        </w:tc>
        <w:tc>
          <w:tcPr>
            <w:tcW w:w="0" w:type="dxa"/>
            <w:vAlign w:val="bottom"/>
          </w:tcPr>
          <w:p>
            <w:pPr>
              <w:spacing w:after="0"/>
              <w:rPr>
                <w:sz w:val="1"/>
                <w:szCs w:val="1"/>
                <w:color w:val="auto"/>
              </w:rPr>
            </w:pPr>
          </w:p>
        </w:tc>
      </w:tr>
      <w:tr>
        <w:trPr>
          <w:trHeight w:val="60"/>
        </w:trPr>
        <w:tc>
          <w:tcPr>
            <w:tcW w:w="18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DBDBDB"/>
            </w:tcBorders>
            <w:shd w:val="clear" w:color="auto" w:fill="DBDBDB"/>
          </w:tcPr>
          <w:p>
            <w:pPr>
              <w:ind w:left="80"/>
              <w:spacing w:after="0"/>
              <w:rPr>
                <w:sz w:val="20"/>
                <w:szCs w:val="20"/>
                <w:color w:val="auto"/>
              </w:rPr>
            </w:pPr>
            <w:r>
              <w:rPr>
                <w:rFonts w:ascii="Calibri" w:cs="Calibri" w:eastAsia="Calibri" w:hAnsi="Calibri"/>
                <w:sz w:val="14"/>
                <w:szCs w:val="14"/>
                <w:color w:val="auto"/>
              </w:rPr>
              <w:t>Katherine Adkins</w:t>
            </w:r>
          </w:p>
        </w:tc>
        <w:tc>
          <w:tcPr>
            <w:tcW w:w="2020" w:type="dxa"/>
            <w:vAlign w:val="bottom"/>
            <w:tcBorders>
              <w:bottom w:val="single" w:sz="8" w:color="DBDBDB"/>
            </w:tcBorders>
            <w:shd w:val="clear" w:color="auto" w:fill="DBDBDB"/>
          </w:tcPr>
          <w:p>
            <w:pPr>
              <w:jc w:val="right"/>
              <w:ind w:right="8"/>
              <w:spacing w:after="0"/>
              <w:rPr>
                <w:sz w:val="20"/>
                <w:szCs w:val="20"/>
                <w:color w:val="auto"/>
              </w:rPr>
            </w:pPr>
            <w:r>
              <w:rPr>
                <w:rFonts w:ascii="Calibri" w:cs="Calibri" w:eastAsia="Calibri" w:hAnsi="Calibri"/>
                <w:sz w:val="14"/>
                <w:szCs w:val="14"/>
                <w:color w:val="auto"/>
              </w:rPr>
              <w:t>212,500</w:t>
            </w:r>
          </w:p>
        </w:tc>
        <w:tc>
          <w:tcPr>
            <w:tcW w:w="1500" w:type="dxa"/>
            <w:vAlign w:val="bottom"/>
            <w:tcBorders>
              <w:bottom w:val="single" w:sz="8" w:color="DBDBDB"/>
            </w:tcBorders>
            <w:shd w:val="clear" w:color="auto" w:fill="DBDBDB"/>
          </w:tcPr>
          <w:p>
            <w:pPr>
              <w:jc w:val="right"/>
              <w:ind w:right="28"/>
              <w:spacing w:after="0"/>
              <w:rPr>
                <w:sz w:val="20"/>
                <w:szCs w:val="20"/>
                <w:color w:val="auto"/>
              </w:rPr>
            </w:pPr>
            <w:r>
              <w:rPr>
                <w:rFonts w:ascii="Calibri" w:cs="Calibri" w:eastAsia="Calibri" w:hAnsi="Calibri"/>
                <w:sz w:val="14"/>
                <w:szCs w:val="14"/>
                <w:color w:val="auto"/>
              </w:rPr>
              <w:t>255,000</w:t>
            </w:r>
          </w:p>
        </w:tc>
        <w:tc>
          <w:tcPr>
            <w:tcW w:w="1460" w:type="dxa"/>
            <w:vAlign w:val="bottom"/>
            <w:tcBorders>
              <w:bottom w:val="single" w:sz="8" w:color="DBDBDB"/>
            </w:tcBorders>
            <w:shd w:val="clear" w:color="auto" w:fill="DBDBDB"/>
          </w:tcPr>
          <w:p>
            <w:pPr>
              <w:ind w:left="1240"/>
              <w:spacing w:after="0"/>
              <w:rPr>
                <w:sz w:val="20"/>
                <w:szCs w:val="20"/>
                <w:color w:val="auto"/>
              </w:rPr>
            </w:pPr>
            <w:r>
              <w:rPr>
                <w:rFonts w:ascii="Calibri" w:cs="Calibri" w:eastAsia="Calibri" w:hAnsi="Calibri"/>
                <w:sz w:val="14"/>
                <w:szCs w:val="14"/>
                <w:color w:val="auto"/>
              </w:rPr>
              <w:t>—</w:t>
            </w:r>
          </w:p>
        </w:tc>
        <w:tc>
          <w:tcPr>
            <w:tcW w:w="1520" w:type="dxa"/>
            <w:vAlign w:val="bottom"/>
            <w:tcBorders>
              <w:bottom w:val="single" w:sz="8" w:color="DBDBDB"/>
            </w:tcBorders>
            <w:shd w:val="clear" w:color="auto" w:fill="DBDBDB"/>
          </w:tcPr>
          <w:p>
            <w:pPr>
              <w:ind w:left="1240"/>
              <w:spacing w:after="0"/>
              <w:rPr>
                <w:sz w:val="20"/>
                <w:szCs w:val="20"/>
                <w:color w:val="auto"/>
              </w:rPr>
            </w:pPr>
            <w:r>
              <w:rPr>
                <w:rFonts w:ascii="Calibri" w:cs="Calibri" w:eastAsia="Calibri" w:hAnsi="Calibri"/>
                <w:sz w:val="14"/>
                <w:szCs w:val="14"/>
                <w:color w:val="auto"/>
              </w:rPr>
              <w:t>—</w:t>
            </w:r>
          </w:p>
        </w:tc>
        <w:tc>
          <w:tcPr>
            <w:tcW w:w="1660" w:type="dxa"/>
            <w:vAlign w:val="bottom"/>
            <w:tcBorders>
              <w:bottom w:val="single" w:sz="8" w:color="DBDBDB"/>
            </w:tcBorders>
            <w:shd w:val="clear" w:color="auto" w:fill="DBDBDB"/>
          </w:tcPr>
          <w:p>
            <w:pPr>
              <w:jc w:val="right"/>
              <w:ind w:right="248"/>
              <w:spacing w:after="0"/>
              <w:rPr>
                <w:sz w:val="20"/>
                <w:szCs w:val="20"/>
                <w:color w:val="auto"/>
              </w:rPr>
            </w:pPr>
            <w:r>
              <w:rPr>
                <w:rFonts w:ascii="Calibri" w:cs="Calibri" w:eastAsia="Calibri" w:hAnsi="Calibri"/>
                <w:sz w:val="14"/>
                <w:szCs w:val="14"/>
                <w:color w:val="auto"/>
              </w:rPr>
              <w:t>10,262</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4"/>
                <w:szCs w:val="14"/>
                <w:color w:val="auto"/>
              </w:rPr>
              <w:t>477,762</w:t>
            </w:r>
          </w:p>
        </w:tc>
        <w:tc>
          <w:tcPr>
            <w:tcW w:w="0" w:type="dxa"/>
            <w:vAlign w:val="bottom"/>
          </w:tcPr>
          <w:p>
            <w:pPr>
              <w:spacing w:after="0"/>
              <w:rPr>
                <w:sz w:val="1"/>
                <w:szCs w:val="1"/>
                <w:color w:val="auto"/>
              </w:rPr>
            </w:pPr>
          </w:p>
        </w:tc>
      </w:tr>
      <w:tr>
        <w:trPr>
          <w:trHeight w:val="170"/>
        </w:trPr>
        <w:tc>
          <w:tcPr>
            <w:tcW w:w="1860" w:type="dxa"/>
            <w:vAlign w:val="bottom"/>
          </w:tcPr>
          <w:p>
            <w:pPr>
              <w:ind w:left="80"/>
              <w:spacing w:after="0"/>
              <w:rPr>
                <w:sz w:val="20"/>
                <w:szCs w:val="20"/>
                <w:color w:val="auto"/>
              </w:rPr>
            </w:pPr>
            <w:r>
              <w:rPr>
                <w:rFonts w:ascii="Calibri" w:cs="Calibri" w:eastAsia="Calibri" w:hAnsi="Calibri"/>
                <w:sz w:val="14"/>
                <w:szCs w:val="14"/>
                <w:color w:val="auto"/>
              </w:rPr>
              <w:t>Libor Michalek</w:t>
            </w:r>
          </w:p>
        </w:tc>
        <w:tc>
          <w:tcPr>
            <w:tcW w:w="2020" w:type="dxa"/>
            <w:vAlign w:val="bottom"/>
          </w:tcPr>
          <w:p>
            <w:pPr>
              <w:jc w:val="right"/>
              <w:ind w:right="8"/>
              <w:spacing w:after="0"/>
              <w:rPr>
                <w:sz w:val="20"/>
                <w:szCs w:val="20"/>
                <w:color w:val="auto"/>
              </w:rPr>
            </w:pPr>
            <w:r>
              <w:rPr>
                <w:rFonts w:ascii="Calibri" w:cs="Calibri" w:eastAsia="Calibri" w:hAnsi="Calibri"/>
                <w:sz w:val="14"/>
                <w:szCs w:val="14"/>
                <w:color w:val="auto"/>
              </w:rPr>
              <w:t>237,500</w:t>
            </w:r>
          </w:p>
        </w:tc>
        <w:tc>
          <w:tcPr>
            <w:tcW w:w="1500" w:type="dxa"/>
            <w:vAlign w:val="bottom"/>
          </w:tcPr>
          <w:p>
            <w:pPr>
              <w:jc w:val="right"/>
              <w:ind w:right="28"/>
              <w:spacing w:after="0"/>
              <w:rPr>
                <w:sz w:val="20"/>
                <w:szCs w:val="20"/>
                <w:color w:val="auto"/>
              </w:rPr>
            </w:pPr>
            <w:r>
              <w:rPr>
                <w:rFonts w:ascii="Calibri" w:cs="Calibri" w:eastAsia="Calibri" w:hAnsi="Calibri"/>
                <w:sz w:val="14"/>
                <w:szCs w:val="14"/>
                <w:color w:val="auto"/>
              </w:rPr>
              <w:t>356,250</w:t>
            </w:r>
          </w:p>
        </w:tc>
        <w:tc>
          <w:tcPr>
            <w:tcW w:w="1460" w:type="dxa"/>
            <w:vAlign w:val="bottom"/>
          </w:tcPr>
          <w:p>
            <w:pPr>
              <w:ind w:left="1240"/>
              <w:spacing w:after="0"/>
              <w:rPr>
                <w:sz w:val="20"/>
                <w:szCs w:val="20"/>
                <w:color w:val="auto"/>
              </w:rPr>
            </w:pPr>
            <w:r>
              <w:rPr>
                <w:rFonts w:ascii="Calibri" w:cs="Calibri" w:eastAsia="Calibri" w:hAnsi="Calibri"/>
                <w:sz w:val="14"/>
                <w:szCs w:val="14"/>
                <w:color w:val="auto"/>
              </w:rPr>
              <w:t>—</w:t>
            </w:r>
          </w:p>
        </w:tc>
        <w:tc>
          <w:tcPr>
            <w:tcW w:w="1520" w:type="dxa"/>
            <w:vAlign w:val="bottom"/>
          </w:tcPr>
          <w:p>
            <w:pPr>
              <w:ind w:left="1240"/>
              <w:spacing w:after="0"/>
              <w:rPr>
                <w:sz w:val="20"/>
                <w:szCs w:val="20"/>
                <w:color w:val="auto"/>
              </w:rPr>
            </w:pPr>
            <w:r>
              <w:rPr>
                <w:rFonts w:ascii="Calibri" w:cs="Calibri" w:eastAsia="Calibri" w:hAnsi="Calibri"/>
                <w:sz w:val="14"/>
                <w:szCs w:val="14"/>
                <w:color w:val="auto"/>
              </w:rPr>
              <w:t>—</w:t>
            </w:r>
          </w:p>
        </w:tc>
        <w:tc>
          <w:tcPr>
            <w:tcW w:w="1660" w:type="dxa"/>
            <w:vAlign w:val="bottom"/>
          </w:tcPr>
          <w:p>
            <w:pPr>
              <w:jc w:val="right"/>
              <w:ind w:right="248"/>
              <w:spacing w:after="0"/>
              <w:rPr>
                <w:sz w:val="20"/>
                <w:szCs w:val="20"/>
                <w:color w:val="auto"/>
              </w:rPr>
            </w:pPr>
            <w:r>
              <w:rPr>
                <w:rFonts w:ascii="Calibri" w:cs="Calibri" w:eastAsia="Calibri" w:hAnsi="Calibri"/>
                <w:sz w:val="14"/>
                <w:szCs w:val="14"/>
                <w:color w:val="auto"/>
              </w:rPr>
              <w:t>10,262</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604,012</w:t>
            </w:r>
          </w:p>
        </w:tc>
        <w:tc>
          <w:tcPr>
            <w:tcW w:w="0" w:type="dxa"/>
            <w:vAlign w:val="bottom"/>
          </w:tcPr>
          <w:p>
            <w:pPr>
              <w:spacing w:after="0"/>
              <w:rPr>
                <w:sz w:val="1"/>
                <w:szCs w:val="1"/>
                <w:color w:val="auto"/>
              </w:rPr>
            </w:pPr>
          </w:p>
        </w:tc>
      </w:tr>
      <w:tr>
        <w:trPr>
          <w:trHeight w:val="60"/>
        </w:trPr>
        <w:tc>
          <w:tcPr>
            <w:tcW w:w="18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33" w:lineRule="auto"/>
        <w:tabs>
          <w:tab w:leader="none" w:pos="338" w:val="left"/>
        </w:tabs>
        <w:numPr>
          <w:ilvl w:val="0"/>
          <w:numId w:val="58"/>
        </w:numPr>
        <w:rPr>
          <w:rFonts w:ascii="Calibri" w:cs="Calibri" w:eastAsia="Calibri" w:hAnsi="Calibri"/>
          <w:sz w:val="14"/>
          <w:szCs w:val="14"/>
          <w:color w:val="auto"/>
        </w:rPr>
      </w:pPr>
      <w:r>
        <w:rPr>
          <w:rFonts w:ascii="Calibri" w:cs="Calibri" w:eastAsia="Calibri" w:hAnsi="Calibri"/>
          <w:sz w:val="14"/>
          <w:szCs w:val="14"/>
          <w:color w:val="auto"/>
        </w:rPr>
        <w:t>Represents a lump sum payment equal to each named executve ofcer’s annual base salary in efect as of June 30, 2022, multplied by 100% for our CEO and 50% for each of our other named executve ofcers.</w:t>
      </w:r>
    </w:p>
    <w:p>
      <w:pPr>
        <w:spacing w:after="0" w:line="86" w:lineRule="exact"/>
        <w:rPr>
          <w:rFonts w:ascii="Calibri" w:cs="Calibri" w:eastAsia="Calibri" w:hAnsi="Calibri"/>
          <w:sz w:val="14"/>
          <w:szCs w:val="14"/>
          <w:color w:val="auto"/>
        </w:rPr>
      </w:pPr>
    </w:p>
    <w:p>
      <w:pPr>
        <w:ind w:left="340" w:hanging="332"/>
        <w:spacing w:after="0" w:line="245" w:lineRule="auto"/>
        <w:tabs>
          <w:tab w:leader="none" w:pos="338" w:val="left"/>
        </w:tabs>
        <w:numPr>
          <w:ilvl w:val="0"/>
          <w:numId w:val="58"/>
        </w:numPr>
        <w:rPr>
          <w:rFonts w:ascii="Calibri" w:cs="Calibri" w:eastAsia="Calibri" w:hAnsi="Calibri"/>
          <w:sz w:val="14"/>
          <w:szCs w:val="14"/>
          <w:color w:val="auto"/>
        </w:rPr>
      </w:pPr>
      <w:r>
        <w:rPr>
          <w:rFonts w:ascii="Calibri" w:cs="Calibri" w:eastAsia="Calibri" w:hAnsi="Calibri"/>
          <w:sz w:val="14"/>
          <w:szCs w:val="14"/>
          <w:color w:val="auto"/>
        </w:rPr>
        <w:t>Represents a lump sum cash payment in an amount equal to the named executve ofcer’s target annual cash incentve plan opportunity, if any, in efect as of June 30, 2022 as if a change in control occurred on June 30, 2022.</w:t>
      </w:r>
    </w:p>
    <w:p>
      <w:pPr>
        <w:spacing w:after="0" w:line="28" w:lineRule="exact"/>
        <w:rPr>
          <w:rFonts w:ascii="Calibri" w:cs="Calibri" w:eastAsia="Calibri" w:hAnsi="Calibri"/>
          <w:sz w:val="14"/>
          <w:szCs w:val="14"/>
          <w:color w:val="auto"/>
        </w:rPr>
      </w:pPr>
    </w:p>
    <w:p>
      <w:pPr>
        <w:ind w:left="340" w:hanging="332"/>
        <w:spacing w:after="0"/>
        <w:tabs>
          <w:tab w:leader="none" w:pos="340" w:val="left"/>
        </w:tabs>
        <w:numPr>
          <w:ilvl w:val="0"/>
          <w:numId w:val="58"/>
        </w:numPr>
        <w:rPr>
          <w:rFonts w:ascii="Calibri" w:cs="Calibri" w:eastAsia="Calibri" w:hAnsi="Calibri"/>
          <w:sz w:val="14"/>
          <w:szCs w:val="14"/>
          <w:color w:val="auto"/>
        </w:rPr>
      </w:pPr>
      <w:r>
        <w:rPr>
          <w:rFonts w:ascii="Calibri" w:cs="Calibri" w:eastAsia="Calibri" w:hAnsi="Calibri"/>
          <w:sz w:val="14"/>
          <w:szCs w:val="14"/>
          <w:color w:val="auto"/>
        </w:rPr>
        <w:t>Represents the monthly premiums for contnued health benefts as of June 30, 2022 for 12 months for our CEO and 6 months for each of our other named executve ofcers.</w:t>
      </w:r>
    </w:p>
    <w:p>
      <w:pPr>
        <w:sectPr>
          <w:pgSz w:w="11900" w:h="16838" w:orient="portrait"/>
          <w:cols w:equalWidth="0" w:num="1">
            <w:col w:w="11240"/>
          </w:cols>
          <w:pgMar w:left="320" w:top="14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42</w:t>
      </w:r>
    </w:p>
    <w:p>
      <w:pPr>
        <w:sectPr>
          <w:pgSz w:w="11900" w:h="16838" w:orient="portrait"/>
          <w:cols w:equalWidth="0" w:num="1">
            <w:col w:w="11240"/>
          </w:cols>
          <w:pgMar w:left="320" w:top="1408" w:right="339" w:bottom="1440" w:gutter="0" w:footer="0" w:header="0"/>
          <w:type w:val="continuous"/>
        </w:sectPr>
      </w:pPr>
    </w:p>
    <w:bookmarkStart w:id="46" w:name="page47"/>
    <w:bookmarkEnd w:id="46"/>
    <w:p>
      <w:pPr>
        <w:spacing w:after="0" w:line="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described above under “</w:t>
      </w:r>
      <w:r>
        <w:rPr>
          <w:rFonts w:ascii="Calibri" w:cs="Calibri" w:eastAsia="Calibri" w:hAnsi="Calibri"/>
          <w:sz w:val="18"/>
          <w:szCs w:val="18"/>
          <w:i w:val="1"/>
          <w:iCs w:val="1"/>
          <w:color w:val="auto"/>
        </w:rPr>
        <w:t>Executve Compensaton—Compensaton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Discussion and Analysis—Post-Employment Compensaton—Transiton Agreement with Ms. Martncevic</w:t>
      </w:r>
      <w:r>
        <w:rPr>
          <w:rFonts w:ascii="Calibri" w:cs="Calibri" w:eastAsia="Calibri" w:hAnsi="Calibri"/>
          <w:sz w:val="18"/>
          <w:szCs w:val="18"/>
          <w:color w:val="auto"/>
        </w:rPr>
        <w:t>,” in connecton with Ms. Martncevic’s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resignaton, which became efectve June 30, 2022, we entered into a Transiton Agreement with Ms. Martncevic. Pursuant to the Transiton Agreement, Ms. Martncevic will serve as a consultant to the Company from July 1, 2022 to December 31, 2022 and receive an amount in cash equal to one-half of her fnal annual salary of $475,000 as compensaton for providing those consultancy services. While Ms. Martncevic serves as a consultant for the Company, her optons to purchase shares of our Class A common stock and RSUs that may be setled in shares of our Class A common stock will contnue to vest in accordance with the terms of the applicable grant agreements. In additon, in recogniton of Ms. Martncevic’s prior service and contributons to the Company, the Transiton Agreement further provides as follows:</w:t>
      </w:r>
    </w:p>
    <w:p>
      <w:pPr>
        <w:spacing w:after="0" w:line="67" w:lineRule="exact"/>
        <w:rPr>
          <w:sz w:val="20"/>
          <w:szCs w:val="20"/>
          <w:color w:val="auto"/>
        </w:rPr>
      </w:pPr>
    </w:p>
    <w:p>
      <w:pPr>
        <w:ind w:left="420" w:hanging="250"/>
        <w:spacing w:after="0" w:line="235" w:lineRule="auto"/>
        <w:tabs>
          <w:tab w:leader="none" w:pos="41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Ms. Martncevic will receive an additonal amount in cash equal to one-half of her fnal annual salary of</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alibri" w:cs="Calibri" w:eastAsia="Calibri" w:hAnsi="Calibri"/>
          <w:sz w:val="18"/>
          <w:szCs w:val="18"/>
          <w:color w:val="auto"/>
        </w:rPr>
        <w:t>$475,000;</w:t>
      </w:r>
    </w:p>
    <w:p>
      <w:pPr>
        <w:spacing w:after="0" w:line="55" w:lineRule="exact"/>
        <w:rPr>
          <w:sz w:val="20"/>
          <w:szCs w:val="20"/>
          <w:color w:val="auto"/>
        </w:rPr>
      </w:pPr>
    </w:p>
    <w:p>
      <w:pPr>
        <w:jc w:val="both"/>
        <w:ind w:left="400" w:hanging="244"/>
        <w:spacing w:after="0" w:line="235" w:lineRule="auto"/>
        <w:tabs>
          <w:tab w:leader="none" w:pos="393"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the vestng of outstanding optons to purchase 101,382 shares of our Class A common stock held by Ms. Martncevic will be accelerated to December 31, 2022;</w:t>
      </w:r>
    </w:p>
    <w:p>
      <w:pPr>
        <w:spacing w:after="0" w:line="56" w:lineRule="exact"/>
        <w:rPr>
          <w:rFonts w:ascii="Calibri" w:cs="Calibri" w:eastAsia="Calibri" w:hAnsi="Calibri"/>
          <w:sz w:val="18"/>
          <w:szCs w:val="18"/>
          <w:color w:val="auto"/>
        </w:rPr>
      </w:pPr>
    </w:p>
    <w:p>
      <w:pPr>
        <w:jc w:val="both"/>
        <w:ind w:left="400" w:hanging="244"/>
        <w:spacing w:after="0" w:line="235" w:lineRule="auto"/>
        <w:tabs>
          <w:tab w:leader="none" w:pos="393"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the vestng of outstanding RSU awards that may vest and be setled for 12,151 shares of our Class A common stock held by Ms. Martncevic will be accelerated to December 31, 2022; and</w:t>
      </w:r>
    </w:p>
    <w:p>
      <w:pPr>
        <w:spacing w:after="0" w:line="56" w:lineRule="exact"/>
        <w:rPr>
          <w:rFonts w:ascii="Calibri" w:cs="Calibri" w:eastAsia="Calibri" w:hAnsi="Calibri"/>
          <w:sz w:val="18"/>
          <w:szCs w:val="18"/>
          <w:color w:val="auto"/>
        </w:rPr>
      </w:pPr>
    </w:p>
    <w:p>
      <w:pPr>
        <w:jc w:val="both"/>
        <w:ind w:left="400" w:hanging="244"/>
        <w:spacing w:after="0" w:line="235" w:lineRule="auto"/>
        <w:tabs>
          <w:tab w:leader="none" w:pos="393" w:val="left"/>
        </w:tabs>
        <w:numPr>
          <w:ilvl w:val="0"/>
          <w:numId w:val="60"/>
        </w:numPr>
        <w:rPr>
          <w:rFonts w:ascii="Calibri" w:cs="Calibri" w:eastAsia="Calibri" w:hAnsi="Calibri"/>
          <w:sz w:val="18"/>
          <w:szCs w:val="18"/>
          <w:color w:val="auto"/>
        </w:rPr>
      </w:pPr>
      <w:r>
        <w:rPr>
          <w:rFonts w:ascii="Calibri" w:cs="Calibri" w:eastAsia="Calibri" w:hAnsi="Calibri"/>
          <w:sz w:val="18"/>
          <w:szCs w:val="18"/>
          <w:color w:val="auto"/>
        </w:rPr>
        <w:t>Ms. Martncevic will receive company-paid premiums for contnued health benefts provided under COBRA for up to 12 months from June 30,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incremental value associated with the acceleraton of vestng of those RSU awards and optons was $288,222 and $1,345,420, respectvely. In additon, pursuant to the Transiton Agreement, Ms. Martncevic provided a customary release of claims in favor of the Company. A copy of the Transiton Agreement was fled with the SEC on August 29, 2022 as an exhibit to the Company’s Annual Report on Form 10‐K.</w:t>
      </w:r>
    </w:p>
    <w:p>
      <w:pPr>
        <w:spacing w:after="0" w:line="203" w:lineRule="exact"/>
        <w:rPr>
          <w:sz w:val="20"/>
          <w:szCs w:val="20"/>
          <w:color w:val="auto"/>
        </w:rPr>
      </w:pPr>
    </w:p>
    <w:p>
      <w:pPr>
        <w:sectPr>
          <w:pgSz w:w="11900" w:h="16838" w:orient="portrait"/>
          <w:cols w:equalWidth="0" w:num="2">
            <w:col w:w="5420" w:space="300"/>
            <w:col w:w="5400"/>
          </w:cols>
          <w:pgMar w:left="320" w:top="1408" w:right="459" w:bottom="1440" w:gutter="0" w:footer="0" w:header="0"/>
        </w:sectPr>
      </w:pPr>
    </w:p>
    <w:p>
      <w:pPr>
        <w:spacing w:after="0" w:line="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CEO Pay Rato</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required by SEC rules, we are providing the following informaton about the relatonship between the annual total compensaton of our CEO and the median of the annual total compensaton of all our employees, except our CEO (our “CEO Pay Rato”).</w:t>
      </w:r>
    </w:p>
    <w:p>
      <w:pPr>
        <w:spacing w:after="0" w:line="17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fscal 2022, the annual total compensaton of our CEO was $478,265 and the median of the annual total compensaton of all our employees was $255,872. Accordingly, the CEO Pay Rato for fscal 2022 is approximately 1.87:1. We believe this rato is a reasonable estmate calculated in a manner consistent with SEC rules and based upon our reasonable judgment and assumptons.</w:t>
      </w:r>
    </w:p>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to identfy our median employee, we examined the fscal 2022 compensaton of substantally all of our full-tme, part-tme and temporary employees as of June 30, 2022, excluding our CEO. As permited by SEC rules, we excluded all of our employees in Australia (4 employees), Poland (74 employees), Spain (38 employees) and the United Kingdom (3 employees), which represented 4.7% of our total employee populaton. Before applying this exclusion, our U.S. employee populaton was 2,132 and our non-U.S. employee populaton was 417 as of June 30, 2022. Afer applying this exclusion, our U.S. employee populaton was 2,132 and our non-U.S. employee populaton was 298 as of June 30, 2022. We annualized the compensaton for employees who were not employed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us for the entre fscal 2022 year. To identfy our median employee for fscal 2022, we used a consistently applied compensaton measure consistng of annual base salary and the grant date fair value of equity awards granted during fscal 2022, with such informaton based on our payroll records. Compensaton paid in foreign currency was converted to U.S. dollars using a spot exchange rate on June 30, 2022. In determining the median compensated employee, we did not make any cost of living adjustments to the compensaton paid to any employee outside of the U.S. We believe our methodology represents a consistently applied compensaton measure because it reasonably refects annual compensaton to our employees, striking a balance in terms of the administratve burden associated with gathering this informaton while consistently treatng all the primary compensaton components for our worldwide workforce and capturing a full fscal year of each of such primary compensaton components.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calculated our median employee’s fscal 2022 annual total compensaton, including base salary, stock awards, and other compensaton, using the same methodology that we use for our named executve ofcers as set forth in the </w:t>
      </w:r>
      <w:r>
        <w:rPr>
          <w:rFonts w:ascii="Calibri" w:cs="Calibri" w:eastAsia="Calibri" w:hAnsi="Calibri"/>
          <w:sz w:val="18"/>
          <w:szCs w:val="18"/>
          <w:i w:val="1"/>
          <w:iCs w:val="1"/>
          <w:color w:val="auto"/>
        </w:rPr>
        <w:t>“Fiscal 2022 Summary Compensaton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Table” </w:t>
      </w:r>
      <w:r>
        <w:rPr>
          <w:rFonts w:ascii="Calibri" w:cs="Calibri" w:eastAsia="Calibri" w:hAnsi="Calibri"/>
          <w:sz w:val="18"/>
          <w:szCs w:val="18"/>
          <w:color w:val="auto"/>
        </w:rPr>
        <w:t>above. With respect to the annual total compensaton of our CEO,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 used the amount reported in the “Total” column of the “</w:t>
      </w:r>
      <w:r>
        <w:rPr>
          <w:rFonts w:ascii="Calibri" w:cs="Calibri" w:eastAsia="Calibri" w:hAnsi="Calibri"/>
          <w:sz w:val="18"/>
          <w:szCs w:val="18"/>
          <w:i w:val="1"/>
          <w:iCs w:val="1"/>
          <w:color w:val="auto"/>
        </w:rPr>
        <w:t>Fiscal 2022</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Summary Compensaton Table</w:t>
      </w:r>
      <w:r>
        <w:rPr>
          <w:rFonts w:ascii="Calibri" w:cs="Calibri" w:eastAsia="Calibri" w:hAnsi="Calibri"/>
          <w:sz w:val="18"/>
          <w:szCs w:val="18"/>
          <w:color w:val="auto"/>
        </w:rPr>
        <w:t>” above.</w:t>
      </w:r>
    </w:p>
    <w:p>
      <w:pPr>
        <w:spacing w:after="0" w:line="372" w:lineRule="exact"/>
        <w:rPr>
          <w:sz w:val="20"/>
          <w:szCs w:val="20"/>
          <w:color w:val="auto"/>
        </w:rPr>
      </w:pPr>
    </w:p>
    <w:p>
      <w:pPr>
        <w:sectPr>
          <w:pgSz w:w="11900" w:h="16838" w:orient="portrait"/>
          <w:cols w:equalWidth="0" w:num="2">
            <w:col w:w="5420" w:space="300"/>
            <w:col w:w="5400"/>
          </w:cols>
          <w:pgMar w:left="320" w:top="1408"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43</w:t>
      </w:r>
    </w:p>
    <w:p>
      <w:pPr>
        <w:sectPr>
          <w:pgSz w:w="11900" w:h="16838" w:orient="portrait"/>
          <w:cols w:equalWidth="0" w:num="1">
            <w:col w:w="11120"/>
          </w:cols>
          <w:pgMar w:left="320" w:top="1408" w:right="459" w:bottom="1440" w:gutter="0" w:footer="0" w:header="0"/>
          <w:type w:val="continuous"/>
        </w:sectPr>
      </w:pPr>
    </w:p>
    <w:bookmarkStart w:id="47" w:name="page48"/>
    <w:bookmarkEnd w:id="47"/>
    <w:p>
      <w:pPr>
        <w:jc w:val="both"/>
        <w:ind w:right="4719"/>
        <w:spacing w:after="0" w:line="235" w:lineRule="auto"/>
        <w:rPr>
          <w:sz w:val="20"/>
          <w:szCs w:val="20"/>
          <w:color w:val="auto"/>
        </w:rPr>
      </w:pPr>
      <w:r>
        <w:rPr>
          <w:rFonts w:ascii="Calibri" w:cs="Calibri" w:eastAsia="Calibri" w:hAnsi="Calibri"/>
          <w:sz w:val="18"/>
          <w:szCs w:val="18"/>
          <w:color w:val="auto"/>
        </w:rPr>
        <w:t>In identfying our median employee in accordance with Item 402 of Regulaton S-K under the Securites Act, reportng companies are permited to use reasonable estmates, assumptons, and methodologies based on their own facts and circumstances. As a result, the disclosure regarding the compensaton of our median employee and the CEO Pay Rato may not be directly comparable to similar disclosure by other reportng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419"/>
        <w:spacing w:after="0"/>
        <w:rPr>
          <w:sz w:val="20"/>
          <w:szCs w:val="20"/>
          <w:color w:val="auto"/>
        </w:rPr>
      </w:pPr>
      <w:r>
        <w:rPr>
          <w:rFonts w:ascii="Calibri" w:cs="Calibri" w:eastAsia="Calibri" w:hAnsi="Calibri"/>
          <w:sz w:val="18"/>
          <w:szCs w:val="18"/>
          <w:color w:val="auto"/>
        </w:rPr>
        <w:t>44</w:t>
      </w:r>
    </w:p>
    <w:p>
      <w:pPr>
        <w:sectPr>
          <w:pgSz w:w="11900" w:h="16838" w:orient="portrait"/>
          <w:cols w:equalWidth="0" w:num="1">
            <w:col w:w="10139"/>
          </w:cols>
          <w:pgMar w:left="320" w:top="1413" w:right="1440" w:bottom="1440" w:gutter="0" w:footer="0" w:header="0"/>
        </w:sectPr>
      </w:pPr>
    </w:p>
    <w:bookmarkStart w:id="48" w:name="page49"/>
    <w:bookmarkEnd w:id="48"/>
    <w:p>
      <w:pPr>
        <w:jc w:val="center"/>
        <w:spacing w:after="0"/>
        <w:rPr>
          <w:sz w:val="20"/>
          <w:szCs w:val="20"/>
          <w:color w:val="auto"/>
        </w:rPr>
      </w:pPr>
      <w:r>
        <w:rPr>
          <w:rFonts w:ascii="Calibri" w:cs="Calibri" w:eastAsia="Calibri" w:hAnsi="Calibri"/>
          <w:sz w:val="29"/>
          <w:szCs w:val="29"/>
          <w:b w:val="1"/>
          <w:bCs w:val="1"/>
          <w:color w:val="auto"/>
        </w:rPr>
        <w:t>EQUITY COMPENSATION PLAN INFORMATION</w:t>
      </w:r>
    </w:p>
    <w:p>
      <w:pPr>
        <w:spacing w:after="0" w:line="191"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following table sets forth certain informaton as of June 30, 2022 with respect to the 2012 Stock Plan and the 2020 Employee Stock Purchase Plan (the “ESPP”), under which shares of our Class A common stock may be issued.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2440" w:type="dxa"/>
            <w:vAlign w:val="bottom"/>
            <w:vMerge w:val="restart"/>
          </w:tcPr>
          <w:p>
            <w:pPr>
              <w:jc w:val="center"/>
              <w:ind w:left="399"/>
              <w:spacing w:after="0"/>
              <w:rPr>
                <w:sz w:val="20"/>
                <w:szCs w:val="20"/>
                <w:color w:val="auto"/>
              </w:rPr>
            </w:pPr>
            <w:r>
              <w:rPr>
                <w:rFonts w:ascii="Calibri" w:cs="Calibri" w:eastAsia="Calibri" w:hAnsi="Calibri"/>
                <w:sz w:val="16"/>
                <w:szCs w:val="16"/>
                <w:b w:val="1"/>
                <w:bCs w:val="1"/>
                <w:color w:val="auto"/>
              </w:rPr>
              <w:t>Number of Securites</w:t>
            </w:r>
          </w:p>
        </w:tc>
        <w:tc>
          <w:tcPr>
            <w:tcW w:w="1760" w:type="dxa"/>
            <w:vAlign w:val="bottom"/>
            <w:vMerge w:val="restart"/>
          </w:tcPr>
          <w:p>
            <w:pPr>
              <w:jc w:val="center"/>
              <w:ind w:right="39"/>
              <w:spacing w:after="0"/>
              <w:rPr>
                <w:sz w:val="20"/>
                <w:szCs w:val="20"/>
                <w:color w:val="auto"/>
              </w:rPr>
            </w:pPr>
            <w:r>
              <w:rPr>
                <w:rFonts w:ascii="Calibri" w:cs="Calibri" w:eastAsia="Calibri" w:hAnsi="Calibri"/>
                <w:sz w:val="16"/>
                <w:szCs w:val="16"/>
                <w:b w:val="1"/>
                <w:bCs w:val="1"/>
                <w:color w:val="auto"/>
                <w:w w:val="99"/>
              </w:rPr>
              <w:t>Weighted-Average</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Number of Securites Remaining</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Available for Further Issuance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440" w:type="dxa"/>
            <w:vAlign w:val="bottom"/>
          </w:tcPr>
          <w:p>
            <w:pPr>
              <w:jc w:val="center"/>
              <w:ind w:left="419"/>
              <w:spacing w:after="0" w:line="189" w:lineRule="exact"/>
              <w:rPr>
                <w:sz w:val="20"/>
                <w:szCs w:val="20"/>
                <w:color w:val="auto"/>
              </w:rPr>
            </w:pPr>
            <w:r>
              <w:rPr>
                <w:rFonts w:ascii="Calibri" w:cs="Calibri" w:eastAsia="Calibri" w:hAnsi="Calibri"/>
                <w:sz w:val="16"/>
                <w:szCs w:val="16"/>
                <w:b w:val="1"/>
                <w:bCs w:val="1"/>
                <w:color w:val="auto"/>
              </w:rPr>
              <w:t>Issuable Upon Exercise of</w:t>
            </w:r>
          </w:p>
        </w:tc>
        <w:tc>
          <w:tcPr>
            <w:tcW w:w="1760" w:type="dxa"/>
            <w:vAlign w:val="bottom"/>
          </w:tcPr>
          <w:p>
            <w:pPr>
              <w:jc w:val="center"/>
              <w:ind w:right="39"/>
              <w:spacing w:after="0" w:line="189" w:lineRule="exact"/>
              <w:rPr>
                <w:sz w:val="20"/>
                <w:szCs w:val="20"/>
                <w:color w:val="auto"/>
              </w:rPr>
            </w:pPr>
            <w:r>
              <w:rPr>
                <w:rFonts w:ascii="Calibri" w:cs="Calibri" w:eastAsia="Calibri" w:hAnsi="Calibri"/>
                <w:sz w:val="16"/>
                <w:szCs w:val="16"/>
                <w:b w:val="1"/>
                <w:bCs w:val="1"/>
                <w:color w:val="auto"/>
              </w:rPr>
              <w:t>Exercise Price of</w:t>
            </w:r>
          </w:p>
        </w:tc>
        <w:tc>
          <w:tcPr>
            <w:tcW w:w="24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Under Equity Compensaton Plans</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2440" w:type="dxa"/>
            <w:vAlign w:val="bottom"/>
          </w:tcPr>
          <w:p>
            <w:pPr>
              <w:jc w:val="center"/>
              <w:ind w:left="399"/>
              <w:spacing w:after="0" w:line="189" w:lineRule="exact"/>
              <w:rPr>
                <w:sz w:val="20"/>
                <w:szCs w:val="20"/>
                <w:color w:val="auto"/>
              </w:rPr>
            </w:pPr>
            <w:r>
              <w:rPr>
                <w:rFonts w:ascii="Calibri" w:cs="Calibri" w:eastAsia="Calibri" w:hAnsi="Calibri"/>
                <w:sz w:val="16"/>
                <w:szCs w:val="16"/>
                <w:b w:val="1"/>
                <w:bCs w:val="1"/>
                <w:color w:val="auto"/>
              </w:rPr>
              <w:t>Outstanding Optons,</w:t>
            </w:r>
          </w:p>
        </w:tc>
        <w:tc>
          <w:tcPr>
            <w:tcW w:w="1760" w:type="dxa"/>
            <w:vAlign w:val="bottom"/>
          </w:tcPr>
          <w:p>
            <w:pPr>
              <w:jc w:val="center"/>
              <w:ind w:right="39"/>
              <w:spacing w:after="0" w:line="189" w:lineRule="exact"/>
              <w:rPr>
                <w:sz w:val="20"/>
                <w:szCs w:val="20"/>
                <w:color w:val="auto"/>
              </w:rPr>
            </w:pPr>
            <w:r>
              <w:rPr>
                <w:rFonts w:ascii="Calibri" w:cs="Calibri" w:eastAsia="Calibri" w:hAnsi="Calibri"/>
                <w:sz w:val="16"/>
                <w:szCs w:val="16"/>
                <w:b w:val="1"/>
                <w:bCs w:val="1"/>
                <w:color w:val="auto"/>
              </w:rPr>
              <w:t>Outstanding Optons,</w:t>
            </w:r>
          </w:p>
        </w:tc>
        <w:tc>
          <w:tcPr>
            <w:tcW w:w="244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rPr>
              <w:t>(Excluding Securites Refected in</w:t>
            </w:r>
          </w:p>
        </w:tc>
        <w:tc>
          <w:tcPr>
            <w:tcW w:w="0" w:type="dxa"/>
            <w:vAlign w:val="bottom"/>
          </w:tcPr>
          <w:p>
            <w:pPr>
              <w:spacing w:after="0"/>
              <w:rPr>
                <w:sz w:val="1"/>
                <w:szCs w:val="1"/>
                <w:color w:val="auto"/>
              </w:rPr>
            </w:pPr>
          </w:p>
        </w:tc>
      </w:tr>
      <w:tr>
        <w:trPr>
          <w:trHeight w:val="207"/>
        </w:trPr>
        <w:tc>
          <w:tcPr>
            <w:tcW w:w="4600" w:type="dxa"/>
            <w:vAlign w:val="bottom"/>
          </w:tcPr>
          <w:p>
            <w:pPr>
              <w:ind w:left="20"/>
              <w:spacing w:after="0"/>
              <w:rPr>
                <w:sz w:val="20"/>
                <w:szCs w:val="20"/>
                <w:color w:val="auto"/>
              </w:rPr>
            </w:pPr>
            <w:r>
              <w:rPr>
                <w:rFonts w:ascii="Calibri" w:cs="Calibri" w:eastAsia="Calibri" w:hAnsi="Calibri"/>
                <w:sz w:val="16"/>
                <w:szCs w:val="16"/>
                <w:b w:val="1"/>
                <w:bCs w:val="1"/>
                <w:color w:val="auto"/>
              </w:rPr>
              <w:t>Plan Category</w:t>
            </w:r>
          </w:p>
        </w:tc>
        <w:tc>
          <w:tcPr>
            <w:tcW w:w="2440" w:type="dxa"/>
            <w:vAlign w:val="bottom"/>
          </w:tcPr>
          <w:p>
            <w:pPr>
              <w:jc w:val="center"/>
              <w:ind w:left="399"/>
              <w:spacing w:after="0" w:line="193" w:lineRule="exact"/>
              <w:rPr>
                <w:sz w:val="20"/>
                <w:szCs w:val="20"/>
                <w:color w:val="auto"/>
              </w:rPr>
            </w:pPr>
            <w:r>
              <w:rPr>
                <w:rFonts w:ascii="Calibri" w:cs="Calibri" w:eastAsia="Calibri" w:hAnsi="Calibri"/>
                <w:sz w:val="16"/>
                <w:szCs w:val="16"/>
                <w:b w:val="1"/>
                <w:bCs w:val="1"/>
                <w:color w:val="auto"/>
              </w:rPr>
              <w:t>Warrants and Rights</w:t>
            </w:r>
          </w:p>
        </w:tc>
        <w:tc>
          <w:tcPr>
            <w:tcW w:w="1760" w:type="dxa"/>
            <w:vAlign w:val="bottom"/>
          </w:tcPr>
          <w:p>
            <w:pPr>
              <w:jc w:val="center"/>
              <w:ind w:right="39"/>
              <w:spacing w:after="0" w:line="193" w:lineRule="exact"/>
              <w:rPr>
                <w:sz w:val="20"/>
                <w:szCs w:val="20"/>
                <w:color w:val="auto"/>
              </w:rPr>
            </w:pPr>
            <w:r>
              <w:rPr>
                <w:rFonts w:ascii="Calibri" w:cs="Calibri" w:eastAsia="Calibri" w:hAnsi="Calibri"/>
                <w:sz w:val="16"/>
                <w:szCs w:val="16"/>
                <w:b w:val="1"/>
                <w:bCs w:val="1"/>
                <w:color w:val="auto"/>
              </w:rPr>
              <w:t>Warrants and Rights</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First Column)</w:t>
            </w:r>
          </w:p>
        </w:tc>
        <w:tc>
          <w:tcPr>
            <w:tcW w:w="0" w:type="dxa"/>
            <w:vAlign w:val="bottom"/>
          </w:tcPr>
          <w:p>
            <w:pPr>
              <w:spacing w:after="0"/>
              <w:rPr>
                <w:sz w:val="1"/>
                <w:szCs w:val="1"/>
                <w:color w:val="auto"/>
              </w:rPr>
            </w:pPr>
          </w:p>
        </w:tc>
      </w:tr>
      <w:tr>
        <w:trPr>
          <w:trHeight w:val="41"/>
        </w:trPr>
        <w:tc>
          <w:tcPr>
            <w:tcW w:w="46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Equity compensaton plans approved by security holders</w:t>
            </w:r>
          </w:p>
        </w:tc>
        <w:tc>
          <w:tcPr>
            <w:tcW w:w="2440" w:type="dxa"/>
            <w:vAlign w:val="bottom"/>
            <w:shd w:val="clear" w:color="auto" w:fill="DBDBDB"/>
          </w:tcPr>
          <w:p>
            <w:pPr>
              <w:jc w:val="right"/>
              <w:ind w:right="39"/>
              <w:spacing w:after="0" w:line="237" w:lineRule="exact"/>
              <w:rPr>
                <w:sz w:val="20"/>
                <w:szCs w:val="20"/>
                <w:color w:val="auto"/>
              </w:rPr>
            </w:pPr>
            <w:r>
              <w:rPr>
                <w:rFonts w:ascii="Calibri" w:cs="Calibri" w:eastAsia="Calibri" w:hAnsi="Calibri"/>
                <w:sz w:val="16"/>
                <w:szCs w:val="16"/>
                <w:color w:val="auto"/>
              </w:rPr>
              <w:t>53,158,233</w:t>
            </w:r>
            <w:r>
              <w:rPr>
                <w:rFonts w:ascii="Calibri" w:cs="Calibri" w:eastAsia="Calibri" w:hAnsi="Calibri"/>
                <w:sz w:val="21"/>
                <w:szCs w:val="21"/>
                <w:color w:val="auto"/>
                <w:vertAlign w:val="superscript"/>
              </w:rPr>
              <w:t>(1)</w:t>
            </w:r>
          </w:p>
        </w:tc>
        <w:tc>
          <w:tcPr>
            <w:tcW w:w="1760" w:type="dxa"/>
            <w:vAlign w:val="bottom"/>
            <w:shd w:val="clear" w:color="auto" w:fill="DBDBDB"/>
          </w:tcPr>
          <w:p>
            <w:pPr>
              <w:jc w:val="right"/>
              <w:spacing w:after="0" w:line="237" w:lineRule="exact"/>
              <w:rPr>
                <w:sz w:val="20"/>
                <w:szCs w:val="20"/>
                <w:color w:val="auto"/>
              </w:rPr>
            </w:pPr>
            <w:r>
              <w:rPr>
                <w:rFonts w:ascii="Calibri" w:cs="Calibri" w:eastAsia="Calibri" w:hAnsi="Calibri"/>
                <w:sz w:val="16"/>
                <w:szCs w:val="16"/>
                <w:color w:val="auto"/>
              </w:rPr>
              <w:t>$15.22</w:t>
            </w:r>
            <w:r>
              <w:rPr>
                <w:rFonts w:ascii="Calibri" w:cs="Calibri" w:eastAsia="Calibri" w:hAnsi="Calibri"/>
                <w:sz w:val="21"/>
                <w:szCs w:val="21"/>
                <w:color w:val="auto"/>
                <w:vertAlign w:val="superscript"/>
              </w:rPr>
              <w:t>(2)</w:t>
            </w:r>
          </w:p>
        </w:tc>
        <w:tc>
          <w:tcPr>
            <w:tcW w:w="2440" w:type="dxa"/>
            <w:vAlign w:val="bottom"/>
            <w:shd w:val="clear" w:color="auto" w:fill="DBDBDB"/>
          </w:tcPr>
          <w:p>
            <w:pPr>
              <w:jc w:val="right"/>
              <w:spacing w:after="0" w:line="237" w:lineRule="exact"/>
              <w:rPr>
                <w:sz w:val="20"/>
                <w:szCs w:val="20"/>
                <w:color w:val="auto"/>
              </w:rPr>
            </w:pPr>
            <w:r>
              <w:rPr>
                <w:rFonts w:ascii="Calibri" w:cs="Calibri" w:eastAsia="Calibri" w:hAnsi="Calibri"/>
                <w:sz w:val="16"/>
                <w:szCs w:val="16"/>
                <w:color w:val="auto"/>
              </w:rPr>
              <w:t>87,616,861</w:t>
            </w:r>
            <w:r>
              <w:rPr>
                <w:rFonts w:ascii="Calibri" w:cs="Calibri" w:eastAsia="Calibri" w:hAnsi="Calibri"/>
                <w:sz w:val="21"/>
                <w:szCs w:val="21"/>
                <w:color w:val="auto"/>
                <w:vertAlign w:val="superscript"/>
              </w:rPr>
              <w:t>(3)</w:t>
            </w: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rPr>
                <w:sz w:val="20"/>
                <w:szCs w:val="20"/>
                <w:color w:val="auto"/>
              </w:rPr>
            </w:pPr>
            <w:r>
              <w:rPr>
                <w:rFonts w:ascii="Calibri" w:cs="Calibri" w:eastAsia="Calibri" w:hAnsi="Calibri"/>
                <w:sz w:val="16"/>
                <w:szCs w:val="16"/>
                <w:color w:val="auto"/>
              </w:rPr>
              <w:t>Equity compensaton plans not approved by security holders</w:t>
            </w:r>
          </w:p>
        </w:tc>
        <w:tc>
          <w:tcPr>
            <w:tcW w:w="2440" w:type="dxa"/>
            <w:vAlign w:val="bottom"/>
          </w:tcPr>
          <w:p>
            <w:pPr>
              <w:jc w:val="right"/>
              <w:ind w:right="39"/>
              <w:spacing w:after="0"/>
              <w:rPr>
                <w:sz w:val="20"/>
                <w:szCs w:val="20"/>
                <w:color w:val="auto"/>
              </w:rPr>
            </w:pPr>
            <w:r>
              <w:rPr>
                <w:rFonts w:ascii="Calibri" w:cs="Calibri" w:eastAsia="Calibri" w:hAnsi="Calibri"/>
                <w:sz w:val="16"/>
                <w:szCs w:val="16"/>
                <w:color w:val="auto"/>
              </w:rPr>
              <w:t>None</w:t>
            </w:r>
          </w:p>
        </w:tc>
        <w:tc>
          <w:tcPr>
            <w:tcW w:w="1760" w:type="dxa"/>
            <w:vAlign w:val="bottom"/>
          </w:tcPr>
          <w:p>
            <w:pPr>
              <w:jc w:val="right"/>
              <w:spacing w:after="0"/>
              <w:rPr>
                <w:sz w:val="20"/>
                <w:szCs w:val="20"/>
                <w:color w:val="auto"/>
              </w:rPr>
            </w:pPr>
            <w:r>
              <w:rPr>
                <w:rFonts w:ascii="Calibri" w:cs="Calibri" w:eastAsia="Calibri" w:hAnsi="Calibri"/>
                <w:sz w:val="16"/>
                <w:szCs w:val="16"/>
                <w:color w:val="auto"/>
              </w:rPr>
              <w:t>N/A</w:t>
            </w:r>
          </w:p>
        </w:tc>
        <w:tc>
          <w:tcPr>
            <w:tcW w:w="2440" w:type="dxa"/>
            <w:vAlign w:val="bottom"/>
          </w:tcPr>
          <w:p>
            <w:pPr>
              <w:jc w:val="right"/>
              <w:spacing w:after="0"/>
              <w:rPr>
                <w:sz w:val="20"/>
                <w:szCs w:val="20"/>
                <w:color w:val="auto"/>
              </w:rPr>
            </w:pPr>
            <w:r>
              <w:rPr>
                <w:rFonts w:ascii="Calibri" w:cs="Calibri" w:eastAsia="Calibri" w:hAnsi="Calibri"/>
                <w:sz w:val="16"/>
                <w:szCs w:val="16"/>
                <w:color w:val="auto"/>
              </w:rPr>
              <w:t>None</w:t>
            </w:r>
          </w:p>
        </w:tc>
        <w:tc>
          <w:tcPr>
            <w:tcW w:w="0" w:type="dxa"/>
            <w:vAlign w:val="bottom"/>
          </w:tcPr>
          <w:p>
            <w:pPr>
              <w:spacing w:after="0"/>
              <w:rPr>
                <w:sz w:val="1"/>
                <w:szCs w:val="1"/>
                <w:color w:val="auto"/>
              </w:rPr>
            </w:pPr>
          </w:p>
        </w:tc>
      </w:tr>
      <w:tr>
        <w:trPr>
          <w:trHeight w:val="41"/>
        </w:trPr>
        <w:tc>
          <w:tcPr>
            <w:tcW w:w="46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b w:val="1"/>
                <w:bCs w:val="1"/>
                <w:color w:val="auto"/>
              </w:rPr>
              <w:t>Total</w:t>
            </w:r>
          </w:p>
        </w:tc>
        <w:tc>
          <w:tcPr>
            <w:tcW w:w="2440" w:type="dxa"/>
            <w:vAlign w:val="bottom"/>
            <w:tcBorders>
              <w:bottom w:val="single" w:sz="8" w:color="DBDBDB"/>
            </w:tcBorders>
            <w:shd w:val="clear" w:color="auto" w:fill="DBDBDB"/>
          </w:tcPr>
          <w:p>
            <w:pPr>
              <w:spacing w:after="0"/>
              <w:rPr>
                <w:sz w:val="19"/>
                <w:szCs w:val="19"/>
                <w:color w:val="auto"/>
              </w:rPr>
            </w:pPr>
          </w:p>
        </w:tc>
        <w:tc>
          <w:tcPr>
            <w:tcW w:w="1760" w:type="dxa"/>
            <w:vAlign w:val="bottom"/>
            <w:tcBorders>
              <w:bottom w:val="single" w:sz="8" w:color="DBDBDB"/>
            </w:tcBorders>
            <w:shd w:val="clear" w:color="auto" w:fill="DBDBDB"/>
          </w:tcPr>
          <w:p>
            <w:pPr>
              <w:spacing w:after="0"/>
              <w:rPr>
                <w:sz w:val="19"/>
                <w:szCs w:val="19"/>
                <w:color w:val="auto"/>
              </w:rPr>
            </w:pPr>
          </w:p>
        </w:tc>
        <w:tc>
          <w:tcPr>
            <w:tcW w:w="244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45" w:lineRule="auto"/>
        <w:tabs>
          <w:tab w:leader="none" w:pos="326"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Includes 19,310,706 shares issuable upon exercise of outstanding optons and 21,347,527 shares issuable upon setlement of outstanding RSUs. Also includes 12,500,000 shares pursuant to the Value Creaton Award issuable upon the exercise of performance-based optons, the actual number of which will vest based upon our stock price performance over a period of tme. As of June 30, 2022, the frst four tranches of the Value Creaton Award had been earned, and 1,875,000 shares had vested.</w:t>
      </w:r>
    </w:p>
    <w:p>
      <w:pPr>
        <w:spacing w:after="0" w:line="29" w:lineRule="exact"/>
        <w:rPr>
          <w:rFonts w:ascii="Calibri" w:cs="Calibri" w:eastAsia="Calibri" w:hAnsi="Calibri"/>
          <w:sz w:val="14"/>
          <w:szCs w:val="14"/>
          <w:color w:val="auto"/>
        </w:rPr>
      </w:pPr>
    </w:p>
    <w:p>
      <w:pPr>
        <w:ind w:left="300" w:hanging="292"/>
        <w:spacing w:after="0"/>
        <w:tabs>
          <w:tab w:leader="none" w:pos="300"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Refects the weighted-average exercise price of outstanding optons. There is no exercise price for outstanding RSUs.</w:t>
      </w:r>
    </w:p>
    <w:p>
      <w:pPr>
        <w:spacing w:after="0" w:line="32" w:lineRule="exact"/>
        <w:rPr>
          <w:rFonts w:ascii="Calibri" w:cs="Calibri" w:eastAsia="Calibri" w:hAnsi="Calibri"/>
          <w:sz w:val="14"/>
          <w:szCs w:val="14"/>
          <w:color w:val="auto"/>
        </w:rPr>
      </w:pPr>
    </w:p>
    <w:p>
      <w:pPr>
        <w:jc w:val="both"/>
        <w:ind w:left="340" w:hanging="332"/>
        <w:spacing w:after="0" w:line="243" w:lineRule="auto"/>
        <w:tabs>
          <w:tab w:leader="none" w:pos="328"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A total of 131,840,928 shares were available under the 2012 Stock Plan, which shares may be issued other than upon an exercise of an opton, warrant, or right, and a total of 8,934,166 shares were available under the ESPP. The 2012 Stock Plan provides that the number of shares of Class A common stock available for issuance under such plan will automatcally increase on the frst day of each fscal year, ending on (and including) July 1, 2030, in an amount equal to (i) fve percent (5%) of the total number of shares of our capital stock outstanding on the last day of the calendar month prior to the date of such automatc increase or (ii) such lesser number of shares as determined by our Board prior to the frst day of a given fscal year. The ESPP provides that the number of shares of our Class A common stock reserved for issuance under the ESPP will automatcally increase on the frst day of each fscal year, ending on (and including) July 1, 2030, in an amount equal to the lesser of (i) one percent (1%) of the total number of shares of our capital stock outstanding on the last day of a given year; (ii) 18,000,000 shares of Class A common stock; and (iii) such lesser number of shares as determined by our Board at any tme prior to the frst day of a given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45</w:t>
      </w:r>
    </w:p>
    <w:p>
      <w:pPr>
        <w:sectPr>
          <w:pgSz w:w="11900" w:h="16838" w:orient="portrait"/>
          <w:cols w:equalWidth="0" w:num="1">
            <w:col w:w="11240"/>
          </w:cols>
          <w:pgMar w:left="320" w:top="1395" w:right="339" w:bottom="1440" w:gutter="0" w:footer="0" w:header="0"/>
        </w:sectPr>
      </w:pPr>
    </w:p>
    <w:bookmarkStart w:id="49" w:name="page50"/>
    <w:bookmarkEnd w:id="49"/>
    <w:p>
      <w:pPr>
        <w:jc w:val="center"/>
        <w:ind w:right="-19"/>
        <w:spacing w:after="0"/>
        <w:rPr>
          <w:sz w:val="20"/>
          <w:szCs w:val="20"/>
          <w:color w:val="auto"/>
        </w:rPr>
      </w:pPr>
      <w:r>
        <w:rPr>
          <w:rFonts w:ascii="Calibri" w:cs="Calibri" w:eastAsia="Calibri" w:hAnsi="Calibri"/>
          <w:sz w:val="26"/>
          <w:szCs w:val="26"/>
          <w:b w:val="1"/>
          <w:bCs w:val="1"/>
          <w:color w:val="auto"/>
        </w:rPr>
        <w:t>SECURITY OWNERSHIP OF CERTAIN BENEFICIAL OWNERS AND MANAGEMENT</w:t>
      </w:r>
    </w:p>
    <w:p>
      <w:pPr>
        <w:sectPr>
          <w:pgSz w:w="11900" w:h="16838" w:orient="portrait"/>
          <w:cols w:equalWidth="0" w:num="1">
            <w:col w:w="11220"/>
          </w:cols>
          <w:pgMar w:left="320" w:top="1409" w:right="359" w:bottom="1440" w:gutter="0" w:footer="0" w:header="0"/>
        </w:sectPr>
      </w:pPr>
    </w:p>
    <w:p>
      <w:pPr>
        <w:spacing w:after="0" w:line="18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sets forth certain informaton with respect to the benefcial ownership of our common stock as of September 30, 2022 for:</w:t>
      </w:r>
    </w:p>
    <w:p>
      <w:pPr>
        <w:spacing w:after="0" w:line="83" w:lineRule="exact"/>
        <w:rPr>
          <w:sz w:val="20"/>
          <w:szCs w:val="20"/>
          <w:color w:val="auto"/>
        </w:rPr>
      </w:pPr>
    </w:p>
    <w:p>
      <w:pPr>
        <w:ind w:left="340" w:hanging="251"/>
        <w:spacing w:after="0" w:line="235" w:lineRule="auto"/>
        <w:tabs>
          <w:tab w:leader="none" w:pos="333"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each person, or group of afliated persons, who benefcially owned more than 5% of our common stock;</w:t>
      </w:r>
    </w:p>
    <w:p>
      <w:pPr>
        <w:spacing w:after="0" w:line="64" w:lineRule="exact"/>
        <w:rPr>
          <w:rFonts w:ascii="Calibri" w:cs="Calibri" w:eastAsia="Calibri" w:hAnsi="Calibri"/>
          <w:sz w:val="18"/>
          <w:szCs w:val="18"/>
          <w:color w:val="auto"/>
        </w:rPr>
      </w:pPr>
    </w:p>
    <w:p>
      <w:pPr>
        <w:ind w:left="320" w:hanging="231"/>
        <w:spacing w:after="0"/>
        <w:tabs>
          <w:tab w:leader="none" w:pos="32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each of our named executve ofcers;</w:t>
      </w:r>
    </w:p>
    <w:p>
      <w:pPr>
        <w:spacing w:after="0" w:line="63" w:lineRule="exact"/>
        <w:rPr>
          <w:rFonts w:ascii="Calibri" w:cs="Calibri" w:eastAsia="Calibri" w:hAnsi="Calibri"/>
          <w:sz w:val="18"/>
          <w:szCs w:val="18"/>
          <w:color w:val="auto"/>
        </w:rPr>
      </w:pPr>
    </w:p>
    <w:p>
      <w:pPr>
        <w:ind w:left="320" w:hanging="231"/>
        <w:spacing w:after="0"/>
        <w:tabs>
          <w:tab w:leader="none" w:pos="32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each of our directors and nominees for director; and</w:t>
      </w:r>
    </w:p>
    <w:p>
      <w:pPr>
        <w:spacing w:after="0" w:line="77" w:lineRule="exact"/>
        <w:rPr>
          <w:rFonts w:ascii="Calibri" w:cs="Calibri" w:eastAsia="Calibri" w:hAnsi="Calibri"/>
          <w:sz w:val="18"/>
          <w:szCs w:val="18"/>
          <w:color w:val="auto"/>
        </w:rPr>
      </w:pPr>
    </w:p>
    <w:p>
      <w:pPr>
        <w:ind w:left="320" w:hanging="231"/>
        <w:spacing w:after="0"/>
        <w:tabs>
          <w:tab w:leader="none" w:pos="320"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all of our current executve ofcers and directors as a group.</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determined benefcial ownership in accordance with the rules of the SEC and the informaton is not necessarily indicatve of benefcial ownership for any other purpose. Unless otherwise indicated below, to our knowledge, the persons and enttes named in the table have sole votng and sole investment power with respect to all shares that they benefcially owned, subject to community property laws where applicable.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ind w:right="100"/>
        <w:spacing w:after="0" w:line="250" w:lineRule="auto"/>
        <w:rPr>
          <w:sz w:val="20"/>
          <w:szCs w:val="20"/>
          <w:color w:val="auto"/>
        </w:rPr>
      </w:pPr>
      <w:r>
        <w:rPr>
          <w:rFonts w:ascii="Calibri" w:cs="Calibri" w:eastAsia="Calibri" w:hAnsi="Calibri"/>
          <w:sz w:val="17"/>
          <w:szCs w:val="17"/>
          <w:color w:val="auto"/>
        </w:rPr>
        <w:t>We have based our calculaton of the percentage of benefcial ownership on 229,388,460 shares of our Class A common stock and 60,103,756 shares of our Class B common stock outstanding as of September 30, 2022. We have deemed shares of our Class A common stock subject to optons that are currently exercisable or exercisable within 60 days of September 30, 2022, or issuable pursuant to RSUs that are subject to vestng and setlement conditons expected to occur within 60 days of September 30, 2022, to be outstanding and benefcially owned by the person holding the opton or RSU for the purpose of computng the percentage ownership of that person. We did not deem these shares outstanding, however, for the purpose of computng the percentage ownership of any other person.</w:t>
      </w:r>
    </w:p>
    <w:p>
      <w:pPr>
        <w:spacing w:after="0" w:line="187"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Unless otherwise indicated, the address of each benefcial owner listed in the table below is care of Afrm Holdings, Inc., 650 California Street, San Francisco, CA 94108.</w:t>
      </w:r>
    </w:p>
    <w:p>
      <w:pPr>
        <w:spacing w:after="0" w:line="264" w:lineRule="exact"/>
        <w:rPr>
          <w:sz w:val="20"/>
          <w:szCs w:val="20"/>
          <w:color w:val="auto"/>
        </w:rPr>
      </w:pPr>
    </w:p>
    <w:p>
      <w:pPr>
        <w:sectPr>
          <w:pgSz w:w="11900" w:h="16838" w:orient="portrait"/>
          <w:cols w:equalWidth="0" w:num="2">
            <w:col w:w="5420" w:space="300"/>
            <w:col w:w="5500"/>
          </w:cols>
          <w:pgMar w:left="320" w:top="1409" w:right="35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500" w:type="dxa"/>
            <w:vAlign w:val="bottom"/>
            <w:gridSpan w:val="3"/>
          </w:tcPr>
          <w:p>
            <w:pPr>
              <w:ind w:left="460"/>
              <w:spacing w:after="0"/>
              <w:rPr>
                <w:sz w:val="20"/>
                <w:szCs w:val="20"/>
                <w:color w:val="auto"/>
              </w:rPr>
            </w:pPr>
            <w:r>
              <w:rPr>
                <w:rFonts w:ascii="Calibri" w:cs="Calibri" w:eastAsia="Calibri" w:hAnsi="Calibri"/>
                <w:sz w:val="16"/>
                <w:szCs w:val="16"/>
                <w:b w:val="1"/>
                <w:bCs w:val="1"/>
                <w:color w:val="auto"/>
              </w:rPr>
              <w:t>Class A Common Stock</w:t>
            </w:r>
          </w:p>
        </w:tc>
        <w:tc>
          <w:tcPr>
            <w:tcW w:w="2420" w:type="dxa"/>
            <w:vAlign w:val="bottom"/>
            <w:gridSpan w:val="2"/>
          </w:tcPr>
          <w:p>
            <w:pPr>
              <w:jc w:val="right"/>
              <w:ind w:right="379"/>
              <w:spacing w:after="0"/>
              <w:rPr>
                <w:sz w:val="20"/>
                <w:szCs w:val="20"/>
                <w:color w:val="auto"/>
              </w:rPr>
            </w:pPr>
            <w:r>
              <w:rPr>
                <w:rFonts w:ascii="Calibri" w:cs="Calibri" w:eastAsia="Calibri" w:hAnsi="Calibri"/>
                <w:sz w:val="16"/>
                <w:szCs w:val="16"/>
                <w:b w:val="1"/>
                <w:bCs w:val="1"/>
                <w:color w:val="auto"/>
              </w:rPr>
              <w:t>Class B Common Stock</w:t>
            </w:r>
          </w:p>
        </w:tc>
        <w:tc>
          <w:tcPr>
            <w:tcW w:w="1480" w:type="dxa"/>
            <w:vAlign w:val="bottom"/>
            <w:vMerge w:val="restart"/>
          </w:tcPr>
          <w:p>
            <w:pPr>
              <w:jc w:val="right"/>
              <w:ind w:right="99"/>
              <w:spacing w:after="0"/>
              <w:rPr>
                <w:sz w:val="20"/>
                <w:szCs w:val="20"/>
                <w:color w:val="auto"/>
              </w:rPr>
            </w:pPr>
            <w:r>
              <w:rPr>
                <w:rFonts w:ascii="Calibri" w:cs="Calibri" w:eastAsia="Calibri" w:hAnsi="Calibri"/>
                <w:sz w:val="16"/>
                <w:szCs w:val="16"/>
                <w:b w:val="1"/>
                <w:bCs w:val="1"/>
                <w:color w:val="auto"/>
              </w:rPr>
              <w:t>% of Total Votng</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auto"/>
            </w:tcBorders>
          </w:tcPr>
          <w:p>
            <w:pPr>
              <w:ind w:left="20"/>
              <w:spacing w:after="0"/>
              <w:rPr>
                <w:sz w:val="20"/>
                <w:szCs w:val="20"/>
                <w:color w:val="auto"/>
              </w:rPr>
            </w:pPr>
            <w:r>
              <w:rPr>
                <w:rFonts w:ascii="Calibri" w:cs="Calibri" w:eastAsia="Calibri" w:hAnsi="Calibri"/>
                <w:sz w:val="16"/>
                <w:szCs w:val="16"/>
                <w:b w:val="1"/>
                <w:bCs w:val="1"/>
                <w:color w:val="auto"/>
              </w:rPr>
              <w:t>Name of Benefcial Owner</w:t>
            </w:r>
          </w:p>
        </w:tc>
        <w:tc>
          <w:tcPr>
            <w:tcW w:w="1300" w:type="dxa"/>
            <w:vAlign w:val="bottom"/>
            <w:tcBorders>
              <w:bottom w:val="single" w:sz="8" w:color="auto"/>
            </w:tcBorders>
          </w:tcPr>
          <w:p>
            <w:pPr>
              <w:jc w:val="right"/>
              <w:ind w:right="339"/>
              <w:spacing w:after="0" w:line="237" w:lineRule="exact"/>
              <w:rPr>
                <w:sz w:val="20"/>
                <w:szCs w:val="20"/>
                <w:color w:val="auto"/>
              </w:rPr>
            </w:pPr>
            <w:r>
              <w:rPr>
                <w:rFonts w:ascii="Calibri" w:cs="Calibri" w:eastAsia="Calibri" w:hAnsi="Calibri"/>
                <w:sz w:val="16"/>
                <w:szCs w:val="16"/>
                <w:b w:val="1"/>
                <w:bCs w:val="1"/>
                <w:color w:val="auto"/>
              </w:rPr>
              <w:t>Shares</w:t>
            </w:r>
            <w:r>
              <w:rPr>
                <w:rFonts w:ascii="Calibri" w:cs="Calibri" w:eastAsia="Calibri" w:hAnsi="Calibri"/>
                <w:sz w:val="21"/>
                <w:szCs w:val="21"/>
                <w:b w:val="1"/>
                <w:bCs w:val="1"/>
                <w:color w:val="auto"/>
                <w:vertAlign w:val="superscript"/>
              </w:rPr>
              <w:t>(1)</w:t>
            </w:r>
          </w:p>
        </w:tc>
        <w:tc>
          <w:tcPr>
            <w:tcW w:w="1200" w:type="dxa"/>
            <w:vAlign w:val="bottom"/>
            <w:tcBorders>
              <w:bottom w:val="single" w:sz="8" w:color="auto"/>
            </w:tcBorders>
            <w:gridSpan w:val="2"/>
          </w:tcPr>
          <w:p>
            <w:pPr>
              <w:ind w:left="160"/>
              <w:spacing w:after="0"/>
              <w:rPr>
                <w:sz w:val="20"/>
                <w:szCs w:val="20"/>
                <w:color w:val="auto"/>
              </w:rPr>
            </w:pPr>
            <w:r>
              <w:rPr>
                <w:rFonts w:ascii="Calibri" w:cs="Calibri" w:eastAsia="Calibri" w:hAnsi="Calibri"/>
                <w:sz w:val="16"/>
                <w:szCs w:val="16"/>
                <w:b w:val="1"/>
                <w:bCs w:val="1"/>
                <w:color w:val="auto"/>
              </w:rPr>
              <w:t>% of Class</w:t>
            </w:r>
          </w:p>
        </w:tc>
        <w:tc>
          <w:tcPr>
            <w:tcW w:w="1300" w:type="dxa"/>
            <w:vAlign w:val="bottom"/>
            <w:tcBorders>
              <w:bottom w:val="single" w:sz="8" w:color="auto"/>
            </w:tcBorders>
          </w:tcPr>
          <w:p>
            <w:pPr>
              <w:jc w:val="right"/>
              <w:ind w:right="359"/>
              <w:spacing w:after="0" w:line="237" w:lineRule="exact"/>
              <w:rPr>
                <w:sz w:val="20"/>
                <w:szCs w:val="20"/>
                <w:color w:val="auto"/>
              </w:rPr>
            </w:pPr>
            <w:r>
              <w:rPr>
                <w:rFonts w:ascii="Calibri" w:cs="Calibri" w:eastAsia="Calibri" w:hAnsi="Calibri"/>
                <w:sz w:val="16"/>
                <w:szCs w:val="16"/>
                <w:b w:val="1"/>
                <w:bCs w:val="1"/>
                <w:color w:val="auto"/>
              </w:rPr>
              <w:t>Shares</w:t>
            </w:r>
            <w:r>
              <w:rPr>
                <w:rFonts w:ascii="Calibri" w:cs="Calibri" w:eastAsia="Calibri" w:hAnsi="Calibri"/>
                <w:sz w:val="21"/>
                <w:szCs w:val="21"/>
                <w:b w:val="1"/>
                <w:bCs w:val="1"/>
                <w:color w:val="auto"/>
                <w:vertAlign w:val="superscript"/>
              </w:rPr>
              <w:t>(1)</w:t>
            </w:r>
          </w:p>
        </w:tc>
        <w:tc>
          <w:tcPr>
            <w:tcW w:w="1120" w:type="dxa"/>
            <w:vAlign w:val="bottom"/>
            <w:tcBorders>
              <w:bottom w:val="single" w:sz="8" w:color="auto"/>
            </w:tcBorders>
          </w:tcPr>
          <w:p>
            <w:pPr>
              <w:jc w:val="right"/>
              <w:ind w:right="219"/>
              <w:spacing w:after="0"/>
              <w:rPr>
                <w:sz w:val="20"/>
                <w:szCs w:val="20"/>
                <w:color w:val="auto"/>
              </w:rPr>
            </w:pPr>
            <w:r>
              <w:rPr>
                <w:rFonts w:ascii="Calibri" w:cs="Calibri" w:eastAsia="Calibri" w:hAnsi="Calibri"/>
                <w:sz w:val="16"/>
                <w:szCs w:val="16"/>
                <w:b w:val="1"/>
                <w:bCs w:val="1"/>
                <w:color w:val="auto"/>
              </w:rPr>
              <w:t>% of Class</w:t>
            </w:r>
          </w:p>
        </w:tc>
        <w:tc>
          <w:tcPr>
            <w:tcW w:w="1480" w:type="dxa"/>
            <w:vAlign w:val="bottom"/>
            <w:tcBorders>
              <w:bottom w:val="single" w:sz="8" w:color="auto"/>
            </w:tcBorders>
          </w:tcPr>
          <w:p>
            <w:pPr>
              <w:jc w:val="right"/>
              <w:ind w:right="439"/>
              <w:spacing w:after="0"/>
              <w:rPr>
                <w:sz w:val="20"/>
                <w:szCs w:val="20"/>
                <w:color w:val="auto"/>
              </w:rPr>
            </w:pPr>
            <w:r>
              <w:rPr>
                <w:rFonts w:ascii="Calibri" w:cs="Calibri" w:eastAsia="Calibri" w:hAnsi="Calibri"/>
                <w:sz w:val="16"/>
                <w:szCs w:val="16"/>
                <w:b w:val="1"/>
                <w:bCs w:val="1"/>
                <w:color w:val="auto"/>
              </w:rPr>
              <w:t>Power</w:t>
            </w: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Named Executve Ofcers and Directors:</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DBDBDB"/>
          </w:tcPr>
          <w:p>
            <w:pPr>
              <w:ind w:left="20"/>
              <w:spacing w:after="0" w:line="243" w:lineRule="exact"/>
              <w:rPr>
                <w:sz w:val="20"/>
                <w:szCs w:val="20"/>
                <w:color w:val="auto"/>
              </w:rPr>
            </w:pPr>
            <w:r>
              <w:rPr>
                <w:rFonts w:ascii="Calibri" w:cs="Calibri" w:eastAsia="Calibri" w:hAnsi="Calibri"/>
                <w:sz w:val="16"/>
                <w:szCs w:val="16"/>
                <w:color w:val="auto"/>
              </w:rPr>
              <w:t>Max Levchin</w:t>
            </w:r>
            <w:r>
              <w:rPr>
                <w:rFonts w:ascii="Calibri" w:cs="Calibri" w:eastAsia="Calibri" w:hAnsi="Calibri"/>
                <w:sz w:val="21"/>
                <w:szCs w:val="21"/>
                <w:color w:val="auto"/>
                <w:vertAlign w:val="superscript"/>
              </w:rPr>
              <w:t>(2)</w:t>
            </w: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2,610,294</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1.13 %</w:t>
            </w:r>
          </w:p>
        </w:tc>
        <w:tc>
          <w:tcPr>
            <w:tcW w:w="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26,485,472</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44.07 %</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35.30 %</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line="243" w:lineRule="exact"/>
              <w:rPr>
                <w:sz w:val="20"/>
                <w:szCs w:val="20"/>
                <w:color w:val="auto"/>
              </w:rPr>
            </w:pPr>
            <w:r>
              <w:rPr>
                <w:rFonts w:ascii="Calibri" w:cs="Calibri" w:eastAsia="Calibri" w:hAnsi="Calibri"/>
                <w:sz w:val="16"/>
                <w:szCs w:val="16"/>
                <w:color w:val="auto"/>
              </w:rPr>
              <w:t>Michael Linford</w:t>
            </w:r>
            <w:r>
              <w:rPr>
                <w:rFonts w:ascii="Calibri" w:cs="Calibri" w:eastAsia="Calibri" w:hAnsi="Calibri"/>
                <w:sz w:val="21"/>
                <w:szCs w:val="21"/>
                <w:color w:val="auto"/>
                <w:vertAlign w:val="superscript"/>
              </w:rPr>
              <w:t>(3)</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1,480,362</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DBDBDB"/>
          </w:tcPr>
          <w:p>
            <w:pPr>
              <w:ind w:left="20"/>
              <w:spacing w:after="0" w:line="243" w:lineRule="exact"/>
              <w:rPr>
                <w:sz w:val="20"/>
                <w:szCs w:val="20"/>
                <w:color w:val="auto"/>
              </w:rPr>
            </w:pPr>
            <w:r>
              <w:rPr>
                <w:rFonts w:ascii="Calibri" w:cs="Calibri" w:eastAsia="Calibri" w:hAnsi="Calibri"/>
                <w:sz w:val="16"/>
                <w:szCs w:val="16"/>
                <w:color w:val="auto"/>
              </w:rPr>
              <w:t>Katherine Adkins</w:t>
            </w:r>
            <w:r>
              <w:rPr>
                <w:rFonts w:ascii="Calibri" w:cs="Calibri" w:eastAsia="Calibri" w:hAnsi="Calibri"/>
                <w:sz w:val="21"/>
                <w:szCs w:val="21"/>
                <w:color w:val="auto"/>
                <w:vertAlign w:val="superscript"/>
              </w:rPr>
              <w:t>(4)</w:t>
            </w: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189,329</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line="243" w:lineRule="exact"/>
              <w:rPr>
                <w:sz w:val="20"/>
                <w:szCs w:val="20"/>
                <w:color w:val="auto"/>
              </w:rPr>
            </w:pPr>
            <w:r>
              <w:rPr>
                <w:rFonts w:ascii="Calibri" w:cs="Calibri" w:eastAsia="Calibri" w:hAnsi="Calibri"/>
                <w:sz w:val="16"/>
                <w:szCs w:val="16"/>
                <w:color w:val="auto"/>
              </w:rPr>
              <w:t>Silvija Martncevic</w:t>
            </w:r>
            <w:r>
              <w:rPr>
                <w:rFonts w:ascii="Calibri" w:cs="Calibri" w:eastAsia="Calibri" w:hAnsi="Calibri"/>
                <w:sz w:val="21"/>
                <w:szCs w:val="21"/>
                <w:color w:val="auto"/>
                <w:vertAlign w:val="superscript"/>
              </w:rPr>
              <w:t>(5)</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665,926</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DBDBDB"/>
          </w:tcPr>
          <w:p>
            <w:pPr>
              <w:ind w:left="20"/>
              <w:spacing w:after="0" w:line="243" w:lineRule="exact"/>
              <w:rPr>
                <w:sz w:val="20"/>
                <w:szCs w:val="20"/>
                <w:color w:val="auto"/>
              </w:rPr>
            </w:pPr>
            <w:r>
              <w:rPr>
                <w:rFonts w:ascii="Calibri" w:cs="Calibri" w:eastAsia="Calibri" w:hAnsi="Calibri"/>
                <w:sz w:val="16"/>
                <w:szCs w:val="16"/>
                <w:color w:val="auto"/>
              </w:rPr>
              <w:t>Libor Michalek</w:t>
            </w:r>
            <w:r>
              <w:rPr>
                <w:rFonts w:ascii="Calibri" w:cs="Calibri" w:eastAsia="Calibri" w:hAnsi="Calibri"/>
                <w:sz w:val="21"/>
                <w:szCs w:val="21"/>
                <w:color w:val="auto"/>
                <w:vertAlign w:val="superscript"/>
              </w:rPr>
              <w:t>(6)</w:t>
            </w: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941,301</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875,265</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1.46 %</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1.24 %</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rPr>
                <w:sz w:val="20"/>
                <w:szCs w:val="20"/>
                <w:color w:val="auto"/>
              </w:rPr>
            </w:pPr>
            <w:r>
              <w:rPr>
                <w:rFonts w:ascii="Calibri" w:cs="Calibri" w:eastAsia="Calibri" w:hAnsi="Calibri"/>
                <w:sz w:val="16"/>
                <w:szCs w:val="16"/>
                <w:color w:val="auto"/>
              </w:rPr>
              <w:t>Jeremy Liew</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120,268</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Jenny J. Ming</w:t>
            </w:r>
          </w:p>
        </w:tc>
        <w:tc>
          <w:tcPr>
            <w:tcW w:w="1300" w:type="dxa"/>
            <w:vAlign w:val="bottom"/>
            <w:tcBorders>
              <w:bottom w:val="single" w:sz="8" w:color="DBDBDB"/>
            </w:tcBorders>
            <w:shd w:val="clear" w:color="auto" w:fill="DBDBDB"/>
          </w:tcPr>
          <w:p>
            <w:pPr>
              <w:jc w:val="right"/>
              <w:ind w:right="59"/>
              <w:spacing w:after="0"/>
              <w:rPr>
                <w:sz w:val="20"/>
                <w:szCs w:val="20"/>
                <w:color w:val="auto"/>
              </w:rPr>
            </w:pPr>
            <w:r>
              <w:rPr>
                <w:rFonts w:ascii="Calibri" w:cs="Calibri" w:eastAsia="Calibri" w:hAnsi="Calibri"/>
                <w:sz w:val="16"/>
                <w:szCs w:val="16"/>
                <w:color w:val="auto"/>
              </w:rPr>
              <w:t>3,401</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Borders>
              <w:bottom w:val="single" w:sz="8" w:color="DBDBDB"/>
            </w:tcBorders>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rPr>
                <w:sz w:val="20"/>
                <w:szCs w:val="20"/>
                <w:color w:val="auto"/>
              </w:rPr>
            </w:pPr>
            <w:r>
              <w:rPr>
                <w:rFonts w:ascii="Calibri" w:cs="Calibri" w:eastAsia="Calibri" w:hAnsi="Calibri"/>
                <w:sz w:val="16"/>
                <w:szCs w:val="16"/>
                <w:color w:val="auto"/>
              </w:rPr>
              <w:t>Christa S. Quarles</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125,629</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120,890</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DBDBDB"/>
          </w:tcPr>
          <w:p>
            <w:pPr>
              <w:ind w:left="20"/>
              <w:spacing w:after="0" w:line="243" w:lineRule="exact"/>
              <w:rPr>
                <w:sz w:val="20"/>
                <w:szCs w:val="20"/>
                <w:color w:val="auto"/>
              </w:rPr>
            </w:pPr>
            <w:r>
              <w:rPr>
                <w:rFonts w:ascii="Calibri" w:cs="Calibri" w:eastAsia="Calibri" w:hAnsi="Calibri"/>
                <w:sz w:val="16"/>
                <w:szCs w:val="16"/>
                <w:color w:val="auto"/>
              </w:rPr>
              <w:t>Keith Rabois</w:t>
            </w:r>
            <w:r>
              <w:rPr>
                <w:rFonts w:ascii="Calibri" w:cs="Calibri" w:eastAsia="Calibri" w:hAnsi="Calibri"/>
                <w:sz w:val="21"/>
                <w:szCs w:val="21"/>
                <w:color w:val="auto"/>
                <w:vertAlign w:val="superscript"/>
              </w:rPr>
              <w:t>(7)</w:t>
            </w: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1,651,059</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447,338</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rPr>
                <w:sz w:val="20"/>
                <w:szCs w:val="20"/>
                <w:color w:val="auto"/>
              </w:rPr>
            </w:pPr>
            <w:r>
              <w:rPr>
                <w:rFonts w:ascii="Calibri" w:cs="Calibri" w:eastAsia="Calibri" w:hAnsi="Calibri"/>
                <w:sz w:val="16"/>
                <w:szCs w:val="16"/>
                <w:color w:val="auto"/>
              </w:rPr>
              <w:t>Jacqueline D. Reses</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4,059</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Noel Watson</w:t>
            </w:r>
          </w:p>
        </w:tc>
        <w:tc>
          <w:tcPr>
            <w:tcW w:w="1300" w:type="dxa"/>
            <w:vAlign w:val="bottom"/>
            <w:tcBorders>
              <w:bottom w:val="single" w:sz="8" w:color="DBDBDB"/>
            </w:tcBorders>
            <w:shd w:val="clear" w:color="auto" w:fill="DBDBDB"/>
          </w:tcPr>
          <w:p>
            <w:pPr>
              <w:jc w:val="right"/>
              <w:ind w:right="119"/>
              <w:spacing w:after="0"/>
              <w:rPr>
                <w:sz w:val="20"/>
                <w:szCs w:val="20"/>
                <w:color w:val="auto"/>
              </w:rPr>
            </w:pPr>
            <w:r>
              <w:rPr>
                <w:rFonts w:ascii="Calibri" w:cs="Calibri" w:eastAsia="Calibri" w:hAnsi="Calibri"/>
                <w:sz w:val="16"/>
                <w:szCs w:val="16"/>
                <w:color w:val="auto"/>
              </w:rPr>
              <w:t>—</w:t>
            </w:r>
          </w:p>
        </w:tc>
        <w:tc>
          <w:tcPr>
            <w:tcW w:w="1200" w:type="dxa"/>
            <w:vAlign w:val="bottom"/>
            <w:tcBorders>
              <w:bottom w:val="single" w:sz="8" w:color="DBDBDB"/>
            </w:tcBorders>
            <w:gridSpan w:val="2"/>
            <w:shd w:val="clear" w:color="auto" w:fill="DBDBDB"/>
          </w:tcPr>
          <w:p>
            <w:pPr>
              <w:jc w:val="right"/>
              <w:ind w:right="260"/>
              <w:spacing w:after="0"/>
              <w:rPr>
                <w:sz w:val="20"/>
                <w:szCs w:val="20"/>
                <w:color w:val="auto"/>
              </w:rPr>
            </w:pPr>
            <w:r>
              <w:rPr>
                <w:rFonts w:ascii="Calibri" w:cs="Calibri" w:eastAsia="Calibri" w:hAnsi="Calibri"/>
                <w:sz w:val="16"/>
                <w:szCs w:val="16"/>
                <w:color w:val="auto"/>
              </w:rPr>
              <w:t>—</w:t>
            </w:r>
          </w:p>
        </w:tc>
        <w:tc>
          <w:tcPr>
            <w:tcW w:w="1300" w:type="dxa"/>
            <w:vAlign w:val="bottom"/>
            <w:tcBorders>
              <w:bottom w:val="single" w:sz="8" w:color="DBDBDB"/>
            </w:tcBorders>
            <w:shd w:val="clear" w:color="auto" w:fill="DBDBDB"/>
          </w:tcPr>
          <w:p>
            <w:pPr>
              <w:jc w:val="right"/>
              <w:ind w:right="119"/>
              <w:spacing w:after="0"/>
              <w:rPr>
                <w:sz w:val="20"/>
                <w:szCs w:val="20"/>
                <w:color w:val="auto"/>
              </w:rPr>
            </w:pPr>
            <w:r>
              <w:rPr>
                <w:rFonts w:ascii="Calibri" w:cs="Calibri" w:eastAsia="Calibri" w:hAnsi="Calibri"/>
                <w:sz w:val="16"/>
                <w:szCs w:val="16"/>
                <w:color w:val="auto"/>
              </w:rPr>
              <w:t>—</w:t>
            </w:r>
          </w:p>
        </w:tc>
        <w:tc>
          <w:tcPr>
            <w:tcW w:w="1120" w:type="dxa"/>
            <w:vAlign w:val="bottom"/>
            <w:tcBorders>
              <w:bottom w:val="single" w:sz="8" w:color="DBDBDB"/>
            </w:tcBorders>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Borders>
              <w:bottom w:val="single" w:sz="8" w:color="DBDBDB"/>
            </w:tcBorders>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2"/>
        </w:trPr>
        <w:tc>
          <w:tcPr>
            <w:tcW w:w="4820" w:type="dxa"/>
            <w:vAlign w:val="bottom"/>
          </w:tcPr>
          <w:p>
            <w:pPr>
              <w:ind w:left="20"/>
              <w:spacing w:after="0"/>
              <w:rPr>
                <w:sz w:val="20"/>
                <w:szCs w:val="20"/>
                <w:color w:val="auto"/>
              </w:rPr>
            </w:pPr>
            <w:r>
              <w:rPr>
                <w:rFonts w:ascii="Calibri" w:cs="Calibri" w:eastAsia="Calibri" w:hAnsi="Calibri"/>
                <w:sz w:val="16"/>
                <w:szCs w:val="16"/>
                <w:color w:val="auto"/>
              </w:rPr>
              <w:t>James D. White</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4,059</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7,129,761</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3.05 %</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27,928,965</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46.47 %</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37.53 %</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auto"/>
            </w:tcBorders>
            <w:shd w:val="clear" w:color="auto" w:fill="DBDBDB"/>
          </w:tcPr>
          <w:p>
            <w:pPr>
              <w:ind w:left="20"/>
              <w:spacing w:after="0"/>
              <w:rPr>
                <w:sz w:val="20"/>
                <w:szCs w:val="20"/>
                <w:color w:val="auto"/>
              </w:rPr>
            </w:pPr>
            <w:r>
              <w:rPr>
                <w:rFonts w:ascii="Calibri" w:cs="Calibri" w:eastAsia="Calibri" w:hAnsi="Calibri"/>
                <w:sz w:val="16"/>
                <w:szCs w:val="16"/>
                <w:color w:val="auto"/>
              </w:rPr>
              <w:t>All directors and current executve ofcers as a group (11 individuals)</w:t>
            </w:r>
            <w:r>
              <w:rPr>
                <w:rFonts w:ascii="Calibri" w:cs="Calibri" w:eastAsia="Calibri" w:hAnsi="Calibri"/>
                <w:sz w:val="21"/>
                <w:szCs w:val="21"/>
                <w:color w:val="auto"/>
                <w:vertAlign w:val="superscript"/>
              </w:rPr>
              <w:t>(8)</w:t>
            </w:r>
          </w:p>
        </w:tc>
        <w:tc>
          <w:tcPr>
            <w:tcW w:w="1300" w:type="dxa"/>
            <w:vAlign w:val="bottom"/>
            <w:tcBorders>
              <w:bottom w:val="single" w:sz="8" w:color="auto"/>
            </w:tcBorders>
            <w:shd w:val="clear" w:color="auto" w:fill="DBDBDB"/>
          </w:tcPr>
          <w:p>
            <w:pPr>
              <w:spacing w:after="0"/>
              <w:rPr>
                <w:sz w:val="22"/>
                <w:szCs w:val="22"/>
                <w:color w:val="auto"/>
              </w:rPr>
            </w:pPr>
          </w:p>
        </w:tc>
        <w:tc>
          <w:tcPr>
            <w:tcW w:w="1120" w:type="dxa"/>
            <w:vAlign w:val="bottom"/>
            <w:tcBorders>
              <w:bottom w:val="single" w:sz="8" w:color="auto"/>
            </w:tcBorders>
            <w:shd w:val="clear" w:color="auto" w:fill="DBDBDB"/>
          </w:tcPr>
          <w:p>
            <w:pPr>
              <w:spacing w:after="0"/>
              <w:rPr>
                <w:sz w:val="22"/>
                <w:szCs w:val="22"/>
                <w:color w:val="auto"/>
              </w:rPr>
            </w:pPr>
          </w:p>
        </w:tc>
        <w:tc>
          <w:tcPr>
            <w:tcW w:w="80" w:type="dxa"/>
            <w:vAlign w:val="bottom"/>
            <w:tcBorders>
              <w:bottom w:val="single" w:sz="8" w:color="auto"/>
            </w:tcBorders>
            <w:shd w:val="clear" w:color="auto" w:fill="DBDBDB"/>
          </w:tcPr>
          <w:p>
            <w:pPr>
              <w:spacing w:after="0"/>
              <w:rPr>
                <w:sz w:val="22"/>
                <w:szCs w:val="22"/>
                <w:color w:val="auto"/>
              </w:rPr>
            </w:pPr>
          </w:p>
        </w:tc>
        <w:tc>
          <w:tcPr>
            <w:tcW w:w="1300" w:type="dxa"/>
            <w:vAlign w:val="bottom"/>
            <w:tcBorders>
              <w:bottom w:val="single" w:sz="8" w:color="auto"/>
            </w:tcBorders>
            <w:shd w:val="clear" w:color="auto" w:fill="DBDBDB"/>
          </w:tcPr>
          <w:p>
            <w:pPr>
              <w:spacing w:after="0"/>
              <w:rPr>
                <w:sz w:val="22"/>
                <w:szCs w:val="22"/>
                <w:color w:val="auto"/>
              </w:rPr>
            </w:pPr>
          </w:p>
        </w:tc>
        <w:tc>
          <w:tcPr>
            <w:tcW w:w="1120" w:type="dxa"/>
            <w:vAlign w:val="bottom"/>
            <w:tcBorders>
              <w:bottom w:val="single" w:sz="8" w:color="auto"/>
            </w:tcBorders>
            <w:shd w:val="clear" w:color="auto" w:fill="DBDBDB"/>
          </w:tcPr>
          <w:p>
            <w:pPr>
              <w:spacing w:after="0"/>
              <w:rPr>
                <w:sz w:val="22"/>
                <w:szCs w:val="22"/>
                <w:color w:val="auto"/>
              </w:rPr>
            </w:pPr>
          </w:p>
        </w:tc>
        <w:tc>
          <w:tcPr>
            <w:tcW w:w="1480" w:type="dxa"/>
            <w:vAlign w:val="bottom"/>
            <w:tcBorders>
              <w:bottom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Calibri" w:cs="Calibri" w:eastAsia="Calibri" w:hAnsi="Calibri"/>
                <w:sz w:val="16"/>
                <w:szCs w:val="16"/>
                <w:b w:val="1"/>
                <w:bCs w:val="1"/>
                <w:i w:val="1"/>
                <w:iCs w:val="1"/>
                <w:color w:val="auto"/>
              </w:rPr>
              <w:t>Other 5% Stockholders:</w:t>
            </w: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DBDBDB"/>
          </w:tcPr>
          <w:p>
            <w:pPr>
              <w:ind w:left="20"/>
              <w:spacing w:after="0" w:line="243" w:lineRule="exact"/>
              <w:rPr>
                <w:sz w:val="20"/>
                <w:szCs w:val="20"/>
                <w:color w:val="auto"/>
              </w:rPr>
            </w:pPr>
            <w:r>
              <w:rPr>
                <w:rFonts w:ascii="Calibri" w:cs="Calibri" w:eastAsia="Calibri" w:hAnsi="Calibri"/>
                <w:sz w:val="16"/>
                <w:szCs w:val="16"/>
                <w:color w:val="auto"/>
              </w:rPr>
              <w:t>Baillie Giford &amp; Co</w:t>
            </w:r>
            <w:r>
              <w:rPr>
                <w:rFonts w:ascii="Calibri" w:cs="Calibri" w:eastAsia="Calibri" w:hAnsi="Calibri"/>
                <w:sz w:val="21"/>
                <w:szCs w:val="21"/>
                <w:color w:val="auto"/>
                <w:vertAlign w:val="superscript"/>
              </w:rPr>
              <w:t>(9)</w:t>
            </w: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23,145,896</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10.09 %</w:t>
            </w:r>
          </w:p>
        </w:tc>
        <w:tc>
          <w:tcPr>
            <w:tcW w:w="80" w:type="dxa"/>
            <w:vAlign w:val="bottom"/>
            <w:shd w:val="clear" w:color="auto" w:fill="DBDBDB"/>
          </w:tcPr>
          <w:p>
            <w:pPr>
              <w:spacing w:after="0"/>
              <w:rPr>
                <w:sz w:val="21"/>
                <w:szCs w:val="21"/>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2.05 %</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line="243" w:lineRule="exact"/>
              <w:rPr>
                <w:sz w:val="20"/>
                <w:szCs w:val="20"/>
                <w:color w:val="auto"/>
              </w:rPr>
            </w:pPr>
            <w:r>
              <w:rPr>
                <w:rFonts w:ascii="Calibri" w:cs="Calibri" w:eastAsia="Calibri" w:hAnsi="Calibri"/>
                <w:sz w:val="16"/>
                <w:szCs w:val="16"/>
                <w:color w:val="auto"/>
              </w:rPr>
              <w:t>Capital Research Global Investors</w:t>
            </w:r>
            <w:r>
              <w:rPr>
                <w:rFonts w:ascii="Calibri" w:cs="Calibri" w:eastAsia="Calibri" w:hAnsi="Calibri"/>
                <w:sz w:val="21"/>
                <w:szCs w:val="21"/>
                <w:color w:val="auto"/>
                <w:vertAlign w:val="superscript"/>
              </w:rPr>
              <w:t>(10)</w:t>
            </w: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23,800,270</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10.38 %</w:t>
            </w:r>
          </w:p>
        </w:tc>
        <w:tc>
          <w:tcPr>
            <w:tcW w:w="8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2.10 %</w:t>
            </w:r>
          </w:p>
        </w:tc>
        <w:tc>
          <w:tcPr>
            <w:tcW w:w="0" w:type="dxa"/>
            <w:vAlign w:val="bottom"/>
          </w:tcPr>
          <w:p>
            <w:pPr>
              <w:spacing w:after="0"/>
              <w:rPr>
                <w:sz w:val="1"/>
                <w:szCs w:val="1"/>
                <w:color w:val="auto"/>
              </w:rPr>
            </w:pPr>
          </w:p>
        </w:tc>
      </w:tr>
      <w:tr>
        <w:trPr>
          <w:trHeight w:val="202"/>
        </w:trPr>
        <w:tc>
          <w:tcPr>
            <w:tcW w:w="482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600,823</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6,947,974</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11.56 %</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9.27 %</w:t>
            </w:r>
          </w:p>
        </w:tc>
        <w:tc>
          <w:tcPr>
            <w:tcW w:w="0" w:type="dxa"/>
            <w:vAlign w:val="bottom"/>
          </w:tcPr>
          <w:p>
            <w:pPr>
              <w:spacing w:after="0"/>
              <w:rPr>
                <w:sz w:val="1"/>
                <w:szCs w:val="1"/>
                <w:color w:val="auto"/>
              </w:rPr>
            </w:pPr>
          </w:p>
        </w:tc>
      </w:tr>
      <w:tr>
        <w:trPr>
          <w:trHeight w:val="257"/>
        </w:trPr>
        <w:tc>
          <w:tcPr>
            <w:tcW w:w="48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Enttes afliated with Khosla Ventures</w:t>
            </w:r>
            <w:r>
              <w:rPr>
                <w:rFonts w:ascii="Calibri" w:cs="Calibri" w:eastAsia="Calibri" w:hAnsi="Calibri"/>
                <w:sz w:val="21"/>
                <w:szCs w:val="21"/>
                <w:color w:val="auto"/>
                <w:vertAlign w:val="superscript"/>
              </w:rPr>
              <w:t>(11)</w:t>
            </w:r>
          </w:p>
        </w:tc>
        <w:tc>
          <w:tcPr>
            <w:tcW w:w="130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30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Calibri" w:cs="Calibri" w:eastAsia="Calibri" w:hAnsi="Calibri"/>
                <w:sz w:val="16"/>
                <w:szCs w:val="16"/>
                <w:color w:val="auto"/>
              </w:rPr>
              <w:t>16,325,611</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7.12 %</w:t>
            </w:r>
          </w:p>
        </w:tc>
        <w:tc>
          <w:tcPr>
            <w:tcW w:w="8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Calibri" w:cs="Calibri" w:eastAsia="Calibri" w:hAnsi="Calibri"/>
                <w:sz w:val="16"/>
                <w:szCs w:val="16"/>
                <w:color w:val="auto"/>
              </w:rPr>
              <w:t>11,003,703</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18.31 %</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16.04 %</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Calibri" w:cs="Calibri" w:eastAsia="Calibri" w:hAnsi="Calibri"/>
                <w:sz w:val="16"/>
                <w:szCs w:val="16"/>
                <w:color w:val="auto"/>
              </w:rPr>
              <w:t>GIC Private Limited</w:t>
            </w:r>
            <w:r>
              <w:rPr>
                <w:rFonts w:ascii="Calibri" w:cs="Calibri" w:eastAsia="Calibri" w:hAnsi="Calibri"/>
                <w:sz w:val="21"/>
                <w:szCs w:val="21"/>
                <w:color w:val="auto"/>
                <w:vertAlign w:val="superscript"/>
              </w:rPr>
              <w:t>(12)</w:t>
            </w: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59"/>
              <w:spacing w:after="0"/>
              <w:rPr>
                <w:sz w:val="20"/>
                <w:szCs w:val="20"/>
                <w:color w:val="auto"/>
              </w:rPr>
            </w:pPr>
            <w:r>
              <w:rPr>
                <w:rFonts w:ascii="Calibri" w:cs="Calibri" w:eastAsia="Calibri" w:hAnsi="Calibri"/>
                <w:sz w:val="16"/>
                <w:szCs w:val="16"/>
                <w:color w:val="auto"/>
              </w:rPr>
              <w:t>10,148,797</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4.42 %</w:t>
            </w:r>
          </w:p>
        </w:tc>
        <w:tc>
          <w:tcPr>
            <w:tcW w:w="8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79"/>
              <w:spacing w:after="0"/>
              <w:rPr>
                <w:sz w:val="20"/>
                <w:szCs w:val="20"/>
                <w:color w:val="auto"/>
              </w:rPr>
            </w:pPr>
            <w:r>
              <w:rPr>
                <w:rFonts w:ascii="Calibri" w:cs="Calibri" w:eastAsia="Calibri" w:hAnsi="Calibri"/>
                <w:sz w:val="16"/>
                <w:szCs w:val="16"/>
                <w:color w:val="auto"/>
              </w:rPr>
              <w:t>10,148,797</w:t>
            </w:r>
          </w:p>
        </w:tc>
        <w:tc>
          <w:tcPr>
            <w:tcW w:w="11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16.89 %</w:t>
            </w:r>
          </w:p>
        </w:tc>
        <w:tc>
          <w:tcPr>
            <w:tcW w:w="148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14.36 %</w:t>
            </w:r>
          </w:p>
        </w:tc>
        <w:tc>
          <w:tcPr>
            <w:tcW w:w="0" w:type="dxa"/>
            <w:vAlign w:val="bottom"/>
          </w:tcPr>
          <w:p>
            <w:pPr>
              <w:spacing w:after="0"/>
              <w:rPr>
                <w:sz w:val="1"/>
                <w:szCs w:val="1"/>
                <w:color w:val="auto"/>
              </w:rPr>
            </w:pPr>
          </w:p>
        </w:tc>
      </w:tr>
      <w:tr>
        <w:trPr>
          <w:trHeight w:val="257"/>
        </w:trPr>
        <w:tc>
          <w:tcPr>
            <w:tcW w:w="482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Shopify Inc.</w:t>
            </w:r>
            <w:r>
              <w:rPr>
                <w:rFonts w:ascii="Calibri" w:cs="Calibri" w:eastAsia="Calibri" w:hAnsi="Calibri"/>
                <w:sz w:val="21"/>
                <w:szCs w:val="21"/>
                <w:color w:val="auto"/>
                <w:vertAlign w:val="superscript"/>
              </w:rPr>
              <w:t>(13)</w:t>
            </w:r>
          </w:p>
        </w:tc>
        <w:tc>
          <w:tcPr>
            <w:tcW w:w="130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30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auto"/>
            </w:tcBorders>
          </w:tcPr>
          <w:p>
            <w:pPr>
              <w:ind w:left="20"/>
              <w:spacing w:after="0" w:line="253" w:lineRule="exact"/>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21"/>
                <w:szCs w:val="21"/>
                <w:color w:val="auto"/>
                <w:vertAlign w:val="superscript"/>
              </w:rPr>
              <w:t>(14)</w:t>
            </w:r>
          </w:p>
        </w:tc>
        <w:tc>
          <w:tcPr>
            <w:tcW w:w="1300" w:type="dxa"/>
            <w:vAlign w:val="bottom"/>
            <w:tcBorders>
              <w:bottom w:val="single" w:sz="8" w:color="auto"/>
            </w:tcBorders>
          </w:tcPr>
          <w:p>
            <w:pPr>
              <w:jc w:val="right"/>
              <w:ind w:right="59"/>
              <w:spacing w:after="0"/>
              <w:rPr>
                <w:sz w:val="20"/>
                <w:szCs w:val="20"/>
                <w:color w:val="auto"/>
              </w:rPr>
            </w:pPr>
            <w:r>
              <w:rPr>
                <w:rFonts w:ascii="Calibri" w:cs="Calibri" w:eastAsia="Calibri" w:hAnsi="Calibri"/>
                <w:sz w:val="16"/>
                <w:szCs w:val="16"/>
                <w:color w:val="auto"/>
              </w:rPr>
              <w:t>14,615,334</w:t>
            </w: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6.37 %</w:t>
            </w: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Calibri" w:cs="Calibri" w:eastAsia="Calibri" w:hAnsi="Calibri"/>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Calibri" w:cs="Calibri" w:eastAsia="Calibri" w:hAnsi="Calibri"/>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1.29 %</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Calibri" w:cs="Calibri" w:eastAsia="Calibri" w:hAnsi="Calibri"/>
          <w:sz w:val="14"/>
          <w:szCs w:val="14"/>
          <w:color w:val="auto"/>
        </w:rPr>
        <w:t>* Less than one percent</w:t>
      </w:r>
    </w:p>
    <w:p>
      <w:pPr>
        <w:spacing w:after="0" w:line="59" w:lineRule="exact"/>
        <w:rPr>
          <w:sz w:val="20"/>
          <w:szCs w:val="20"/>
          <w:color w:val="auto"/>
        </w:rPr>
      </w:pPr>
    </w:p>
    <w:p>
      <w:pPr>
        <w:ind w:left="320" w:hanging="312"/>
        <w:spacing w:after="0"/>
        <w:tabs>
          <w:tab w:leader="none" w:pos="320"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Sole votng and investment power unless otherwise specifed.</w:t>
      </w:r>
    </w:p>
    <w:p>
      <w:pPr>
        <w:spacing w:after="0" w:line="19" w:lineRule="exact"/>
        <w:rPr>
          <w:rFonts w:ascii="Calibri" w:cs="Calibri" w:eastAsia="Calibri" w:hAnsi="Calibri"/>
          <w:sz w:val="14"/>
          <w:szCs w:val="14"/>
          <w:color w:val="auto"/>
        </w:rPr>
      </w:pPr>
    </w:p>
    <w:p>
      <w:pPr>
        <w:ind w:left="340" w:right="100" w:hanging="332"/>
        <w:spacing w:after="0" w:line="239" w:lineRule="auto"/>
        <w:tabs>
          <w:tab w:leader="none" w:pos="328" w:val="left"/>
        </w:tabs>
        <w:numPr>
          <w:ilvl w:val="0"/>
          <w:numId w:val="63"/>
        </w:numPr>
        <w:rPr>
          <w:rFonts w:ascii="Calibri" w:cs="Calibri" w:eastAsia="Calibri" w:hAnsi="Calibri"/>
          <w:sz w:val="14"/>
          <w:szCs w:val="14"/>
          <w:color w:val="auto"/>
        </w:rPr>
      </w:pPr>
      <w:r>
        <w:rPr>
          <w:rFonts w:ascii="Calibri" w:cs="Calibri" w:eastAsia="Calibri" w:hAnsi="Calibri"/>
          <w:sz w:val="14"/>
          <w:szCs w:val="14"/>
          <w:color w:val="auto"/>
        </w:rPr>
        <w:t>Includes (i) 15,397,650 shares of Class B common stock held by Mr. Levchin, (ii) 735,294 shares of Class A common stock held by the Levchin 2012 Irrevocable Trust, (iii) 735,294 shares of Class B common stock held by the Levchin 2012 Irrevocable Trust and (iv) 10,352,528 shares of Class B common stock held by 2012 MRL Investments LLC. Mr. Levchin has sole votng and investment power over the shares held by 2012 MRL Investments LLC. As joint setlors of the Levchin 2012 Irrevocable Trust, Mr. Levchin and his spouse jointly have the right to acquire the shares held</w:t>
      </w:r>
    </w:p>
    <w:p>
      <w:pPr>
        <w:sectPr>
          <w:pgSz w:w="11900" w:h="16838" w:orient="portrait"/>
          <w:cols w:equalWidth="0" w:num="1">
            <w:col w:w="11220"/>
          </w:cols>
          <w:pgMar w:left="320" w:top="140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46</w:t>
      </w:r>
    </w:p>
    <w:p>
      <w:pPr>
        <w:sectPr>
          <w:pgSz w:w="11900" w:h="16838" w:orient="portrait"/>
          <w:cols w:equalWidth="0" w:num="1">
            <w:col w:w="11220"/>
          </w:cols>
          <w:pgMar w:left="320" w:top="1409" w:right="359" w:bottom="1440" w:gutter="0" w:footer="0" w:header="0"/>
          <w:type w:val="continuous"/>
        </w:sectPr>
      </w:pPr>
    </w:p>
    <w:bookmarkStart w:id="50" w:name="page51"/>
    <w:bookmarkEnd w:id="50"/>
    <w:p>
      <w:pPr>
        <w:ind w:left="332" w:right="460"/>
        <w:spacing w:after="0" w:line="245" w:lineRule="auto"/>
        <w:rPr>
          <w:sz w:val="20"/>
          <w:szCs w:val="20"/>
          <w:color w:val="auto"/>
        </w:rPr>
      </w:pPr>
      <w:r>
        <w:rPr>
          <w:rFonts w:ascii="Calibri" w:cs="Calibri" w:eastAsia="Calibri" w:hAnsi="Calibri"/>
          <w:sz w:val="14"/>
          <w:szCs w:val="14"/>
          <w:color w:val="auto"/>
        </w:rPr>
        <w:t>by the trust within 60 days of September 30, 2022 but do not have votng or investment power over such shares. The table also includes 1,875,000 shares of Class A common stock issuable upon exercise of outstanding stock optons held by Mr. Levchin within 60 days of September 30, 2022.</w:t>
      </w:r>
    </w:p>
    <w:p>
      <w:pPr>
        <w:spacing w:after="0" w:line="16" w:lineRule="exact"/>
        <w:rPr>
          <w:sz w:val="20"/>
          <w:szCs w:val="20"/>
          <w:color w:val="auto"/>
        </w:rPr>
      </w:pPr>
    </w:p>
    <w:p>
      <w:pPr>
        <w:ind w:left="332" w:right="260" w:hanging="332"/>
        <w:spacing w:after="0" w:line="245"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1,400,250 shares of Class A common stock issuable upon exercise of outstanding stock optons held by Mr. Linford within 60 days of September 30, 2022 and 13,411 shares of Class A common stock issuable pursuant to RSUs held by Mr. Linford that are subject to vestng and setlement conditons expected to occur within 60 days of September 30, 2022.</w:t>
      </w:r>
    </w:p>
    <w:p>
      <w:pPr>
        <w:spacing w:after="0" w:line="15" w:lineRule="exact"/>
        <w:rPr>
          <w:rFonts w:ascii="Calibri" w:cs="Calibri" w:eastAsia="Calibri" w:hAnsi="Calibri"/>
          <w:sz w:val="14"/>
          <w:szCs w:val="14"/>
          <w:color w:val="auto"/>
        </w:rPr>
      </w:pPr>
    </w:p>
    <w:p>
      <w:pPr>
        <w:ind w:left="332" w:right="60" w:hanging="332"/>
        <w:spacing w:after="0" w:line="245"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156,495 shares of Class A common stock issuable upon exercise of outstanding stock optons held by Ms. Adkins within 60 days of September 30, 2022 and 12,165 shares of Class A common stock issuable pursuant to RSUs held by Ms. Adkins that are subject to vestng and setlement conditons expected to occur within 60 days of September 30, 2022.</w:t>
      </w:r>
    </w:p>
    <w:p>
      <w:pPr>
        <w:spacing w:after="0" w:line="15" w:lineRule="exact"/>
        <w:rPr>
          <w:rFonts w:ascii="Calibri" w:cs="Calibri" w:eastAsia="Calibri" w:hAnsi="Calibri"/>
          <w:sz w:val="14"/>
          <w:szCs w:val="14"/>
          <w:color w:val="auto"/>
        </w:rPr>
      </w:pPr>
    </w:p>
    <w:p>
      <w:pPr>
        <w:ind w:left="332" w:right="80" w:hanging="332"/>
        <w:spacing w:after="0" w:line="245"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618,552 shares of Class A common stock issuable upon exercise of outstanding stock optons held by Ms. Martncevic within 60 days of September 30, 2022 and 11,075 shares of Class A common stock issuable pursuant to RSUs held by Ms. Martncevic that are subject to vestng and setlement conditons expected to occur within 60 days of September 30, 2022.</w:t>
      </w:r>
    </w:p>
    <w:p>
      <w:pPr>
        <w:spacing w:after="0" w:line="15" w:lineRule="exact"/>
        <w:rPr>
          <w:rFonts w:ascii="Calibri" w:cs="Calibri" w:eastAsia="Calibri" w:hAnsi="Calibri"/>
          <w:sz w:val="14"/>
          <w:szCs w:val="14"/>
          <w:color w:val="auto"/>
        </w:rPr>
      </w:pPr>
    </w:p>
    <w:p>
      <w:pPr>
        <w:ind w:left="332" w:hanging="332"/>
        <w:spacing w:after="0" w:line="233"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846,379 shares of Class A common stock issuable upon exercise of outstanding stock optons held by Mr. Michalek within 60 days of September 30, 2022 and 7,969 shares of Class A common stock issuable pursuant to RSUs held by Mr. Michalek that are subject to vestng and setlement conditons expected to occur within 60 days of September 30, 2022.</w:t>
      </w:r>
    </w:p>
    <w:p>
      <w:pPr>
        <w:spacing w:after="0" w:line="32" w:lineRule="exact"/>
        <w:rPr>
          <w:rFonts w:ascii="Calibri" w:cs="Calibri" w:eastAsia="Calibri" w:hAnsi="Calibri"/>
          <w:sz w:val="14"/>
          <w:szCs w:val="14"/>
          <w:color w:val="auto"/>
        </w:rPr>
      </w:pPr>
    </w:p>
    <w:p>
      <w:pPr>
        <w:ind w:left="332" w:right="20" w:hanging="332"/>
        <w:spacing w:after="0" w:line="239"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(i) 103,721 shares of Class A common stock held by Mr. Rabois, (ii) 1,486,909 shares of Class A common stock held by The Founders Fund Growth, LP, (iii) 386,909 shares of Class B common stock held by The Founders Fund Growth, LP, (iv) 60,429 shares of Class A common stock held by The Founders Fund Growth Principals Fund, LP, and (v) 60,429 shares of Class B common stock held by The Founders Fund Growth Principals Fund, LP. Brian Singerman, Peter Thiel and Mr. Rabois each have shared votng and investment power over the shares held by each of the foregoing enttes. The address for these enttes is One Leterman Drive, Building D, 5th Floor, San Francisco, California 94129.</w:t>
      </w:r>
    </w:p>
    <w:p>
      <w:pPr>
        <w:spacing w:after="0" w:line="21" w:lineRule="exact"/>
        <w:rPr>
          <w:rFonts w:ascii="Calibri" w:cs="Calibri" w:eastAsia="Calibri" w:hAnsi="Calibri"/>
          <w:sz w:val="14"/>
          <w:szCs w:val="14"/>
          <w:color w:val="auto"/>
        </w:rPr>
      </w:pPr>
    </w:p>
    <w:p>
      <w:pPr>
        <w:ind w:left="332" w:right="160" w:hanging="332"/>
        <w:spacing w:after="0" w:line="245"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4,278,124 shares of Class A common stock issuable upon exercise of outstanding optons held by all directors and executve ofcers as a group (11 individuals) within 60 days of September 30, 2022, and 33,545 shares of Class A common stock issuable pursuant to RSUs that are subject to vestng and setlement conditons expected to occur within 60 days of September 30, 2022.</w:t>
      </w:r>
    </w:p>
    <w:p>
      <w:pPr>
        <w:spacing w:after="0" w:line="16" w:lineRule="exact"/>
        <w:rPr>
          <w:rFonts w:ascii="Calibri" w:cs="Calibri" w:eastAsia="Calibri" w:hAnsi="Calibri"/>
          <w:sz w:val="14"/>
          <w:szCs w:val="14"/>
          <w:color w:val="auto"/>
        </w:rPr>
      </w:pPr>
    </w:p>
    <w:p>
      <w:pPr>
        <w:jc w:val="both"/>
        <w:ind w:left="332" w:right="140" w:hanging="332"/>
        <w:spacing w:after="0" w:line="237" w:lineRule="auto"/>
        <w:tabs>
          <w:tab w:leader="none" w:pos="32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Based solely on informaton contained in a Schedule 13G/A fled with the SEC on August 4, 2022. Of the shares of Class A common stock benefcially owned, Baillie Giford &amp; Co reported that it has sole votng power over 18,175,454 shares and sole dispositve power over 23,145,896 shares. The address of Baillie Giford &amp; Co is Calton Square, 1 Greenside Row, Edinburgh EH1 3AN, Scotland, UK.</w:t>
      </w:r>
    </w:p>
    <w:p>
      <w:pPr>
        <w:spacing w:after="0" w:line="33" w:lineRule="exact"/>
        <w:rPr>
          <w:rFonts w:ascii="Calibri" w:cs="Calibri" w:eastAsia="Calibri" w:hAnsi="Calibri"/>
          <w:sz w:val="14"/>
          <w:szCs w:val="14"/>
          <w:color w:val="auto"/>
        </w:rPr>
      </w:pPr>
    </w:p>
    <w:p>
      <w:pPr>
        <w:ind w:left="332" w:right="20" w:hanging="332"/>
        <w:spacing w:after="0" w:line="237" w:lineRule="auto"/>
        <w:tabs>
          <w:tab w:leader="none" w:pos="325"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Based solely on informaton contained in a Schedule 13G fled with the SEC on March 10, 2022. Of the shares of Class A common stock benefcially owned, Capital Research Global Investors (“CRGI”) reported that it has sole votng power over 23,787,411 shares and sole dispositve power over 23,800,270 shares. The address of CRGI is 333 South Hope Street, 55th Fl, Los Angeles, CA 90071.</w:t>
      </w:r>
    </w:p>
    <w:p>
      <w:pPr>
        <w:spacing w:after="0" w:line="20" w:lineRule="exact"/>
        <w:rPr>
          <w:rFonts w:ascii="Calibri" w:cs="Calibri" w:eastAsia="Calibri" w:hAnsi="Calibri"/>
          <w:sz w:val="14"/>
          <w:szCs w:val="14"/>
          <w:color w:val="auto"/>
        </w:rPr>
      </w:pPr>
    </w:p>
    <w:p>
      <w:pPr>
        <w:ind w:left="332" w:right="40" w:hanging="332"/>
        <w:spacing w:after="0" w:line="241" w:lineRule="auto"/>
        <w:tabs>
          <w:tab w:leader="none" w:pos="325"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Includes (i) 564,718 shares of Class A common stock held by Khosla Ventures IV, LP (“KV IV”), (ii) 6,530,470 shares of Class B common stock held by KV IV, (iii) 36,105 shares of Class A common stock held by Khosla Ventures IV (CF), LP (“KV IV CF”), and (iv) 417,504 shares of Class B common stock held by KV IV CF. The general partner of KV IV is Khosla Ventures Associates IV, LLC (“KVA IV”). The general partner of KV IV CF is KVA IV. VK Services is the sole manager of KVA IV. Vinod Khosla is the managing member of VK Services. Each of Mr. Khosla, VK Services and KVA IV may be deemed to share votng and dispositve power of such securites held by KV IV and KV IV CF. The address for each of these enttes is 2128 Sand Hill Road, Menlo Park, California 94025.</w:t>
      </w:r>
    </w:p>
    <w:p>
      <w:pPr>
        <w:spacing w:after="0" w:line="32" w:lineRule="exact"/>
        <w:rPr>
          <w:rFonts w:ascii="Calibri" w:cs="Calibri" w:eastAsia="Calibri" w:hAnsi="Calibri"/>
          <w:sz w:val="14"/>
          <w:szCs w:val="14"/>
          <w:color w:val="auto"/>
        </w:rPr>
      </w:pPr>
    </w:p>
    <w:p>
      <w:pPr>
        <w:ind w:left="332" w:hanging="332"/>
        <w:spacing w:after="0" w:line="242" w:lineRule="auto"/>
        <w:tabs>
          <w:tab w:leader="none" w:pos="325"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Based solely on informaton contained in a Schedule 13G/A fled with the SEC on May 3, 2022. Of the shares of common stock benefcially owned, GIC Private Limited (“GIC”) reported that it has sole votng and sole dispositve power over 4,499,514 shares and shared votng and shared dispositve power over 22,829,800 shares. GIC shares the power to vote and the power to dispose of 22,829,800 shares with GIC Special Investments Pte. Ltd. (“GIC SI”) and Jasmine Ventures Pte. Ltd. (“Jasmine”),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benefcial ownership of these shares. The business address for GIC, GIC SI and Jasmine. is 168 Robinson Road, #37-01 Capital Tower, Singapore 068912.</w:t>
      </w:r>
    </w:p>
    <w:p>
      <w:pPr>
        <w:spacing w:after="0" w:line="19" w:lineRule="exact"/>
        <w:rPr>
          <w:rFonts w:ascii="Calibri" w:cs="Calibri" w:eastAsia="Calibri" w:hAnsi="Calibri"/>
          <w:sz w:val="14"/>
          <w:szCs w:val="14"/>
          <w:color w:val="auto"/>
        </w:rPr>
      </w:pPr>
    </w:p>
    <w:p>
      <w:pPr>
        <w:ind w:left="332" w:right="140" w:hanging="332"/>
        <w:spacing w:after="0" w:line="245" w:lineRule="auto"/>
        <w:tabs>
          <w:tab w:leader="none" w:pos="325"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Based solely on informaton contained in a Schedule 13G fled with the SEC on February 10, 2022. The address for Shopify is 151 O’Connor Street, Ground Floor, Otawa, Ontario, Canada K2P 2L8.</w:t>
      </w:r>
    </w:p>
    <w:p>
      <w:pPr>
        <w:spacing w:after="0" w:line="15" w:lineRule="exact"/>
        <w:rPr>
          <w:rFonts w:ascii="Calibri" w:cs="Calibri" w:eastAsia="Calibri" w:hAnsi="Calibri"/>
          <w:sz w:val="14"/>
          <w:szCs w:val="14"/>
          <w:color w:val="auto"/>
        </w:rPr>
      </w:pPr>
    </w:p>
    <w:p>
      <w:pPr>
        <w:ind w:left="332" w:hanging="332"/>
        <w:spacing w:after="0" w:line="237" w:lineRule="auto"/>
        <w:tabs>
          <w:tab w:leader="none" w:pos="325"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Based solely on informaton contained in a Schedule 13G fled with the SEC on February 9, 2022. Of the shares of common stock benefcially owned, The Vanguard Group Inc. (“Vanguard”) reported that it has (i) shared votng power over 56,258 shares of common stock, (ii) sole dispositve power over 14,486,204 shares of common stock, and (iii) shared dispositve power over 129,130 shares of common stock. The address of Vanguard is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
        <w:spacing w:after="0"/>
        <w:rPr>
          <w:sz w:val="20"/>
          <w:szCs w:val="20"/>
          <w:color w:val="auto"/>
        </w:rPr>
      </w:pPr>
      <w:r>
        <w:rPr>
          <w:rFonts w:ascii="Calibri" w:cs="Calibri" w:eastAsia="Calibri" w:hAnsi="Calibri"/>
          <w:sz w:val="18"/>
          <w:szCs w:val="18"/>
          <w:color w:val="auto"/>
        </w:rPr>
        <w:t>47</w:t>
      </w:r>
    </w:p>
    <w:p>
      <w:pPr>
        <w:sectPr>
          <w:pgSz w:w="11900" w:h="16838" w:orient="portrait"/>
          <w:cols w:equalWidth="0" w:num="1">
            <w:col w:w="11212"/>
          </w:cols>
          <w:pgMar w:left="328" w:top="1408" w:right="359" w:bottom="1440" w:gutter="0" w:footer="0" w:header="0"/>
        </w:sectPr>
      </w:pPr>
    </w:p>
    <w:bookmarkStart w:id="51" w:name="page52"/>
    <w:bookmarkEnd w:id="51"/>
    <w:p>
      <w:pPr>
        <w:jc w:val="center"/>
        <w:ind w:right="-139"/>
        <w:spacing w:after="0"/>
        <w:rPr>
          <w:sz w:val="20"/>
          <w:szCs w:val="20"/>
          <w:color w:val="auto"/>
        </w:rPr>
      </w:pPr>
      <w:r>
        <w:rPr>
          <w:rFonts w:ascii="Calibri" w:cs="Calibri" w:eastAsia="Calibri" w:hAnsi="Calibri"/>
          <w:sz w:val="25"/>
          <w:szCs w:val="25"/>
          <w:b w:val="1"/>
          <w:bCs w:val="1"/>
          <w:color w:val="auto"/>
        </w:rPr>
        <w:t>CERTAIN RELATIONSHIPS AND RELATED-PARTY TRANSACTIONS</w:t>
      </w:r>
    </w:p>
    <w:p>
      <w:pPr>
        <w:sectPr>
          <w:pgSz w:w="11900" w:h="16838" w:orient="portrait"/>
          <w:cols w:equalWidth="0" w:num="1">
            <w:col w:w="11120"/>
          </w:cols>
          <w:pgMar w:left="320" w:top="1395" w:right="459" w:bottom="1440" w:gutter="0" w:footer="0" w:header="0"/>
        </w:sectPr>
      </w:pPr>
    </w:p>
    <w:p>
      <w:pPr>
        <w:spacing w:after="0" w:line="1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describe below transactons and series of similar transactons, since the beginning of our last fscal year, to which we were a party or will be a party, in which:</w:t>
      </w:r>
    </w:p>
    <w:p>
      <w:pPr>
        <w:spacing w:after="0" w:line="65" w:lineRule="exact"/>
        <w:rPr>
          <w:sz w:val="20"/>
          <w:szCs w:val="20"/>
          <w:color w:val="auto"/>
        </w:rPr>
      </w:pPr>
    </w:p>
    <w:p>
      <w:pPr>
        <w:ind w:left="320" w:hanging="231"/>
        <w:spacing w:after="0"/>
        <w:tabs>
          <w:tab w:leader="none" w:pos="320" w:val="left"/>
        </w:tabs>
        <w:numPr>
          <w:ilvl w:val="0"/>
          <w:numId w:val="65"/>
        </w:numPr>
        <w:rPr>
          <w:rFonts w:ascii="Calibri" w:cs="Calibri" w:eastAsia="Calibri" w:hAnsi="Calibri"/>
          <w:sz w:val="18"/>
          <w:szCs w:val="18"/>
          <w:color w:val="auto"/>
        </w:rPr>
      </w:pPr>
      <w:r>
        <w:rPr>
          <w:rFonts w:ascii="Calibri" w:cs="Calibri" w:eastAsia="Calibri" w:hAnsi="Calibri"/>
          <w:sz w:val="18"/>
          <w:szCs w:val="18"/>
          <w:color w:val="auto"/>
        </w:rPr>
        <w:t>the amounts involved exceeded or will exceed $120,000; and</w:t>
      </w:r>
    </w:p>
    <w:p>
      <w:pPr>
        <w:spacing w:after="0" w:line="68" w:lineRule="exact"/>
        <w:rPr>
          <w:rFonts w:ascii="Calibri" w:cs="Calibri" w:eastAsia="Calibri" w:hAnsi="Calibri"/>
          <w:sz w:val="18"/>
          <w:szCs w:val="18"/>
          <w:color w:val="auto"/>
        </w:rPr>
      </w:pPr>
    </w:p>
    <w:p>
      <w:pPr>
        <w:jc w:val="both"/>
        <w:ind w:left="340" w:hanging="251"/>
        <w:spacing w:after="0" w:line="235" w:lineRule="auto"/>
        <w:tabs>
          <w:tab w:leader="none" w:pos="333" w:val="left"/>
        </w:tabs>
        <w:numPr>
          <w:ilvl w:val="0"/>
          <w:numId w:val="65"/>
        </w:numPr>
        <w:rPr>
          <w:rFonts w:ascii="Calibri" w:cs="Calibri" w:eastAsia="Calibri" w:hAnsi="Calibri"/>
          <w:sz w:val="18"/>
          <w:szCs w:val="18"/>
          <w:color w:val="auto"/>
        </w:rPr>
      </w:pPr>
      <w:r>
        <w:rPr>
          <w:rFonts w:ascii="Calibri" w:cs="Calibri" w:eastAsia="Calibri" w:hAnsi="Calibri"/>
          <w:sz w:val="18"/>
          <w:szCs w:val="18"/>
          <w:color w:val="auto"/>
        </w:rPr>
        <w:t>any of our directors, executve ofcers or holders of more than 5% of our capital stock, or any member of the immediate family of, or person sharing the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20"/>
        <w:spacing w:after="0" w:line="235" w:lineRule="auto"/>
        <w:rPr>
          <w:sz w:val="20"/>
          <w:szCs w:val="20"/>
          <w:color w:val="auto"/>
        </w:rPr>
      </w:pPr>
      <w:r>
        <w:rPr>
          <w:rFonts w:ascii="Calibri" w:cs="Calibri" w:eastAsia="Calibri" w:hAnsi="Calibri"/>
          <w:sz w:val="18"/>
          <w:szCs w:val="18"/>
          <w:color w:val="auto"/>
        </w:rPr>
        <w:t>household with, the foregoing persons (each, a “related person”), had or will have a direct or indirect material interest.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the terms of the transactons described below were comparable to terms we could have obtained in arm’s-length dealings with unrelated third partes.</w:t>
      </w:r>
    </w:p>
    <w:p>
      <w:pPr>
        <w:spacing w:after="0" w:line="658" w:lineRule="exact"/>
        <w:rPr>
          <w:sz w:val="20"/>
          <w:szCs w:val="20"/>
          <w:color w:val="auto"/>
        </w:rPr>
      </w:pPr>
    </w:p>
    <w:p>
      <w:pPr>
        <w:sectPr>
          <w:pgSz w:w="11900" w:h="16838" w:orient="portrait"/>
          <w:cols w:equalWidth="0" w:num="2">
            <w:col w:w="5420" w:space="300"/>
            <w:col w:w="5400"/>
          </w:cols>
          <w:pgMar w:left="320" w:top="1395" w:right="4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w:t>
      </w:r>
    </w:p>
    <w:p>
      <w:pPr>
        <w:spacing w:after="0" w:line="18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On July 1, 2022, Afrm, Inc., a wholly owned subsidiary of the Company (“Afrm”), renewed its subscripton with Peach Finance, Inc. (“Peach”) pursuant to which Peach provides the Company with a platorm to manage the servicing and collectons of fnancial products facilitated or issued to borrowers by the Company (the “Subscripton Services”). Science Finance Venture Capital (“SciFi VC”), a venture capital fund in which our CEO, Max Levchin, and his spouse are partners, may hold an ownership interest of greater than 5% in Peach. For the 2022 and 2023 fscal years, the Company expects to pay Peach an amount based on usage, but not less than an amount equal to approximately $330,000 in aggregate for Subscripton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alibri" w:cs="Calibri" w:eastAsia="Calibri" w:hAnsi="Calibri"/>
          <w:sz w:val="18"/>
          <w:szCs w:val="18"/>
          <w:color w:val="auto"/>
        </w:rPr>
        <w:t>Services.</w:t>
      </w:r>
    </w:p>
    <w:p>
      <w:pPr>
        <w:spacing w:after="0" w:line="1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21, 2022, Afrm entered into a MSA with Teller, Inc. (“Teller”), a company in which SciFi VC may hold an ownership interest of greater than 5%. Under the terms of the MSA, the Company will integrate its applicaton with Teller’s API and access Teller’s platorm, which will allow the Company’s end users to connect their bank accounts to the Company’s applicaton. The MSA provides for the Company to pay Teller an amount based on usage, but not less than an amount equal to approximately $700,000.</w:t>
      </w:r>
    </w:p>
    <w:p>
      <w:pPr>
        <w:spacing w:after="0" w:line="235" w:lineRule="exact"/>
        <w:rPr>
          <w:sz w:val="20"/>
          <w:szCs w:val="20"/>
          <w:color w:val="auto"/>
        </w:rPr>
      </w:pPr>
    </w:p>
    <w:p>
      <w:pPr>
        <w:sectPr>
          <w:pgSz w:w="11900" w:h="16838" w:orient="portrait"/>
          <w:cols w:equalWidth="0" w:num="2">
            <w:col w:w="5420" w:space="300"/>
            <w:col w:w="5400"/>
          </w:cols>
          <w:pgMar w:left="320" w:top="1395" w:right="45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Policies and Procedures for Transactons with Related Persons</w:t>
      </w:r>
    </w:p>
    <w:p>
      <w:pPr>
        <w:sectPr>
          <w:pgSz w:w="11900" w:h="16838" w:orient="portrait"/>
          <w:cols w:equalWidth="0" w:num="1">
            <w:col w:w="11120"/>
          </w:cols>
          <w:pgMar w:left="320" w:top="1395" w:right="459" w:bottom="1440" w:gutter="0" w:footer="0" w:header="0"/>
          <w:type w:val="continuous"/>
        </w:sectPr>
      </w:pPr>
    </w:p>
    <w:p>
      <w:pPr>
        <w:spacing w:after="0" w:line="1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formal writen policy providing that any related person transacton (as defned in the policy), and any material amendment or modifcaton to a related person transacton, must be reviewed and approved or ratfed by the Audit Commitee.</w:t>
      </w:r>
    </w:p>
    <w:p>
      <w:pPr>
        <w:spacing w:after="0" w:line="17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When determining whether to approve or ratfy a related person transacton, the Audit Commitee will review relevant facts regarding the related person transacton, including, among other things:</w:t>
      </w:r>
    </w:p>
    <w:p>
      <w:pPr>
        <w:spacing w:after="0" w:line="65" w:lineRule="exact"/>
        <w:rPr>
          <w:sz w:val="20"/>
          <w:szCs w:val="20"/>
          <w:color w:val="auto"/>
        </w:rPr>
      </w:pPr>
    </w:p>
    <w:p>
      <w:pPr>
        <w:ind w:left="320" w:hanging="231"/>
        <w:spacing w:after="0"/>
        <w:tabs>
          <w:tab w:leader="none" w:pos="320" w:val="left"/>
        </w:tabs>
        <w:numPr>
          <w:ilvl w:val="0"/>
          <w:numId w:val="66"/>
        </w:numPr>
        <w:rPr>
          <w:rFonts w:ascii="Calibri" w:cs="Calibri" w:eastAsia="Calibri" w:hAnsi="Calibri"/>
          <w:sz w:val="18"/>
          <w:szCs w:val="18"/>
          <w:color w:val="auto"/>
        </w:rPr>
      </w:pPr>
      <w:r>
        <w:rPr>
          <w:rFonts w:ascii="Calibri" w:cs="Calibri" w:eastAsia="Calibri" w:hAnsi="Calibri"/>
          <w:sz w:val="18"/>
          <w:szCs w:val="18"/>
          <w:color w:val="auto"/>
        </w:rPr>
        <w:t>the related person’s interest in the transacton;</w:t>
      </w:r>
    </w:p>
    <w:p>
      <w:pPr>
        <w:spacing w:after="0" w:line="77" w:lineRule="exact"/>
        <w:rPr>
          <w:rFonts w:ascii="Calibri" w:cs="Calibri" w:eastAsia="Calibri" w:hAnsi="Calibri"/>
          <w:sz w:val="18"/>
          <w:szCs w:val="18"/>
          <w:color w:val="auto"/>
        </w:rPr>
      </w:pPr>
    </w:p>
    <w:p>
      <w:pPr>
        <w:ind w:left="320" w:hanging="231"/>
        <w:spacing w:after="0"/>
        <w:tabs>
          <w:tab w:leader="none" w:pos="320" w:val="left"/>
        </w:tabs>
        <w:numPr>
          <w:ilvl w:val="0"/>
          <w:numId w:val="66"/>
        </w:numPr>
        <w:rPr>
          <w:rFonts w:ascii="Calibri" w:cs="Calibri" w:eastAsia="Calibri" w:hAnsi="Calibri"/>
          <w:sz w:val="18"/>
          <w:szCs w:val="18"/>
          <w:color w:val="auto"/>
        </w:rPr>
      </w:pPr>
      <w:r>
        <w:rPr>
          <w:rFonts w:ascii="Calibri" w:cs="Calibri" w:eastAsia="Calibri" w:hAnsi="Calibri"/>
          <w:sz w:val="18"/>
          <w:szCs w:val="18"/>
          <w:color w:val="auto"/>
        </w:rPr>
        <w:t>the terms of the transacton;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20" w:hanging="244"/>
        <w:spacing w:after="0"/>
        <w:tabs>
          <w:tab w:leader="none" w:pos="32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the purpose of, and the potental benefts to us of, the transacton; and</w:t>
      </w:r>
    </w:p>
    <w:p>
      <w:pPr>
        <w:spacing w:after="0" w:line="75" w:lineRule="exact"/>
        <w:rPr>
          <w:rFonts w:ascii="Calibri" w:cs="Calibri" w:eastAsia="Calibri" w:hAnsi="Calibri"/>
          <w:sz w:val="17"/>
          <w:szCs w:val="17"/>
          <w:color w:val="auto"/>
        </w:rPr>
      </w:pPr>
    </w:p>
    <w:p>
      <w:pPr>
        <w:jc w:val="both"/>
        <w:ind w:left="320" w:hanging="244"/>
        <w:spacing w:after="0" w:line="235" w:lineRule="auto"/>
        <w:tabs>
          <w:tab w:leader="none" w:pos="313"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any other informaton regarding the related person transacton or the related person that would be material to investors in light of the circumstances of the partcular transacton.</w:t>
      </w:r>
    </w:p>
    <w:p>
      <w:pPr>
        <w:spacing w:after="0" w:line="11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Any member of the Audit Commitee who has an interest in a potental related person transacton will not partcipate in any discussion or approval of such related person transacton, except that such member shall provide all material informaton concerning the transacton to the Audit Commitee.</w:t>
      </w:r>
    </w:p>
    <w:p>
      <w:pPr>
        <w:spacing w:after="0" w:line="555" w:lineRule="exact"/>
        <w:rPr>
          <w:sz w:val="20"/>
          <w:szCs w:val="20"/>
          <w:color w:val="auto"/>
        </w:rPr>
      </w:pPr>
    </w:p>
    <w:p>
      <w:pPr>
        <w:sectPr>
          <w:pgSz w:w="11900" w:h="16838" w:orient="portrait"/>
          <w:cols w:equalWidth="0" w:num="2">
            <w:col w:w="5420" w:space="300"/>
            <w:col w:w="5400"/>
          </w:cols>
          <w:pgMar w:left="320" w:top="139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48</w:t>
      </w:r>
    </w:p>
    <w:p>
      <w:pPr>
        <w:sectPr>
          <w:pgSz w:w="11900" w:h="16838" w:orient="portrait"/>
          <w:cols w:equalWidth="0" w:num="1">
            <w:col w:w="11120"/>
          </w:cols>
          <w:pgMar w:left="320" w:top="1395" w:right="459" w:bottom="1440" w:gutter="0" w:footer="0" w:header="0"/>
          <w:type w:val="continuous"/>
        </w:sectPr>
      </w:pPr>
    </w:p>
    <w:bookmarkStart w:id="52" w:name="page53"/>
    <w:bookmarkEnd w:id="52"/>
    <w:p>
      <w:pPr>
        <w:jc w:val="center"/>
        <w:ind w:right="-19"/>
        <w:spacing w:after="0"/>
        <w:rPr>
          <w:sz w:val="20"/>
          <w:szCs w:val="20"/>
          <w:color w:val="auto"/>
        </w:rPr>
      </w:pPr>
      <w:r>
        <w:rPr>
          <w:rFonts w:ascii="Calibri" w:cs="Calibri" w:eastAsia="Calibri" w:hAnsi="Calibri"/>
          <w:sz w:val="28"/>
          <w:szCs w:val="28"/>
          <w:b w:val="1"/>
          <w:bCs w:val="1"/>
          <w:color w:val="auto"/>
        </w:rPr>
        <w:t>OTHER MATTERS</w:t>
      </w:r>
    </w:p>
    <w:p>
      <w:pPr>
        <w:sectPr>
          <w:pgSz w:w="11900" w:h="16838" w:orient="portrait"/>
          <w:cols w:equalWidth="0" w:num="1">
            <w:col w:w="11220"/>
          </w:cols>
          <w:pgMar w:left="320" w:top="1405" w:right="359" w:bottom="1440" w:gutter="0" w:footer="0" w:header="0"/>
        </w:sectPr>
      </w:pPr>
    </w:p>
    <w:p>
      <w:pPr>
        <w:spacing w:after="0" w:line="17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Delinquent Secton 16(a) Reports</w:t>
      </w:r>
    </w:p>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Secton 16(a) of the Exchange Act requires that our executve ofcers and directors, and persons who own more than 10% of a registered class of our equity securites, fle reports of ownership and changes of ownership with the SEC. Such directors, executve ofcers, and 10% stockholders are required by SEC regulaton to furnish us with copies of all Secton 16(a) forms they fle.</w:t>
      </w:r>
    </w:p>
    <w:p>
      <w:pPr>
        <w:spacing w:after="0" w:line="1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 regulatons require us to identfy in this proxy statement anyone who fled a required report late during the most recent fscal year. Based solely on our review of copies of such forms that we have received, or writen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Fiscal 2022 Annual Report and SEC Filings</w:t>
      </w:r>
    </w:p>
    <w:p>
      <w:pPr>
        <w:spacing w:after="0" w:line="19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Our fnancial statements for fscal 2022 are included in our 2022 annual report, which we will make available to stockholders at the same tme as this proxy statement. Our 2022 annual report and this proxy statement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representatons from reportng persons, we believe that during the fscal year ended June 30, 2022, all Secton 16(a) fling requirements were satsfed on a tmely basis, except that the Company inadvertently failed to tmely report the acquisiton of an RSU award for Siphelele Jiyane on July 15, 2021, which report was fled on August 2, 2021, and failed to tmely report the conversion of Class B shares of the Company’s common stock to Class A shares of the Company’s common stock for Ms. Jiyane on June 9, 2021, which report was fled on October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color w:val="auto"/>
        </w:rPr>
        <w:t>posted online at www.proxydocs.com/AFRM and are available from the SEC at its website at www.sec.gov.</w:t>
      </w:r>
    </w:p>
    <w:p>
      <w:pPr>
        <w:spacing w:after="0" w:line="428" w:lineRule="exact"/>
        <w:rPr>
          <w:sz w:val="20"/>
          <w:szCs w:val="20"/>
          <w:color w:val="auto"/>
        </w:rPr>
      </w:pPr>
    </w:p>
    <w:p>
      <w:pPr>
        <w:sectPr>
          <w:pgSz w:w="11900" w:h="16838" w:orient="portrait"/>
          <w:cols w:equalWidth="0" w:num="2">
            <w:col w:w="5420" w:space="300"/>
            <w:col w:w="5500"/>
          </w:cols>
          <w:pgMar w:left="320" w:top="1405" w:right="359" w:bottom="1440" w:gutter="0" w:footer="0" w:header="0"/>
          <w:type w:val="continuous"/>
        </w:sectPr>
      </w:pPr>
    </w:p>
    <w:p>
      <w:pPr>
        <w:spacing w:after="0" w:line="208"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You may also obtain a copy of our 2022 annual report without charge by sending a writen request to Afrm Holdings, Inc., Atenton: Investor Relatons, 650 California Street, San Francisco, California 94108.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49</w:t>
      </w:r>
    </w:p>
    <w:p>
      <w:pPr>
        <w:sectPr>
          <w:pgSz w:w="11900" w:h="16838" w:orient="portrait"/>
          <w:cols w:equalWidth="0" w:num="1">
            <w:col w:w="11220"/>
          </w:cols>
          <w:pgMar w:left="320" w:top="1405" w:right="359" w:bottom="1440" w:gutter="0" w:footer="0" w:header="0"/>
          <w:type w:val="continuous"/>
        </w:sectPr>
      </w:pPr>
    </w:p>
    <w:bookmarkStart w:id="53" w:name="page54"/>
    <w:bookmarkEnd w:id="53"/>
    <w:p>
      <w:pPr>
        <w:jc w:val="center"/>
        <w:spacing w:after="0"/>
        <w:rPr>
          <w:sz w:val="20"/>
          <w:szCs w:val="20"/>
          <w:color w:val="auto"/>
        </w:rPr>
      </w:pPr>
      <w:r>
        <w:rPr>
          <w:rFonts w:ascii="Calibri" w:cs="Calibri" w:eastAsia="Calibri" w:hAnsi="Calibri"/>
          <w:sz w:val="28"/>
          <w:szCs w:val="28"/>
          <w:b w:val="1"/>
          <w:bCs w:val="1"/>
          <w:color w:val="auto"/>
        </w:rPr>
        <w:t>PROPOSALS OF STOCKHOLDERS FOR 2023 ANNUAL MEETING</w:t>
      </w:r>
    </w:p>
    <w:p>
      <w:pPr>
        <w:sectPr>
          <w:pgSz w:w="11900" w:h="16838" w:orient="portrait"/>
          <w:cols w:equalWidth="0" w:num="1">
            <w:col w:w="11240"/>
          </w:cols>
          <w:pgMar w:left="320" w:top="1405" w:right="339" w:bottom="1440" w:gutter="0" w:footer="0" w:header="0"/>
        </w:sectPr>
      </w:pPr>
    </w:p>
    <w:p>
      <w:pPr>
        <w:spacing w:after="0" w:line="19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Stockholders may present proper proposals for inclusion in our proxy statement and for consideraton at the next annual meetng of stockholders by submitng their proposals in writng to our Secretary in a tmely manner. For a stockholder proposal to be considered for inclusion in our proxy statement for our 2023 Annual Meetng of Stockholders (the “2023 Annual Meetng”), our Secretary must receive the writen proposal at our principal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executve ofces not later than June 23, 2023. In additon, stockholder proposals must comply with the requirements of Rule 14a-8 under the Securites Exchange Act of 1934, as amended, or the Exchange Act, regarding the inclusion of stockholder proposals in company-sponsored proxy materials. Stockholder proposals should be addressed to:</w:t>
      </w:r>
    </w:p>
    <w:p>
      <w:pPr>
        <w:spacing w:after="0" w:line="426" w:lineRule="exact"/>
        <w:rPr>
          <w:sz w:val="20"/>
          <w:szCs w:val="20"/>
          <w:color w:val="auto"/>
        </w:rPr>
      </w:pPr>
    </w:p>
    <w:p>
      <w:pPr>
        <w:sectPr>
          <w:pgSz w:w="11900" w:h="16838" w:orient="portrait"/>
          <w:cols w:equalWidth="0" w:num="2">
            <w:col w:w="5420" w:space="300"/>
            <w:col w:w="5520"/>
          </w:cols>
          <w:pgMar w:left="320" w:top="1405" w:right="3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Afrm Holdings, Inc.</w:t>
      </w:r>
    </w:p>
    <w:p>
      <w:pPr>
        <w:jc w:val="center"/>
        <w:spacing w:after="0" w:line="235" w:lineRule="auto"/>
        <w:rPr>
          <w:sz w:val="20"/>
          <w:szCs w:val="20"/>
          <w:color w:val="auto"/>
        </w:rPr>
      </w:pPr>
      <w:r>
        <w:rPr>
          <w:rFonts w:ascii="Calibri" w:cs="Calibri" w:eastAsia="Calibri" w:hAnsi="Calibri"/>
          <w:sz w:val="18"/>
          <w:szCs w:val="18"/>
          <w:color w:val="auto"/>
        </w:rPr>
        <w:t>Atenton: Secretary</w:t>
      </w:r>
    </w:p>
    <w:p>
      <w:pPr>
        <w:jc w:val="center"/>
        <w:spacing w:after="0" w:line="236" w:lineRule="auto"/>
        <w:rPr>
          <w:sz w:val="20"/>
          <w:szCs w:val="20"/>
          <w:color w:val="auto"/>
        </w:rPr>
      </w:pPr>
      <w:r>
        <w:rPr>
          <w:rFonts w:ascii="Calibri" w:cs="Calibri" w:eastAsia="Calibri" w:hAnsi="Calibri"/>
          <w:sz w:val="18"/>
          <w:szCs w:val="18"/>
          <w:color w:val="auto"/>
        </w:rPr>
        <w:t>650 California Street</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San Francisco, California 94108</w:t>
      </w:r>
    </w:p>
    <w:p>
      <w:pPr>
        <w:sectPr>
          <w:pgSz w:w="11900" w:h="16838" w:orient="portrait"/>
          <w:cols w:equalWidth="0" w:num="1">
            <w:col w:w="11240"/>
          </w:cols>
          <w:pgMar w:left="320" w:top="1405" w:right="339" w:bottom="1440" w:gutter="0" w:footer="0" w:header="0"/>
          <w:type w:val="continuous"/>
        </w:sectPr>
      </w:pPr>
    </w:p>
    <w:p>
      <w:pPr>
        <w:spacing w:after="0" w:line="1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bylaws also establish an advance notce procedure for stockholders who wish to present a proposal before an annual meetng of stockholders but do not intend for the proposal to be included in our proxy statement. Our bylaws provide that the only business that may be conducted at an annual meetng is business that is (i) specifed in our proxy materials with respect to such meetng, (ii) otherwise properly brought before the annual meetng by or at the directon of our Board, or (iii) properly brought before the annual meetng by a stockholder of record enttled to vote at the annual meetng who has delivered tmely writen notce to our Secretary, which notce must contain the informaton specifed in our bylaws. To be tmely for our 2023 Annual Meetng, our Secretary must receive the writen notce at our principal executve ofces:</w:t>
      </w:r>
    </w:p>
    <w:p>
      <w:pPr>
        <w:spacing w:after="0" w:line="86" w:lineRule="exact"/>
        <w:rPr>
          <w:sz w:val="20"/>
          <w:szCs w:val="20"/>
          <w:color w:val="auto"/>
        </w:rPr>
      </w:pPr>
    </w:p>
    <w:p>
      <w:pPr>
        <w:ind w:left="320" w:hanging="231"/>
        <w:spacing w:after="0"/>
        <w:tabs>
          <w:tab w:leader="none" w:pos="320"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t>not earlier than August 7, 2023; and</w:t>
      </w:r>
    </w:p>
    <w:p>
      <w:pPr>
        <w:spacing w:after="0" w:line="63" w:lineRule="exact"/>
        <w:rPr>
          <w:rFonts w:ascii="Calibri" w:cs="Calibri" w:eastAsia="Calibri" w:hAnsi="Calibri"/>
          <w:sz w:val="18"/>
          <w:szCs w:val="18"/>
          <w:color w:val="auto"/>
        </w:rPr>
      </w:pPr>
    </w:p>
    <w:p>
      <w:pPr>
        <w:ind w:left="320" w:hanging="231"/>
        <w:spacing w:after="0"/>
        <w:tabs>
          <w:tab w:leader="none" w:pos="320"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t>not later than September 6, 2023.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120"/>
        <w:spacing w:after="0" w:line="251" w:lineRule="auto"/>
        <w:rPr>
          <w:sz w:val="20"/>
          <w:szCs w:val="20"/>
          <w:color w:val="auto"/>
        </w:rPr>
      </w:pPr>
      <w:r>
        <w:rPr>
          <w:rFonts w:ascii="Calibri" w:cs="Calibri" w:eastAsia="Calibri" w:hAnsi="Calibri"/>
          <w:sz w:val="17"/>
          <w:szCs w:val="17"/>
          <w:color w:val="auto"/>
        </w:rPr>
        <w:t>In the event that we hold our 2023 Annual Meetng more than 30 days before or afer the frst anniversary of the date of the 2022 Annual Meetng, then notce of a stockholder proposal that is not intended to be included in our proxy statement must be received no earlier than the close of business on the 120th day before the anniversary of the 2022 Annual Meetng and no later than the close of business on the later of the following two dates:</w:t>
      </w:r>
    </w:p>
    <w:p>
      <w:pPr>
        <w:spacing w:after="0" w:line="70" w:lineRule="exact"/>
        <w:rPr>
          <w:sz w:val="20"/>
          <w:szCs w:val="20"/>
          <w:color w:val="auto"/>
        </w:rPr>
      </w:pPr>
    </w:p>
    <w:p>
      <w:pPr>
        <w:ind w:left="320" w:hanging="244"/>
        <w:spacing w:after="0"/>
        <w:tabs>
          <w:tab w:leader="none" w:pos="320"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the 90th day prior to the 2023 Annual Meetng; and</w:t>
      </w:r>
    </w:p>
    <w:p>
      <w:pPr>
        <w:spacing w:after="0" w:line="68" w:lineRule="exact"/>
        <w:rPr>
          <w:rFonts w:ascii="Calibri" w:cs="Calibri" w:eastAsia="Calibri" w:hAnsi="Calibri"/>
          <w:sz w:val="18"/>
          <w:szCs w:val="18"/>
          <w:color w:val="auto"/>
        </w:rPr>
      </w:pPr>
    </w:p>
    <w:p>
      <w:pPr>
        <w:ind w:left="320" w:right="120" w:hanging="244"/>
        <w:spacing w:after="0" w:line="235" w:lineRule="auto"/>
        <w:tabs>
          <w:tab w:leader="none" w:pos="313"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the 10th day following the day on which public announcement of the date of the 2023 Annual Meetng is frst made.</w:t>
      </w:r>
    </w:p>
    <w:p>
      <w:pPr>
        <w:spacing w:after="0" w:line="177"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color w:val="auto"/>
        </w:rPr>
        <w:t>In additon to satsfying the deadlines in the advance notce provisions of our bylaws, a shareholder who intends to solicit proxies in support of nominees submited under these advance notce provisions must provide the notce required under Rule 14a-19 to our Secretary no later than October 6, 2023.</w:t>
      </w:r>
    </w:p>
    <w:p>
      <w:pPr>
        <w:spacing w:after="0" w:line="200" w:lineRule="exact"/>
        <w:rPr>
          <w:sz w:val="20"/>
          <w:szCs w:val="20"/>
          <w:color w:val="auto"/>
        </w:rPr>
      </w:pPr>
    </w:p>
    <w:p>
      <w:pPr>
        <w:sectPr>
          <w:pgSz w:w="11900" w:h="16838" w:orient="portrait"/>
          <w:cols w:equalWidth="0" w:num="2">
            <w:col w:w="5420" w:space="300"/>
            <w:col w:w="5520"/>
          </w:cols>
          <w:pgMar w:left="320" w:top="140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tabs>
          <w:tab w:leader="none" w:pos="140" w:val="left"/>
          <w:tab w:leader="none" w:pos="120" w:val="left"/>
        </w:tabs>
        <w:rPr>
          <w:sz w:val="20"/>
          <w:szCs w:val="20"/>
          <w:color w:val="auto"/>
        </w:rPr>
      </w:pPr>
      <w:r>
        <w:rPr>
          <w:rFonts w:ascii="Calibri" w:cs="Calibri" w:eastAsia="Calibri" w:hAnsi="Calibri"/>
          <w:sz w:val="18"/>
          <w:szCs w:val="18"/>
          <w:color w:val="auto"/>
        </w:rPr>
        <w:t>*</w:t>
        <w:tab/>
        <w:t>*</w:t>
        <w:tab/>
        <w:t>*</w:t>
      </w:r>
    </w:p>
    <w:p>
      <w:pPr>
        <w:spacing w:after="0" w:line="200" w:lineRule="exact"/>
        <w:rPr>
          <w:sz w:val="20"/>
          <w:szCs w:val="20"/>
          <w:color w:val="auto"/>
        </w:rPr>
      </w:pP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Board knows of no other maters that will be presented for consideraton during the Annual Meetng. If any other maters are properly brought before the Annual Meetng, the persons appointed in the accompanying proxy intend to vote the shares represented thereby in accordance with their best judgment on such maters, under applicable laws.</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important that your shares of our common stock be represented during the Annual Meetng,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BOARD OF DIRECTORS</w:t>
      </w:r>
    </w:p>
    <w:p>
      <w:pPr>
        <w:spacing w:after="0" w:line="235" w:lineRule="auto"/>
        <w:rPr>
          <w:sz w:val="20"/>
          <w:szCs w:val="20"/>
          <w:color w:val="auto"/>
        </w:rPr>
      </w:pPr>
      <w:r>
        <w:rPr>
          <w:rFonts w:ascii="Calibri" w:cs="Calibri" w:eastAsia="Calibri" w:hAnsi="Calibri"/>
          <w:sz w:val="18"/>
          <w:szCs w:val="18"/>
          <w:color w:val="auto"/>
        </w:rPr>
        <w:t>San Francisco, California</w:t>
      </w:r>
    </w:p>
    <w:p>
      <w:pPr>
        <w:spacing w:after="0" w:line="236" w:lineRule="auto"/>
        <w:rPr>
          <w:sz w:val="20"/>
          <w:szCs w:val="20"/>
          <w:color w:val="auto"/>
        </w:rPr>
      </w:pPr>
      <w:r>
        <w:rPr>
          <w:rFonts w:ascii="Calibri" w:cs="Calibri" w:eastAsia="Calibri" w:hAnsi="Calibri"/>
          <w:sz w:val="18"/>
          <w:szCs w:val="18"/>
          <w:color w:val="auto"/>
        </w:rPr>
        <w:t>October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ectPr>
          <w:pgSz w:w="11900" w:h="16838" w:orient="portrait"/>
          <w:cols w:equalWidth="0" w:num="1">
            <w:col w:w="11240"/>
          </w:cols>
          <w:pgMar w:left="320" w:top="1405" w:right="339" w:bottom="1440" w:gutter="0" w:footer="0" w:header="0"/>
          <w:type w:val="continuous"/>
        </w:sectPr>
      </w:pPr>
    </w:p>
    <w:bookmarkStart w:id="54" w:name="page55"/>
    <w:bookmarkEnd w:id="54"/>
    <w:p>
      <w:pPr>
        <w:jc w:val="center"/>
        <w:ind w:right="-19"/>
        <w:spacing w:after="0"/>
        <w:rPr>
          <w:sz w:val="20"/>
          <w:szCs w:val="20"/>
          <w:color w:val="auto"/>
        </w:rPr>
      </w:pPr>
      <w:r>
        <w:rPr>
          <w:rFonts w:ascii="Calibri" w:cs="Calibri" w:eastAsia="Calibri" w:hAnsi="Calibri"/>
          <w:sz w:val="18"/>
          <w:szCs w:val="18"/>
          <w:b w:val="1"/>
          <w:bCs w:val="1"/>
          <w:color w:val="auto"/>
        </w:rPr>
        <w:t>APPENDIX A</w:t>
      </w:r>
    </w:p>
    <w:p>
      <w:pPr>
        <w:spacing w:after="0" w:line="24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The following tables present a reconciliaton of revenue less transacton costs and adjusted operatng income (loss) to their most directly comparable fnancial measures prepared in accordance with GAAP for each of the periods indicated.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Year Ended June 30,</w:t>
            </w:r>
          </w:p>
        </w:tc>
        <w:tc>
          <w:tcPr>
            <w:tcW w:w="960" w:type="dxa"/>
            <w:vAlign w:val="bottom"/>
          </w:tcPr>
          <w:p>
            <w:pPr>
              <w:spacing w:after="0"/>
              <w:rPr>
                <w:sz w:val="16"/>
                <w:szCs w:val="16"/>
                <w:color w:val="auto"/>
              </w:rPr>
            </w:pPr>
          </w:p>
        </w:tc>
      </w:tr>
      <w:tr>
        <w:trPr>
          <w:trHeight w:val="41"/>
        </w:trPr>
        <w:tc>
          <w:tcPr>
            <w:tcW w:w="79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6"/>
        </w:trPr>
        <w:tc>
          <w:tcPr>
            <w:tcW w:w="7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ind w:right="559"/>
              <w:spacing w:after="0"/>
              <w:rPr>
                <w:sz w:val="20"/>
                <w:szCs w:val="20"/>
                <w:color w:val="auto"/>
              </w:rPr>
            </w:pPr>
            <w:r>
              <w:rPr>
                <w:rFonts w:ascii="Calibri" w:cs="Calibri" w:eastAsia="Calibri" w:hAnsi="Calibri"/>
                <w:sz w:val="16"/>
                <w:szCs w:val="16"/>
                <w:b w:val="1"/>
                <w:bCs w:val="1"/>
                <w:color w:val="auto"/>
                <w:w w:val="92"/>
              </w:rPr>
              <w:t>2021</w:t>
            </w:r>
          </w:p>
        </w:tc>
      </w:tr>
      <w:tr>
        <w:trPr>
          <w:trHeight w:val="41"/>
        </w:trPr>
        <w:tc>
          <w:tcPr>
            <w:tcW w:w="79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r>
      <w:tr>
        <w:trPr>
          <w:trHeight w:val="236"/>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4"/>
          </w:tcPr>
          <w:p>
            <w:pPr>
              <w:jc w:val="right"/>
              <w:ind w:right="699"/>
              <w:spacing w:after="0"/>
              <w:rPr>
                <w:sz w:val="20"/>
                <w:szCs w:val="20"/>
                <w:color w:val="auto"/>
              </w:rPr>
            </w:pPr>
            <w:r>
              <w:rPr>
                <w:rFonts w:ascii="Calibri" w:cs="Calibri" w:eastAsia="Calibri" w:hAnsi="Calibri"/>
                <w:sz w:val="16"/>
                <w:szCs w:val="16"/>
                <w:color w:val="auto"/>
              </w:rPr>
              <w:t>(in thousands)(unaudited)</w:t>
            </w:r>
          </w:p>
        </w:tc>
      </w:tr>
      <w:tr>
        <w:trPr>
          <w:trHeight w:val="41"/>
        </w:trPr>
        <w:tc>
          <w:tcPr>
            <w:tcW w:w="7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3"/>
        </w:trPr>
        <w:tc>
          <w:tcPr>
            <w:tcW w:w="7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b w:val="1"/>
                <w:bCs w:val="1"/>
                <w:color w:val="auto"/>
              </w:rPr>
              <w:t>Total Revenue, net</w:t>
            </w:r>
          </w:p>
        </w:tc>
        <w:tc>
          <w:tcPr>
            <w:tcW w:w="360" w:type="dxa"/>
            <w:vAlign w:val="bottom"/>
            <w:tcBorders>
              <w:bottom w:val="single" w:sz="8" w:color="DBDBDB"/>
            </w:tcBorders>
            <w:shd w:val="clear" w:color="auto" w:fill="DBDBDB"/>
          </w:tcPr>
          <w:p>
            <w:pPr>
              <w:jc w:val="right"/>
              <w:ind w:right="179"/>
              <w:spacing w:after="0"/>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1,349,292</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jc w:val="right"/>
              <w:ind w:right="459"/>
              <w:spacing w:after="0"/>
              <w:rPr>
                <w:sz w:val="20"/>
                <w:szCs w:val="20"/>
                <w:color w:val="auto"/>
              </w:rPr>
            </w:pPr>
            <w:r>
              <w:rPr>
                <w:rFonts w:ascii="Calibri" w:cs="Calibri" w:eastAsia="Calibri" w:hAnsi="Calibri"/>
                <w:sz w:val="16"/>
                <w:szCs w:val="16"/>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870,464</w:t>
            </w:r>
          </w:p>
        </w:tc>
      </w:tr>
      <w:tr>
        <w:trPr>
          <w:trHeight w:val="202"/>
        </w:trPr>
        <w:tc>
          <w:tcPr>
            <w:tcW w:w="7960" w:type="dxa"/>
            <w:vAlign w:val="bottom"/>
          </w:tcPr>
          <w:p>
            <w:pPr>
              <w:ind w:left="140"/>
              <w:spacing w:after="0"/>
              <w:rPr>
                <w:sz w:val="20"/>
                <w:szCs w:val="20"/>
                <w:color w:val="auto"/>
              </w:rPr>
            </w:pPr>
            <w:r>
              <w:rPr>
                <w:rFonts w:ascii="Calibri" w:cs="Calibri" w:eastAsia="Calibri" w:hAnsi="Calibri"/>
                <w:sz w:val="16"/>
                <w:szCs w:val="16"/>
                <w:color w:val="auto"/>
              </w:rPr>
              <w:t>Less: Loss on loan purchase commitment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204,081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246,700</w:t>
            </w:r>
          </w:p>
        </w:tc>
      </w:tr>
      <w:tr>
        <w:trPr>
          <w:trHeight w:val="41"/>
        </w:trPr>
        <w:tc>
          <w:tcPr>
            <w:tcW w:w="7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3"/>
        </w:trPr>
        <w:tc>
          <w:tcPr>
            <w:tcW w:w="796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6"/>
                <w:szCs w:val="16"/>
                <w:color w:val="auto"/>
              </w:rPr>
              <w:t>Less: Provision for credit losses</w:t>
            </w:r>
          </w:p>
        </w:tc>
        <w:tc>
          <w:tcPr>
            <w:tcW w:w="360" w:type="dxa"/>
            <w:vAlign w:val="bottom"/>
            <w:tcBorders>
              <w:bottom w:val="single" w:sz="8" w:color="DBDBDB"/>
            </w:tcBorders>
            <w:shd w:val="clear" w:color="auto" w:fill="DBDBDB"/>
          </w:tcPr>
          <w:p>
            <w:pPr>
              <w:spacing w:after="0"/>
              <w:rPr>
                <w:sz w:val="19"/>
                <w:szCs w:val="19"/>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255,272</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65,878</w:t>
            </w:r>
          </w:p>
        </w:tc>
      </w:tr>
      <w:tr>
        <w:trPr>
          <w:trHeight w:val="202"/>
        </w:trPr>
        <w:tc>
          <w:tcPr>
            <w:tcW w:w="7960" w:type="dxa"/>
            <w:vAlign w:val="bottom"/>
          </w:tcPr>
          <w:p>
            <w:pPr>
              <w:ind w:left="140"/>
              <w:spacing w:after="0"/>
              <w:rPr>
                <w:sz w:val="20"/>
                <w:szCs w:val="20"/>
                <w:color w:val="auto"/>
              </w:rPr>
            </w:pPr>
            <w:r>
              <w:rPr>
                <w:rFonts w:ascii="Calibri" w:cs="Calibri" w:eastAsia="Calibri" w:hAnsi="Calibri"/>
                <w:sz w:val="16"/>
                <w:szCs w:val="16"/>
                <w:color w:val="auto"/>
              </w:rPr>
              <w:t>Less: Funding costs</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69,694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52,700</w:t>
            </w:r>
          </w:p>
        </w:tc>
      </w:tr>
      <w:tr>
        <w:trPr>
          <w:trHeight w:val="41"/>
        </w:trPr>
        <w:tc>
          <w:tcPr>
            <w:tcW w:w="7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3"/>
        </w:trPr>
        <w:tc>
          <w:tcPr>
            <w:tcW w:w="796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6"/>
                <w:szCs w:val="16"/>
                <w:color w:val="auto"/>
              </w:rPr>
              <w:t>Less: Processing and servicing</w:t>
            </w:r>
          </w:p>
        </w:tc>
        <w:tc>
          <w:tcPr>
            <w:tcW w:w="3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157,814</w:t>
            </w:r>
          </w:p>
        </w:tc>
        <w:tc>
          <w:tcPr>
            <w:tcW w:w="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73,578</w:t>
            </w:r>
          </w:p>
        </w:tc>
      </w:tr>
      <w:tr>
        <w:trPr>
          <w:trHeight w:val="196"/>
        </w:trPr>
        <w:tc>
          <w:tcPr>
            <w:tcW w:w="7960" w:type="dxa"/>
            <w:vAlign w:val="bottom"/>
          </w:tcPr>
          <w:p>
            <w:pPr>
              <w:ind w:left="20"/>
              <w:spacing w:after="0"/>
              <w:rPr>
                <w:sz w:val="20"/>
                <w:szCs w:val="20"/>
                <w:color w:val="auto"/>
              </w:rPr>
            </w:pPr>
            <w:r>
              <w:rPr>
                <w:rFonts w:ascii="Calibri" w:cs="Calibri" w:eastAsia="Calibri" w:hAnsi="Calibri"/>
                <w:sz w:val="16"/>
                <w:szCs w:val="16"/>
                <w:b w:val="1"/>
                <w:bCs w:val="1"/>
                <w:color w:val="auto"/>
              </w:rPr>
              <w:t>Revenue Less Transacton Costs (Non-GAAP)</w:t>
            </w:r>
          </w:p>
        </w:tc>
        <w:tc>
          <w:tcPr>
            <w:tcW w:w="360" w:type="dxa"/>
            <w:vAlign w:val="bottom"/>
            <w:tcBorders>
              <w:top w:val="single" w:sz="8" w:color="auto"/>
            </w:tcBorders>
          </w:tcPr>
          <w:p>
            <w:pPr>
              <w:jc w:val="right"/>
              <w:ind w:right="179"/>
              <w:spacing w:after="0"/>
              <w:rPr>
                <w:sz w:val="20"/>
                <w:szCs w:val="20"/>
                <w:color w:val="auto"/>
              </w:rPr>
            </w:pPr>
            <w:r>
              <w:rPr>
                <w:rFonts w:ascii="Calibri" w:cs="Calibri" w:eastAsia="Calibri" w:hAnsi="Calibri"/>
                <w:sz w:val="16"/>
                <w:szCs w:val="16"/>
                <w:b w:val="1"/>
                <w:bCs w:val="1"/>
                <w:color w:val="auto"/>
                <w:w w:val="97"/>
              </w:rPr>
              <w:t>$</w:t>
            </w:r>
          </w:p>
        </w:tc>
        <w:tc>
          <w:tcPr>
            <w:tcW w:w="124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b w:val="1"/>
                <w:bCs w:val="1"/>
                <w:color w:val="auto"/>
              </w:rPr>
              <w:t>662,431</w:t>
            </w:r>
          </w:p>
        </w:tc>
        <w:tc>
          <w:tcPr>
            <w:tcW w:w="8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Calibri" w:cs="Calibri" w:eastAsia="Calibri" w:hAnsi="Calibri"/>
                <w:sz w:val="16"/>
                <w:szCs w:val="16"/>
                <w:b w:val="1"/>
                <w:bCs w:val="1"/>
                <w:color w:val="auto"/>
                <w:w w:val="97"/>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6"/>
                <w:szCs w:val="16"/>
                <w:b w:val="1"/>
                <w:bCs w:val="1"/>
                <w:color w:val="auto"/>
              </w:rPr>
              <w:t>431,608</w:t>
            </w:r>
          </w:p>
        </w:tc>
      </w:tr>
      <w:tr>
        <w:trPr>
          <w:trHeight w:val="41"/>
        </w:trPr>
        <w:tc>
          <w:tcPr>
            <w:tcW w:w="796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96"/>
        </w:trPr>
        <w:tc>
          <w:tcPr>
            <w:tcW w:w="79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r>
      <w:tr>
        <w:trPr>
          <w:trHeight w:val="202"/>
        </w:trPr>
        <w:tc>
          <w:tcPr>
            <w:tcW w:w="7960" w:type="dxa"/>
            <w:vAlign w:val="bottom"/>
          </w:tcPr>
          <w:p>
            <w:pPr>
              <w:ind w:left="20"/>
              <w:spacing w:after="0"/>
              <w:rPr>
                <w:sz w:val="20"/>
                <w:szCs w:val="20"/>
                <w:color w:val="auto"/>
              </w:rPr>
            </w:pPr>
            <w:r>
              <w:rPr>
                <w:rFonts w:ascii="Calibri" w:cs="Calibri" w:eastAsia="Calibri" w:hAnsi="Calibri"/>
                <w:sz w:val="16"/>
                <w:szCs w:val="16"/>
                <w:b w:val="1"/>
                <w:bCs w:val="1"/>
                <w:color w:val="auto"/>
              </w:rPr>
              <w:t>Operatng (Loss) Income</w:t>
            </w:r>
          </w:p>
        </w:tc>
        <w:tc>
          <w:tcPr>
            <w:tcW w:w="360" w:type="dxa"/>
            <w:vAlign w:val="bottom"/>
          </w:tcPr>
          <w:p>
            <w:pPr>
              <w:jc w:val="right"/>
              <w:ind w:right="179"/>
              <w:spacing w:after="0"/>
              <w:rPr>
                <w:sz w:val="20"/>
                <w:szCs w:val="20"/>
                <w:color w:val="auto"/>
              </w:rPr>
            </w:pPr>
            <w:r>
              <w:rPr>
                <w:rFonts w:ascii="Calibri" w:cs="Calibri" w:eastAsia="Calibri" w:hAnsi="Calibri"/>
                <w:sz w:val="16"/>
                <w:szCs w:val="16"/>
                <w:color w:val="auto"/>
                <w:w w:val="97"/>
              </w:rPr>
              <w:t>$</w:t>
            </w:r>
          </w:p>
        </w:tc>
        <w:tc>
          <w:tcPr>
            <w:tcW w:w="1240" w:type="dxa"/>
            <w:vAlign w:val="bottom"/>
          </w:tcPr>
          <w:p>
            <w:pPr>
              <w:jc w:val="right"/>
              <w:spacing w:after="0"/>
              <w:rPr>
                <w:sz w:val="20"/>
                <w:szCs w:val="20"/>
                <w:color w:val="auto"/>
              </w:rPr>
            </w:pPr>
            <w:r>
              <w:rPr>
                <w:rFonts w:ascii="Calibri" w:cs="Calibri" w:eastAsia="Calibri" w:hAnsi="Calibri"/>
                <w:sz w:val="16"/>
                <w:szCs w:val="16"/>
                <w:color w:val="auto"/>
              </w:rPr>
              <w:t>(866,048)</w:t>
            </w:r>
          </w:p>
        </w:tc>
        <w:tc>
          <w:tcPr>
            <w:tcW w:w="80" w:type="dxa"/>
            <w:vAlign w:val="bottom"/>
          </w:tcPr>
          <w:p>
            <w:pPr>
              <w:spacing w:after="0"/>
              <w:rPr>
                <w:sz w:val="17"/>
                <w:szCs w:val="17"/>
                <w:color w:val="auto"/>
              </w:rPr>
            </w:pPr>
          </w:p>
        </w:tc>
        <w:tc>
          <w:tcPr>
            <w:tcW w:w="640" w:type="dxa"/>
            <w:vAlign w:val="bottom"/>
          </w:tcPr>
          <w:p>
            <w:pPr>
              <w:jc w:val="right"/>
              <w:ind w:right="459"/>
              <w:spacing w:after="0"/>
              <w:rPr>
                <w:sz w:val="20"/>
                <w:szCs w:val="20"/>
                <w:color w:val="auto"/>
              </w:rPr>
            </w:pPr>
            <w:r>
              <w:rPr>
                <w:rFonts w:ascii="Calibri" w:cs="Calibri" w:eastAsia="Calibri" w:hAnsi="Calibri"/>
                <w:sz w:val="16"/>
                <w:szCs w:val="16"/>
                <w:color w:val="auto"/>
                <w:w w:val="97"/>
              </w:rPr>
              <w:t>$</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(383,667)</w:t>
            </w:r>
          </w:p>
        </w:tc>
      </w:tr>
      <w:tr>
        <w:trPr>
          <w:trHeight w:val="41"/>
        </w:trPr>
        <w:tc>
          <w:tcPr>
            <w:tcW w:w="7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3"/>
        </w:trPr>
        <w:tc>
          <w:tcPr>
            <w:tcW w:w="796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6"/>
                <w:szCs w:val="16"/>
                <w:color w:val="auto"/>
              </w:rPr>
              <w:t>Add: Depreciaton and amortzaton</w:t>
            </w:r>
          </w:p>
        </w:tc>
        <w:tc>
          <w:tcPr>
            <w:tcW w:w="360" w:type="dxa"/>
            <w:vAlign w:val="bottom"/>
            <w:tcBorders>
              <w:bottom w:val="single" w:sz="8" w:color="DBDBDB"/>
            </w:tcBorders>
            <w:shd w:val="clear" w:color="auto" w:fill="DBDBDB"/>
          </w:tcPr>
          <w:p>
            <w:pPr>
              <w:spacing w:after="0"/>
              <w:rPr>
                <w:sz w:val="19"/>
                <w:szCs w:val="19"/>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52,722</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19,979</w:t>
            </w:r>
          </w:p>
        </w:tc>
      </w:tr>
      <w:tr>
        <w:trPr>
          <w:trHeight w:val="202"/>
        </w:trPr>
        <w:tc>
          <w:tcPr>
            <w:tcW w:w="7960" w:type="dxa"/>
            <w:vAlign w:val="bottom"/>
          </w:tcPr>
          <w:p>
            <w:pPr>
              <w:ind w:left="140"/>
              <w:spacing w:after="0"/>
              <w:rPr>
                <w:sz w:val="20"/>
                <w:szCs w:val="20"/>
                <w:color w:val="auto"/>
              </w:rPr>
            </w:pPr>
            <w:r>
              <w:rPr>
                <w:rFonts w:ascii="Calibri" w:cs="Calibri" w:eastAsia="Calibri" w:hAnsi="Calibri"/>
                <w:sz w:val="16"/>
                <w:szCs w:val="16"/>
                <w:color w:val="auto"/>
              </w:rPr>
              <w:t>Add: Stock-based compensaton included in operatng expenses</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390,983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292,507</w:t>
            </w:r>
          </w:p>
        </w:tc>
      </w:tr>
      <w:tr>
        <w:trPr>
          <w:trHeight w:val="41"/>
        </w:trPr>
        <w:tc>
          <w:tcPr>
            <w:tcW w:w="79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3"/>
        </w:trPr>
        <w:tc>
          <w:tcPr>
            <w:tcW w:w="7960" w:type="dxa"/>
            <w:vAlign w:val="bottom"/>
            <w:tcBorders>
              <w:bottom w:val="single" w:sz="8" w:color="DBDBDB"/>
            </w:tcBorders>
            <w:shd w:val="clear" w:color="auto" w:fill="DBDBDB"/>
          </w:tcPr>
          <w:p>
            <w:pPr>
              <w:ind w:left="140"/>
              <w:spacing w:after="0"/>
              <w:rPr>
                <w:sz w:val="20"/>
                <w:szCs w:val="20"/>
                <w:color w:val="auto"/>
              </w:rPr>
            </w:pPr>
            <w:r>
              <w:rPr>
                <w:rFonts w:ascii="Calibri" w:cs="Calibri" w:eastAsia="Calibri" w:hAnsi="Calibri"/>
                <w:sz w:val="16"/>
                <w:szCs w:val="16"/>
                <w:color w:val="auto"/>
              </w:rPr>
              <w:t>Add: Enterprise warrant and share-based expense</w:t>
            </w:r>
          </w:p>
        </w:tc>
        <w:tc>
          <w:tcPr>
            <w:tcW w:w="360" w:type="dxa"/>
            <w:vAlign w:val="bottom"/>
            <w:tcBorders>
              <w:bottom w:val="single" w:sz="8" w:color="DBDBDB"/>
            </w:tcBorders>
            <w:shd w:val="clear" w:color="auto" w:fill="DBDBDB"/>
          </w:tcPr>
          <w:p>
            <w:pPr>
              <w:spacing w:after="0"/>
              <w:rPr>
                <w:sz w:val="19"/>
                <w:szCs w:val="19"/>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343,268</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color w:val="auto"/>
              </w:rPr>
              <w:t>64,820</w:t>
            </w:r>
          </w:p>
        </w:tc>
      </w:tr>
      <w:tr>
        <w:trPr>
          <w:trHeight w:val="202"/>
        </w:trPr>
        <w:tc>
          <w:tcPr>
            <w:tcW w:w="7960" w:type="dxa"/>
            <w:vAlign w:val="bottom"/>
          </w:tcPr>
          <w:p>
            <w:pPr>
              <w:ind w:left="140"/>
              <w:spacing w:after="0"/>
              <w:rPr>
                <w:sz w:val="20"/>
                <w:szCs w:val="20"/>
                <w:color w:val="auto"/>
              </w:rPr>
            </w:pPr>
            <w:r>
              <w:rPr>
                <w:rFonts w:ascii="Calibri" w:cs="Calibri" w:eastAsia="Calibri" w:hAnsi="Calibri"/>
                <w:sz w:val="16"/>
                <w:szCs w:val="16"/>
                <w:color w:val="auto"/>
              </w:rPr>
              <w:t>Add: Other costs</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alibri" w:cs="Calibri" w:eastAsia="Calibri" w:hAnsi="Calibri"/>
                <w:sz w:val="16"/>
                <w:szCs w:val="16"/>
                <w:color w:val="auto"/>
              </w:rPr>
              <w:t>743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color w:val="auto"/>
              </w:rPr>
              <w:t>20,697</w:t>
            </w:r>
          </w:p>
        </w:tc>
      </w:tr>
      <w:tr>
        <w:trPr>
          <w:trHeight w:val="41"/>
        </w:trPr>
        <w:tc>
          <w:tcPr>
            <w:tcW w:w="7960" w:type="dxa"/>
            <w:vAlign w:val="bottom"/>
            <w:tcBorders>
              <w:bottom w:val="single" w:sz="8" w:color="DBDBDB"/>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6"/>
        </w:trPr>
        <w:tc>
          <w:tcPr>
            <w:tcW w:w="79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b w:val="1"/>
                <w:bCs w:val="1"/>
                <w:color w:val="auto"/>
              </w:rPr>
              <w:t>Adjusted Operatng Income (Loss) (Non-GAAP)</w:t>
            </w:r>
          </w:p>
        </w:tc>
        <w:tc>
          <w:tcPr>
            <w:tcW w:w="360" w:type="dxa"/>
            <w:vAlign w:val="bottom"/>
            <w:tcBorders>
              <w:bottom w:val="single" w:sz="8" w:color="DBDBDB"/>
            </w:tcBorders>
            <w:shd w:val="clear" w:color="auto" w:fill="DBDBDB"/>
          </w:tcPr>
          <w:p>
            <w:pPr>
              <w:jc w:val="right"/>
              <w:ind w:right="179"/>
              <w:spacing w:after="0"/>
              <w:rPr>
                <w:sz w:val="20"/>
                <w:szCs w:val="20"/>
                <w:color w:val="auto"/>
              </w:rPr>
            </w:pPr>
            <w:r>
              <w:rPr>
                <w:rFonts w:ascii="Calibri" w:cs="Calibri" w:eastAsia="Calibri" w:hAnsi="Calibri"/>
                <w:sz w:val="16"/>
                <w:szCs w:val="16"/>
                <w:b w:val="1"/>
                <w:bCs w:val="1"/>
                <w:color w:val="auto"/>
                <w:w w:val="97"/>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b w:val="1"/>
                <w:bCs w:val="1"/>
                <w:color w:val="auto"/>
              </w:rPr>
              <w:t>(78,332)</w:t>
            </w:r>
          </w:p>
        </w:tc>
        <w:tc>
          <w:tcPr>
            <w:tcW w:w="8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ind w:right="459"/>
              <w:spacing w:after="0"/>
              <w:rPr>
                <w:sz w:val="20"/>
                <w:szCs w:val="20"/>
                <w:color w:val="auto"/>
              </w:rPr>
            </w:pPr>
            <w:r>
              <w:rPr>
                <w:rFonts w:ascii="Calibri" w:cs="Calibri" w:eastAsia="Calibri" w:hAnsi="Calibri"/>
                <w:sz w:val="16"/>
                <w:szCs w:val="16"/>
                <w:b w:val="1"/>
                <w:bCs w:val="1"/>
                <w:color w:val="auto"/>
                <w:w w:val="97"/>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Calibri" w:cs="Calibri" w:eastAsia="Calibri" w:hAnsi="Calibri"/>
                <w:sz w:val="16"/>
                <w:szCs w:val="16"/>
                <w:b w:val="1"/>
                <w:bCs w:val="1"/>
                <w:color w:val="auto"/>
              </w:rPr>
              <w:t>14,336</w:t>
            </w:r>
          </w:p>
        </w:tc>
      </w:tr>
      <w:tr>
        <w:trPr>
          <w:trHeight w:val="20"/>
        </w:trPr>
        <w:tc>
          <w:tcPr>
            <w:tcW w:w="7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ectPr>
          <w:pgSz w:w="11900" w:h="16838" w:orient="portrait"/>
          <w:cols w:equalWidth="0" w:num="1">
            <w:col w:w="11240"/>
          </w:cols>
          <w:pgMar w:left="320" w:top="1408" w:right="33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243205</wp:posOffset>
            </wp:positionV>
            <wp:extent cx="6823710" cy="8829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823710" cy="8829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243205</wp:posOffset>
            </wp:positionV>
            <wp:extent cx="6823710" cy="8837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823710" cy="8837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lvl w:ilvl="1">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upperLetter"/>
      <w:start w:val="6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endash "/>
      <w:numFmt w:val="bullet"/>
      <w:start w:val="1"/>
    </w:lvl>
  </w:abstractNum>
  <w:abstractNum w:abstractNumId="9">
    <w:nsid w:val="51EAD36B"/>
    <w:multiLevelType w:val="hybridMultilevel"/>
    <w:lvl w:ilvl="0">
      <w:lvlJc w:val="left"/>
      <w:lvlText w:val="\endash "/>
      <w:numFmt w:val="bullet"/>
      <w:start w:val="1"/>
    </w:lvl>
  </w:abstractNum>
  <w:abstractNum w:abstractNumId="10">
    <w:nsid w:val="2D517796"/>
    <w:multiLevelType w:val="hybridMultilevel"/>
    <w:lvl w:ilvl="0">
      <w:lvlJc w:val="left"/>
      <w:lvlText w:val="\endash "/>
      <w:numFmt w:val="bullet"/>
      <w:start w:val="1"/>
    </w:lvl>
  </w:abstractNum>
  <w:abstractNum w:abstractNumId="11">
    <w:nsid w:val="580BD78F"/>
    <w:multiLevelType w:val="hybridMultilevel"/>
    <w:lvl w:ilvl="0">
      <w:lvlJc w:val="left"/>
      <w:lvlText w:val="\endash "/>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2"/>
    </w:lvl>
  </w:abstractNum>
  <w:abstractNum w:abstractNumId="16">
    <w:nsid w:val="2A487CB0"/>
    <w:multiLevelType w:val="hybridMultilevel"/>
    <w:lvl w:ilvl="0">
      <w:lvlJc w:val="left"/>
      <w:lvlText w:val="(%1)"/>
      <w:numFmt w:val="decimal"/>
      <w:start w:val="5"/>
    </w:lvl>
  </w:abstractNum>
  <w:abstractNum w:abstractNumId="17">
    <w:nsid w:val="1D4ED43B"/>
    <w:multiLevelType w:val="hybridMultilevel"/>
    <w:lvl w:ilvl="0">
      <w:lvlJc w:val="left"/>
      <w:lvlText w:val="&amp;"/>
      <w:numFmt w:val="bullet"/>
      <w:start w:val="1"/>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û"/>
      <w:numFmt w:val="bullet"/>
      <w:start w:val="1"/>
    </w:lvl>
  </w:abstractNum>
  <w:abstractNum w:abstractNumId="29">
    <w:nsid w:val="579478FE"/>
    <w:multiLevelType w:val="hybridMultilevel"/>
    <w:lvl w:ilvl="0">
      <w:lvlJc w:val="left"/>
      <w:lvlText w:val="û"/>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endash "/>
      <w:numFmt w:val="bullet"/>
      <w:start w:val="1"/>
    </w:lvl>
  </w:abstractNum>
  <w:abstractNum w:abstractNumId="40">
    <w:nsid w:val="23F9C13C"/>
    <w:multiLevelType w:val="hybridMultilevel"/>
    <w:lvl w:ilvl="0">
      <w:lvlJc w:val="left"/>
      <w:lvlText w:val="\endash "/>
      <w:numFmt w:val="bullet"/>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3"/>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2022-10-21T15:30:46Z</dcterms:created>
  <dcterms:modified xsi:type="dcterms:W3CDTF">2022-10-21T15:30:46Z</dcterms:modified>
</cp:coreProperties>
</file>