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Affirm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15,097,009.00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251,760.00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16,752,611.00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79,408.00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16,832,019.00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3"/>
        <w:gridCol w:w="8957"/>
        <w:gridCol w:w="155"/>
      </w:tblGrid>
      <w:tr>
        <w:trPr/>
        <w:tc>
          <w:tcPr>
            <w:tcW w:w="1093" w:type="dxa"/>
            <w:tcBorders/>
            <w:vAlign w:val="center"/>
          </w:tcPr>
          <w:p>
            <w:pPr>
              <w:pStyle w:val="TableContents"/>
              <w:bidi w:val="0"/>
              <w:spacing w:before="0" w:after="283"/>
              <w:jc w:val="left"/>
              <w:rPr/>
            </w:pPr>
            <w:r>
              <w:rPr/>
              <w:t>Item 1.</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issuer: </w:t>
            </w:r>
          </w:p>
          <w:p>
            <w:pPr>
              <w:pStyle w:val="TableContents"/>
              <w:bidi w:val="0"/>
              <w:spacing w:before="0" w:after="0"/>
              <w:jc w:val="left"/>
              <w:rPr/>
            </w:pPr>
            <w:r>
              <w:rPr/>
              <w:t>Affirm Holdings, Inc.</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650 CALIFORNIA STREET, SAN FRANCISCO, CALIFORNIA, 94108.</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2.</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 New York, NY 10017</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3.</w:t>
            </w:r>
          </w:p>
        </w:tc>
        <w:tc>
          <w:tcPr>
            <w:tcW w:w="895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(f)</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(g)</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(h)</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(j)</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(k)</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9112" w:type="dxa"/>
            <w:gridSpan w:val="2"/>
            <w:tcBorders/>
            <w:vAlign w:val="center"/>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4.</w:t>
            </w:r>
          </w:p>
        </w:tc>
        <w:tc>
          <w:tcPr>
            <w:tcW w:w="895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16,832,019</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15,097,009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251,760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16,752,611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79,408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5.</w:t>
            </w:r>
          </w:p>
        </w:tc>
        <w:tc>
          <w:tcPr>
            <w:tcW w:w="895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6.</w:t>
            </w:r>
          </w:p>
        </w:tc>
        <w:tc>
          <w:tcPr>
            <w:tcW w:w="895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7.</w:t>
            </w:r>
          </w:p>
        </w:tc>
        <w:tc>
          <w:tcPr>
            <w:tcW w:w="895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JPMorgan Asset Management (UK) Limited; J.P. MORGAN SE; J.P. Morgan (Suisse) SA; J.P. Morgan Investment Management Inc.; JPMorgan Asset Management (Taiwan) Limited; JPMorgan Asset Management (China) Company Limited; 55I, LLC</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8.</w:t>
            </w:r>
          </w:p>
        </w:tc>
        <w:tc>
          <w:tcPr>
            <w:tcW w:w="895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9.</w:t>
            </w:r>
          </w:p>
        </w:tc>
        <w:tc>
          <w:tcPr>
            <w:tcW w:w="895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832</Words>
  <Characters>4365</Characters>
  <CharactersWithSpaces>5188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