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8465931.xml.htm"/>
      <w:bookmarkStart w:id="1" w:name="kswkform4_178846593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Jiyane Siphelele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AFFIRM HOLDINGS,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221 MAIN ST., FLOOR 6</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FRANCISCO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94105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Affirm Holdings, Inc.</w:t>
              </w:r>
            </w:hyperlink>
            <w:r>
              <w:rPr/>
              <w:t xml:space="preserve"> [ </w:t>
            </w:r>
            <w:r>
              <w:rPr>
                <w:rFonts w:ascii="Times;serif" w:hAnsi="Times;serif"/>
                <w:color w:val="0000FF"/>
                <w:sz w:val="24"/>
                <w:shd w:fill="FFFFFF" w:val="clear"/>
              </w:rPr>
              <w:t>AFRM</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Accounting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89"/>
        <w:gridCol w:w="904"/>
        <w:gridCol w:w="773"/>
        <w:gridCol w:w="600"/>
        <w:gridCol w:w="349"/>
        <w:gridCol w:w="890"/>
        <w:gridCol w:w="456"/>
        <w:gridCol w:w="756"/>
        <w:gridCol w:w="1165"/>
        <w:gridCol w:w="999"/>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8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0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8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9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8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09/01/2026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9,038</w:t>
            </w:r>
          </w:p>
        </w:tc>
        <w:tc>
          <w:tcPr>
            <w:tcW w:w="4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244,249</w:t>
            </w:r>
          </w:p>
        </w:tc>
        <w:tc>
          <w:tcPr>
            <w:tcW w:w="9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8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09/01/2026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3,558</w:t>
            </w:r>
            <w:r>
              <w:rPr>
                <w:rFonts w:ascii="Times;serif" w:hAnsi="Times;serif"/>
                <w:color w:val="008000"/>
                <w:position w:val="7"/>
                <w:sz w:val="16"/>
                <w:sz w:val="20"/>
                <w:shd w:fill="FFFFFF" w:val="clear"/>
              </w:rPr>
              <w:t>(1)</w:t>
            </w:r>
          </w:p>
        </w:tc>
        <w:tc>
          <w:tcPr>
            <w:tcW w:w="4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69.94</w:t>
            </w:r>
          </w:p>
        </w:tc>
        <w:tc>
          <w:tcPr>
            <w:tcW w:w="11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240,691</w:t>
            </w:r>
          </w:p>
        </w:tc>
        <w:tc>
          <w:tcPr>
            <w:tcW w:w="9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96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276"/>
        <w:gridCol w:w="606"/>
        <w:gridCol w:w="906"/>
        <w:gridCol w:w="801"/>
        <w:gridCol w:w="891"/>
        <w:gridCol w:w="681"/>
        <w:gridCol w:w="801"/>
        <w:gridCol w:w="936"/>
        <w:gridCol w:w="831"/>
        <w:gridCol w:w="846"/>
      </w:tblGrid>
      <w:tr>
        <w:trPr>
          <w:tblHeader w:val="true"/>
        </w:trPr>
        <w:tc>
          <w:tcPr>
            <w:tcW w:w="1196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2,083</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6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2,083</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2,084</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3,333</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6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3,333</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6,667</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2,500</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6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7,500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1,122</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1,122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7,853</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the number of shares of the Issuer's Common Stock withheld to satisfy the Reporting Person's tax obligation in connection with the settlement of shares of Common Stock underlying the Reporting Person's restricted stock units that vested on September 1,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Each Restricted Stock Unit (RSU) represents a contingent right to receive one share of the Issuer's Class A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RSUs vest in equal quarterly installments for a period of three years beginning March 1, 2024, subject to the Reporting Person's continued employment with the Issuer as of each vesting date. This grant has no expiration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RSUs vest in equal quarterly installments for a period of three years beginning June 1, 2024, the vesting commencement date, subject to the Reporting Person's continued employment with the Issuer as of each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RSUs vest in equal quarterly installments for a period of three years beginning September 1, 2024, the vesting commencement date, subject to the Reporting Person's continued employment with the Issuer as of each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RSUs vest in equal quarterly installments for a period of three years beginning September 1, 2025, the vesting commencement date, subject to the Reporting Person's continued employment with the Issuer as of each vesting date.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Josh Samples,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32806" TargetMode="External"/><Relationship Id="rId5" Type="http://schemas.openxmlformats.org/officeDocument/2006/relationships/hyperlink" Target="http://www.sec.gov/cgi-bin/browse-edgar?action=getcompany&amp;CIK=000182095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860</Words>
  <Characters>4562</Characters>
  <CharactersWithSpaces>5292</CharactersWithSpaces>
  <Paragraphs>158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