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1540" w:right="1320" w:hanging="328"/>
        <w:spacing w:after="0" w:line="250" w:lineRule="auto"/>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83" w:lineRule="exact"/>
        <w:rPr>
          <w:sz w:val="24"/>
          <w:szCs w:val="24"/>
          <w:color w:val="auto"/>
        </w:rPr>
      </w:pPr>
    </w:p>
    <w:p>
      <w:pPr>
        <w:ind w:left="1540" w:right="1240" w:hanging="328"/>
        <w:spacing w:after="0" w:line="250" w:lineRule="auto"/>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001-39888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Affirm Holdings,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spacing w:after="0"/>
              <w:rPr>
                <w:sz w:val="20"/>
                <w:szCs w:val="20"/>
                <w:color w:val="auto"/>
              </w:rPr>
            </w:pPr>
          </w:p>
        </w:tc>
      </w:tr>
      <w:tr>
        <w:trPr>
          <w:trHeight w:val="31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650 California Street</w:t>
            </w:r>
          </w:p>
        </w:tc>
        <w:tc>
          <w:tcPr>
            <w:tcW w:w="3320" w:type="dxa"/>
            <w:vAlign w:val="bottom"/>
          </w:tcPr>
          <w:p>
            <w:pPr>
              <w:spacing w:after="0"/>
              <w:rPr>
                <w:sz w:val="24"/>
                <w:szCs w:val="24"/>
                <w:color w:val="auto"/>
              </w:rPr>
            </w:pPr>
          </w:p>
        </w:tc>
      </w:tr>
      <w:tr>
        <w:trPr>
          <w:trHeight w:val="283"/>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San Francisco, California</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94108</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984-0490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w w:val="97"/>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Class A common stock, par value $0.00001 per share</w:t>
            </w: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color w:val="auto"/>
              </w:rPr>
              <w:t>AFRM</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spacing w:after="0" w:line="184" w:lineRule="exact"/>
        <w:tabs>
          <w:tab w:leader="none" w:pos="5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2" w:lineRule="exact"/>
        <w:rPr>
          <w:sz w:val="24"/>
          <w:szCs w:val="24"/>
          <w:color w:val="auto"/>
        </w:rPr>
      </w:pPr>
    </w:p>
    <w:p>
      <w:pPr>
        <w:spacing w:after="0" w:line="184" w:lineRule="exact"/>
        <w:tabs>
          <w:tab w:leader="none" w:pos="5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jc w:val="both"/>
        <w:spacing w:after="0" w:line="30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40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9" w:lineRule="exact"/>
        <w:rPr>
          <w:sz w:val="24"/>
          <w:szCs w:val="24"/>
          <w:color w:val="auto"/>
        </w:rPr>
      </w:pPr>
    </w:p>
    <w:p>
      <w:pPr>
        <w:jc w:val="both"/>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0"/>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7"/>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62" w:orient="portrait"/>
          <w:cols w:equalWidth="0" w:num="1">
            <w:col w:w="11240"/>
          </w:cols>
          <w:pgMar w:left="320" w:top="1440" w:right="339" w:bottom="0" w:gutter="0" w:footer="0" w:header="0"/>
        </w:sectPr>
      </w:pPr>
    </w:p>
    <w:bookmarkStart w:id="1" w:name="page2"/>
    <w:bookmarkEnd w:id="1"/>
    <w:p>
      <w:pPr>
        <w:ind w:right="16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4" w:lineRule="exact"/>
        <w:rPr>
          <w:sz w:val="20"/>
          <w:szCs w:val="20"/>
          <w:color w:val="auto"/>
        </w:rPr>
      </w:pPr>
    </w:p>
    <w:p>
      <w:pPr>
        <w:spacing w:after="0" w:line="184" w:lineRule="exact"/>
        <w:tabs>
          <w:tab w:leader="none" w:pos="6860" w:val="left"/>
          <w:tab w:leader="none" w:pos="7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78"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As of December 31, 2021, the aggregate market value of the registrant’s Class A common stock held by non-affiliates was approximately $20.9 billion. As of August 22, 2022, the number of shares of the registrant’s Class A common stock outstanding was 228,959,103 and the number of shares of the registrant's Class B common stock outstanding was 60,109,756.</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herein by reference from the registrant’s definitive proxy statement relating to the Annual Meeting of Stockholders to be held in 2022, which definitive proxy statement shall be filed with the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1230630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9"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80" w:type="dxa"/>
            <w:vAlign w:val="bottom"/>
            <w:gridSpan w:val="9"/>
          </w:tcPr>
          <w:p>
            <w:pPr>
              <w:ind w:left="5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gridSpan w:val="5"/>
          </w:tcPr>
          <w:p>
            <w:pPr>
              <w:ind w:left="240"/>
              <w:spacing w:after="0"/>
              <w:rPr>
                <w:sz w:val="20"/>
                <w:szCs w:val="20"/>
                <w:color w:val="auto"/>
              </w:rPr>
            </w:pPr>
            <w:r>
              <w:rPr>
                <w:rFonts w:ascii="Arial" w:cs="Arial" w:eastAsia="Arial" w:hAnsi="Arial"/>
                <w:sz w:val="14"/>
                <w:szCs w:val="14"/>
                <w:b w:val="1"/>
                <w:bCs w:val="1"/>
                <w:color w:val="auto"/>
              </w:rPr>
              <w:t>Page</w:t>
            </w:r>
          </w:p>
        </w:tc>
      </w:tr>
      <w:tr>
        <w:trPr>
          <w:trHeight w:val="80"/>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144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10280" w:type="dxa"/>
            <w:vAlign w:val="bottom"/>
            <w:gridSpan w:val="31"/>
            <w:shd w:val="clear" w:color="auto" w:fill="CCEEFF"/>
          </w:tcPr>
          <w:p>
            <w:pPr>
              <w:spacing w:after="0" w:line="182" w:lineRule="exact"/>
              <w:rPr>
                <w:sz w:val="20"/>
                <w:szCs w:val="20"/>
                <w:color w:val="auto"/>
              </w:rPr>
            </w:pPr>
            <w:r>
              <w:rPr>
                <w:rFonts w:ascii="Arial" w:cs="Arial" w:eastAsia="Arial" w:hAnsi="Arial"/>
                <w:sz w:val="18"/>
                <w:szCs w:val="18"/>
                <w:color w:val="0000FF"/>
              </w:rPr>
              <w:t>Cover</w:t>
            </w:r>
          </w:p>
        </w:tc>
        <w:tc>
          <w:tcPr>
            <w:tcW w:w="760" w:type="dxa"/>
            <w:vAlign w:val="bottom"/>
            <w:gridSpan w:val="5"/>
            <w:shd w:val="clear" w:color="auto" w:fill="CCEEFF"/>
          </w:tcPr>
          <w:p>
            <w:pPr>
              <w:jc w:val="right"/>
              <w:ind w:right="20"/>
              <w:spacing w:after="0" w:line="182" w:lineRule="exact"/>
              <w:rPr>
                <w:sz w:val="20"/>
                <w:szCs w:val="20"/>
                <w:color w:val="auto"/>
              </w:rPr>
            </w:pPr>
            <w:r>
              <w:rPr>
                <w:rFonts w:ascii="Arial" w:cs="Arial" w:eastAsia="Arial" w:hAnsi="Arial"/>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Table of Contents</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Part I</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 Business</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1"/>
              </w:rPr>
              <w:t>Item 1A. Risk Factors</w:t>
            </w:r>
          </w:p>
        </w:tc>
        <w:tc>
          <w:tcPr>
            <w:tcW w:w="8460" w:type="dxa"/>
            <w:vAlign w:val="bottom"/>
            <w:gridSpan w:val="19"/>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1B. Unresolved Staff Comments</w:t>
            </w: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2. Properties</w:t>
            </w: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3. Legal Proceedings</w:t>
            </w: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Part II</w:t>
            </w: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93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20" w:type="dxa"/>
            <w:vAlign w:val="bottom"/>
            <w:gridSpan w:val="29"/>
            <w:shd w:val="clear" w:color="auto" w:fill="CCEEFF"/>
          </w:tcPr>
          <w:p>
            <w:pPr>
              <w:spacing w:after="0" w:line="189" w:lineRule="exact"/>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14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20" w:type="dxa"/>
            <w:vAlign w:val="bottom"/>
            <w:gridSpan w:val="29"/>
          </w:tcPr>
          <w:p>
            <w:pPr>
              <w:spacing w:after="0" w:line="189" w:lineRule="exact"/>
              <w:rPr>
                <w:sz w:val="20"/>
                <w:szCs w:val="20"/>
                <w:color w:val="auto"/>
              </w:rPr>
            </w:pPr>
            <w:r>
              <w:rPr>
                <w:rFonts w:ascii="Arial" w:cs="Arial" w:eastAsia="Arial" w:hAnsi="Arial"/>
                <w:sz w:val="18"/>
                <w:szCs w:val="18"/>
                <w:color w:val="0000FF"/>
              </w:rPr>
              <w:t>Item 6. [Reserved]</w:t>
            </w:r>
          </w:p>
        </w:tc>
        <w:tc>
          <w:tcPr>
            <w:tcW w:w="1440" w:type="dxa"/>
            <w:vAlign w:val="bottom"/>
          </w:tcPr>
          <w:p>
            <w:pPr>
              <w:spacing w:after="0"/>
              <w:rPr>
                <w:sz w:val="16"/>
                <w:szCs w:val="16"/>
                <w:color w:val="auto"/>
              </w:rPr>
            </w:pP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0"/>
              </w:rPr>
              <w:t>Item 7. Management's Discussion and Analysis of Financial Condition and Results of Operations</w:t>
            </w:r>
          </w:p>
        </w:tc>
        <w:tc>
          <w:tcPr>
            <w:tcW w:w="3060" w:type="dxa"/>
            <w:vAlign w:val="bottom"/>
            <w:gridSpan w:val="4"/>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59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26"/>
          </w:tcPr>
          <w:p>
            <w:pPr>
              <w:spacing w:after="0" w:line="189" w:lineRule="exact"/>
              <w:rPr>
                <w:sz w:val="20"/>
                <w:szCs w:val="20"/>
                <w:color w:val="auto"/>
              </w:rPr>
            </w:pPr>
            <w:r>
              <w:rPr>
                <w:rFonts w:ascii="Arial" w:cs="Arial" w:eastAsia="Arial" w:hAnsi="Arial"/>
                <w:sz w:val="18"/>
                <w:szCs w:val="18"/>
                <w:color w:val="0000FF"/>
              </w:rPr>
              <w:t>Item 7A. Quantitative and Qualitative Disclosures About Market Risk</w:t>
            </w:r>
          </w:p>
        </w:tc>
        <w:tc>
          <w:tcPr>
            <w:tcW w:w="3060" w:type="dxa"/>
            <w:vAlign w:val="bottom"/>
            <w:gridSpan w:val="4"/>
          </w:tcPr>
          <w:p>
            <w:pPr>
              <w:spacing w:after="0"/>
              <w:rPr>
                <w:sz w:val="16"/>
                <w:szCs w:val="16"/>
                <w:color w:val="auto"/>
              </w:rPr>
            </w:pPr>
          </w:p>
        </w:tc>
        <w:tc>
          <w:tcPr>
            <w:tcW w:w="74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83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8. Financial Statements and Supplementary Data</w:t>
            </w:r>
          </w:p>
        </w:tc>
        <w:tc>
          <w:tcPr>
            <w:tcW w:w="74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83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160</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0000FF"/>
            </w:tcBorders>
            <w:gridSpan w:val="17"/>
            <w:shd w:val="clear" w:color="auto" w:fill="CCEEFF"/>
          </w:tcPr>
          <w:p>
            <w:pPr>
              <w:spacing w:after="0" w:line="189" w:lineRule="exact"/>
              <w:rPr>
                <w:sz w:val="20"/>
                <w:szCs w:val="20"/>
                <w:color w:val="auto"/>
              </w:rPr>
            </w:pPr>
            <w:r>
              <w:rPr>
                <w:rFonts w:ascii="Arial" w:cs="Arial" w:eastAsia="Arial" w:hAnsi="Arial"/>
                <w:sz w:val="18"/>
                <w:szCs w:val="18"/>
                <w:color w:val="0000FF"/>
                <w:w w:val="89"/>
              </w:rPr>
              <w:t>Item 9A. Controls and Procedures</w:t>
            </w:r>
          </w:p>
        </w:tc>
        <w:tc>
          <w:tcPr>
            <w:tcW w:w="7600" w:type="dxa"/>
            <w:vAlign w:val="bottom"/>
            <w:tcBorders>
              <w:bottom w:val="single" w:sz="8" w:color="CCEEFF"/>
            </w:tcBorders>
            <w:gridSpan w:val="13"/>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160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9B. Other Information</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163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0000FF"/>
            </w:tcBorders>
            <w:gridSpan w:val="24"/>
            <w:shd w:val="clear" w:color="auto" w:fill="CCEEFF"/>
          </w:tcPr>
          <w:p>
            <w:pPr>
              <w:spacing w:after="0" w:line="189" w:lineRule="exact"/>
              <w:rPr>
                <w:sz w:val="20"/>
                <w:szCs w:val="20"/>
                <w:color w:val="auto"/>
              </w:rPr>
            </w:pPr>
            <w:r>
              <w:rPr>
                <w:rFonts w:ascii="Arial" w:cs="Arial" w:eastAsia="Arial" w:hAnsi="Arial"/>
                <w:sz w:val="18"/>
                <w:szCs w:val="18"/>
                <w:color w:val="0000FF"/>
                <w:w w:val="90"/>
              </w:rPr>
              <w:t>Item 9C. Disclosure Regarding Foreign Jurisdictions That Prevent Inspections</w:t>
            </w:r>
          </w:p>
        </w:tc>
        <w:tc>
          <w:tcPr>
            <w:tcW w:w="4420" w:type="dxa"/>
            <w:vAlign w:val="bottom"/>
            <w:tcBorders>
              <w:bottom w:val="single" w:sz="8" w:color="CCEEFF"/>
            </w:tcBorders>
            <w:gridSpan w:val="6"/>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163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Part III</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164</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0000FF"/>
            </w:tcBorders>
            <w:gridSpan w:val="22"/>
            <w:shd w:val="clear" w:color="auto" w:fill="CCEEFF"/>
          </w:tcPr>
          <w:p>
            <w:pPr>
              <w:spacing w:after="0" w:line="189" w:lineRule="exact"/>
              <w:rPr>
                <w:sz w:val="20"/>
                <w:szCs w:val="20"/>
                <w:color w:val="auto"/>
              </w:rPr>
            </w:pPr>
            <w:r>
              <w:rPr>
                <w:rFonts w:ascii="Arial" w:cs="Arial" w:eastAsia="Arial" w:hAnsi="Arial"/>
                <w:sz w:val="18"/>
                <w:szCs w:val="18"/>
                <w:color w:val="0000FF"/>
                <w:w w:val="90"/>
              </w:rPr>
              <w:t>Item 10. Directors, Executive Officers and Corporate Governance</w:t>
            </w:r>
          </w:p>
        </w:tc>
        <w:tc>
          <w:tcPr>
            <w:tcW w:w="5320" w:type="dxa"/>
            <w:vAlign w:val="bottom"/>
            <w:tcBorders>
              <w:bottom w:val="single" w:sz="8" w:color="CCEEFF"/>
            </w:tcBorders>
            <w:gridSpan w:val="8"/>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164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11. Executive Compensation</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164</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FF"/>
            </w:tcBorders>
            <w:gridSpan w:val="28"/>
            <w:shd w:val="clear" w:color="auto" w:fill="CCEEFF"/>
          </w:tcPr>
          <w:p>
            <w:pPr>
              <w:spacing w:after="0" w:line="189" w:lineRule="exact"/>
              <w:rPr>
                <w:sz w:val="20"/>
                <w:szCs w:val="20"/>
                <w:color w:val="auto"/>
              </w:rPr>
            </w:pPr>
            <w:r>
              <w:rPr>
                <w:rFonts w:ascii="Arial" w:cs="Arial" w:eastAsia="Arial" w:hAnsi="Arial"/>
                <w:sz w:val="18"/>
                <w:szCs w:val="18"/>
                <w:color w:val="0000FF"/>
                <w:w w:val="90"/>
              </w:rPr>
              <w:t>Item 12. Security Ownership of Certain Beneficial Owners and Management and Related Stockholder Matters</w:t>
            </w:r>
          </w:p>
        </w:tc>
        <w:tc>
          <w:tcPr>
            <w:tcW w:w="212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86"/>
              </w:rPr>
              <w:t>164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0"/>
          </w:tcPr>
          <w:p>
            <w:pPr>
              <w:spacing w:after="0" w:line="189"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164</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14. Principal Accountant Fees and Services</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31"/>
          </w:tcPr>
          <w:p>
            <w:pPr>
              <w:spacing w:after="0" w:line="189" w:lineRule="exact"/>
              <w:rPr>
                <w:sz w:val="20"/>
                <w:szCs w:val="20"/>
                <w:color w:val="auto"/>
              </w:rPr>
            </w:pPr>
            <w:r>
              <w:rPr>
                <w:rFonts w:ascii="Arial" w:cs="Arial" w:eastAsia="Arial" w:hAnsi="Arial"/>
                <w:sz w:val="18"/>
                <w:szCs w:val="18"/>
                <w:color w:val="0000FF"/>
              </w:rPr>
              <w:t>Part IV</w:t>
            </w:r>
          </w:p>
        </w:tc>
        <w:tc>
          <w:tcPr>
            <w:tcW w:w="76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165</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Item 15. Exhibits, Financial Statement Schedules</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166</w:t>
            </w: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540" w:type="dxa"/>
            <w:vAlign w:val="bottom"/>
            <w:tcBorders>
              <w:top w:val="single" w:sz="8" w:color="0000FF"/>
            </w:tcBorders>
            <w:gridSpan w:val="20"/>
          </w:tcPr>
          <w:p>
            <w:pPr>
              <w:spacing w:after="0" w:line="189" w:lineRule="exact"/>
              <w:rPr>
                <w:sz w:val="20"/>
                <w:szCs w:val="20"/>
                <w:color w:val="auto"/>
              </w:rPr>
            </w:pPr>
            <w:r>
              <w:rPr>
                <w:rFonts w:ascii="Arial" w:cs="Arial" w:eastAsia="Arial" w:hAnsi="Arial"/>
                <w:sz w:val="18"/>
                <w:szCs w:val="18"/>
                <w:color w:val="0000FF"/>
              </w:rPr>
              <w:t>Item 16. Form 10-K Summary</w:t>
            </w:r>
          </w:p>
        </w:tc>
        <w:tc>
          <w:tcPr>
            <w:tcW w:w="6520" w:type="dxa"/>
            <w:vAlign w:val="bottom"/>
            <w:tcBorders>
              <w:top w:val="single" w:sz="8" w:color="CCEEFF"/>
            </w:tcBorders>
            <w:gridSpan w:val="10"/>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3"/>
          </w:tcPr>
          <w:p>
            <w:pPr>
              <w:jc w:val="right"/>
              <w:spacing w:after="0" w:line="189" w:lineRule="exact"/>
              <w:rPr>
                <w:sz w:val="20"/>
                <w:szCs w:val="20"/>
                <w:color w:val="auto"/>
              </w:rPr>
            </w:pPr>
            <w:r>
              <w:rPr>
                <w:rFonts w:ascii="Arial" w:cs="Arial" w:eastAsia="Arial" w:hAnsi="Arial"/>
                <w:sz w:val="18"/>
                <w:szCs w:val="18"/>
                <w:color w:val="0000FF"/>
                <w:w w:val="86"/>
              </w:rPr>
              <w:t>168</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76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-4234180</wp:posOffset>
            </wp:positionV>
            <wp:extent cx="646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Annual Report on Form 10-K (“Form 10-K”),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new merchants and commerce partners and retain and grow our relationships with existing merchants and commerce partners;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innovation, introduction of, and demand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engage new originating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funding sources to support our business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and originated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macroeconomic conditions on our business, including the impacts of inflation and a rising interest rate environment;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10-K. Other sections of this Form 10-K may include additional factors that could harm our business and financial performance. Moreover, we operate in a very competitive, heavily regulated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addition, statements such as “we believe” and similar statements reflect our current beliefs and opinions on the relevant subject. These</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29"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(investors.affirm.com), our filings with the Securities and Exchange Commission,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0" w:lineRule="exact"/>
        <w:rPr>
          <w:sz w:val="20"/>
          <w:szCs w:val="20"/>
          <w:color w:val="auto"/>
        </w:rPr>
      </w:pPr>
    </w:p>
    <w:p>
      <w:pPr>
        <w:ind w:right="200" w:firstLine="648"/>
        <w:spacing w:after="0" w:line="307" w:lineRule="auto"/>
        <w:rPr>
          <w:sz w:val="20"/>
          <w:szCs w:val="20"/>
          <w:color w:val="auto"/>
        </w:rPr>
      </w:pPr>
      <w:r>
        <w:rPr>
          <w:rFonts w:ascii="Arial" w:cs="Arial" w:eastAsia="Arial" w:hAnsi="Arial"/>
          <w:sz w:val="16"/>
          <w:szCs w:val="16"/>
          <w:color w:val="auto"/>
        </w:rPr>
        <w:t>Affirm was founded in 2012 with a mission to deliver honest financial products that improve lives. We are building the next generation platform for digital and mobile-first commerce. We believe that by using modern technology, strong engineering talent, and a mission-driven approach, we can reinvent payments and commerce. Our solutions, which are built on trust and transparency, are designed to make it easier for consumers to spend responsibly and with confidence, easier for merchants and commerce platforms to convert sales and grow, and easier for commerce to thrive.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0" w:lineRule="exact"/>
        <w:rPr>
          <w:sz w:val="20"/>
          <w:szCs w:val="20"/>
          <w:color w:val="auto"/>
        </w:rPr>
      </w:pPr>
    </w:p>
    <w:p>
      <w:pPr>
        <w:ind w:firstLine="648"/>
        <w:spacing w:after="0" w:line="320" w:lineRule="auto"/>
        <w:rPr>
          <w:sz w:val="20"/>
          <w:szCs w:val="20"/>
          <w:color w:val="auto"/>
        </w:rPr>
      </w:pPr>
      <w:r>
        <w:rPr>
          <w:rFonts w:ascii="Arial" w:cs="Arial" w:eastAsia="Arial" w:hAnsi="Arial"/>
          <w:sz w:val="16"/>
          <w:szCs w:val="16"/>
          <w:color w:val="auto"/>
        </w:rPr>
        <w:t>Legacy payment options, archaic systems, and traditional risk and credit underwriting models can be harmful, deceptive, and restrictive to both consumers and merchants. We believe that they are not well-suited for increasingly digital and mobile-first commerce, and are built on legacy infrastructure that does not support the innovation required for modern commerce to evolve and flourish. Our platform is designed to address these problems.</w:t>
      </w:r>
    </w:p>
    <w:p>
      <w:pPr>
        <w:spacing w:after="0" w:line="16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Our company is predicated on the principles of simplicity, transparency, and putting people first. Since our founding, we have charged $0 in late fees for missed payments. We never profit from consumers’ mistakes, and we are always transparent in our product offerings. By adhering to these principles, we have built enduring, trust-based relationships with consumers and merchants.</w:t>
      </w:r>
    </w:p>
    <w:p>
      <w:pPr>
        <w:spacing w:after="0" w:line="203"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We believe that our technology, underwriting, and risk management are key competitive advantages. Our proprietary technology’s ability to price and assess risk at a transaction level provides a unique advantage compared to legacy payment and credit systems. Our approach to risk management is core to our business model and has been proven to lead to low fraud rates, higher approval rates compared to traditional credit underwriting models, and low credit losses. Our models have been built on billions of data points, including data from over 71 million loans and over seven years of repayments. Furthermore, our risk management models are designed to continuously improve over time, becoming more precise and efficient with each transaction powered by our platform.</w:t>
      </w:r>
    </w:p>
    <w:p>
      <w:pPr>
        <w:spacing w:after="0" w:line="210"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What this means for consumers is increased purchasing power and more control and flexibility. As of June 30, 2022, over 23 million consumers have trusted Affirm as their transaction partner. By utilizing our unique risk model predicated on sophisticated machine learning algorithms, proprietary data, and product-level underwriting, we can serve consumers across the credit spectrum and price risk across transaction types. Consumers on our platform represent a broad cross-section of society.</w:t>
      </w:r>
    </w:p>
    <w:p>
      <w:pPr>
        <w:spacing w:after="0" w:line="206"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For merchants, Affirm's commerce solutions help drive growth by enhancing demand generation and customer acquisition. Our platform is explicitly designed and engineered to integrate with a wide range of merchants. This is a point of differentiation for us, as we can accommodate and partner with merchants regardless of industry, size, average order value (“AOV”), or customer profile. As of June 30, 2022, we had approximately 235,000 active merchants, ranging from small businesses to large enterprises, direct-to-consumer brands, brick-and-mortar stores, and companies with an omni-channel presence. Our merchants span a diverse range of industries, including sporting goods and outdoors, furniture and homewares, travel and ticketing, apparel, accessories, consumer electronics, and jewelry. No single merchant accounted for more than 10% of total revenue for the fiscal year ended June 30, 2022.</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model is designed to align with the interests of both consumers and merchants.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From merchants, we typically earn a fee when we help them convert a sale and power a payment. Merchant fees depend on the individual arrangement between us and each merchant and vary based on the terms of the product offering; we generally earn larger merchant fees on 0% annual percentage rate (“APR”) financing products. We have two loan product offerings: Split Pay and Core loans. Split Pay is a short-term payment plan with 0% APR, while Core loans include all interest bearing installment loans and 0% APR monthly installment loans with term lengths greater than three months. For fiscal year ended June 30, 2022, Split Pay and Core 0% loans represented 22% and 21%, respectively, of total Gross Merchandise Volume (“GMV”) facilitated through our platform. For fiscal year ended June 30, 2021, Split Pay and Core 0% loans represented 11% and 32%, respectively, of total GMV. This structure incentivizes us to help our merchants convert sales and increase AOV through the commerce and technology solutions offered by our platform.</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consumers are never charged deferred or compounding interest or late fees, we are not incentivized to profit from our consumers’ mistakes or misfortunes.</w:t>
      </w:r>
    </w:p>
    <w:p>
      <w:pPr>
        <w:spacing w:after="0" w:line="22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also facilitate the issuance of virtual cards directly to consumers through our app, allowing them to shop with merchants that are not fully integrated with Affirm. When these virtual cards are used over established card networks, we earn a portion of the interchange fee from the transaction.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already achieved significant scale, facilitating consumer purchases of $15.5 billion in GMV in fiscal year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0" w:firstLine="648"/>
        <w:spacing w:after="0" w:line="265" w:lineRule="auto"/>
        <w:rPr>
          <w:sz w:val="20"/>
          <w:szCs w:val="20"/>
          <w:color w:val="auto"/>
        </w:rPr>
      </w:pPr>
      <w:r>
        <w:rPr>
          <w:rFonts w:ascii="Arial" w:cs="Arial" w:eastAsia="Arial" w:hAnsi="Arial"/>
          <w:sz w:val="18"/>
          <w:szCs w:val="18"/>
          <w:color w:val="auto"/>
        </w:rPr>
        <w:t>Our business transforms the way consumers and merchants transact by creating a powerful platform built upon honest financial products. Our platform comprises three core elements: point-of-sale payment solutions for consumers, merchant commerce solutions, and a consumer-focused app. We started our business with our core pay-over-time solution at checkout, and have since continued to innovate and expand our product suite by building and acquiring solutions that address the needs of both consumers and merchants. We plan to further add to our solutions over time so that we may offer more benefits to our consumers and merchants.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features</w:t>
      </w:r>
    </w:p>
    <w:p>
      <w:pPr>
        <w:spacing w:after="0" w:line="266" w:lineRule="exact"/>
        <w:rPr>
          <w:sz w:val="20"/>
          <w:szCs w:val="20"/>
          <w:color w:val="auto"/>
        </w:rPr>
      </w:pPr>
    </w:p>
    <w:p>
      <w:pPr>
        <w:ind w:left="660" w:hanging="328"/>
        <w:spacing w:after="0" w:line="26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Checkout. </w:t>
      </w:r>
      <w:r>
        <w:rPr>
          <w:rFonts w:ascii="Arial" w:cs="Arial" w:eastAsia="Arial" w:hAnsi="Arial"/>
          <w:sz w:val="18"/>
          <w:szCs w:val="18"/>
          <w:color w:val="auto"/>
        </w:rPr>
        <w:t>When purchasing from one of our partner merchants, consumers can choose Affirm as a payment method, giving them the option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 over time with terms ranging from 6 weeks to 60 months. We monitor merchants’ creditworthiness, consumer complaints and dispute rates, changes in consumer repayment behavior, and other data to give consumers the confidence that merchants integrated with Affirm are committed to delivering honest and delightful experiences.</w:t>
      </w:r>
    </w:p>
    <w:p>
      <w:pPr>
        <w:spacing w:after="0" w:line="209"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first borrowing. </w:t>
      </w:r>
      <w:r>
        <w:rPr>
          <w:rFonts w:ascii="Arial" w:cs="Arial" w:eastAsia="Arial" w:hAnsi="Arial"/>
          <w:sz w:val="18"/>
          <w:szCs w:val="18"/>
          <w:color w:val="auto"/>
        </w:rPr>
        <w:t>Our frictionless solution makes it easy for consumers to apply for a loan and be approved on the spot.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either 0% APR, where they pay no interest, or simple interest loans, where they pay fixed amounts of interest that never compound. We underwrite each transaction individually and—by never charging late fees—we do not profit when consumers fall behind. Our success is fundamentally aligned with our consumers’ success. Our proprietary risk model has consistently outperformed traditional credit models, enabling us to better help eligible consumers finance their purchases. Consumers never pay more than what they agreed to at checkout, even if they miss or are late on a payment.</w:t>
      </w:r>
    </w:p>
    <w:p>
      <w:pPr>
        <w:spacing w:after="0" w:line="22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Virtual card. </w:t>
      </w:r>
      <w:r>
        <w:rPr>
          <w:rFonts w:ascii="Arial" w:cs="Arial" w:eastAsia="Arial" w:hAnsi="Arial"/>
          <w:sz w:val="18"/>
          <w:szCs w:val="18"/>
          <w:color w:val="auto"/>
        </w:rPr>
        <w:t>Consumers can apply at affirm.com or via the Affirm app and, upon approval, receive a single-use virtual card to use digitally online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in-store at merchants that accept Visa cards. This allows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our consumers to use our pay-over-time solutions at merchants that are not integrated with Affirm. Merchants may also elect to use virtual cards as a method to facilitate the offering of the installment loans to allow their customer’s to pay over time.</w:t>
      </w:r>
    </w:p>
    <w:p>
      <w:pPr>
        <w:spacing w:after="0" w:line="211" w:lineRule="exact"/>
        <w:rPr>
          <w:sz w:val="20"/>
          <w:szCs w:val="20"/>
          <w:color w:val="auto"/>
        </w:rPr>
      </w:pPr>
    </w:p>
    <w:p>
      <w:pPr>
        <w:jc w:val="both"/>
        <w:ind w:left="660" w:right="28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app and marketplace. </w:t>
      </w:r>
      <w:r>
        <w:rPr>
          <w:rFonts w:ascii="Arial" w:cs="Arial" w:eastAsia="Arial" w:hAnsi="Arial"/>
          <w:sz w:val="18"/>
          <w:szCs w:val="18"/>
          <w:color w:val="auto"/>
        </w:rPr>
        <w:t>Our app provides tailored and exclusive offers from merchants based on consumers’ preferences. Consumers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use the app to set repayment dates that align with their monthly financial budgets. During the fiscal year ended June 30, 2022, 23% of our transactions occurred on the Affirm marketplace.</w:t>
      </w:r>
    </w:p>
    <w:p>
      <w:pPr>
        <w:spacing w:after="0" w:line="2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High-yield savings account. </w:t>
      </w:r>
      <w:r>
        <w:rPr>
          <w:rFonts w:ascii="Arial" w:cs="Arial" w:eastAsia="Arial" w:hAnsi="Arial"/>
          <w:sz w:val="18"/>
          <w:szCs w:val="18"/>
          <w:color w:val="auto"/>
        </w:rPr>
        <w:t>Through the Affirm app and in partnership with Cross River Bank, we offer an FDIC-insured,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savings account, with no minimum deposit requirements or fees.</w:t>
      </w:r>
    </w:p>
    <w:p>
      <w:pPr>
        <w:spacing w:after="0" w:line="21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Debit+ card. </w:t>
      </w:r>
      <w:r>
        <w:rPr>
          <w:rFonts w:ascii="Arial" w:cs="Arial" w:eastAsia="Arial" w:hAnsi="Arial"/>
          <w:sz w:val="18"/>
          <w:szCs w:val="18"/>
          <w:color w:val="auto"/>
        </w:rPr>
        <w:t>Through a physical card and/or the customer’s mobile wallet, and in partnership with Visa, Affirm Debit+ allows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pay upfront, from their bank account, or pay later, by using a unique post-purchase feature to instantly convert any eligible transaction into installments in the app.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features</w:t>
      </w:r>
    </w:p>
    <w:p>
      <w:pPr>
        <w:spacing w:after="0" w:line="252" w:lineRule="exact"/>
        <w:rPr>
          <w:sz w:val="20"/>
          <w:szCs w:val="20"/>
          <w:color w:val="auto"/>
        </w:rPr>
      </w:pPr>
    </w:p>
    <w:p>
      <w:pPr>
        <w:ind w:left="660" w:right="160" w:hanging="328"/>
        <w:spacing w:after="0" w:line="26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Affirm at Checkout</w:t>
      </w:r>
      <w:r>
        <w:rPr>
          <w:rFonts w:ascii="Arial" w:cs="Arial" w:eastAsia="Arial" w:hAnsi="Arial"/>
          <w:sz w:val="18"/>
          <w:szCs w:val="18"/>
          <w:color w:val="auto"/>
        </w:rPr>
        <w:t>. Through our direct application programming interface (“API”), designed for use by developers, merchants can easily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 Affirm into their payment and product pages, enabling merchants to achieve incremental sales, expand their target markets and increase customer conversion and loyalty by solving affordability for consumers. Our dollar-based merchant retention rate has consistently exceeded 100% for each cohort of merchants that joined our platform since 2016. We are also able to help merchants increase demand for higher net AOV items.</w:t>
      </w:r>
    </w:p>
    <w:p>
      <w:pPr>
        <w:spacing w:after="0" w:line="207" w:lineRule="exact"/>
        <w:rPr>
          <w:rFonts w:ascii="Arial" w:cs="Arial" w:eastAsia="Arial" w:hAnsi="Arial"/>
          <w:sz w:val="18"/>
          <w:szCs w:val="18"/>
          <w:color w:val="auto"/>
        </w:rPr>
      </w:pPr>
    </w:p>
    <w:p>
      <w:pPr>
        <w:ind w:left="660" w:right="80" w:hanging="328"/>
        <w:spacing w:after="0" w:line="264"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Flexible offerings that address a wider range of transactions. </w:t>
      </w:r>
      <w:r>
        <w:rPr>
          <w:rFonts w:ascii="Arial" w:cs="Arial" w:eastAsia="Arial" w:hAnsi="Arial"/>
          <w:sz w:val="18"/>
          <w:szCs w:val="18"/>
          <w:color w:val="auto"/>
        </w:rPr>
        <w:t>Merchants can offer either one or a combination of 0% APR and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pay-over-time offerings. Offering 0% APR financing to their customers is a compelling revenue accelerator for merchants, who are able to solve affordability for their customers without resorting to discounts. Merchants have the ability to subsidize and determine the range of interest rates to be paid by their customers.</w:t>
      </w:r>
    </w:p>
    <w:p>
      <w:pPr>
        <w:spacing w:after="0" w:line="223" w:lineRule="exact"/>
        <w:rPr>
          <w:rFonts w:ascii="Arial" w:cs="Arial" w:eastAsia="Arial" w:hAnsi="Arial"/>
          <w:sz w:val="18"/>
          <w:szCs w:val="18"/>
          <w:b w:val="1"/>
          <w:bCs w:val="1"/>
          <w:i w:val="1"/>
          <w:iCs w:val="1"/>
          <w:color w:val="auto"/>
        </w:rPr>
      </w:pPr>
    </w:p>
    <w:p>
      <w:pPr>
        <w:jc w:val="both"/>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Brand-sponsored and other promotional strategies. </w:t>
      </w:r>
      <w:r>
        <w:rPr>
          <w:rFonts w:ascii="Arial" w:cs="Arial" w:eastAsia="Arial" w:hAnsi="Arial"/>
          <w:sz w:val="18"/>
          <w:szCs w:val="18"/>
          <w:color w:val="auto"/>
        </w:rPr>
        <w:t>We have the ability to work with manufacturers on brand-specific promotional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These promotions are funded by suppliers and then made available through our merchants. The suppliers cover the costs of the lowered APR for their products, with no added costs to our merchants. This gives our merchants a powerful alternative to markdowns as they can increase sales with no impact to their margins. At the same time, suppliers can sell through additional volume. We also partner with merchants to reach consumers with other promotional strategies and offers.</w:t>
      </w:r>
    </w:p>
    <w:p>
      <w:pPr>
        <w:spacing w:after="0" w:line="224"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Merchant dashboard. </w:t>
      </w:r>
      <w:r>
        <w:rPr>
          <w:rFonts w:ascii="Arial" w:cs="Arial" w:eastAsia="Arial" w:hAnsi="Arial"/>
          <w:sz w:val="18"/>
          <w:szCs w:val="18"/>
          <w:color w:val="auto"/>
        </w:rPr>
        <w:t>Our merchant dashboard provides a robust user interface through which each merchant can view transaction data,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access API keys, and manage and configure the merchant’s Affirm account.</w:t>
      </w:r>
    </w:p>
    <w:p>
      <w:pPr>
        <w:spacing w:after="0" w:line="210"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We provide merchants with insightful analytics that help them understand how their various products are performing and other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to optimize conversion and customer acquisition costs.</w:t>
      </w:r>
    </w:p>
    <w:p>
      <w:pPr>
        <w:spacing w:after="0" w:line="197" w:lineRule="exact"/>
        <w:rPr>
          <w:rFonts w:ascii="Arial" w:cs="Arial" w:eastAsia="Arial" w:hAnsi="Arial"/>
          <w:sz w:val="18"/>
          <w:szCs w:val="18"/>
          <w:color w:val="auto"/>
        </w:rPr>
      </w:pPr>
    </w:p>
    <w:p>
      <w:pPr>
        <w:ind w:left="660" w:right="1000" w:hanging="328"/>
        <w:spacing w:after="0" w:line="29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Client success support. </w:t>
      </w:r>
      <w:r>
        <w:rPr>
          <w:rFonts w:ascii="Arial" w:cs="Arial" w:eastAsia="Arial" w:hAnsi="Arial"/>
          <w:sz w:val="18"/>
          <w:szCs w:val="18"/>
          <w:color w:val="auto"/>
        </w:rPr>
        <w:t>Our high-touch client success team partners with our merchants to analyze performance and provides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recommendations to optimize AOVs and conversion rates.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Affirm app. </w:t>
      </w:r>
      <w:r>
        <w:rPr>
          <w:rFonts w:ascii="Arial" w:cs="Arial" w:eastAsia="Arial" w:hAnsi="Arial"/>
          <w:sz w:val="17"/>
          <w:szCs w:val="17"/>
          <w:color w:val="auto"/>
        </w:rPr>
        <w:t>Merchants also have access to Affirm’s app, which provides a marketplace that allows them to efficiently reach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0" w:hanging="328"/>
        <w:spacing w:after="0" w:line="27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website and developer documentation. </w:t>
      </w:r>
      <w:r>
        <w:rPr>
          <w:rFonts w:ascii="Arial" w:cs="Arial" w:eastAsia="Arial" w:hAnsi="Arial"/>
          <w:sz w:val="18"/>
          <w:szCs w:val="18"/>
          <w:color w:val="auto"/>
        </w:rPr>
        <w:t>Our website contains extensive and engaging developer documentation designed to make it easy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developer to integrate via our direct API or other integrations, and to maximize the benefit of all that Affirm offers to both merchants and consumers.</w:t>
      </w:r>
    </w:p>
    <w:p>
      <w:pPr>
        <w:spacing w:after="0" w:line="203" w:lineRule="exact"/>
        <w:rPr>
          <w:rFonts w:ascii="Arial" w:cs="Arial" w:eastAsia="Arial" w:hAnsi="Arial"/>
          <w:sz w:val="18"/>
          <w:szCs w:val="18"/>
          <w:color w:val="auto"/>
        </w:rPr>
      </w:pPr>
    </w:p>
    <w:p>
      <w:pPr>
        <w:ind w:left="660" w:right="180" w:hanging="328"/>
        <w:spacing w:after="0" w:line="27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Affirm prequalification. </w:t>
      </w:r>
      <w:r>
        <w:rPr>
          <w:rFonts w:ascii="Arial" w:cs="Arial" w:eastAsia="Arial" w:hAnsi="Arial"/>
          <w:sz w:val="18"/>
          <w:szCs w:val="18"/>
          <w:color w:val="auto"/>
        </w:rPr>
        <w:t>By giving consumers the ability to prequalify, Affirm’s offering can be integrated earlier in the consumer’s journey.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this results in fewer abandoned carts and higher conversion rates. Prequalification also personalizes the shopping experience for consumers, since once prequalified they may receive customized offers based on their approval amount.</w:t>
      </w:r>
    </w:p>
    <w:p>
      <w:pPr>
        <w:spacing w:after="0" w:line="203" w:lineRule="exact"/>
        <w:rPr>
          <w:rFonts w:ascii="Arial" w:cs="Arial" w:eastAsia="Arial" w:hAnsi="Arial"/>
          <w:sz w:val="18"/>
          <w:szCs w:val="18"/>
          <w:color w:val="auto"/>
        </w:rPr>
      </w:pPr>
    </w:p>
    <w:p>
      <w:pPr>
        <w:jc w:val="both"/>
        <w:ind w:left="660" w:right="200" w:hanging="328"/>
        <w:spacing w:after="0" w:line="26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Simple and Compliant Solution. </w:t>
      </w:r>
      <w:r>
        <w:rPr>
          <w:rFonts w:ascii="Arial" w:cs="Arial" w:eastAsia="Arial" w:hAnsi="Arial"/>
          <w:sz w:val="18"/>
          <w:szCs w:val="18"/>
          <w:color w:val="auto"/>
        </w:rPr>
        <w:t>Our direct API, designed for use by developers, allows for site integration with minimal merchant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can easily incorporate our platform into payment and product pages, and we provide a dedicated integration team to assist with issue resolution. Once a merchant has integrated our API, we handle the regulatory aspect of the loans facilitated through our platform, irrespective of state, province, or jurisdiction.</w:t>
      </w:r>
    </w:p>
    <w:p>
      <w:pPr>
        <w:spacing w:after="0" w:line="206"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Returns management. </w:t>
      </w:r>
      <w:r>
        <w:rPr>
          <w:rFonts w:ascii="Arial" w:cs="Arial" w:eastAsia="Arial" w:hAnsi="Arial"/>
          <w:sz w:val="18"/>
          <w:szCs w:val="18"/>
          <w:color w:val="auto"/>
        </w:rPr>
        <w:t>Affirm completed its acquisition of Returnly in May 2021. Returnly helps merchants make product returns and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seamless. With Returnly, eligible consumers receive an instant merchant credit upon initiating a product return, allowing them to order a new or replacement item immediately versus waiting until their return is fully processed. Returnly assumes the product return risk from the merchant and settles orders in real time. Returnly’s offerings are designed to help merchants drive higher repurchase rates, increased revenue from returns and higher customer satisfaction.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a number of competitive advantages that will continue to contribute to our success.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network effects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benefit from self-reinforcing network effects, which are advantages that compound with each additional consumer and merchant that joins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network:</w:t>
      </w:r>
    </w:p>
    <w:p>
      <w:pPr>
        <w:spacing w:after="0" w:line="251" w:lineRule="exact"/>
        <w:rPr>
          <w:sz w:val="20"/>
          <w:szCs w:val="20"/>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consumers learn about the key benefits of our solutions, we believe more and more will choose to use our platform, and our consumer base will continue to grow.</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larger our consumer ecosystem, the more valuable it is to merchants, and the more compelling it is for merchants to offer Affirm as a payment option.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more merchants integrated into our network, the more reasons consumers have to shop with Affirm.</w:t>
      </w:r>
    </w:p>
    <w:p>
      <w:pPr>
        <w:spacing w:after="0" w:line="265" w:lineRule="exact"/>
        <w:rPr>
          <w:rFonts w:ascii="Arial" w:cs="Arial" w:eastAsia="Arial" w:hAnsi="Arial"/>
          <w:sz w:val="18"/>
          <w:szCs w:val="18"/>
          <w:color w:val="auto"/>
        </w:rPr>
      </w:pPr>
    </w:p>
    <w:p>
      <w:pPr>
        <w:ind w:left="660" w:right="120" w:hanging="328"/>
        <w:spacing w:after="0" w:line="26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costs decrease as a percentage of GMV as our consumer ecosystem expands. For example, the additional data we have on repeat consumers enables us to make better underwriting decisions and therefore generally results in proportionately lower provision for credit losses expense on GMV from repeat customers than from first time customers. For the fiscal years ended June 30, 2022 and 2021, 81% and 72% of the transactions facilitated through our platform were driven by repeat consumers.</w:t>
      </w:r>
    </w:p>
    <w:p>
      <w:pPr>
        <w:spacing w:after="0" w:line="209"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Improved direct expense efficiency enables us to create even more compelling offers for consumers and merchants, in turn attracting more consumers and merchants to our network.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result is that we are building a consumer and merchant ecosystem on our platform that we expect to continue to grow and monetize over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technology infrastructure</w:t>
      </w:r>
    </w:p>
    <w:p>
      <w:pPr>
        <w:spacing w:after="0" w:line="25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Technology is at the core of everything we do. Our solutions use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w:t>
      </w:r>
    </w:p>
    <w:p>
      <w:pPr>
        <w:spacing w:after="0" w:line="2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direct API also allows merchant partners to easily integrate Affirm. From the smallest direct-to-consumer online brand to the largest merchants running on mainframe computers, the technical aspects of integrating with Affirm are quick and painless. Full integration can be completed very quickly, often within days after signing our merchant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advantages that compound over time</w:t>
      </w:r>
    </w:p>
    <w:p>
      <w:pPr>
        <w:spacing w:after="0" w:line="252"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w:t>
      </w:r>
    </w:p>
    <w:p>
      <w:pPr>
        <w:spacing w:after="0" w:line="203" w:lineRule="exact"/>
        <w:rPr>
          <w:sz w:val="20"/>
          <w:szCs w:val="20"/>
          <w:color w:val="auto"/>
        </w:rPr>
      </w:pPr>
    </w:p>
    <w:p>
      <w:pPr>
        <w:ind w:right="80" w:firstLine="648"/>
        <w:spacing w:after="0" w:line="305" w:lineRule="auto"/>
        <w:rPr>
          <w:sz w:val="20"/>
          <w:szCs w:val="20"/>
          <w:color w:val="auto"/>
        </w:rPr>
      </w:pPr>
      <w:r>
        <w:rPr>
          <w:rFonts w:ascii="Arial" w:cs="Arial" w:eastAsia="Arial" w:hAnsi="Arial"/>
          <w:sz w:val="16"/>
          <w:szCs w:val="16"/>
          <w:color w:val="auto"/>
        </w:rPr>
        <w:t>Our technology is built to handle the immense scale of our data-driven operations — we are capable of processing thousands of checkouts per minute. Our machine learning-based risk models are currently calibrated and validated on billions of individual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In some cases, we also are able to access and leverage SKU-level data to assess and underwrite risk for individual transactions before extending access to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Better outcomes generated by our proprietary risk models</w:t>
      </w:r>
    </w:p>
    <w:p>
      <w:pPr>
        <w:spacing w:after="0" w:line="26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We believe our risk model informs our ability to better assess risk. Unlike legacy payment and credit systems, we can assess risk at a transaction level, rather than relying solely on a static consumer credit score. Our integration with our merchant partners allows us to consider the product that the consumer is purchasing when we assess a credit application. We believe our proprietary risk model has translated this advantage into the ability to increase approval rates without deterring consumers with higher APRs or increasing our rate of expected credit losses, enabling us to facilitate a greater volume of transactions from a wider and more diverse segment of consumers. The greater accuracy of our risk model also generally benefits our provision for credit losses on loans we retain.</w:t>
      </w:r>
    </w:p>
    <w:p>
      <w:pPr>
        <w:spacing w:after="0" w:line="21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continuously-learning risk model benefits from increasing scale. As data from new transactions are incorporated into our risk algorithms, we are able to more effectively assess a given credit profile.</w:t>
      </w:r>
    </w:p>
    <w:p>
      <w:pPr>
        <w:spacing w:after="0" w:line="211" w:lineRule="exact"/>
        <w:rPr>
          <w:sz w:val="20"/>
          <w:szCs w:val="20"/>
          <w:color w:val="auto"/>
        </w:rPr>
      </w:pPr>
    </w:p>
    <w:p>
      <w:pPr>
        <w:ind w:firstLine="648"/>
        <w:spacing w:after="0" w:line="320" w:lineRule="auto"/>
        <w:rPr>
          <w:sz w:val="20"/>
          <w:szCs w:val="20"/>
          <w:color w:val="auto"/>
        </w:rPr>
      </w:pPr>
      <w:r>
        <w:rPr>
          <w:rFonts w:ascii="Arial" w:cs="Arial" w:eastAsia="Arial" w:hAnsi="Arial"/>
          <w:sz w:val="16"/>
          <w:szCs w:val="16"/>
          <w:color w:val="auto"/>
        </w:rPr>
        <w:t>Our ability to quickly assess, price, and manage risk enables us to generate high quality assets that attract funding sources and generate predictable servicing and interest income as consumers repay over time. Our risk model is designed to comply with our originating bank partners’ credit policies and underwriting procedures and has been proven to lead to low fraud rates and higher approval rates compared to traditional credit underwriting models.</w:t>
      </w:r>
    </w:p>
    <w:p>
      <w:pPr>
        <w:spacing w:after="0" w:line="16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For more information on how our risk model automates the underwriting process for our originating bank partners, see </w:t>
      </w:r>
      <w:r>
        <w:rPr>
          <w:rFonts w:ascii="Arial" w:cs="Arial" w:eastAsia="Arial" w:hAnsi="Arial"/>
          <w:sz w:val="18"/>
          <w:szCs w:val="18"/>
          <w:i w:val="1"/>
          <w:iCs w:val="1"/>
          <w:color w:val="auto"/>
        </w:rPr>
        <w:t>“—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 — State and provincial licensing requirements and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capital markets expertise</w:t>
      </w:r>
    </w:p>
    <w:p>
      <w:pPr>
        <w:spacing w:after="0" w:line="252" w:lineRule="exact"/>
        <w:rPr>
          <w:sz w:val="20"/>
          <w:szCs w:val="20"/>
          <w:color w:val="auto"/>
        </w:rPr>
      </w:pPr>
    </w:p>
    <w:p>
      <w:pPr>
        <w:ind w:firstLine="648"/>
        <w:spacing w:after="0" w:line="300" w:lineRule="auto"/>
        <w:rPr>
          <w:sz w:val="20"/>
          <w:szCs w:val="20"/>
          <w:color w:val="auto"/>
        </w:rPr>
      </w:pPr>
      <w:r>
        <w:rPr>
          <w:rFonts w:ascii="Arial" w:cs="Arial" w:eastAsia="Arial" w:hAnsi="Arial"/>
          <w:sz w:val="16"/>
          <w:szCs w:val="16"/>
          <w:color w:val="auto"/>
        </w:rPr>
        <w:t>We believe our capital management strategy is a key competitive differentiator, enabling us to effectively scale our network, support GMV growth across our ecosystem, and efficiently recycle equity capital. Our durable funding model consists of three primary channels - warehouse facilities, programmatic issuance of term and revolving securitization transactions, and forward flow commitments. Within each channel, we endeavor to maximize our financial flexibility by partnering with a broad spectrum of counterparty profiles including depository institutions, investment banks, strategic investment funds, pension funds, asset managers, and insurance companies. By maintaining access to a diversified array of long-term funding sources and leveraging our proprietary underwriting process at the point-of-sale, we are able to monetize high-quality financial assets at scale.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56"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Our primary competition consists of: legacy payment methods, such as credit and debit cards, including those provided by card issuing banks such as Synchrony, J.P. Morgan Chase, Citibank, Bank of America, Capital One, Goldman Sachs, and American Express; technology solutions provided by payment companies such as Visa and MasterCard; mobile wallets such as PayPal and Apple; and other pay-over-time solutions offered by companies such as Block and Klarna as well as new pay-over-time offerings by legacy financial and payments companies, including those mentioned above.</w:t>
      </w:r>
    </w:p>
    <w:p>
      <w:pPr>
        <w:spacing w:after="0" w:line="193"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Our technology-driven platform also faces competition from a variety of players, including those who enable transactions and commerce via digital payments. Technology-enabled companies like ours are increasingly gaining market share from legacy financial institutions.</w:t>
      </w:r>
    </w:p>
    <w:p>
      <w:pPr>
        <w:spacing w:after="0" w:line="151" w:lineRule="exact"/>
        <w:rPr>
          <w:sz w:val="20"/>
          <w:szCs w:val="20"/>
          <w:color w:val="auto"/>
        </w:rPr>
      </w:pPr>
    </w:p>
    <w:p>
      <w:pPr>
        <w:ind w:right="40" w:firstLine="648"/>
        <w:spacing w:after="0" w:line="300" w:lineRule="auto"/>
        <w:rPr>
          <w:sz w:val="20"/>
          <w:szCs w:val="20"/>
          <w:color w:val="auto"/>
        </w:rPr>
      </w:pPr>
      <w:r>
        <w:rPr>
          <w:rFonts w:ascii="Arial" w:cs="Arial" w:eastAsia="Arial" w:hAnsi="Arial"/>
          <w:sz w:val="16"/>
          <w:szCs w:val="16"/>
          <w:color w:val="auto"/>
        </w:rPr>
        <w:t>We believe that we compete favorably based on our competitive advantages and are well-positioned to succeed in the market. However, many of our competitors are substantially larger than we are, which may give those competitors advantages we do not have at present, such as a more diversified product offering, a larger consumer and merchant base, the ability to reach more consumers and potential consumers, operational efficiencies, the ability to cross-subsidize their offerings through their other business lines, more versatile technology platforms, broad-based local distribution capabilities, and lower-cost funding. Our potential competitors may also have longer operating histories, more extensive and broader consumer and merchant relationships, and greater brand recognition and brand loyalty than we have. In addition, other established companies that possess large, existing consumer and merchant bases, substantial financial resources, or established distribution channels could also enter the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multi-pronged growth strategy is designed to build upon our momentum and unlock opportunities to create even greater value for consumers and merchants.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solutions for merchants and consumers</w:t>
      </w:r>
    </w:p>
    <w:p>
      <w:pPr>
        <w:spacing w:after="0" w:line="262" w:lineRule="exact"/>
        <w:rPr>
          <w:sz w:val="20"/>
          <w:szCs w:val="20"/>
          <w:color w:val="auto"/>
        </w:rPr>
      </w:pPr>
    </w:p>
    <w:p>
      <w:pPr>
        <w:ind w:left="660" w:right="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Innovate on new consumer product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continue to innovate and bring new honest financial products to market for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fiscal 2022, for example, we launched the Affirm Super App and Browser Extension, and see further opportunities to offer shopping services and rewards. We also launched beta releases for Affirm Debit+, a debit card that supports debit transactions and also enables consumers to split eligible purchases into installments via the app, and Crypto Savings, which enables consumers to have access to bitcoin via their Affirm Savings account.</w:t>
      </w:r>
    </w:p>
    <w:p>
      <w:pPr>
        <w:spacing w:after="0" w:line="224" w:lineRule="exact"/>
        <w:rPr>
          <w:rFonts w:ascii="Arial" w:cs="Arial" w:eastAsia="Arial" w:hAnsi="Arial"/>
          <w:sz w:val="18"/>
          <w:szCs w:val="18"/>
          <w:color w:val="auto"/>
        </w:rPr>
      </w:pPr>
    </w:p>
    <w:p>
      <w:pPr>
        <w:ind w:left="660" w:right="80" w:hanging="328"/>
        <w:spacing w:after="0" w:line="294"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merchant feature functionality. </w:t>
      </w:r>
      <w:r>
        <w:rPr>
          <w:rFonts w:ascii="Arial" w:cs="Arial" w:eastAsia="Arial" w:hAnsi="Arial"/>
          <w:sz w:val="17"/>
          <w:szCs w:val="17"/>
          <w:color w:val="auto"/>
        </w:rPr>
        <w:t>As we continue to help merchants increase conversion rates, AOVs, and customer satisfaction, we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build new tools to help them optimize their customer acquisition strategies and achieve even greater results. For example, during fiscal 2022, we launched Adaptive Checkout™, which dynamically provides optimized biweekly and monthly payment options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each transaction side-by-side in a single integrated checkout solution. In May 2021, Affirm acquired Returnly, which helps direct-to-consumer brands offer their shoppers an instant and seamless returns experience, which can help increase customer satisfaction and conversion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more higher frequency purchases</w:t>
      </w:r>
    </w:p>
    <w:p>
      <w:pPr>
        <w:spacing w:after="0" w:line="252" w:lineRule="exact"/>
        <w:rPr>
          <w:sz w:val="20"/>
          <w:szCs w:val="20"/>
          <w:color w:val="auto"/>
        </w:rPr>
      </w:pPr>
    </w:p>
    <w:p>
      <w:pPr>
        <w:ind w:right="120" w:firstLine="648"/>
        <w:spacing w:after="0" w:line="265" w:lineRule="auto"/>
        <w:rPr>
          <w:sz w:val="20"/>
          <w:szCs w:val="20"/>
          <w:color w:val="auto"/>
        </w:rPr>
      </w:pPr>
      <w:r>
        <w:rPr>
          <w:rFonts w:ascii="Arial" w:cs="Arial" w:eastAsia="Arial" w:hAnsi="Arial"/>
          <w:sz w:val="18"/>
          <w:szCs w:val="18"/>
          <w:color w:val="auto"/>
        </w:rPr>
        <w:t>We have successfully demonstrated how our solutions can enable and accelerate commerce for larger and considered purchases. A key principle for our next phase of growth is expanding into higher frequency purchases, which we believe will position us to increase engagement with consumers and merchants. We believe this will lead to increased transaction volume on our platform, as well as the expansion of our consumer and merchant network. As of June 30, 2022, we had approximately 3.0 transactions per active consumer, an increase of approximately 31% compared to June 30, 2021 and an increase of 41% compared to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consumer reach</w:t>
      </w:r>
    </w:p>
    <w:p>
      <w:pPr>
        <w:spacing w:after="0" w:line="266" w:lineRule="exact"/>
        <w:rPr>
          <w:sz w:val="20"/>
          <w:szCs w:val="20"/>
          <w:color w:val="auto"/>
        </w:rPr>
      </w:pPr>
    </w:p>
    <w:p>
      <w:pPr>
        <w:ind w:left="660" w:right="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 more consumers to our network. </w:t>
      </w:r>
      <w:r>
        <w:rPr>
          <w:rFonts w:ascii="Arial" w:cs="Arial" w:eastAsia="Arial" w:hAnsi="Arial"/>
          <w:sz w:val="18"/>
          <w:szCs w:val="18"/>
          <w:color w:val="auto"/>
        </w:rPr>
        <w:t>We will continue marketing across new and existing channels to increase brand awareness with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211" w:lineRule="exact"/>
        <w:rPr>
          <w:rFonts w:ascii="Arial" w:cs="Arial" w:eastAsia="Arial" w:hAnsi="Arial"/>
          <w:sz w:val="18"/>
          <w:szCs w:val="18"/>
          <w:color w:val="auto"/>
        </w:rPr>
      </w:pPr>
    </w:p>
    <w:p>
      <w:pPr>
        <w:ind w:left="660" w:right="540" w:hanging="328"/>
        <w:spacing w:after="0" w:line="29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repeat use. </w:t>
      </w:r>
      <w:r>
        <w:rPr>
          <w:rFonts w:ascii="Arial" w:cs="Arial" w:eastAsia="Arial" w:hAnsi="Arial"/>
          <w:sz w:val="18"/>
          <w:szCs w:val="18"/>
          <w:color w:val="auto"/>
        </w:rPr>
        <w:t>We aim to continue driving further repeat use of our platform as we serve consumers beyond their initial purchase via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consumer-centric tools, offerings and the increased diversity of merchants on our network.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merchant reach</w:t>
      </w:r>
    </w:p>
    <w:p>
      <w:pPr>
        <w:spacing w:after="0" w:line="266" w:lineRule="exact"/>
        <w:rPr>
          <w:sz w:val="20"/>
          <w:szCs w:val="20"/>
          <w:color w:val="auto"/>
        </w:rPr>
      </w:pPr>
    </w:p>
    <w:p>
      <w:pPr>
        <w:ind w:left="660" w:right="420" w:hanging="328"/>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penetration with existing merchants. </w:t>
      </w:r>
      <w:r>
        <w:rPr>
          <w:rFonts w:ascii="Arial" w:cs="Arial" w:eastAsia="Arial" w:hAnsi="Arial"/>
          <w:sz w:val="18"/>
          <w:szCs w:val="18"/>
          <w:color w:val="auto"/>
        </w:rPr>
        <w:t>Today, Affirm transactions represent a small percentage of the total transaction volume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As more consumers become aware of the ease and transparency of using Affirm, and as we proactively build relationships with merchants through our dedicated sales and customer success teams, we believe we can significantly increase our share of existing merchants’ overall transaction volumes.</w:t>
      </w:r>
    </w:p>
    <w:p>
      <w:pPr>
        <w:spacing w:after="0" w:line="205"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Increase the number of our merchant partnerships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have the opportunity to significantly increase the number of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on our network through both our dedicated sales team and business-to-business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new markets</w:t>
      </w:r>
    </w:p>
    <w:p>
      <w:pPr>
        <w:spacing w:after="0" w:line="252" w:lineRule="exact"/>
        <w:rPr>
          <w:sz w:val="20"/>
          <w:szCs w:val="20"/>
          <w:color w:val="auto"/>
        </w:rPr>
      </w:pPr>
    </w:p>
    <w:p>
      <w:pPr>
        <w:jc w:val="both"/>
        <w:ind w:right="200" w:firstLine="648"/>
        <w:spacing w:after="0" w:line="320" w:lineRule="auto"/>
        <w:rPr>
          <w:sz w:val="20"/>
          <w:szCs w:val="20"/>
          <w:color w:val="auto"/>
        </w:rPr>
      </w:pPr>
      <w:r>
        <w:rPr>
          <w:rFonts w:ascii="Arial" w:cs="Arial" w:eastAsia="Arial" w:hAnsi="Arial"/>
          <w:sz w:val="16"/>
          <w:szCs w:val="16"/>
          <w:color w:val="auto"/>
        </w:rPr>
        <w:t>We make our platform available to merchants and eligible consumers in the United States and Canada and, on a more limited basis, in Australia. We will continue to evaluate expanding our platform to new markets. Merchants and consumers anywhere can benefit from a more transparent, fair, and honest way to engage in commerce, and we see an opportunity to generate value in many new markets around the world through our platform.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Our products are built on a cloud-first platform engineered for temporally agnostic data aggregation, schematization, management, and decisioning, which enables our products to leverage years of deep behavioral,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financial, shopping, and payment data across all facets of our platform, from fraud and pricing, to personalization and repayment. Our vertically integrated technology powers a rich data landscape across products, which drives increased efficiency that unlocks greater scale. Increasing scale powers a flywheel that further drives incremental data capture and improves the efficiency of each transaction, and that efficiency allows us to more finely price transactions, measure risk, deliver value to our customers, and personalize consumer experiences.</w:t>
      </w:r>
    </w:p>
    <w:p>
      <w:pPr>
        <w:spacing w:after="0" w:line="22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invest in technology to create this flywheel effect as we believe it builds an increasing and durable competitive advantage as we operate with higher confidence in our model decisions, lower costs of each transaction, and improve our ability to price transactions with a lower margin of error. The increasing scale is leveraged by our technology as increasing value is delivered to participants in our network of merchants, consumers, and capital partners.</w:t>
      </w:r>
    </w:p>
    <w:p>
      <w:pPr>
        <w:spacing w:after="0" w:line="210" w:lineRule="exact"/>
        <w:rPr>
          <w:sz w:val="20"/>
          <w:szCs w:val="20"/>
          <w:color w:val="auto"/>
        </w:rPr>
      </w:pPr>
    </w:p>
    <w:p>
      <w:pPr>
        <w:ind w:left="660" w:right="80" w:hanging="328"/>
        <w:spacing w:after="0" w:line="30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Fraud detection capabilities. </w:t>
      </w:r>
      <w:r>
        <w:rPr>
          <w:rFonts w:ascii="Arial" w:cs="Arial" w:eastAsia="Arial" w:hAnsi="Arial"/>
          <w:sz w:val="16"/>
          <w:szCs w:val="16"/>
          <w:color w:val="auto"/>
        </w:rPr>
        <w:t>To assess transaction fraud risk, we first seek to establish the consumer’s identity using basic information.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is then evaluated by our fraud model, and we will then either move forward in the approval flow, or request additional data from the consumer. Our sophisticated fraud models utilize approximately 80 other data points in order to make a near-instantaneous decision on whether to block a transaction. There are also secondary rules that, when triggered, are designed to send a transaction to fraud investigators.</w:t>
      </w:r>
    </w:p>
    <w:p>
      <w:pPr>
        <w:spacing w:after="0" w:line="192" w:lineRule="exact"/>
        <w:rPr>
          <w:rFonts w:ascii="Arial" w:cs="Arial" w:eastAsia="Arial" w:hAnsi="Arial"/>
          <w:sz w:val="16"/>
          <w:szCs w:val="16"/>
          <w:color w:val="auto"/>
        </w:rPr>
      </w:pPr>
    </w:p>
    <w:p>
      <w:pPr>
        <w:ind w:left="660" w:right="2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Credit check capabilities. </w:t>
      </w:r>
      <w:r>
        <w:rPr>
          <w:rFonts w:ascii="Arial" w:cs="Arial" w:eastAsia="Arial" w:hAnsi="Arial"/>
          <w:sz w:val="18"/>
          <w:szCs w:val="18"/>
          <w:color w:val="auto"/>
        </w:rPr>
        <w:t>Our risk model takes five top-of-mind data inputs and turns them into a total of over 500 data points in order to assess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credit risk of new consumers. Our algorithms model out the repayment probability on a month-to-month basis, and combine these probabilities with the term length, purchase size, merchant, and item being purchased, in order to price and score risk. In the vast majority of cases, we can complete these checks and calculations in a matter of seconds, automating the underwriting process pursuant to our originating bank partners’ underwriting policies. We use application and transaction data to train our model, including data from more than 71.0 million loans and over seven years of repayments.</w:t>
      </w:r>
    </w:p>
    <w:p>
      <w:pPr>
        <w:spacing w:after="0" w:line="210" w:lineRule="exact"/>
        <w:rPr>
          <w:rFonts w:ascii="Arial" w:cs="Arial" w:eastAsia="Arial" w:hAnsi="Arial"/>
          <w:sz w:val="18"/>
          <w:szCs w:val="18"/>
          <w:color w:val="auto"/>
        </w:rPr>
      </w:pPr>
    </w:p>
    <w:p>
      <w:pPr>
        <w:ind w:left="660" w:hanging="328"/>
        <w:spacing w:after="0" w:line="27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Modeling improvements. </w:t>
      </w:r>
      <w:r>
        <w:rPr>
          <w:rFonts w:ascii="Arial" w:cs="Arial" w:eastAsia="Arial" w:hAnsi="Arial"/>
          <w:sz w:val="17"/>
          <w:szCs w:val="17"/>
          <w:color w:val="auto"/>
        </w:rPr>
        <w:t>Our high cadence for modeling, retraining, and recalibration translates into rapid improvements to our models over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data is regularly used to retrain each model, meaning they continue to improve as the numbers of consumers, merchants, transactions, and repayments we power on our platform grow. We also perform periodic larger scale updates to our core model and algorithms. We regularly introduce new data signals to be captured by our risk analysis system and make them available to be incorporated into new model development, training, and validation. Additionally, we explore opportunities to capture data outside of our model approvals, in order to make a breadth of data available to future models. During these updates, new signals are captured, and older data interrogated and re-tested to help our models continue to evolve. We have automated the process of constructing, training, calibrating, validating, and updating our models, which allow our scientists and engineers to focus on research, flexibility, and speed. Our models are designed to enable us to adjust our models quickly and efficiently in response to changes in the environment.</w:t>
      </w:r>
    </w:p>
    <w:p>
      <w:pPr>
        <w:spacing w:after="0" w:line="217" w:lineRule="exact"/>
        <w:rPr>
          <w:rFonts w:ascii="Arial" w:cs="Arial" w:eastAsia="Arial" w:hAnsi="Arial"/>
          <w:sz w:val="17"/>
          <w:szCs w:val="17"/>
          <w:color w:val="auto"/>
        </w:rPr>
      </w:pPr>
    </w:p>
    <w:p>
      <w:pPr>
        <w:ind w:left="660" w:right="1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for constant innovation and flexibility. </w:t>
      </w:r>
      <w:r>
        <w:rPr>
          <w:rFonts w:ascii="Arial" w:cs="Arial" w:eastAsia="Arial" w:hAnsi="Arial"/>
          <w:sz w:val="18"/>
          <w:szCs w:val="18"/>
          <w:color w:val="auto"/>
        </w:rPr>
        <w:t>Our deep technological talent and capabilities have enabled us to strategically build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(including our own ledger) and infrastructure in-house, allowing us to gain what we believe is a significant competitive advantage as we continue to innovate and iterate, and develop new capabilities across multiple disciplines. The flexibility of our custom-built technological infrastructure means we can incorporate new merchants, platforms, data sources, models, capital partnerships, and other elements without adding significant overhead.</w:t>
      </w:r>
    </w:p>
    <w:p>
      <w:pPr>
        <w:spacing w:after="0" w:line="224"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 and security</w:t>
      </w:r>
      <w:r>
        <w:rPr>
          <w:rFonts w:ascii="Arial" w:cs="Arial" w:eastAsia="Arial" w:hAnsi="Arial"/>
          <w:sz w:val="18"/>
          <w:szCs w:val="18"/>
          <w:color w:val="auto"/>
        </w:rPr>
        <w:t>. We store and process data while maintaining robust physical, electronic, and procedural safeguards designed to protect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data. We maintain physical security measures designed to guard against unauthorized access to systems and use safeguards such as firewalls and data encryption.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also have deployed physical access controls to our buildings, and our policies authorize access to personal information only for those employees or agents who require it to fulfill the responsibilities of their jobs.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We have a strong brand and continue to raise awareness by fostering further adoption of our platform through strategic partnerships and multi-channel marketing campaigns. Our marketing strategy includes brand marketing, communications, and co-marketing campaigns that we collaborate on with merchants and partners. Brand marketing increases awareness among consumers and merchants, helping them understand the benefits of our platform. We have historically relied on the strength of our merchant relationships and positive user experience to develop our brand and grow our network. We have achieved significant merchant and consumer adoption without investing heavily in sales and marketing relative to our competitors. We are focused on the effectiveness of sales and marketing spending and will continue to be strategic in maintaining efficient consumer and merchant acquisition. We also utilize dedicated sales teams to grow our merchant base in the United States and Canada, and leverage strategic partnerships with other platforms to expand our merchant and consumer base.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experience seasonal fluctuations in our revenue as a result of consumer spending patterns. Historically, our revenue has been strongest during the second quarter of our fiscal year due to increases in retail commerce during the holiday season. Adverse events that occur during these months could have a disproportionate effect on our financial results for the fiscal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w:t>
      </w:r>
    </w:p>
    <w:p>
      <w:pPr>
        <w:spacing w:after="0" w:line="26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of June 30, 2022, we had a total of 2,552 employees, primarily located in the United States. None of our employees are represented by a labor union or covered by a collective bargaining agreement. We have not experienced any work stoppages, and we consider our relations with our employees to be good.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Distinctive culture that sets us apart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203" w:lineRule="exact"/>
        <w:rPr>
          <w:sz w:val="20"/>
          <w:szCs w:val="20"/>
          <w:color w:val="auto"/>
        </w:rPr>
      </w:pPr>
    </w:p>
    <w:p>
      <w:pPr>
        <w:ind w:left="660" w:right="120" w:hanging="328"/>
        <w:spacing w:after="0" w:line="294"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People come first. </w:t>
      </w:r>
      <w:r>
        <w:rPr>
          <w:rFonts w:ascii="Arial" w:cs="Arial" w:eastAsia="Arial" w:hAnsi="Arial"/>
          <w:sz w:val="17"/>
          <w:szCs w:val="17"/>
          <w:color w:val="auto"/>
        </w:rPr>
        <w:t>We consider our impact on people’s lives before we think about our own interests. This means that we do not and will not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of our consumers. Unlike much of the industry, we do not capitalize on consumer misfortunes through practices such as late fees and deferred or compounding interest. Our success is aligned with our consumers’ success. In fact, we depend on it.</w:t>
      </w:r>
    </w:p>
    <w:p>
      <w:pPr>
        <w:spacing w:after="0" w:line="199"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fine print. </w:t>
      </w:r>
      <w:r>
        <w:rPr>
          <w:rFonts w:ascii="Arial" w:cs="Arial" w:eastAsia="Arial" w:hAnsi="Arial"/>
          <w:sz w:val="18"/>
          <w:szCs w:val="18"/>
          <w:color w:val="auto"/>
        </w:rPr>
        <w:t>We are transparent and honest — with our consumers and with each other. That is why there are no hidden fees or tricks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loans facilitated through our platform. What you see is what you get.</w:t>
      </w:r>
    </w:p>
    <w:p>
      <w:pPr>
        <w:spacing w:after="0" w:line="197" w:lineRule="exact"/>
        <w:rPr>
          <w:rFonts w:ascii="Arial" w:cs="Arial" w:eastAsia="Arial" w:hAnsi="Arial"/>
          <w:sz w:val="18"/>
          <w:szCs w:val="18"/>
          <w:color w:val="auto"/>
        </w:rPr>
      </w:pPr>
    </w:p>
    <w:p>
      <w:pPr>
        <w:ind w:left="660" w:right="20" w:hanging="328"/>
        <w:spacing w:after="0" w:line="29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on us. </w:t>
      </w:r>
      <w:r>
        <w:rPr>
          <w:rFonts w:ascii="Arial" w:cs="Arial" w:eastAsia="Arial" w:hAnsi="Arial"/>
          <w:sz w:val="18"/>
          <w:szCs w:val="18"/>
          <w:color w:val="auto"/>
        </w:rPr>
        <w:t>We take full accountability for our actions, never shirking responsibility or passing the buck. Affirmers own problems and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we hold each other accountable.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Simpler is better. </w:t>
      </w:r>
      <w:r>
        <w:rPr>
          <w:rFonts w:ascii="Arial" w:cs="Arial" w:eastAsia="Arial" w:hAnsi="Arial"/>
          <w:sz w:val="18"/>
          <w:szCs w:val="18"/>
          <w:color w:val="auto"/>
        </w:rPr>
        <w:t>We make complex things simple and clear. Financial products and payments have traditionally been fraught with complexity.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 a better way, a way that brings consumers the simplicity they need and merchants the results they want.</w:t>
      </w:r>
    </w:p>
    <w:p>
      <w:pPr>
        <w:spacing w:after="0" w:line="210" w:lineRule="exact"/>
        <w:rPr>
          <w:rFonts w:ascii="Arial" w:cs="Arial" w:eastAsia="Arial" w:hAnsi="Arial"/>
          <w:sz w:val="18"/>
          <w:szCs w:val="18"/>
          <w:color w:val="auto"/>
        </w:rPr>
      </w:pPr>
    </w:p>
    <w:p>
      <w:pPr>
        <w:ind w:left="660" w:right="4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Push the envelope. </w:t>
      </w:r>
      <w:r>
        <w:rPr>
          <w:rFonts w:ascii="Arial" w:cs="Arial" w:eastAsia="Arial" w:hAnsi="Arial"/>
          <w:sz w:val="16"/>
          <w:szCs w:val="16"/>
          <w:color w:val="auto"/>
        </w:rPr>
        <w:t>We never stop innovating, taking smart risks, and raising the bar. Talented people are attracted to Affirm because we empower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 to innovate, create robust systems, and take smart risks. This momentum keeps our consumer and merchant network growing and thriving.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values have helped us to attract, inspire, and harness the collective talent of exceptional technologists and business people.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52" w:lineRule="exact"/>
        <w:rPr>
          <w:sz w:val="20"/>
          <w:szCs w:val="20"/>
          <w:color w:val="auto"/>
        </w:rPr>
      </w:pPr>
    </w:p>
    <w:p>
      <w:pPr>
        <w:ind w:right="440" w:firstLine="648"/>
        <w:spacing w:after="0" w:line="271" w:lineRule="auto"/>
        <w:rPr>
          <w:sz w:val="20"/>
          <w:szCs w:val="20"/>
          <w:color w:val="auto"/>
        </w:rPr>
      </w:pPr>
      <w:r>
        <w:rPr>
          <w:rFonts w:ascii="Arial" w:cs="Arial" w:eastAsia="Arial" w:hAnsi="Arial"/>
          <w:sz w:val="18"/>
          <w:szCs w:val="18"/>
          <w:color w:val="101820"/>
        </w:rPr>
        <w:t>We believe that diversity, equity, and inclusion (“DEI”) are important as we scale and build our high-performing team. Our strategy involves embedding DEI into our processes, programs, and structures at Affirm across the employee life cycle — how we hire, develop, advance, and retain Affirmers, and in how we do business.</w:t>
      </w:r>
    </w:p>
    <w:p>
      <w:pPr>
        <w:spacing w:after="0" w:line="21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 xml:space="preserve">Our Diversity and Inclusion Steering Committee (“DISC”), an internal committee made up of senior leaders from across Affirm, provides oversight, support, and guidance to departments and teams on initiatives that may impact the ability to support diverse populations of key constituencies: employees, consumers and merchants. DISC is also responsible for reviewing that internal and external initiatives reflect our high bar for DEI, and the members help to amplify high-impact DEI efforts happening within their own departments. </w:t>
      </w:r>
      <w:r>
        <w:rPr>
          <w:rFonts w:ascii="Arial" w:cs="Arial" w:eastAsia="Arial" w:hAnsi="Arial"/>
          <w:sz w:val="18"/>
          <w:szCs w:val="18"/>
          <w:color w:val="101820"/>
        </w:rPr>
        <w:t>Below are several highlights from our DEI work in calendar</w:t>
      </w:r>
      <w:r>
        <w:rPr>
          <w:rFonts w:ascii="Arial" w:cs="Arial" w:eastAsia="Arial" w:hAnsi="Arial"/>
          <w:sz w:val="18"/>
          <w:szCs w:val="18"/>
          <w:color w:val="auto"/>
        </w:rPr>
        <w:t xml:space="preserve"> </w:t>
      </w:r>
      <w:r>
        <w:rPr>
          <w:rFonts w:ascii="Arial" w:cs="Arial" w:eastAsia="Arial" w:hAnsi="Arial"/>
          <w:sz w:val="18"/>
          <w:szCs w:val="18"/>
          <w:color w:val="101820"/>
        </w:rPr>
        <w:t>year 2021 (the latest year for which we have issued a DEI Report):</w:t>
      </w:r>
    </w:p>
    <w:p>
      <w:pPr>
        <w:spacing w:after="0" w:line="130" w:lineRule="exact"/>
        <w:rPr>
          <w:sz w:val="20"/>
          <w:szCs w:val="20"/>
          <w:color w:val="auto"/>
        </w:rPr>
      </w:pPr>
    </w:p>
    <w:p>
      <w:pPr>
        <w:ind w:left="660" w:right="280" w:hanging="328"/>
        <w:spacing w:after="0" w:line="308" w:lineRule="auto"/>
        <w:tabs>
          <w:tab w:leader="none" w:pos="655" w:val="left"/>
        </w:tabs>
        <w:numPr>
          <w:ilvl w:val="0"/>
          <w:numId w:val="15"/>
        </w:numPr>
        <w:rPr>
          <w:rFonts w:ascii="Arial" w:cs="Arial" w:eastAsia="Arial" w:hAnsi="Arial"/>
          <w:sz w:val="17"/>
          <w:szCs w:val="17"/>
          <w:color w:val="101820"/>
        </w:rPr>
      </w:pPr>
      <w:r>
        <w:rPr>
          <w:rFonts w:ascii="Arial" w:cs="Arial" w:eastAsia="Arial" w:hAnsi="Arial"/>
          <w:sz w:val="17"/>
          <w:szCs w:val="17"/>
          <w:color w:val="101820"/>
        </w:rPr>
        <w:t>Affirm launched the Upward Program, a six-month Software Engineering Apprenticeship Program that offers opportunities to individuals with non-traditional backgrounds (those who have developed technical proficiency through a coding school, online certification, etc.).</w:t>
      </w:r>
    </w:p>
    <w:p>
      <w:pPr>
        <w:spacing w:after="0" w:line="92" w:lineRule="exact"/>
        <w:rPr>
          <w:rFonts w:ascii="Arial" w:cs="Arial" w:eastAsia="Arial" w:hAnsi="Arial"/>
          <w:sz w:val="17"/>
          <w:szCs w:val="17"/>
          <w:color w:val="101820"/>
        </w:rPr>
      </w:pPr>
    </w:p>
    <w:p>
      <w:pPr>
        <w:ind w:left="660" w:right="220" w:hanging="328"/>
        <w:spacing w:after="0" w:line="259" w:lineRule="auto"/>
        <w:tabs>
          <w:tab w:leader="none" w:pos="655" w:val="left"/>
        </w:tabs>
        <w:numPr>
          <w:ilvl w:val="0"/>
          <w:numId w:val="15"/>
        </w:numPr>
        <w:rPr>
          <w:rFonts w:ascii="Arial" w:cs="Arial" w:eastAsia="Arial" w:hAnsi="Arial"/>
          <w:sz w:val="18"/>
          <w:szCs w:val="18"/>
          <w:color w:val="101820"/>
        </w:rPr>
      </w:pPr>
      <w:r>
        <w:rPr>
          <w:rFonts w:ascii="Arial" w:cs="Arial" w:eastAsia="Arial" w:hAnsi="Arial"/>
          <w:sz w:val="18"/>
          <w:szCs w:val="18"/>
          <w:color w:val="101820"/>
        </w:rPr>
        <w:t>We brought more Affirmers into our DEI work by expanding our DEI working groups, which are groups of Affirmers who create and work towards achieving specific DEI goals within their department. In 2021, we started a new DEI working group in our commercial department and began work to stand up a DEI working group in our finance department, in addition to our engineering department working group (launched in 2020).</w:t>
      </w:r>
    </w:p>
    <w:p>
      <w:pPr>
        <w:spacing w:after="0" w:line="132" w:lineRule="exact"/>
        <w:rPr>
          <w:rFonts w:ascii="Arial" w:cs="Arial" w:eastAsia="Arial" w:hAnsi="Arial"/>
          <w:sz w:val="18"/>
          <w:szCs w:val="18"/>
          <w:color w:val="101820"/>
        </w:rPr>
      </w:pPr>
    </w:p>
    <w:p>
      <w:pPr>
        <w:ind w:left="660" w:right="220" w:hanging="328"/>
        <w:spacing w:after="0" w:line="279" w:lineRule="auto"/>
        <w:tabs>
          <w:tab w:leader="none" w:pos="655" w:val="left"/>
        </w:tabs>
        <w:numPr>
          <w:ilvl w:val="0"/>
          <w:numId w:val="15"/>
        </w:numPr>
        <w:rPr>
          <w:rFonts w:ascii="Arial" w:cs="Arial" w:eastAsia="Arial" w:hAnsi="Arial"/>
          <w:sz w:val="17"/>
          <w:szCs w:val="17"/>
          <w:color w:val="101820"/>
        </w:rPr>
      </w:pPr>
      <w:r>
        <w:rPr>
          <w:rFonts w:ascii="Arial" w:cs="Arial" w:eastAsia="Arial" w:hAnsi="Arial"/>
          <w:sz w:val="17"/>
          <w:szCs w:val="17"/>
          <w:color w:val="101820"/>
        </w:rPr>
        <w:t>Our Merchant &amp; Partner Diversity team launched Affirm’s client-facing Merchant Diversity Survey. Our goal is to establish our commitment to DEI within our merchant network, collect data on Affirm merchants owned by diverse communities, and share promotional opportunities with merchants that opt in. We identified over 1,700 of Affirm’s merchant partners as certified as Women-, Veteran-, or Minority-Owned businesses and Promoted 50+ URG merchants through a quarterly series of internal and external-facing programs.</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color w:val="auto"/>
        </w:rPr>
        <w:t>We annually publish our DEI Report, which discloses certain demographic information relating to our team and outlines our DEI goals, our progress toward them, our areas for improvement, and where we expect to focus our efforts. The 2021 report is available at: www.affirm.com/diversity-inclusion. This website has been provided for convenience only, and the contents of the report and information found on, or accessible through, our website are not a part of, and are not incorporated into, this Annual Report on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 role in human capital resource management</w:t>
      </w:r>
    </w:p>
    <w:p>
      <w:pPr>
        <w:spacing w:after="0" w:line="252" w:lineRule="exact"/>
        <w:rPr>
          <w:sz w:val="20"/>
          <w:szCs w:val="20"/>
          <w:color w:val="auto"/>
        </w:rPr>
      </w:pPr>
    </w:p>
    <w:p>
      <w:pPr>
        <w:ind w:right="100" w:firstLine="648"/>
        <w:spacing w:after="0" w:line="320" w:lineRule="auto"/>
        <w:rPr>
          <w:sz w:val="20"/>
          <w:szCs w:val="20"/>
          <w:color w:val="auto"/>
        </w:rPr>
      </w:pPr>
      <w:r>
        <w:rPr>
          <w:rFonts w:ascii="Arial" w:cs="Arial" w:eastAsia="Arial" w:hAnsi="Arial"/>
          <w:sz w:val="16"/>
          <w:szCs w:val="16"/>
          <w:color w:val="auto"/>
        </w:rPr>
        <w:t>Our board of directors believes that human capital management is an important component of our continued growth and success, and is critical to our ability to attract, retain, and develop talented and skilled employees. We pride ourselves on a culture that respects co-workers and values concern for others. Management regularly reports to our board of directors on human capital management topics, including corporate culture,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diversity and inclusion, employee development, and compensation and benefits. Our board of directors provides input on important decisions, including with respect to safety, talent retention and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incentives and benefits</w:t>
      </w:r>
    </w:p>
    <w:p>
      <w:pPr>
        <w:spacing w:after="0" w:line="252" w:lineRule="exact"/>
        <w:rPr>
          <w:sz w:val="20"/>
          <w:szCs w:val="20"/>
          <w:color w:val="auto"/>
        </w:rPr>
      </w:pPr>
    </w:p>
    <w:p>
      <w:pPr>
        <w:jc w:val="both"/>
        <w:ind w:right="80" w:firstLine="648"/>
        <w:spacing w:after="0" w:line="307" w:lineRule="auto"/>
        <w:rPr>
          <w:sz w:val="20"/>
          <w:szCs w:val="20"/>
          <w:color w:val="auto"/>
        </w:rPr>
      </w:pPr>
      <w:r>
        <w:rPr>
          <w:rFonts w:ascii="Arial" w:cs="Arial" w:eastAsia="Arial" w:hAnsi="Arial"/>
          <w:sz w:val="16"/>
          <w:szCs w:val="16"/>
          <w:color w:val="auto"/>
        </w:rPr>
        <w:t>We provide equity incentives to our employees through the grant of stock options and restricted stock units (“RSUs”) under our equity incentive plan to align their interests with stockholders as “owners” of our company. We also have adopted an Employee Stock Purchase Plan (“ESPP”) pursuant to which eligible employees can purchase shares of our Class A common stock at a discount from the fair market value. We believe these incentive programs allows us to be competitive with comparable companies in our industry by giving us the resources to attract, motivate and retain talented individuals.</w:t>
      </w:r>
    </w:p>
    <w:p>
      <w:pPr>
        <w:spacing w:after="0" w:line="19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offer comprehensive benefits, including medical, dental, vision, life insurance, paid time off, various voluntary insurance programs, and a 401(k) retirement plan for U.S. employees. Our employee assistance program, financial wellness benefits, legal protection benefits, and identification theft protection benefits offer employees information, referrals, and short-term counseling for personal issues affecting their work or personal life as an added layer of protection. In addition, we offer perks, such as employer-sponsored digital spending wallets, mental health benefits, family &amp; fertility benefits and generous leave and time-off policies, which we believe enhance employee productivity, satisfaction and loyalty.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56"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We operate in a rapidly evolving regulatory environment and are subject to extensive regulation, both directly and indirectly, by way of our partnership with our originating bank partners, under U.S. federal law, the laws of Canada, and Australia, and the laws of the states and provinces in which we operate, among others. These laws cover all aspects of our business and include privacy laws, consumer protection laws, and contractual obligations. We could become subject to additional legal or regulatory requirements if laws or regulations change in the jurisdictions in which we operate. These could include the need to obtain new and different types of licenses in order to conduct our business, such as for lending, brokering, servicing, collections, or money transmission. For more information on the risks relating to our regulatory environment, see the section titled “</w:t>
      </w:r>
      <w:r>
        <w:rPr>
          <w:rFonts w:ascii="Arial" w:cs="Arial" w:eastAsia="Arial" w:hAnsi="Arial"/>
          <w:sz w:val="18"/>
          <w:szCs w:val="18"/>
          <w:i w:val="1"/>
          <w:iCs w:val="1"/>
          <w:color w:val="auto"/>
        </w:rPr>
        <w:t>Risk Factors – 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Environment.</w:t>
      </w:r>
      <w:r>
        <w:rPr>
          <w:rFonts w:ascii="Arial" w:cs="Arial" w:eastAsia="Arial" w:hAnsi="Arial"/>
          <w:sz w:val="18"/>
          <w:szCs w:val="18"/>
          <w:color w:val="auto"/>
        </w:rPr>
        <w:t>”</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Our lending programs are relatively novel and must comply with regulatory regimes applicable to consumer credit transactions. In addition, the regulatory framework for online lending platforms is evolving and uncertain as federal and state governments consider the application of existing laws and adoption of new laws to regulate these structures. New laws and regulations, as well as continued uncertainty regarding potential new laws or regulations, may negatively affect our business. Certain state and provincial laws may, if applicable, regulate interest rates and other charges and require certain disclosures, and may also require licensing for certain activities. In addition, other laws, public policy, and general principles of equity relating to the protection of consumers, unfair and deceptive practices and debt collection practices may apply to the origination, servicing, and collection of the consumer loans. Certain banking laws and regulations also apply to our originating bank partners.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provincial licensing requirements and regulation</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Our operations must satisfy the laws and standards of each individual U.S. state and territory, Canadian province, and Australian state in which we operate. This means that when individual states differ in how they allow financing to be provided and used, we must operate consistently in accordance with the most comprehensive requirements.</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policies and practices approach these requirements with the goal of managing the long-term viability and flexibility of our business model. As such, we have established a business model pursuant to which we may originate loans directly through our platform under our lending, servicing, and brokering licenses across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jurisdictions in the United States, Canada, and Australia, and we may also purchase loans originated by our originating bank partners through our platform. A substantial number of the loans facilitated through our platform in the U.S. are originated through our originating bank partners: Cross River Bank, an FDIC-insured New Jersey state-chartered bank, and Celtic Bank, an FDIC-insured Utah state-chartered industrial bank.</w:t>
      </w:r>
    </w:p>
    <w:p>
      <w:pPr>
        <w:spacing w:after="0" w:line="18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Certain states, provinces, and localities have adopted laws regulating and requiring licensing, registration, notice filing, or other approval by parties that engage in certain activity regarding consumer finance transactions, including facilitating and assisting such transactions in certain circumstances. Furthermore, certain jurisdictions have also adopted laws requiring licensing, registration, notice filing, or other approval for consumer debt collection or servicing, and/or purchasing or selling consumer loans. We have also received inquiries from regulatory agencies regarding requirements to obtain licenses from or register with those jurisdictions, including in states where we have determined that we are not required to obtain such a license or be registered with the state, and we expect to continue to receive such inquiries. We are also subject to licensing requirements, supervision, and examination by applicable regulatory authorities in the jurisdictions in which we may service loans, solicit or offer loans, or originate loans directly through our platform, and we have obtained or are in the process of obtaining necessary licenses in the jurisdictions in which we do so. Licensing statutes vary from state to state and prescribe different requirements, including but not limited to: restrictions on loan origination and servicing practices (including limits on the type, amount, and manner of fees), solicitation activities,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The application of state and provincial licensing requirements to our business model is not always clear, and while we believe we are in compliance as of June 30, 2022 with applicable licensing requirements, regulators may request or require that we obtain additional licenses or other authorizations in the future, which may subject our business to additional restrictions or requirements.</w:t>
      </w:r>
    </w:p>
    <w:p>
      <w:pPr>
        <w:spacing w:after="0" w:line="191"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We and our originating bank partners may also be subject to state law interest rate limitations on personal consumer loans. Certain states have no such limitations, while other jurisdictions impose a maximum rate on such loans. In some jurisdictions, the maximum rate may be less than the rates applicable to the loans facilitated through our platform. If any of the loans facilitated through our platform were found to impose rates higher than the maximum rate for the applicable state, such loans could be in violation of state interest limitation laws, which could result in such loans being unenforceable or reduce or extinguish the principal and/or interest (paid or to be paid) on such loans, or result in fees, damages, and penalties to us or our originating bank partners. Out of an abundance of caution, however, we have sought to voluntarily cap the maximum interest rate we will propose for a loan to borrowers in certain states so that it is below the maximum interest rate that our originating bank partners would otherwise be permitted to charge under applicable law.</w:t>
      </w:r>
    </w:p>
    <w:p>
      <w:pPr>
        <w:spacing w:after="0" w:line="21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Through our partnerships with our originating bank partners, as well as through our state lending licenses to originate loans directly, where applicable, our risk model automates the underwriting process in accordance with our originating bank partners’ underwriting policies, which only our originating bank partners may change and which we must follow in reviewing, approving, and administering loans facilitated by our platform, and our direct lending entity’s underwriting policy. When originating loans through our platform, our originating bank partners may contract to charge interest based on authority granted to state-chartered, FDIC-insured banks under federal law (Section 27 of the Federal Deposit Insurance Act) and based upon legal principles detailed in the FDIC’s final rule relating to Federal Interest Rate Authority, published in the Federal Register on July 22, 2020. Section 27 allows an FDIC-insured bank such as our originating bank partners to charge interest to consumers on a nationwide basis based on the rates allowed by the state where the bank is located. We rely on our originating bank partners’ authority under federal law to establish interest rates and charge interest on the loans our originating bank partners originate through our platform. Cross River Bank and Celtic Bank generally allow a consumer loan borrower to agree to any annual rate of interest up to 30% or 36%, respectively calculated in accordance with the FDIC Federal Interest Rate Authority rule discussed above and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However, if the legal structure underlying our relationship with our originating bank partners was successfully challenged, we may be 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and loan product requirement limitations of certain states. There are two examples of claims that have been raised that could each, separately or jointly, result in this outcome in some or all states.</w:t>
      </w:r>
    </w:p>
    <w:p>
      <w:pPr>
        <w:spacing w:after="0" w:line="21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First, 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 have been a number of lawsuits in other parts of the country making similar allegations. Under the Federal Interest Rate Authority Rule promulgated by the FDIC, which is the interest rate authority of state-chartered banks (such as our originating bank partners), the interest rate applicable to a loan originated by a state-chartered bank on the date of origination will carry with the loan irrespective of ownership (i.e., the interest rate is “valid when made”). The OCC issued a similar rule on May 29, 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This lawsuit was decided in favor of the FDIC pursuant to the Northern District of California’s decision in California v. FDIC, 2022 U.S. Dist. LEXIS 22719 (N.D. CA, Feb. 8, 2022), in which the court expressly upheld the validity of the FDIC Federal Interest Rate Authority Rule, distinguishing it from the similar rule issued by the OCC. However, it is uncertain whether these or other state attorneys general will file similar suits with respect to any other rule regarding the permissibility of interest rates by the FDIC, OCC or other regulators.</w:t>
      </w:r>
    </w:p>
    <w:p>
      <w:pPr>
        <w:spacing w:after="0" w:line="19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Second,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 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under the Trump Administration, the OCC promulgated a final rulemaking setting forth standards for determining the true lender of a loan issued by a national bank. On June 30, 2021, President Biden signed a Congressional Review Act resolution to repeal the OCC's true lender rule, and the OCC may not issue any substantially similar rule without subsequent statutory authorization.</w:t>
      </w:r>
    </w:p>
    <w:p>
      <w:pPr>
        <w:spacing w:after="0" w:line="204"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Further, it is unclear whether these rules will be given effect by courts and regulators in a manner that actually mitigates risks relating to state interest rate limits and related risks to us, our originating bank partners, any other program participant, or the loans facilitated through our platform. We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or the reduction of interest or principal,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penalties or damages. Third-party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consumer protection requirements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must comply with various federal consumer protection regimes, both as a service provider to our originating bank partners and as a loan originator with respect to loans we may originate directly, including but not limited to the following laws and regulations:</w:t>
      </w:r>
    </w:p>
    <w:p>
      <w:pPr>
        <w:spacing w:after="0" w:line="184" w:lineRule="exact"/>
        <w:rPr>
          <w:sz w:val="20"/>
          <w:szCs w:val="20"/>
          <w:color w:val="auto"/>
        </w:rPr>
      </w:pPr>
    </w:p>
    <w:p>
      <w:pPr>
        <w:ind w:left="660" w:right="680" w:hanging="328"/>
        <w:spacing w:after="0" w:line="261" w:lineRule="auto"/>
        <w:tabs>
          <w:tab w:leader="none" w:pos="4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Truth-in-Lending Act and Regulation Z promulgated thereunder, which require certain disclosures to consumers regarding the terms and conditions of their loans and credit transactions;</w:t>
      </w:r>
    </w:p>
    <w:p>
      <w:pPr>
        <w:spacing w:after="0" w:line="143" w:lineRule="exact"/>
        <w:rPr>
          <w:rFonts w:ascii="Arial" w:cs="Arial" w:eastAsia="Arial" w:hAnsi="Arial"/>
          <w:sz w:val="18"/>
          <w:szCs w:val="18"/>
          <w:color w:val="auto"/>
        </w:rPr>
      </w:pPr>
    </w:p>
    <w:p>
      <w:pPr>
        <w:ind w:left="660" w:right="20" w:hanging="328"/>
        <w:spacing w:after="0"/>
        <w:tabs>
          <w:tab w:leader="none" w:pos="4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spacing w:after="0" w:line="162" w:lineRule="exact"/>
        <w:rPr>
          <w:rFonts w:ascii="Arial" w:cs="Arial" w:eastAsia="Arial" w:hAnsi="Arial"/>
          <w:sz w:val="18"/>
          <w:szCs w:val="18"/>
          <w:color w:val="auto"/>
        </w:rPr>
      </w:pPr>
    </w:p>
    <w:p>
      <w:pPr>
        <w:ind w:left="660" w:right="60" w:hanging="328"/>
        <w:spacing w:after="0" w:line="236" w:lineRule="auto"/>
        <w:tabs>
          <w:tab w:leader="none" w:pos="4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 In addition to acts of intentional discrimination, the ECOA has been interpreted by federal regulators and courts to prohibit creditors from maintaining policies and practices that, while facially neutral, result in a disproportionate, adverse impact on applicants or consumers in protected groups. For this reason, a loan decisioning or credit scoring model must not use any variable that may be deemed a proxy for a protected characteristic such as race, ethnicity, or sex. Further, the variables used in the model must be supported by documented, legitimate business justifications where the model results in a disproportionate effect on applicants or consumers of certain demographic groups;</w:t>
      </w:r>
    </w:p>
    <w:p>
      <w:pPr>
        <w:spacing w:after="0" w:line="193" w:lineRule="exact"/>
        <w:rPr>
          <w:rFonts w:ascii="Arial" w:cs="Arial" w:eastAsia="Arial" w:hAnsi="Arial"/>
          <w:sz w:val="18"/>
          <w:szCs w:val="18"/>
          <w:color w:val="auto"/>
        </w:rPr>
      </w:pPr>
    </w:p>
    <w:p>
      <w:pPr>
        <w:ind w:left="660" w:right="540" w:hanging="328"/>
        <w:spacing w:after="0" w:line="279" w:lineRule="auto"/>
        <w:tabs>
          <w:tab w:leader="none" w:pos="655"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 Fair Credit Reporting Act (the “FCRA”), as amended by the Fair and Accurate Credit Transactions Act, and Regulation V promulgated thereunder, which promote the accuracy, fairness, and privacy of information in the files of consumer reporting agencies;</w:t>
      </w:r>
    </w:p>
    <w:p>
      <w:pPr>
        <w:spacing w:after="0" w:line="153" w:lineRule="exact"/>
        <w:rPr>
          <w:rFonts w:ascii="Arial" w:cs="Arial" w:eastAsia="Arial" w:hAnsi="Arial"/>
          <w:sz w:val="19"/>
          <w:szCs w:val="19"/>
          <w:color w:val="auto"/>
        </w:rPr>
      </w:pPr>
    </w:p>
    <w:p>
      <w:pPr>
        <w:jc w:val="both"/>
        <w:ind w:left="660" w:hanging="328"/>
        <w:spacing w:after="0" w:line="23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Fair Debt Collection Practices Act, Regulation F promulgated thereunder, and the Telephone Consumer Protection Act, each of which provide guidelines and limitations concerning the conduct of certain creditors and third-party debt collectors in connection with the collection of consumer debts;</w:t>
      </w:r>
    </w:p>
    <w:p>
      <w:pPr>
        <w:spacing w:after="0" w:line="189" w:lineRule="exact"/>
        <w:rPr>
          <w:rFonts w:ascii="Arial" w:cs="Arial" w:eastAsia="Arial" w:hAnsi="Arial"/>
          <w:sz w:val="22"/>
          <w:szCs w:val="22"/>
          <w:color w:val="auto"/>
        </w:rPr>
      </w:pPr>
    </w:p>
    <w:p>
      <w:pPr>
        <w:ind w:left="660" w:right="70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Gramm-Leach-Bliley Act (the “GLBA”), which includes limitations on use and disclosure of nonpublic personal information about a consumer by a financial institution;</w:t>
      </w:r>
    </w:p>
    <w:p>
      <w:pPr>
        <w:spacing w:after="0" w:line="189" w:lineRule="exact"/>
        <w:rPr>
          <w:rFonts w:ascii="Arial" w:cs="Arial" w:eastAsia="Arial" w:hAnsi="Arial"/>
          <w:sz w:val="22"/>
          <w:szCs w:val="22"/>
          <w:color w:val="auto"/>
        </w:rPr>
      </w:pPr>
    </w:p>
    <w:p>
      <w:pPr>
        <w:ind w:left="660" w:right="72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189"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400" w:hanging="328"/>
        <w:spacing w:after="0" w:line="251" w:lineRule="auto"/>
        <w:tabs>
          <w:tab w:leader="none" w:pos="655" w:val="left"/>
        </w:tabs>
        <w:numPr>
          <w:ilvl w:val="0"/>
          <w:numId w:val="17"/>
        </w:numPr>
        <w:rPr>
          <w:rFonts w:ascii="Arial" w:cs="Arial" w:eastAsia="Arial" w:hAnsi="Arial"/>
          <w:sz w:val="21"/>
          <w:szCs w:val="21"/>
          <w:color w:val="auto"/>
        </w:rPr>
      </w:pPr>
      <w:r>
        <w:rPr>
          <w:rFonts w:ascii="Arial" w:cs="Arial" w:eastAsia="Arial" w:hAnsi="Arial"/>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spacing w:after="0" w:line="177" w:lineRule="exact"/>
        <w:rPr>
          <w:rFonts w:ascii="Arial" w:cs="Arial" w:eastAsia="Arial" w:hAnsi="Arial"/>
          <w:sz w:val="21"/>
          <w:szCs w:val="21"/>
          <w:color w:val="auto"/>
        </w:rPr>
      </w:pPr>
    </w:p>
    <w:p>
      <w:pPr>
        <w:ind w:left="660" w:right="140" w:hanging="328"/>
        <w:spacing w:after="0" w:line="297" w:lineRule="auto"/>
        <w:tabs>
          <w:tab w:leader="none" w:pos="655" w:val="left"/>
        </w:tabs>
        <w:numPr>
          <w:ilvl w:val="0"/>
          <w:numId w:val="17"/>
        </w:numPr>
        <w:rPr>
          <w:rFonts w:ascii="Arial" w:cs="Arial" w:eastAsia="Arial" w:hAnsi="Arial"/>
          <w:sz w:val="19"/>
          <w:szCs w:val="19"/>
          <w:color w:val="auto"/>
        </w:rPr>
      </w:pPr>
      <w:r>
        <w:rPr>
          <w:rFonts w:ascii="Arial" w:cs="Arial" w:eastAsia="Arial" w:hAnsi="Arial"/>
          <w:sz w:val="16"/>
          <w:szCs w:val="16"/>
          <w:color w:val="auto"/>
        </w:rPr>
        <w:t>the Military Lending Act and similar state laws, which provide disclosure requirements, interest rate limitations, substantive conduct obligations, and prohibitions on certain behavior relating to loans made to covered borrowers, which include both servicemembers and their dependents;</w:t>
      </w:r>
    </w:p>
    <w:p>
      <w:pPr>
        <w:spacing w:after="0" w:line="136" w:lineRule="exact"/>
        <w:rPr>
          <w:rFonts w:ascii="Arial" w:cs="Arial" w:eastAsia="Arial" w:hAnsi="Arial"/>
          <w:sz w:val="19"/>
          <w:szCs w:val="19"/>
          <w:color w:val="auto"/>
        </w:rPr>
      </w:pPr>
    </w:p>
    <w:p>
      <w:pPr>
        <w:ind w:left="660" w:right="52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Servicemembers Civil Relief Act and similar state laws, which allows active duty military members to suspend or postpone certain civil obligations so that the military member can devote his or her full attention to military duties; and</w:t>
      </w:r>
    </w:p>
    <w:p>
      <w:pPr>
        <w:spacing w:after="0" w:line="189"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new requirements pursuant to the Coronavirus Aid, Relief, and Economic Security Act (the “CARES Act”) enacted in response to the COVID-19 pandemic, including requirements relating to debt collection and credit reporting.</w:t>
      </w:r>
    </w:p>
    <w:p>
      <w:pPr>
        <w:spacing w:after="0" w:line="217" w:lineRule="exact"/>
        <w:rPr>
          <w:sz w:val="20"/>
          <w:szCs w:val="20"/>
          <w:color w:val="auto"/>
        </w:rPr>
      </w:pPr>
    </w:p>
    <w:p>
      <w:pPr>
        <w:ind w:right="60" w:firstLine="648"/>
        <w:spacing w:after="0" w:line="280" w:lineRule="auto"/>
        <w:rPr>
          <w:sz w:val="20"/>
          <w:szCs w:val="20"/>
          <w:color w:val="auto"/>
        </w:rPr>
      </w:pPr>
      <w:r>
        <w:rPr>
          <w:rFonts w:ascii="Arial" w:cs="Arial" w:eastAsia="Arial" w:hAnsi="Arial"/>
          <w:sz w:val="17"/>
          <w:szCs w:val="17"/>
          <w:color w:val="auto"/>
        </w:rPr>
        <w:t>In addition, many states and local jurisdictions have consumer protection laws analogous to, or in addition to, the federal laws listed above, such as usury laws, state debt collection practices laws, and requirements regarding loan disclosures and terms, credit discrimination, credit reporting, money transmission, recordkeeping, the arranging of loans made by third-parties, and unfair or deceptive business practices. We are also subject to data protection laws and regulations, such as the EU General Data Protection Regulation, Canada’s Personal Information Protection and Electronic Documents Act, Australia’s Privacy Act, and similar state laws such as the California Consumer Privacy Act (the “CCPA”), which includes limitations and requirements surrounding the use, disclosure, and other processing of certain personal information about California residents.</w:t>
      </w:r>
    </w:p>
    <w:p>
      <w:pPr>
        <w:spacing w:after="0" w:line="198"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We are also subject to regulation by the Consumer Financial Protection Bureau ("CFPB") under the Dodd-Frank Act and other acts described herein, and we are subject to the CFPB’s enforcement authority with respect to our compliance with these requirements as a facilitator, servicer, acquirer, or originator of consumer credit. The Dodd-Frank Act gives the CFPB supervisory authority over entities that are designated as “larger participants” in certain financial services markets. The CFPB previously announced that it intends to expand its supervisory authority through the use of “larger participant rules” to cover the markets for consumer installment loans and auto title loans. While the CFPB has not yet issued a “larger participant” rule applicable to us, the CFPB indicated in its January 2021 Taskforce on Federal Consumer Financial Law Report that it “believes it is time to articulate some clear standards for this important decision,” and that it recommends the “Bureau should revisit its larger participant rules to assess the cost and benefits of the rules in conducting effective supervision and promoting consumer protection.” In December 2021, the CFPB issued a Request for Information to five of the largest buy-now-pay-later providers, including Affirm. This suggests that the CFPB may issue a proposed rule defining larger participants to include installment lending industry participants. The CFPB may also issue proposed rulemaking or increase its enforcement authority over the Buy Now Pay Later industry, which could subject Affirm to more regulation, examination, and oversight. Moreover, the CFPB recently announced its intention to conduct supervisory examinations over a greater number of nonbank financial technology companies that have engaged in “conduct that poses risks to consumers,” pursuant to its authority under the Dodd-Frank Act. While there is no bright-line standard as to what conduct would constitute posing “risks to consumers” under this authority, the CFPB would be required to issue a Notice of Reasonable Cause that details its bases for concluding that a particular nonbank entity poses risks to consumers, which may include complaints collected by the CFPB or information from other sources. Were the CFPB to promulgate a rule for the direct supervision of non-bank installment lenders, or conclude that Affirm engaged in conduct that poses risks to consumers, it is possible that the CFPB could be permitted to conduct periodic examination of our business, which may increase our risk of regulatory or enforcement actions. The CFPB has also instructed that with respect to federal anti-discrimination laws, creditors are not permitted to use technology that prevents them from providing specific and accurate reasons for adverse actions, and that creditors’ use of complex algorithms should not limit enforcement of ECOA or other federal consumer financial protection laws. 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CFPB Consumer Financial Protection Circular 2022-03, published May 26, 2022, clarified that creditors who use complex algorithms—including artificial intelligence or machine learning technologies—to engage in credit decisions must still provide a notice that discloses the specific, principal reasons for taking adverse action, and that there is no exception for violating the law because a creditor is using technology that has not been adequately designed, tested, or understood.</w:t>
      </w:r>
    </w:p>
    <w:p>
      <w:pPr>
        <w:spacing w:after="0" w:line="223"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The CFPB has also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 The CFPB may request reports concerning our organization, business conduct, markets, and activities, and also conduct on-site examinations of our business on a periodic basis.</w:t>
      </w:r>
    </w:p>
    <w:p>
      <w:pPr>
        <w:spacing w:after="0" w:line="199"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The CFPB is authorized to collect fines and provide consumer restitution in the event of violations, engage in consumer financial education, track consumer complaints, request data and promote the availability of financial services to underserved consumers and communities. The CFPB, through its enforcement authority, could increase our compliance costs, potentially hinder our ability to respond to marketplace changes, impose requirements to alter products and services that would make them less attractive to consumers and impair our ability to offer products and services profitably. The CFPB is authorized to pursue administrative proceedings or litigation for violations of federal consumer financial laws. In these proceedings, the CFPB can obtain cease and desist orders (which can include orders for restitution or rescission of contracts, as well as other kinds of affirmative relief) and monetary penalties which, for 2022, range from $6,323 per day for minor violations of federal consumer financial laws (including the CFPB’s own rules) to $31,616 per day for reckless violations and $1,264,622 per day for knowing violations. The CFPB monetary penalty amounts are adjusted annually for inflation. Also, where a company has violated Title X of the Dodd-Frank Act or CFPB regulations under Title X, the Dodd-Frank Act empowers state attorneys general and state regulators to bring civil actions for the kind of cease and desist orders available to the CFPB (but not for civil penalties). In May 2022, the CFPB issued an Interpretive Rule to clarify the authority of states to enforce federal consumer financial protections laws under the Consumer Financial Protection Act of 2010 (“CFPA”). Specifically, the CFPB confirmed that (1) states can enforce the CFPA, including the provision making it unlawful for covered persons or service providers to violate any provision of federal consumer financial protection law; (2) the enforcement authority of states under section 1042 of the CFPA is generally not subject to certain limits applicable to the CFPB’s enforcement authority, such that States may be able to bring actions against a broader cross-section of companies than the CFPB; and (3) state attorneys general and regulators may bring (or continue to pursue) actions under their CFPA authority even if the CFPB is pursuing a concurrent action against the same entity. See CFPB Interpretive Rule regarding Section 1042 of the Consumer Financial Protection Act of 2010 (87 FR 31940, May 26, 2022). If the CFPB or one or more state officials find that we have violated the foregoing laws, they could exercise their enforcement powers in ways that would have a material adverse effect on our business.</w:t>
      </w:r>
    </w:p>
    <w:p>
      <w:pPr>
        <w:spacing w:after="0" w:line="196"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In addition, the Biden Administration has brought an increased focus on enforcement of federal consumer protection laws and appointed consumer-oriented regulators at federal agencies such as the CFPB, the OCC and the FDIC. It is possible that such regulators could promulgate rulemakings and bring enforcement actions that materially impact our business and the business of our originating bank partners. These regulators may augment requirements that apply to loans facilitated by our platform, or impose new programs and restrictions and could otherwise revise or create new regulatory requirements that apply to us (or our bank partners), impacting our business, operations, and profitability.</w:t>
      </w:r>
    </w:p>
    <w:p>
      <w:pPr>
        <w:spacing w:after="0" w:line="19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federal regulatory framework applicable to online marketplaces such as our platform is evolving and uncertain, and additional requirements may apply to our business in the future. While we have developed policies and procedures designed to assist in compliance with these laws and regulations, no assurance is given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compliance policies and procedures will be effective or will be adequate as laws change or are applied in a new manner.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requirements</w:t>
      </w:r>
    </w:p>
    <w:p>
      <w:pPr>
        <w:spacing w:after="0" w:line="266"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have policies and procedures designed to prevent the financing of illegal products. As part of our diligence process when vetting new partners, these policies and procedures instruct that we screen for products that violate the law or are on our prohibited business list in an effort to prevent risk to our business or harm to our consumers, merchants, and the payment system.</w:t>
      </w:r>
    </w:p>
    <w:p>
      <w:pPr>
        <w:spacing w:after="0" w:line="22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We are subject to compliance obligations related to U.S. anti-money laundering (“AML”) laws and regulations due, in part, to our partnership with our originating bank partners. With our international footprint, we are also subject to international AML laws and regulations. We have developed and currently operate an enterprise-wide AML program designed to prevent our network from being used to facilitate money laundering, terrorist financing, and other financial crimes, and to enable us to comply with all applicable anti-money laundering and anti-terrorism financing laws and regulations, including the Bank Secrecy Act and the Patriot Act. Our AML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designed to identify, monitor, manage, and mitigate the risk of money laundering and terrorist financing, including the designation of an AML compliance officer to oversee the programs. These controls include procedures and processes to detect and report potentially suspicious transactions, perform consumer due diligence, respond to requests from law enforcement, and meet all recordkeeping and reporting requirements related to particular transactions involving currency or monetary instruments. Our programs are designed to address these legal and regulatory requirements and to assist in managing risk associated with money laundering and terrorist financing. We are also required to maintain this program under our agreements with our originating bank partners, and certain state regulatory agencies have intimated they expect the program to be in place and followed.</w:t>
      </w:r>
    </w:p>
    <w:p>
      <w:pPr>
        <w:spacing w:after="0" w:line="21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collect, store, use, disclose, transfer, and otherwise process a wide variety of information, including personal information, for various purposes in our business, including to help provide for the integrity of our services and to provide features and functionality to our consumers and merchants. This aspect of our business, including the collection, storage, use, disclosure, transfer, processing, and protection of the information, including personal information, we acquire in connection with our consumers’ and merchants’ use of our services, is subject to numerous privacy, cybersecurity, and other laws and regulations in the United States and foreign jurisdictions. We are subject to a variety of such laws, rules, directives, and regulations, as well as contractual obligations, relating to the processing of personal information. Accordingly, we publish our privacy policies and terms of service, which describe our practices concerning the collection, storage, use, disclosure, transmission, processing, and protection of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200" w:lineRule="exact"/>
        <w:rPr>
          <w:sz w:val="20"/>
          <w:szCs w:val="20"/>
          <w:color w:val="auto"/>
        </w:rPr>
      </w:pPr>
    </w:p>
    <w:p>
      <w:pPr>
        <w:ind w:right="140" w:firstLine="648"/>
        <w:spacing w:after="0" w:line="284" w:lineRule="auto"/>
        <w:rPr>
          <w:sz w:val="20"/>
          <w:szCs w:val="20"/>
          <w:color w:val="auto"/>
        </w:rPr>
      </w:pPr>
      <w:r>
        <w:rPr>
          <w:rFonts w:ascii="Arial" w:cs="Arial" w:eastAsia="Arial" w:hAnsi="Arial"/>
          <w:sz w:val="17"/>
          <w:szCs w:val="17"/>
          <w:color w:val="auto"/>
        </w:rPr>
        <w:t>We are subject to the GLBA and implementing regulations and guidance. Among other things, the GLBA (i) imposes certain limitations on the ability to share consumers’ nonpublic personal information with non-affiliated third-parties and (ii) requires certain disclosures to consumers about information collection, sharing, and security practices and their right to “opt out” of the institution’s disclosure of their personal financial information to non-affiliated third-parties (with certain exceptions). Privacy requirements, including notice and opt out requirements, under the GLBA and the FCRA are enforced by the FTC and by the CFPB through UDAAP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are a standard component of CFPB examinations. State entities also may initiate actions for alleged violations of privacy or security requirements under state law.</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Furthermore, an increasing number of state, federal, and international jurisdictions have enacted, or are considering enacting, privacy laws, such as the CCPA, which became effective on January 1, 2020, and the EU General Data Protection Regulation (“GDPR”), which regulates the collection, control, sharing, disclosure and use and other processing of personal 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a private right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United States,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GDPR, and any other applicable state, federal, and international privacy laws, may increase our compliance costs and potential liability.</w:t>
      </w:r>
    </w:p>
    <w:p>
      <w:pPr>
        <w:spacing w:after="0" w:line="194" w:lineRule="exact"/>
        <w:rPr>
          <w:sz w:val="20"/>
          <w:szCs w:val="20"/>
          <w:color w:val="auto"/>
        </w:rPr>
      </w:pPr>
    </w:p>
    <w:p>
      <w:pPr>
        <w:ind w:right="40" w:firstLine="648"/>
        <w:spacing w:after="0" w:line="290" w:lineRule="auto"/>
        <w:rPr>
          <w:sz w:val="20"/>
          <w:szCs w:val="20"/>
          <w:color w:val="auto"/>
        </w:rPr>
      </w:pPr>
      <w:r>
        <w:rPr>
          <w:rFonts w:ascii="Arial" w:cs="Arial" w:eastAsia="Arial" w:hAnsi="Arial"/>
          <w:sz w:val="17"/>
          <w:szCs w:val="17"/>
          <w:color w:val="auto"/>
        </w:rPr>
        <w:t>Various regulatory agencies in the United States and in foreign jurisdictions continue to examine a wide variety of issues that are applicable to us and may impact our business. These issues include account management guidelines, anti-discrimination, consumer protection, identity theft, privacy, disclosure rules, electronic transfers, cybersecurity, and marketing. As our business continues to develop and expand, we continue to monitor the additional rules and regulations that may become relevant in order to maintain compliance with applicable law.</w:t>
      </w:r>
    </w:p>
    <w:p>
      <w:pPr>
        <w:spacing w:after="0" w:line="189" w:lineRule="exact"/>
        <w:rPr>
          <w:sz w:val="20"/>
          <w:szCs w:val="20"/>
          <w:color w:val="auto"/>
        </w:rPr>
      </w:pPr>
    </w:p>
    <w:p>
      <w:pPr>
        <w:ind w:right="80" w:firstLine="648"/>
        <w:spacing w:after="0" w:line="260" w:lineRule="auto"/>
        <w:rPr>
          <w:sz w:val="20"/>
          <w:szCs w:val="20"/>
          <w:color w:val="auto"/>
        </w:rPr>
      </w:pPr>
      <w:r>
        <w:rPr>
          <w:rFonts w:ascii="Arial" w:cs="Arial" w:eastAsia="Arial" w:hAnsi="Arial"/>
          <w:sz w:val="18"/>
          <w:szCs w:val="18"/>
          <w:color w:val="auto"/>
        </w:rPr>
        <w:t>The legal and regulatory framework for privacy and security issues worldwide is rapidly evolving, and, although we endeavor to comply with these laws and regulations and our published policies and documentation, we may at times fail to do so or be alleged to have failed to do so. Any actual or perceived failure to comply with legal and regulatory requirements applicable to us, including those relating to privacy or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w:t>
      </w:r>
    </w:p>
    <w:p>
      <w:pPr>
        <w:spacing w:after="0" w:line="22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originating bank partners also operate in a highly regulated environment, and many laws and regulations that apply directly to our originating bank partners are directly and indirectly applicable to us as a service provider to our originating bank partners.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40" w:firstLine="648"/>
        <w:spacing w:after="0" w:line="300" w:lineRule="auto"/>
        <w:rPr>
          <w:sz w:val="20"/>
          <w:szCs w:val="20"/>
          <w:color w:val="auto"/>
        </w:rPr>
      </w:pPr>
      <w:r>
        <w:rPr>
          <w:rFonts w:ascii="Arial" w:cs="Arial" w:eastAsia="Arial" w:hAnsi="Arial"/>
          <w:sz w:val="16"/>
          <w:szCs w:val="16"/>
          <w:color w:val="auto"/>
        </w:rPr>
        <w:t>Intellectual property and proprietary rights are important to the success of our business. We rely on a combination of patent,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As of June 30, 2022, we owned 9 registered trademarks and 20 trademark applications in the United States, 24 registered trademarks and 36 trademark applications in various foreign jurisdictions, and 7 issued patent, 36 pending patent applications in the United States, and 4 pending patent applications in various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648"/>
        <w:spacing w:after="0" w:line="294" w:lineRule="auto"/>
        <w:rPr>
          <w:sz w:val="20"/>
          <w:szCs w:val="20"/>
          <w:color w:val="auto"/>
        </w:rPr>
      </w:pPr>
      <w:r>
        <w:rPr>
          <w:rFonts w:ascii="Arial" w:cs="Arial" w:eastAsia="Arial" w:hAnsi="Arial"/>
          <w:sz w:val="17"/>
          <w:szCs w:val="17"/>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third-parties who may use our technology or other proprietary information to develop services that compete with ours.</w:t>
      </w:r>
    </w:p>
    <w:p>
      <w:pPr>
        <w:spacing w:after="0" w:line="186" w:lineRule="exact"/>
        <w:rPr>
          <w:sz w:val="20"/>
          <w:szCs w:val="20"/>
          <w:color w:val="auto"/>
        </w:rPr>
      </w:pPr>
    </w:p>
    <w:p>
      <w:pPr>
        <w:ind w:right="840" w:firstLine="648"/>
        <w:spacing w:after="0" w:line="293"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 – Risks Related to Our Intellectual Property and Platform Development</w:t>
      </w:r>
      <w:r>
        <w:rPr>
          <w:rFonts w:ascii="Arial" w:cs="Arial" w:eastAsia="Arial" w:hAnsi="Arial"/>
          <w:sz w:val="18"/>
          <w:szCs w:val="18"/>
          <w:color w:val="auto"/>
        </w:rPr>
        <w:t>” for a more comprehensive description of risks related to our intellectual property and proprietary rights.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7"/>
          <w:szCs w:val="17"/>
          <w:color w:val="auto"/>
        </w:rPr>
        <w:t>Our website address is www.affirm.com. Information found on, or accessible through, our website is not a part of, and is not incorporated into, this Annual Report on Form 10-K. Copies of our annual reports on Form 10-K, quarterly reports on Form 10-Q, current reports on Form 8-K, and amendments to these reports filed or furnished pursuant to Section 13(a) or 15(d) of the Securities Exchange Act of 1934, as amended, are available, free of charge, on our website as soon as reasonably practicable after we file such material electronically with, or furnish it to, the Securities and Exchange Commission (the “SEC”). The SEC also maintains a website that contains our SEC filings. The address of the 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material factors, risks and uncertainties described below that make an investment in our Company speculative or risky, together with all of the other information in this Form 10-K, including the section titled “Management’s Discussion and Analysis of Financial Condition and Results of Operations” and our consolidated financial statements and the accompanying notes included elsewhere in this Form 10-K, before deciding whether to invest in shares of our Class A common stock. The risks and uncertainties described below are not the only ones we face. Additional risks and uncertainties that we are unaware of or that we currently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and uncertainties to which our business is subject, include, but are not limited to, the following:</w:t>
      </w:r>
    </w:p>
    <w:p>
      <w:pPr>
        <w:spacing w:after="0" w:line="293" w:lineRule="exact"/>
        <w:rPr>
          <w:sz w:val="20"/>
          <w:szCs w:val="20"/>
          <w:color w:val="auto"/>
        </w:rPr>
      </w:pPr>
    </w:p>
    <w:p>
      <w:pPr>
        <w:ind w:left="660" w:right="120" w:hanging="328"/>
        <w:spacing w:after="0" w:line="286" w:lineRule="auto"/>
        <w:tabs>
          <w:tab w:leader="none" w:pos="6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attract additional merchant partners and/or commerce platforms (collectively “merchants” or “merchant partners,” as applicable), retain our existing merchant partners, and grow and develop our relationships with new and existing merchant partners, our business, results of operations, financial condition, and future prospects would be materially and adversely affected.</w:t>
      </w:r>
    </w:p>
    <w:p>
      <w:pPr>
        <w:spacing w:after="0" w:line="192" w:lineRule="exact"/>
        <w:rPr>
          <w:rFonts w:ascii="Arial" w:cs="Arial" w:eastAsia="Arial" w:hAnsi="Arial"/>
          <w:sz w:val="17"/>
          <w:szCs w:val="17"/>
          <w:color w:val="auto"/>
        </w:rPr>
      </w:pPr>
    </w:p>
    <w:p>
      <w:pPr>
        <w:ind w:left="660" w:right="280" w:hanging="328"/>
        <w:spacing w:after="0" w:line="277"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a highly competitive industry, and our inability to compete successfully would materially and adversely affect our business, results of operations, financial condition, and future prospects.</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a small number of merchant partners and e-commerce platforms, and the loss of any of these significant relationships would adversely affect our business, results of operations, financial condition, and future prospects.</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sustain our revenue and GMV growth rates, or our growth rate of related key operating metrics, in the future.</w:t>
      </w:r>
    </w:p>
    <w:p>
      <w:pPr>
        <w:spacing w:after="0" w:line="252" w:lineRule="exact"/>
        <w:rPr>
          <w:rFonts w:ascii="Arial" w:cs="Arial" w:eastAsia="Arial" w:hAnsi="Arial"/>
          <w:sz w:val="18"/>
          <w:szCs w:val="18"/>
          <w:color w:val="auto"/>
        </w:rPr>
      </w:pPr>
    </w:p>
    <w:p>
      <w:pPr>
        <w:ind w:left="660" w:right="60" w:hanging="328"/>
        <w:spacing w:after="0" w:line="25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business depends on our ability to work with our originating bank partners to enable effective underwriting of loans facilitated through our platform and accurately price credit risk. We rely on Cross River Bank and Celtic Bank to originate a substantial majority of the loans facilitated through our platform. If our agreements with Cross River Bank or Celtic Bank are terminated, and we are unable to replace the commitments of these originating bank partners, our business, results of operations, financial condition, and future prospects would be materially and adversely affected.</w:t>
      </w:r>
    </w:p>
    <w:p>
      <w:pPr>
        <w:spacing w:after="0" w:line="214"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10" w:lineRule="exact"/>
        <w:rPr>
          <w:rFonts w:ascii="Arial" w:cs="Arial" w:eastAsia="Arial" w:hAnsi="Arial"/>
          <w:sz w:val="18"/>
          <w:szCs w:val="18"/>
          <w:color w:val="auto"/>
        </w:rPr>
      </w:pPr>
    </w:p>
    <w:p>
      <w:pPr>
        <w:ind w:left="660" w:right="220" w:hanging="328"/>
        <w:spacing w:after="0" w:line="277" w:lineRule="auto"/>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0" w:hanging="108"/>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extent we seek to grow through future acquisitions, or other strategic investments or alliances, we may not be able to do so effectively.</w:t>
      </w:r>
    </w:p>
    <w:p>
      <w:pPr>
        <w:spacing w:after="0" w:line="263" w:lineRule="exact"/>
        <w:rPr>
          <w:rFonts w:ascii="Arial" w:cs="Arial" w:eastAsia="Arial" w:hAnsi="Arial"/>
          <w:sz w:val="17"/>
          <w:szCs w:val="17"/>
          <w:color w:val="auto"/>
        </w:rPr>
      </w:pPr>
    </w:p>
    <w:p>
      <w:pPr>
        <w:ind w:left="660" w:right="400" w:hanging="328"/>
        <w:spacing w:after="0" w:line="277"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the services of our Founder and Chief Executive Officer, as well as our inability to attract and retain highly skilled employees, could materially and adversely affect our business, results of operations, financial condition, and future prospects.</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a history of operating losses and may not achieve or sustain profitability in the manner and timeframe we have publicly communicated.</w:t>
      </w:r>
    </w:p>
    <w:p>
      <w:pPr>
        <w:spacing w:after="0" w:line="275" w:lineRule="exact"/>
        <w:rPr>
          <w:rFonts w:ascii="Arial" w:cs="Arial" w:eastAsia="Arial" w:hAnsi="Arial"/>
          <w:sz w:val="16"/>
          <w:szCs w:val="16"/>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regulatory actions and compliance issues could subject us to fines, penalties, judgments, remediation costs, requirements resulting in increased expenses and reputational harm.</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interest rates could have an adverse effect on our business.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revenue is impacted, to a significant extent, by the general economy, the creditworthiness of the U.S. consumer and the financial performance of our merchants.</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collection efforts on delinquent loans are ineffective or unsuccessful, the performance of the loans would be adversely affected.</w:t>
      </w:r>
    </w:p>
    <w:p>
      <w:pPr>
        <w:spacing w:after="0" w:line="252" w:lineRule="exact"/>
        <w:rPr>
          <w:rFonts w:ascii="Arial" w:cs="Arial" w:eastAsia="Arial" w:hAnsi="Arial"/>
          <w:sz w:val="18"/>
          <w:szCs w:val="18"/>
          <w:color w:val="auto"/>
        </w:rPr>
      </w:pPr>
    </w:p>
    <w:p>
      <w:pPr>
        <w:ind w:left="660" w:right="100" w:hanging="328"/>
        <w:spacing w:after="0" w:line="263"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10"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10" w:lineRule="exact"/>
        <w:rPr>
          <w:rFonts w:ascii="Arial" w:cs="Arial" w:eastAsia="Arial" w:hAnsi="Arial"/>
          <w:sz w:val="18"/>
          <w:szCs w:val="18"/>
          <w:color w:val="auto"/>
        </w:rPr>
      </w:pPr>
    </w:p>
    <w:p>
      <w:pPr>
        <w:ind w:left="660" w:right="240" w:hanging="328"/>
        <w:spacing w:after="0" w:line="259"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13" w:lineRule="exact"/>
        <w:rPr>
          <w:rFonts w:ascii="Arial" w:cs="Arial" w:eastAsia="Arial" w:hAnsi="Arial"/>
          <w:sz w:val="18"/>
          <w:szCs w:val="18"/>
          <w:color w:val="auto"/>
        </w:rPr>
      </w:pPr>
    </w:p>
    <w:p>
      <w:pPr>
        <w:ind w:left="660" w:right="120" w:hanging="328"/>
        <w:spacing w:after="0" w:line="277"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hold shares of our Class B common stock, including our executive officers, employees and directors and their affiliates. As a result of our dual class structure of our common stock, the trading price of our Class A common stock may be depressed.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 as could the market price of our Class A common stock.</w:t>
      </w:r>
    </w:p>
    <w:p>
      <w:pPr>
        <w:spacing w:after="0" w:line="211"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We derive a significant portion of our revenue from our relationships with merchant partners and the transactions they process through our platform, and as more merchants are integrated into our network, there are more reasons for consumers to shop with us.</w:t>
      </w:r>
    </w:p>
    <w:p>
      <w:pPr>
        <w:spacing w:after="0" w:line="17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Furthermore, having a diversified mix of merchant partners is important to mitigate risk associated with changing consumer spending behavior, economic conditions and other factors that may affect a particular type of merchant or industry.</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continued success also is dependent on our ability to successfully grow and develop relationships with our merchant partners, particularly early-stage relationships with large e-commerce retailers such as Amazon. The pace of development, integration and rollout of these early-stage relationships is often unpredictable and is generally not within our control. Many of our agreements with our merchant partners are non-exclusive and lack any transaction volume commitments. Accordingly, these merchant partners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While some of our agreements with our merchant partners, including Amazon, do provide for a period of exclusivity, those periods may be limited in duration, and we may not be able to negotiate extensions of those exclusivity periods on reasonable terms, if at all. In addition, our agreements with our merchant partners generally have terms that range from approximately 12 months to 36 months, and our merchants can generally terminate these agreements without cause upon 30 to 90 days’ prior written notice. We may, therefore, be compelled to renegotiate our agreements with merchant partners from time to time, possibly upon terms significantly less favorable to us than the terms included in our existing agreements with those merchant partners.</w:t>
      </w:r>
    </w:p>
    <w:p>
      <w:pPr>
        <w:spacing w:after="0" w:line="2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revenue is derived from consumer transaction volume, so our success depends on our ability to generate repeat use and increased transaction volume from existing consumers and to attract new consumers to our platform.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our brand and reputation; consumer experience and satisfaction, including the trustworthiness of our services;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Goldman Sachs and American Express; technology solutions provided by payment companies such as Visa and MasterCard; mobile wallets such as Apple and PayPal; and other pay-over-time solutions offered by companies such as Block and Klarna, as well as new pay-over-time offerings by legacy financial and payments companies, including those mentioned above. We expect competition to intensify in the future, especially as the pay-over-time industry has low barriers to entry,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w:t>
      </w:r>
    </w:p>
    <w:p>
      <w:pPr>
        <w:spacing w:after="0" w:line="1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Some of our competitors, particularly the credit issuing banks set forth above, are substantially larger than we are and have longer operating histories than we do, which gives those competitors advantages we do not have, such as a more diversified products, a broader consumer and merchant base, greater brand recognition and brand loyalty,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 which would reduce the attractiveness of our platform to other consumers and merchants, and which would materially and adversely affect our business, results of operations, financial condition, and future prospects.</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rely on a small number of merchant partners and e-commerce platforms, and the loss of any of these significant relationships would adversely affect our business, results of operations, financial condition, and future prospects.</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Our top ten merchants in the aggregate represented approximately 14%, 25%, and 35% of our total revenue for the years ended June 30, 2022, 2021, and 2020, respectively. The loss of any one of our significant merchant partner or e-commerce platform relationships, such as with Amazon or Shopify, due to a lapse in exclusivity or otherwise, would adversely affect our business.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concentration of a significant portion of our business and transaction volume with a limited number of merchant partners or e-commerce platforms,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In addition, a material modification in the production levels (including supply chain issues impacting component parts of products sold by our merchant partners) and/or financial operations of any significant merchant partner could affect the results of our operations, financial condition, and future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and GMV growth rates, or our growth rate of related key operating metrics, in the future.</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assurances that our revenue and GMV will continue to grow as they have in recent periods, and we expect our revenue and GMV growth rates to decline in future periods. Many factors may contribute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declines in our revenue and GMV growth rates, including increased competition, slowing demand for our products from existing and new consumers, transaction volume and mix (particularly with our significant merchant partners), lower sales by our merchants (particularly those with whom we have significant relationships), general economic conditions, a failure by us to continue capitalizing on growth opportunities, changes in the regulatory environment and the maturation of our business, among others. The revenue, GMV or key operating metrics for any prior quarterly or annual period should not be relied on as an indication of our future performance. If our revenue and GMV growth rates decline, we may not achieve profitability as expected, and our business, financial condition, results of operations and the price of our Class A common stock would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and growth of our business depends upon our ability to continuously innovate and develop new products and technologies.</w:t>
      </w:r>
    </w:p>
    <w:p>
      <w:pPr>
        <w:spacing w:after="0" w:line="2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solution is a technology-driven platform that relies on innovation to remain competitive. The process of developing new technologies and products, such as Affirm Debit+ with pay-over-time functionality, is complex, and we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or we may not be able to accurately predict the demand or growth of our technological investments, which could harm our ability to attract consumers and merchants and have a material and adverse effect on our business, results of operations, financial condition, and future prospects. In addition, we may not be able to effectively implement new technology-driven products and services, including Affirm Debit+, as quickly as competitors or be successful in marketing these products and services to consumers and merchants. Moreover, the profile of potential consumers using our new products and technologies also may not be as attractive as the profile of the consumers that we currently serve, which may lead to higher levels of delinquencies or defaults than we have historically experienced. If we are unable to successfully and timely innovate and continue to deliver a superior merchant and consumer experience, we could experience reputational damage and decreased demand for our products and technologies and our growth, business, results of operations, financial condition, and future prospects could be materially and adversely affected.</w:t>
      </w:r>
    </w:p>
    <w:p>
      <w:pPr>
        <w:spacing w:after="0" w:line="209"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discrepancies between the data signals used in the AI/ML model training data set and our online decisioning environment for our risk model may lead to incorrect decisions and errors in certain scenarios. Steps taken to prevent errors in the future may not be sufficient to prevent other discrepancies from arising in the future.</w:t>
      </w:r>
    </w:p>
    <w:p>
      <w:pPr>
        <w:spacing w:after="0" w:line="22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 failures; increased regulatory scrutiny;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which may lead to higher levels of delinquencies or defaults than we have historically experienced.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The success of our business depends on our ability to work with our originating bank partners to enable effective underwriting of loans facilitated through our platform and accurately price credit risk. We rely on Cross River Bank and Celtic Bank to originate a substantial majority of the loans facilitated through our platform. If our agreements with Cross River Bank or Celtic Bank are terminated, and we are unable to replace the commitments of these originating bank partners, our business, results of operations, financial condition, and future prospects would be materially and adversely affected.</w:t>
      </w:r>
    </w:p>
    <w:p>
      <w:pPr>
        <w:spacing w:after="0" w:line="21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rely on Cross River Bank and Celtic Bank to originate a substantial majority of the loans facilitated through our platform and to comply with various federal, state, and other laws. Cross River Bank and Celtic Bank each handle a variety of consumer and commercial financing programs. The Cross River Bank and Celtic Bank loan program agreements have initial three-year terms, each ending in calendar year 2023. In addition, upon the occurrence of certain early termination events, either we or either of Cross River Bank and Celtic Bank may terminate the applicable loan program agreements immediately upon written notice to the other party. Our Cross River Bank and Celtic Bank loan program agreements do not prohibit Cross River Bank or Celtic Bank, as applicable, from working with our competitors or from offering competing services, and Cross River Bank and Celtic Bank each currently offer loan programs through other competing platforms. Cross River Bank and/or Celtic Bank could decide not to work with us for any reason, could make working with us cost-prohibitive, or could decide to enter into an exclusive or more favorable relationship with one or more of our competitors. In addition, Cross River Bank and/or Celtic Bank may not perform as expected under our loan program agreements. We could in the future have disagreements or disputes with Cross River Bank and/or Celtic Bank, which could negatively impact or threaten our relationship with other originating banks with whom we may seek to partner. For a further discussion of our relationships with Cross River Bank and Celtic Bank, particularly the regulations applicable to this relationship, see “</w:t>
      </w:r>
      <w:r>
        <w:rPr>
          <w:rFonts w:ascii="Arial" w:cs="Arial" w:eastAsia="Arial" w:hAnsi="Arial"/>
          <w:sz w:val="17"/>
          <w:szCs w:val="17"/>
          <w:i w:val="1"/>
          <w:iCs w:val="1"/>
          <w:color w:val="auto"/>
        </w:rPr>
        <w:t>Business — Regulatory Environment</w:t>
      </w:r>
      <w:r>
        <w:rPr>
          <w:rFonts w:ascii="Arial" w:cs="Arial" w:eastAsia="Arial" w:hAnsi="Arial"/>
          <w:sz w:val="17"/>
          <w:szCs w:val="17"/>
          <w:color w:val="auto"/>
        </w:rPr>
        <w:t>.”</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If Cross River Bank and/or Celtic Bank were to suspend, limit, or cease their operations, or if our relationship with Cross River Bank and/or Celtic Bank were to otherwise terminate for any reason (including, but not limited to, its failure to comply with regulatory actions), we may need to implement an additional substantially similar arrangement with another bank, obtain additional state licenses, or curtail our operations. If we need to enter into alternative arrangements with a different bank to replace our existing arrangements, we may not be able to negotiate a comparable alternative arrangement in a timely manner or at all.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Cross River Bank and/or Celtic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1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high-velocity, capital efficient funding model is integral to the success of our commerce platform. To support this model and the growth of our business, we must maintain a variety of funding arrangements, including warehouse facilities, securities repurchase agreements, securitization trusts, and forward flow arrangements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We cannot guarantee that these funding arrangements will continue to be available on favorable terms or at all, and our funding strategy may change over time and depends on the availability of such funding arrangements. Disruptions in the credit markets or other factors, such as the current inflationary environment and rising interest rates, could adversely affect the availability, diversity, cost, and terms of our funding arrangements. In addition, our funding sources may reassess their exposure to our industry and either curtail access to uncommitted financing capacity, fail to renew or extend facilities, or impose higher costs to access our funding. Further, our debt financing and loan sale forward flow facilities are generally fixed 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The availability and diversity of our funding arrangements depends on various factors and are subject to numerous risks, many of which are outside of our control.</w:t>
      </w:r>
    </w:p>
    <w:p>
      <w:pPr>
        <w:spacing w:after="0" w:line="196"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addition, our revolving credit facility contains (a)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and (b) certain financial maintenance covenants that require us and our subsidiaries to not exceed a specified leverage ratio, to maintain a minimum tangible net worth, and to maintain a minimum level of unrestricted cash while any borrowings under the revolving credit facility are outstanding.</w:t>
      </w:r>
    </w:p>
    <w:p>
      <w:pPr>
        <w:spacing w:after="0" w:line="22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third-parties with whom we do business may incur increased costs or business disruption and this could adversely affect our business relationships with such third-parties, which in turn could have a material adverse effect on our business, results of operations, financial condition, cash flows,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20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third-parties with whom we contract or otherwise do business. Any changes to our risk model may be ineffective and the performance of our risk model may decline. Further, our proprietary risk model was built prior to the COVID-19 pandemic, and consequently was not designed to take into account the longer-term impacts of social, economic, and financial disruptions caused by the pandemic. If our risk model does not effectively and accurately model the credit risk of potential loans facilitated through our platform, greater than expected losses may result on such loans and, as a result, our business, results of operations, financial condition, and future prospects could be materially and adversely affected.</w:t>
      </w:r>
    </w:p>
    <w:p>
      <w:pPr>
        <w:spacing w:after="0" w:line="22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is ineffective or the data provided by consumers or third-parties is incorrect or stale, or if we are unable to obtain accurate data from consumers or third-parties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22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For certain loans facilitated through our platform that we purchase from our originating bank partners, we hold the loan receivables for investment on our balance sheet. We bear the entire credit risk in the event that these consumers default with respect to these loan receivables. In addition, non-performance, or even significant underperformance, of the loan receivables that we own could have an adverse effect on our business.</w:t>
      </w:r>
    </w:p>
    <w:p>
      <w:pPr>
        <w:spacing w:after="0" w:line="19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Additionally, our funding model relies on a variety of funding arrangements, including warehouse facilities, securitization trusts, and forward flow arrangements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19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Any acquisitions, strategic investments, or alliances and other transactions could fail to achieve strategic objectives, disrupt our ongoing operations or result in operating difficulties, liabilities and expenses, harm our business, and negatively impact our results of operations.</w:t>
      </w:r>
    </w:p>
    <w:p>
      <w:pPr>
        <w:spacing w:after="0" w:line="15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pursuing our business strategy, we routinely conduct discussions and evaluate opportunities for possible acquisitions, strategic investments, joint ventures and other transactions. We have in the past acquired or invested in, and we continue to seek to acquire or invest in, businesses, technologies, or other assets that we believe could complement or expand our business. The identification, evaluation, and negotiation of potential acquisition or strategic investment transactions may divert the attention of management and entail various expenses, whether or not such transactions are ultimately completed. There can be no assurance that we will be successful in identifying, negotiating, and consummating favorable transaction opportunities. In addition to transaction and opportunity costs, these transactions involve large challenges and risks, whether or not such transactions are completed, any of which could harm our business and negatively impact our results of operations, including risks that:</w:t>
      </w:r>
    </w:p>
    <w:p>
      <w:pPr>
        <w:spacing w:after="0" w:line="21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transaction may not advance our business strategy or may harm our growth (or profitability);</w:t>
      </w:r>
    </w:p>
    <w:p>
      <w:pPr>
        <w:spacing w:after="0" w:line="175" w:lineRule="exact"/>
        <w:rPr>
          <w:rFonts w:ascii="Arial" w:cs="Arial" w:eastAsia="Arial" w:hAnsi="Arial"/>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secure required regulatory approvals or otherwise satisfy closing conditions for a proposed transaction in a timely manner, or at all;</w:t>
      </w:r>
    </w:p>
    <w:p>
      <w:pPr>
        <w:spacing w:after="0" w:line="143" w:lineRule="exact"/>
        <w:rPr>
          <w:rFonts w:ascii="Arial" w:cs="Arial" w:eastAsia="Arial" w:hAnsi="Arial"/>
          <w:sz w:val="18"/>
          <w:szCs w:val="18"/>
          <w:color w:val="auto"/>
        </w:rPr>
      </w:pPr>
    </w:p>
    <w:p>
      <w:pPr>
        <w:ind w:left="660" w:right="20" w:hanging="328"/>
        <w:spacing w:after="0" w:line="26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transaction may subject us to additional regulatory burdens that affect our business in potentially unanticipated and significantly negative ways;</w:t>
      </w:r>
    </w:p>
    <w:p>
      <w:pPr>
        <w:spacing w:after="0" w:line="150"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may not realize a satisfactory return or increase our revenue;</w:t>
      </w:r>
    </w:p>
    <w:p>
      <w:pPr>
        <w:spacing w:after="0" w:line="188" w:lineRule="exact"/>
        <w:rPr>
          <w:rFonts w:ascii="Arial" w:cs="Arial" w:eastAsia="Arial" w:hAnsi="Arial"/>
          <w:sz w:val="20"/>
          <w:szCs w:val="20"/>
          <w:color w:val="auto"/>
        </w:rPr>
      </w:pPr>
    </w:p>
    <w:p>
      <w:pPr>
        <w:ind w:left="660" w:right="20" w:hanging="328"/>
        <w:spacing w:after="0" w:line="26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may experience difficulty, and may not be successful in, integrating technologies, IT or business enterprise systems, culture, or management or other personnel of the acquired business;</w:t>
      </w:r>
    </w:p>
    <w:p>
      <w:pPr>
        <w:spacing w:after="0" w:line="150" w:lineRule="exact"/>
        <w:rPr>
          <w:rFonts w:ascii="Arial" w:cs="Arial" w:eastAsia="Arial" w:hAnsi="Arial"/>
          <w:sz w:val="20"/>
          <w:szCs w:val="20"/>
          <w:color w:val="auto"/>
        </w:rPr>
      </w:pPr>
    </w:p>
    <w:p>
      <w:pPr>
        <w:ind w:left="660" w:hanging="328"/>
        <w:spacing w:after="0" w:line="26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may incur significant acquisition costs and transition costs, including in connection with the assumption of ongoing expenses of the acquired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18"/>
          <w:szCs w:val="18"/>
          <w:color w:val="auto"/>
        </w:rPr>
        <w:t>we may not realize the expected benefits or synergies from the transaction in the expected time period, or at all;</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18"/>
          <w:szCs w:val="18"/>
          <w:color w:val="auto"/>
        </w:rPr>
        <w:t>we may be unable to retain key personnel;</w:t>
      </w:r>
    </w:p>
    <w:p>
      <w:pPr>
        <w:spacing w:after="0" w:line="188"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acquired businesses or businesses that we invest in may not have adequate controls, processes, and procedures to ensure compliance with laws and regulations, including with respect to data privacy, data protection, and data security, and our due diligence process may not identify compliance issues or other liabilities;</w:t>
      </w:r>
    </w:p>
    <w:p>
      <w:pPr>
        <w:spacing w:after="0" w:line="179"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we may fail to identify or assess the magnitude of certain liabilities, shortcomings, or other circumstances prior to acquiring or investing in a business, which could result in additional financial, legal, regulatory, or tax exposure and may subject us to additional controls, policies, procedures, liabilities, litigation, costs of compliance or remediation, or other adverse effects on our business, operating results, or financial condition;</w:t>
      </w:r>
    </w:p>
    <w:p>
      <w:pPr>
        <w:spacing w:after="0" w:line="180"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18"/>
          <w:szCs w:val="18"/>
          <w:color w:val="auto"/>
        </w:rPr>
        <w:t>we may have difficulty entering into new geographic territories;</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18"/>
          <w:szCs w:val="18"/>
          <w:color w:val="auto"/>
        </w:rPr>
        <w:t>we may be unable to retain the consumers, vendors, and partners of acquired businesses;</w:t>
      </w:r>
    </w:p>
    <w:p>
      <w:pPr>
        <w:spacing w:after="0" w:line="188"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18"/>
          <w:szCs w:val="18"/>
          <w:color w:val="auto"/>
        </w:rPr>
        <w:t>there may be lawsuits or regulatory actions resulting from the transaction;</w:t>
      </w:r>
    </w:p>
    <w:p>
      <w:pPr>
        <w:spacing w:after="0" w:line="175" w:lineRule="exact"/>
        <w:rPr>
          <w:rFonts w:ascii="Arial" w:cs="Arial" w:eastAsia="Arial" w:hAnsi="Arial"/>
          <w:sz w:val="20"/>
          <w:szCs w:val="20"/>
          <w:color w:val="auto"/>
        </w:rPr>
      </w:pPr>
    </w:p>
    <w:p>
      <w:pPr>
        <w:ind w:left="660" w:hanging="328"/>
        <w:spacing w:after="0" w:line="26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there may be risks associated with undetected security weaknesses, cyberattacks, or security breaches or incidents at companies that we acquire or with which we may combine or partner;</w:t>
      </w:r>
    </w:p>
    <w:p>
      <w:pPr>
        <w:spacing w:after="0" w:line="150"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19"/>
          <w:szCs w:val="19"/>
          <w:color w:val="auto"/>
        </w:rPr>
      </w:pPr>
      <w:r>
        <w:rPr>
          <w:rFonts w:ascii="Arial" w:cs="Arial" w:eastAsia="Arial" w:hAnsi="Arial"/>
          <w:sz w:val="17"/>
          <w:szCs w:val="17"/>
          <w:color w:val="auto"/>
        </w:rPr>
        <w:t>there may be local and foreign regulations applicable to the international activities of our business and the businesses we acquire; and</w:t>
      </w:r>
    </w:p>
    <w:p>
      <w:pPr>
        <w:spacing w:after="0" w:line="186" w:lineRule="exact"/>
        <w:rPr>
          <w:rFonts w:ascii="Arial" w:cs="Arial" w:eastAsia="Arial" w:hAnsi="Arial"/>
          <w:sz w:val="19"/>
          <w:szCs w:val="19"/>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could result in dilutive issuances of equity securities or the incurrence of debt.</w:t>
      </w:r>
    </w:p>
    <w:p>
      <w:pPr>
        <w:spacing w:after="0" w:line="19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delay or failure on our part to identify, negotiate, finance on favorable terms, consummate, and integrate any acquisition or other strategic investment opportunity could impede our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expansion of our operations internationally will subject us to new challenges and risks.</w:t>
      </w:r>
    </w:p>
    <w:p>
      <w:pPr>
        <w:spacing w:after="0" w:line="25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currently operate in the United States, Canada, Australia, Poland and Spain (we do not facilitate loans in Poland or Spain) and plan to further expand our business internationally. Managing our new and existing international operations requires us to comply with new regulatory frameworks and additional resources and controls. International expansion subjects our business to risks associated with international operations, including:</w:t>
      </w:r>
    </w:p>
    <w:p>
      <w:pPr>
        <w:spacing w:after="0" w:line="176"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adjusting the proprietary risk algorithms that we use to account for the differences in information available in different jurisdictions on consumers;</w:t>
      </w:r>
    </w:p>
    <w:p>
      <w:pPr>
        <w:spacing w:after="0" w:line="194" w:lineRule="exact"/>
        <w:rPr>
          <w:rFonts w:ascii="Arial" w:cs="Arial" w:eastAsia="Arial" w:hAnsi="Arial"/>
          <w:sz w:val="16"/>
          <w:szCs w:val="16"/>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conformity of our platform with applicable business customs, including translation into foreign languages and associated expenses;</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to our established business model;</w:t>
      </w:r>
    </w:p>
    <w:p>
      <w:pPr>
        <w:spacing w:after="0" w:line="184"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support and integrate with local vendors and service providers;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with vendors and service providers that have greater experience in the local markets than we do or that have pre-existing relationships with potential consumers and investors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261"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143" w:lineRule="exact"/>
        <w:rPr>
          <w:rFonts w:ascii="Arial" w:cs="Arial" w:eastAsia="Arial" w:hAnsi="Arial"/>
          <w:sz w:val="18"/>
          <w:szCs w:val="18"/>
          <w:color w:val="auto"/>
        </w:rPr>
      </w:pPr>
    </w:p>
    <w:p>
      <w:pPr>
        <w:ind w:left="660" w:right="300" w:hanging="328"/>
        <w:spacing w:after="0" w:line="324" w:lineRule="auto"/>
        <w:tabs>
          <w:tab w:leader="none" w:pos="6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multiple, potentially conflicting, and changing governmental laws and regulations, including banking, anti-money laundering, securities, employment, tax, privacy, and data protection laws and regulations, such as the EU General Data Protection Regulation;</w:t>
      </w:r>
    </w:p>
    <w:p>
      <w:pPr>
        <w:spacing w:after="0" w:line="97" w:lineRule="exact"/>
        <w:rPr>
          <w:rFonts w:ascii="Arial" w:cs="Arial" w:eastAsia="Arial" w:hAnsi="Arial"/>
          <w:sz w:val="16"/>
          <w:szCs w:val="16"/>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U.S. and foreign anti-bribery laws, including the Foreign Corrupt Practices Act;</w:t>
      </w:r>
    </w:p>
    <w:p>
      <w:pPr>
        <w:spacing w:after="0" w:line="184"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collecting payments in multiple foreign currencies and associated foreign currency exposure;</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restrictions on repatriation of earnings;</w:t>
      </w:r>
    </w:p>
    <w:p>
      <w:pPr>
        <w:spacing w:after="0" w:line="184" w:lineRule="exact"/>
        <w:rPr>
          <w:rFonts w:ascii="Arial" w:cs="Arial" w:eastAsia="Arial" w:hAnsi="Arial"/>
          <w:sz w:val="18"/>
          <w:szCs w:val="18"/>
          <w:color w:val="auto"/>
        </w:rPr>
      </w:pPr>
    </w:p>
    <w:p>
      <w:pPr>
        <w:ind w:left="660" w:right="340" w:hanging="328"/>
        <w:spacing w:after="0" w:line="256"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spacing w:after="0" w:line="134"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a result of these risks, we may not be successful in managing our existing international operations, and our future international expansion efforts also may not be successful.</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ability to attract and retain highly skilled employees.</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is extremely intense, particularly in the San Francisco Bay Area.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spacing w:after="0" w:line="2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or sustain profitability in the manner and timeframe we have publicly communicated.</w:t>
      </w:r>
    </w:p>
    <w:p>
      <w:pPr>
        <w:spacing w:after="0" w:line="27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incurred net losses of approximately $707.4 million, $441.0 million and $112.6 million for the fiscal years ended June 30, 2022, 2021, and 2020 respectively. As of June 30, 2022 and June 30, 2021, our accumulated deficit was approximately $1.6 billion and $0.9 billion, respectively. We anticipate that our operating expenses will increase in the foreseeable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Additionally, we may not realize the operating efficiencies we expect to achieve as a result of our acquisitions. These efforts may prove more expensive than we currently anticipate, and we may not succeed in increasing our revenue sufficiently to offset these higher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2022, we announced that we expect to achieve sustained adjusted operating income profitability on a run rate basis by the end of our 2023</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fiscal year. If we are not able to achieve profitability in this manner or in the timeframe that we have publicly communicated due to the potential for operating expense increases, challenges in the macroeconomic environment, and factors discussed elsewhere in this report, our reputation may be harmed and the market price of our Class A common stock could be materially and adversely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quarterly results, including revenue, expenses, GMV, consumer metrics, and other key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or key metrics in future quarters fall short of the expectations of our investors and financial analysts, the price of our Class A common stock will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 the past, and expect to continue to experience, seasonal fluctuations in our revenues.</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experience seasonality as a result of consumer spending patterns. Historically, our revenues have been strongest during the second quarter of our fiscal year as a result of higher commerce trends during the holiday retail season. Adverse events that occur during these months could have a disproportionate effect on our business, results of operations, financial condition, and future prospects.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publicity about us or our industry could adversely affect our business, results of operations, financial condition, and future prospects.</w:t>
      </w:r>
    </w:p>
    <w:p>
      <w:pPr>
        <w:spacing w:after="0" w:line="2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Negative publicity about us or our industry, including the transparency, fairness,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point-of-sale lending platforms 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fines, penalties, judgments, remediation costs, requirements resulting in increased expenses and reputational harm.</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spacing w:after="0" w:line="211"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 xml:space="preserve">In the ordinary course of business, we have been named as a defendant in various legal actions, including arbitrations and other litigation. In addition, we are currently a defendant in a putative securities class action, </w:t>
      </w:r>
      <w:r>
        <w:rPr>
          <w:rFonts w:ascii="Arial" w:cs="Arial" w:eastAsia="Arial" w:hAnsi="Arial"/>
          <w:sz w:val="16"/>
          <w:szCs w:val="16"/>
          <w:i w:val="1"/>
          <w:iCs w:val="1"/>
          <w:color w:val="auto"/>
        </w:rPr>
        <w:t>Toole v. Affirm Holdings, Inc., et al.,</w:t>
      </w:r>
      <w:r>
        <w:rPr>
          <w:rFonts w:ascii="Arial" w:cs="Arial" w:eastAsia="Arial" w:hAnsi="Arial"/>
          <w:sz w:val="16"/>
          <w:szCs w:val="16"/>
          <w:color w:val="auto"/>
        </w:rPr>
        <w:t xml:space="preserve"> and a related derivative action, </w:t>
      </w:r>
      <w:r>
        <w:rPr>
          <w:rFonts w:ascii="Arial" w:cs="Arial" w:eastAsia="Arial" w:hAnsi="Arial"/>
          <w:sz w:val="16"/>
          <w:szCs w:val="16"/>
          <w:i w:val="1"/>
          <w:iCs w:val="1"/>
          <w:color w:val="auto"/>
        </w:rPr>
        <w:t>Vallieres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Levchin, et al. </w:t>
      </w:r>
      <w:r>
        <w:rPr>
          <w:rFonts w:ascii="Arial" w:cs="Arial" w:eastAsia="Arial" w:hAnsi="Arial"/>
          <w:sz w:val="16"/>
          <w:szCs w:val="16"/>
          <w:color w:val="auto"/>
        </w:rPr>
        <w:t>For more information, see Note 9. Commitments and Contingencies of the accompanying notes to our consolidated financial statements.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From time to time, we may also be involved in, or the subject of, reviews, requests for information, investigations, and proceedings (both formal and informal) by state and federal governmental agencies, including banking regulators, the FTC, the CFPB, and the SEC, regarding our business activities and related disclosure practices and our qualifications to conduct our business in certain jurisdictions, which could subject us to fines, penalties, obligations to change our business and/or disclosure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 See “— </w:t>
      </w:r>
      <w:r>
        <w:rPr>
          <w:rFonts w:ascii="Arial" w:cs="Arial" w:eastAsia="Arial" w:hAnsi="Arial"/>
          <w:sz w:val="17"/>
          <w:szCs w:val="17"/>
          <w:i w:val="1"/>
          <w:iCs w:val="1"/>
          <w:color w:val="auto"/>
        </w:rPr>
        <w:t>Risks Related to Our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maintain an allowance for credit losses at a level sufficient to estimate expected credit losses based on evaluating known and inherent risks in our loan portfolio. This estimate is highly dependent upon the reasonableness of our assumptions and the predictability of the relationships that drive the results of our valuation methodologies. Management has processes in place to monitor these judgments and assumptions, including review by our credit committee and our asset-liability committee, but these processes may not ensure that our judgments and assumptions are correct. The method for calculating the best estimate of expected credit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interest rates could have an adverse effect on our business.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Increased interest rates may adversely impact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205" w:lineRule="exact"/>
        <w:rPr>
          <w:sz w:val="20"/>
          <w:szCs w:val="20"/>
          <w:color w:val="auto"/>
        </w:rPr>
      </w:pPr>
    </w:p>
    <w:p>
      <w:pPr>
        <w:jc w:val="both"/>
        <w:ind w:right="80"/>
        <w:spacing w:after="0" w:line="340" w:lineRule="auto"/>
        <w:rPr>
          <w:sz w:val="20"/>
          <w:szCs w:val="20"/>
          <w:color w:val="auto"/>
        </w:rPr>
      </w:pPr>
      <w:r>
        <w:rPr>
          <w:rFonts w:ascii="Arial" w:cs="Arial" w:eastAsia="Arial" w:hAnsi="Arial"/>
          <w:sz w:val="15"/>
          <w:szCs w:val="15"/>
          <w:b w:val="1"/>
          <w:bCs w:val="1"/>
          <w:i w:val="1"/>
          <w:iCs w:val="1"/>
          <w:color w:val="auto"/>
        </w:rPr>
        <w:t>In connection with our securitizations, warehouse credit facilities, and forward flow agreements,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revenue is impacted, to a significant extent, by the general economy, the creditworthiness of the U.S. consumer and the financial performance of our merchants.</w:t>
      </w:r>
    </w:p>
    <w:p>
      <w:pPr>
        <w:spacing w:after="0" w:line="19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business, the consumer financial services industry, and our merchants’ businesses are sensitive to macroeconomic conditions. Economic factors such as interest rates, changes in monetary and related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market volatility, consumer confidence, and unemployment rates are among the most significant factors that impact consumer spending behavior. Weak economic conditions or a significant deterioration in economic conditions, including the current inflationary environment and possibility of a recession,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For example, some of our merchants have experienced a decrease in sales, supply chain disruptions, inventory shortages, and other adverse effects as a result of the COVID-19 pandemic. The decline of sales by our merchants for any reason will generally result in lower credit sales and, therefore, lower loan volume and associated fee income for us.</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if a merchant closes some or all of its locations, ceases its e-commerce operations,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merchant deteriorates significantly or a merchant becomes subject to a bankruptcy proceeding, we may not be able to recover amounts due to us from the merchant.</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pandemics and other natural catastrophic events and to interruption by man-made issues such as strikes.</w:t>
      </w:r>
    </w:p>
    <w:p>
      <w:pPr>
        <w:spacing w:after="0" w:line="19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systems and operations are vulnerable to damage or interruption from earthquakes, fires, floods, power losses, telecommunications failures, strikes, health pandemics, such as the COVID-19 pandemic, and similar events. For example, a significant natural disaster in the San Francisco Bay Area or any other location in which we have offices or facilities or employees working remotely, such as an earthquake, fire, or flood,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Borrowers may not view the loans facilitated through our platform as having the same significance as other credit obligations arising under more traditional circumstances.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neglects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payment obligations on a loan facilitated through our platform or chooses not to repay his or her loan entirely, it will have an adverse effect on our business, results of operations, financial condition, future prospects,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collection efforts on delinquent loans are ineffective or unsuccessful, the performance of the loans would be adversely affected.</w:t>
      </w:r>
    </w:p>
    <w:p>
      <w:pPr>
        <w:spacing w:after="0" w:line="26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20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21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Moreover,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197" w:lineRule="exact"/>
        <w:rPr>
          <w:sz w:val="20"/>
          <w:szCs w:val="20"/>
          <w:color w:val="auto"/>
        </w:rPr>
      </w:pPr>
    </w:p>
    <w:p>
      <w:pPr>
        <w:jc w:val="both"/>
        <w:ind w:right="580" w:firstLine="648"/>
        <w:spacing w:after="0" w:line="279" w:lineRule="auto"/>
        <w:rPr>
          <w:sz w:val="20"/>
          <w:szCs w:val="20"/>
          <w:color w:val="auto"/>
        </w:rPr>
      </w:pPr>
      <w:r>
        <w:rPr>
          <w:rFonts w:ascii="Arial" w:cs="Arial" w:eastAsia="Arial" w:hAnsi="Arial"/>
          <w:sz w:val="17"/>
          <w:szCs w:val="17"/>
          <w:color w:val="auto"/>
        </w:rPr>
        <w:t>There is risk of fraudulent activity associated with our platform, originating bank partners, consumers, and third-parties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charge-offs on the loans facilitated through our platform could be adversely affected if fraudulent activity were to significantly increase.</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fail to maintain effective internal control over financial reporting or disclosure controls and procedures, we may be unable to report our financial results on a timely and accurate basis, and our business, operating results and market price of our Class A common stock may be adversely affected.</w:t>
      </w:r>
    </w:p>
    <w:p>
      <w:pPr>
        <w:spacing w:after="0" w:line="127" w:lineRule="exact"/>
        <w:rPr>
          <w:sz w:val="20"/>
          <w:szCs w:val="20"/>
          <w:color w:val="auto"/>
        </w:rPr>
      </w:pPr>
    </w:p>
    <w:p>
      <w:pPr>
        <w:ind w:right="140" w:firstLine="648"/>
        <w:spacing w:after="0" w:line="299"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internal controls that is adequate to satisfy our reporting obligations as a public company. In addition, testing and maintaining internal controls may divert our management’s attention from other matters that are important to our business.</w:t>
      </w:r>
    </w:p>
    <w:p>
      <w:pPr>
        <w:spacing w:after="0" w:line="19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6"/>
          <w:szCs w:val="16"/>
          <w:color w:val="auto"/>
        </w:rPr>
        <w:t>If we are unable to establish and maintain appropriate internal control over financial reporting and disclosure controls and procedures, it could cause us to fail to meet our reporting obligations on a timely basis, result in material misstatements in our consolidated financial statements and harm our</w:t>
      </w:r>
    </w:p>
    <w:p>
      <w:pPr>
        <w:ind w:right="100"/>
        <w:spacing w:after="0" w:line="259" w:lineRule="auto"/>
        <w:rPr>
          <w:sz w:val="20"/>
          <w:szCs w:val="20"/>
          <w:color w:val="auto"/>
        </w:rPr>
      </w:pPr>
      <w:r>
        <w:rPr>
          <w:rFonts w:ascii="Arial" w:cs="Arial" w:eastAsia="Arial" w:hAnsi="Arial"/>
          <w:sz w:val="18"/>
          <w:szCs w:val="18"/>
          <w:color w:val="auto"/>
        </w:rPr>
        <w:t>operating results. Any failure to maintain effective internal control over financial reporting or disclosure controls and procedures could have an adverse effect on our business and operating results, and cause a decline in the price of our Class A common stock. We also could become subject to investigations by the stock exchange on which our securities are listed, the SEC or other regulatory authorities, which could require additional financial and management resources.</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Increased scrutiny from regulators, investors and other stakeholders regarding our environmental, social, governance, or sustainability responsibilities, strategy and related disclosures could result in additional costs or risks and adversely impact our reputation, employee retention, and willingness of consumers and merchants to do business with us</w:t>
      </w:r>
    </w:p>
    <w:p>
      <w:pPr>
        <w:spacing w:after="0" w:line="21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Regulators, investor advocacy groups, certain institutional investors, investment funds, stockholders, consumers and other market participants have focused increasingly on the environmental, social and governance (“ESG”) or “sustainability” practices of companies. These parties have placed increased importance on the implications of the social cost of their investments. We may incur additional costs and require additional resources as we evolve our ESG strategy, practices and related disclosures. If our ESG strategy, practices and related disclosures, including the impact of our business on climate change, do not meet (or are viewed as not meeting) regulator, investor or other industry stakeholder expectations and standards, which continue to evolve, our brand, reputation and employee retention may be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depend on more prominent presentation, integration, and support of our platform by our merchants.</w:t>
      </w:r>
    </w:p>
    <w:p>
      <w:pPr>
        <w:spacing w:after="0" w:line="252"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color w:val="auto"/>
        </w:rPr>
        <w:t>We depend on our merchants, which generally accept most major credit cards and other forms of payment (which may include pay-over-time solutions offered by our competitors), to present our platform as a payment option and to integrate our platform into their website or in their store, such as by prominently featuring our platform on their websites or in their stores and not just as an option at website checkout. We may not have any recourse against merchants if they do not prominently present our platform as a payment option or if they more prominently present solutions offered by our competitors. In addition, as we add new merchants, it could take a significant amount of time for these merchants, particularly larger e-commerce retailers</w:t>
      </w:r>
    </w:p>
    <w:p>
      <w:pPr>
        <w:spacing w:after="0" w:line="1"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such as Amazon, to fully integrate our platform and for these merchants’ customers to accept our pay-over-time solution. The failure by our merchants to effectively present, integrate, and support our platform would have a material and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merchants fail to fulfill their obligations to consumers or comply with applicable law, we may incur remediation costs.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vendor relationships subject us to a variety of risks, and the failure of third-parties to comply with legal or regulatory requirements or to provide various services that are important to our operations could have an adverse effect on our business, results of operations, financial condition, and future prospects.</w:t>
      </w:r>
    </w:p>
    <w:p>
      <w:pPr>
        <w:spacing w:after="0" w:line="2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Consumer Financial Protection Bureau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1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CFPB, Federal Trade Commission (“FTC”) and other regulatory enforcement actions, claims from third-parties,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0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becomes unable or unwilling to facilitate the disbursements to merchants and we are unable to reach an agreement with another vendor, such loans would no longer be able to be facilitated through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any unsoundness of our financial institution counterparties.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7"/>
          <w:szCs w:val="17"/>
          <w:color w:val="auto"/>
        </w:rPr>
        <w:t>Financial services institutions are interrelated with our business as a result of trading, clearing, counterparty or other relationships. We routinely execute transactions with counterparties in the financial services industry, including commercial banks, brokers and dealers, investment banks and other institutions. Many of these transactions expose us to credit risk in the event of a default by a counterparty. In addition, our credit risk may be exacerbated when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third-parties, especially when updates or new products or services are released.</w:t>
      </w:r>
    </w:p>
    <w:p>
      <w:pPr>
        <w:spacing w:after="0" w:line="21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w:t>
      </w:r>
    </w:p>
    <w:p>
      <w:pPr>
        <w:spacing w:after="0" w:line="21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1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use vendors, such as our cloud computing web services provider, virtual card processing companies, and third-party software providers (including companies that provide our risk scoring models), in the operation of our platform. The satisfactory performance, reliability, and availability of our technology and our underlying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We may also be harmed if data, technology, or software becomes non-compliant with existing regulations or industry standards, becomes subject to third-party claims of intellectual property infringement, misappropriation, or other violation, or malfunctions or functions in a way we did not anticipate.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19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1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support the integrity of our services and to provide features and functionality to our consumers and merchants. The processing of the information we acquire in connection with our consumers’ and merchants’ use of our services, particularly on our internet applications for consumers,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In addition, our remote working environment may exacerbate these risks. While we and our vendors have taken steps to protect the confidential, proprietary, and sensitive information to which we have access and to prevent data loss, our security measures or those of our vendors could be breached resulting in the loss of, or unauthorized access to, our or our consumers’ data, our intellectual property, or other confidential, proprietary, or sensitive business information and could expose us to liability related to the loss of the information, time-consuming and expensive litigation, and negative publicity.</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Unauthorized parties have in the past attempted and may in the future attempt to gain access to our systems or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 information. There is no guarantee that our continuous monitoring efforts will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If we are unable to protect our intellectual property, or if third parties are successful in claiming that we are infringing, misappropriating, or violating the intellectual property of others, we may incur significant expense and our business may be adversely affected.</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third-parties to protect our intellectual property and other proprietary rights. We also enter into agreements containing obligations of confidentiality with each party that has or may have had access to proprietary information, know-how, or trade secrets owned or held by us. Nonetheless, the steps we take to obtain, maintain, protect, and enforce our intellectual property and other proprietary rights may be inadequate. For example, our competitors and other third-parties may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20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pacing w:after="0" w:line="20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206" w:lineRule="exact"/>
        <w:rPr>
          <w:sz w:val="20"/>
          <w:szCs w:val="20"/>
          <w:color w:val="auto"/>
        </w:rPr>
      </w:pPr>
    </w:p>
    <w:p>
      <w:pPr>
        <w:ind w:right="60" w:firstLine="648"/>
        <w:spacing w:after="0" w:line="263" w:lineRule="auto"/>
        <w:rPr>
          <w:sz w:val="20"/>
          <w:szCs w:val="20"/>
          <w:color w:val="auto"/>
        </w:rPr>
      </w:pPr>
      <w:r>
        <w:rPr>
          <w:rFonts w:ascii="Arial" w:cs="Arial" w:eastAsia="Arial" w:hAnsi="Arial"/>
          <w:sz w:val="17"/>
          <w:szCs w:val="17"/>
          <w:color w:val="auto"/>
        </w:rPr>
        <w:t>Furthermore, third-parties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claims brought by third-parties for alleged infringement, misappropriation, or other violation of their intellectual property or other proprietary rights.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success depends, in part, on our ability to develop and commercialize our products and services without infringing, misappropriating, or otherwise violating the intellectual property or other proprietary rights of third-parties. We may receive claims or otherwise become involved in disputes from time to time concerning intellectual property or other proprietary rights of third-parties, which may relate to our own proprietary technology, or to technology that we acquire or license from third-parties, and we may not prevail in these disputes. Relatedly, competitors or other third-parties may raise claims alleging that service providers or other third-parties retained or indemnified by us, infringe on, misappropriate, or otherwise violate such competitors’ or other third-parties’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20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20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third-party may have agreed to indemnify us for costs associated with intellectual property-related litigation, such indemnifying third-party may refuse or be unable to uphold its contractual obligations. In other cases, our insurance may not cover potential claims of this type adequately or at all, and we may be required to pay monetary damages, which may be significant.</w:t>
      </w:r>
    </w:p>
    <w:p>
      <w:pPr>
        <w:spacing w:after="0" w:line="2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19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spacing w:after="0" w:line="20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international, federal and state consumer protection laws.</w:t>
      </w:r>
    </w:p>
    <w:p>
      <w:pPr>
        <w:spacing w:after="0" w:line="25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must comply with various international, federal and state regulatory regimes, including those applicable to consumer credit transactions, such as, but not limited to, those described in “</w:t>
      </w:r>
      <w:r>
        <w:rPr>
          <w:rFonts w:ascii="Arial" w:cs="Arial" w:eastAsia="Arial" w:hAnsi="Arial"/>
          <w:sz w:val="16"/>
          <w:szCs w:val="16"/>
          <w:i w:val="1"/>
          <w:iCs w:val="1"/>
          <w:color w:val="auto"/>
        </w:rPr>
        <w:t>Business — Regulatory Environment — U.S. federal consumer protection requirements</w:t>
      </w:r>
      <w:r>
        <w:rPr>
          <w:rFonts w:ascii="Arial" w:cs="Arial" w:eastAsia="Arial" w:hAnsi="Arial"/>
          <w:sz w:val="16"/>
          <w:szCs w:val="16"/>
          <w:color w:val="auto"/>
        </w:rPr>
        <w:t>.”</w:t>
      </w:r>
    </w:p>
    <w:p>
      <w:pPr>
        <w:spacing w:after="0" w:line="15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the U.S. and international governments, states, and provinces may pass new laws, or may amend existing laws, to regulate further the consumer finance industry or loans of the type provided through our platform, or to reduce the finance charges or other fees that may be imposed with respect to consumer loans. This could make the provision and collection of consumer loans more difficult or costly, which may negatively impact our business.</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Our business is subject to extensive regulation, examination, and oversight in a variety of areas, all of which are subject to change and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are subject to extensive regulation, supervision, and examination by federal and state governmental authorities under United States federal and state laws and regulations. As we continue to expand our operations internationally, we may also become subject to extensive regulation, supervision, and examination by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authorities. We are required to comply with constantly changing international,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21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206"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 xml:space="preserve">We are subject to the regulatory and enforcement authority of the CFPB as a facilitator, servicer, acquirer or originator of consumer credit. In December 2021, the CFPB issued a Request for Information to five of the largest BNPL providers, including Affirm, requesting information by March 1, 2022. Affirm has complied with the Request for Information. For further discussion on the CFPB's enforcement authority, see “ </w:t>
      </w:r>
      <w:r>
        <w:rPr>
          <w:rFonts w:ascii="Arial" w:cs="Arial" w:eastAsia="Arial" w:hAnsi="Arial"/>
          <w:sz w:val="18"/>
          <w:szCs w:val="18"/>
          <w:i w:val="1"/>
          <w:iCs w:val="1"/>
          <w:color w:val="auto"/>
        </w:rPr>
        <w:t>Business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 — U.S. federal consumer protection requirements</w:t>
      </w:r>
      <w:r>
        <w:rPr>
          <w:rFonts w:ascii="Arial" w:cs="Arial" w:eastAsia="Arial" w:hAnsi="Arial"/>
          <w:sz w:val="18"/>
          <w:szCs w:val="18"/>
          <w:color w:val="auto"/>
        </w:rPr>
        <w:t>.”</w:t>
      </w:r>
    </w:p>
    <w:p>
      <w:pPr>
        <w:spacing w:after="0" w:line="21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conducting an investigation, the CFPB or state attorneys general may issue a civil investigative demand requiring a target company to prepare and submit, among other items, documents, written reports, answers to interrogatories, and deposition testimony. If we become subject to such investigation, the required response could result in substantial costs and a diversion of the attention and resources of our management.</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Further, we are regulated by many international and state regulatory agencies through licensing and other supervisory or enforcement authority, which includes regular examination by international and state governmental authorities.</w:t>
      </w:r>
    </w:p>
    <w:p>
      <w:pPr>
        <w:spacing w:after="0" w:line="19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Such regulatory actions could result in penalties and reputational harm to us and a loss of consumers participating in our platform, and our compliance costs and litigation exposure could increase if the CFPB, for instance,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 substantial number of the loans facilitated through our platform are originated through our bank partners and we rely on our originating bank partner model to comply with various federal, state, and other laws. If the legal structure underlying our relationship with our originating bank partners was successfully challenged,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214"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b w:val="1"/>
          <w:bCs w:val="1"/>
          <w:i w:val="1"/>
          <w:iCs w:val="1"/>
          <w:color w:val="auto"/>
        </w:rPr>
        <w:t>If we were found to be operating without having obtained necessary international, state or local licenses, or if loans made by us under our lending licenses are found to violate applicable state or provincial interest rate limits or other provisions of applicable state or provincial lending and other laws, it could adversely affect our business, results of operations, financial condition, and future prospects.</w:t>
      </w:r>
    </w:p>
    <w:p>
      <w:pPr>
        <w:spacing w:after="0" w:line="176"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The application of some consumer financial licensing laws to our platform and the related activities it performs is unclear. In addition, licensing requirements may evolve over time, including, in particular, recent trends toward increased licensing requirements and regulation of parties engaged in loan solicitation and other regulated activities. If determined to be applicable to us, some licensing restrictions and limitations may prevent certain Affirm</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products being offered entirely. In addition, if we were found to be in violation of applicable state or provincial interest rate or licensing requirements by a regulating entity,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originating bank partners are subject to increasingly demanding regulatory requirements.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In particular,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vendors and our other ongoing third-party business relationships are subject to increasing regulatory requirements and attention.</w:t>
      </w:r>
    </w:p>
    <w:p>
      <w:pPr>
        <w:spacing w:after="0" w:line="27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regularly use vendors and subcontractors as part of our business. We also depend on our substantial ongoing business relationships with our originating bank partners, merchants, and other third-parties. These types of third-party relationships, including with our originating bank partners, are subject to increasingly demanding regulatory requirements and oversight by federal bank regulators (such as the Federal Reserve Board, the Office of the Comptroller of the Currency, and the Federal Deposit Insurance Corporation), the CFPB, state and international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third-parties have not performed appropriately, we could be subject to enforcement actions, including civil money penalties or other administrative or judicial penalties or fines, as well as requirements for consumer remediation.</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19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third-parties or storing sensitive information), which could materially and adversely affect our profitability and could reduce income from certain business initiatives.</w:t>
      </w:r>
    </w:p>
    <w:p>
      <w:pPr>
        <w:spacing w:after="0" w:line="19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20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failure, or the failure of any third-party with whom we work, to comply with privacy and data protection laws could result in potentially significant regulatory investigations and government actions, litigations, fines, or sanctions, consumer, funding source, bank partner, or merchant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21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an obligation to comply with anti-money laundering and anti-terrorism financing laws, and failure to comply with this obligation could have significant adverse consequences for us.</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cannot provide any assurance that our programs and controls designed to enable us to comply with all applicable anti-money laundering and anti-terrorism financing laws and regulations will be effective to ensure compliance with all such anti-money laundering and anti-terrorism financing laws and regulations we are required to comply with, and our failure to comply with these laws and regulations could result in a breach and termination of our agreements with our originating bank partners or criticism by international or state governmental agencies, which would have a material adverse effect on our business, results of operations, financial condition, and future prospects.</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comply with applicable requirements for our high-yield savings account product, our consumers’ deposits may not qualify for FDIC insurance and they may withdraw their funds, which could adversely affect our brand, business, results of operations, financial condition, and future prospects.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20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Regulatory agencies and consumer advocacy groups are highly focused on potential discrimination resulting from the use of machine learning and "black-box" algorithms.</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face the risk that one or more of the variables included in our loan decisioning model may be deemed a proxy for a protected characteristic such as race, ethnicity, or sex in violation of the ECOA or other anti-discrimination laws, and therefore need to be revised or eliminated to ensure compliance with ECOA, which could result in lower approval rates or higher credit losses. We may also be required to support the variables used in our loan decisioning model with documented, legitimate business justifications in the event the model results in a disproportionate effect on applicants or consumers of certain demographic groups. In addition, our use of machine learning in our models could inadvertently result in a “disparate impact” on protected groups, which would require a review of the model’s underlying data and algorithms. Although we may review our models for potential disparate impact, we may be unable to identify and eliminate all practices or variables causing the disparate impact, resulting in residual fair lending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control with those stockholders who hold shares of our Class B</w:t>
      </w:r>
    </w:p>
    <w:p>
      <w:pPr>
        <w:spacing w:after="0" w:line="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common stock, including our executive officers and directors and their affiliates. As a result of our dual class structure of our common stock, the trading price of our Class A common stock may be depressed.</w:t>
      </w:r>
    </w:p>
    <w:p>
      <w:pPr>
        <w:spacing w:after="0" w:line="197" w:lineRule="exact"/>
        <w:rPr>
          <w:sz w:val="20"/>
          <w:szCs w:val="20"/>
          <w:color w:val="auto"/>
        </w:rPr>
      </w:pPr>
    </w:p>
    <w:p>
      <w:pPr>
        <w:ind w:right="40" w:firstLine="648"/>
        <w:spacing w:after="0" w:line="308" w:lineRule="auto"/>
        <w:rPr>
          <w:sz w:val="20"/>
          <w:szCs w:val="20"/>
          <w:color w:val="auto"/>
        </w:rPr>
      </w:pPr>
      <w:r>
        <w:rPr>
          <w:rFonts w:ascii="Arial" w:cs="Arial" w:eastAsia="Arial" w:hAnsi="Arial"/>
          <w:sz w:val="16"/>
          <w:szCs w:val="16"/>
          <w:color w:val="auto"/>
        </w:rPr>
        <w:t>Our Class B common stock has 15 votes per share, whereas our Class A common stock has one vote per share. Because the holders of our Class B common stock collectively hold significantly more than a majority of the combined voting power of our capital stock, such holders, acting together, control</w:t>
      </w:r>
    </w:p>
    <w:p>
      <w:pPr>
        <w:ind w:right="240"/>
        <w:spacing w:after="0" w:line="272" w:lineRule="auto"/>
        <w:rPr>
          <w:sz w:val="20"/>
          <w:szCs w:val="20"/>
          <w:color w:val="auto"/>
        </w:rPr>
      </w:pPr>
      <w:r>
        <w:rPr>
          <w:rFonts w:ascii="Arial" w:cs="Arial" w:eastAsia="Arial" w:hAnsi="Arial"/>
          <w:sz w:val="17"/>
          <w:szCs w:val="17"/>
          <w:color w:val="auto"/>
        </w:rPr>
        <w:t>all matters submitted to our stockholders for approval. As a result, for the foreseeable future, holders of our Class B common stock will continue to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Holders of our Class B common stock may have interests that differ from those of the holders of our Class A common stock and may vote in a way with which the Class A holders disagree or which may be adverse to the Class A holders' interests. This control may adversely affect the trading price of our Class A common stock.</w:t>
      </w:r>
    </w:p>
    <w:p>
      <w:pPr>
        <w:spacing w:after="0" w:line="20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Further, as of June 30, 2022, Max Levchin, our Founder, Chairman and Chief Executive Officer, had voting control over approximately 35.4% of the voting power of our outstanding capital stock. As a stockholder, Mr. Levchin is entitled to vote his shares, and shares over which he has voting control, in his own interests, which may not always be in the interests of our stockholders generally.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amended and restated certificate of incorporation. In addition, all shares of Class B common stock will automatically convert into shares of Class A common stock upon the occurrence of certain events described in our amended and restated certificate of incorporation. Conversions of Class B common stock to Class A common stock will have the effect, over time, of increasing the relative voting power of those holders of Class B common stock who retain their shares in the long term.</w:t>
      </w:r>
    </w:p>
    <w:p>
      <w:pPr>
        <w:spacing w:after="0" w:line="20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dual class structure may also depress the trading price of our Class A common stock due to negative perception by market participants and other stakeholders. Certain index providers have announced restrictions on including companies with multiple-class share structures in certain of their indexes. Similarly, several stockholder advisory firms have announced their opposition to the use of multiple class structures. Any exclusion from indices or criticism of our corporate governance practices by stockholder advisory firms could result in a less active trading market for our Class A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has been and may continue to be volatile, which could cause the value of your investment to decline.</w:t>
      </w:r>
    </w:p>
    <w:p>
      <w:pPr>
        <w:spacing w:after="0" w:line="2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market price of our Class A common stock has been and may continue to be highly volatile and could be subject to wide fluctuations. This market volatility, as well as general economic, market, and political conditions, could reduce the market price of shares of our Class A common stock despite our operating performance.</w:t>
      </w:r>
    </w:p>
    <w:p>
      <w:pPr>
        <w:spacing w:after="0" w:line="21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an originating bank partner or key funding sources or merchants; the growth and development of key merchant partner relationships, including our relationship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Amazon;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spacing w:after="0" w:line="20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Certain of our stockholders have rights, subject to some conditions, to require us to file registration statements covering their shares that we may file for ourselves or our stockholders. In addition, as of June 30, 2022, we had stock options and restricted stock units outstanding that, if fully exercised or settled, would result in the issuance of an aggregate of 53,158,233 shares of our Class A common stock. All of the shares of our Class A common stock issuable upon the exercise of stock options and settlement of restricted stock units, and the shares reserved for future issuance under our equity incentive plans, are registered for public resale under the Securities Act. Any registration statement we file to register additional shares, whether as a result of registration rights or otherwise, could cause the market price of our Class A common stock to decline or be volatile.</w:t>
      </w:r>
    </w:p>
    <w:p>
      <w:pPr>
        <w:spacing w:after="0" w:line="20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We are subject to securities litigation, as described further in Note 9. “Commitments and Contingencies” of the accompanying notes to our audited condensed consolidated financial statements and incorporated by reference in Part I, Item 3 — Legal Proceedings. This litigation, and any other securities class actions that may be brought against us, could result in substantial costs and a diversion of our management’s attention and resources.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by us of additional equity securities may dilute your ownership and adversely affect the market price of our Class A common stock.</w:t>
      </w:r>
    </w:p>
    <w:p>
      <w:pPr>
        <w:spacing w:after="0" w:line="2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and when we entered into the Amended and Restated Installment Financing Services Agreement with Amazon, we may issue additional shares of our Class A common stock or securities convertible into shares of Class A common stock as a means of initiating, developing, strengthening or preserving key merchant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both upon issuance and conversion, in the case of securities convertible into shares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15" w:lineRule="exact"/>
        <w:rPr>
          <w:sz w:val="20"/>
          <w:szCs w:val="20"/>
          <w:color w:val="auto"/>
        </w:rPr>
      </w:pPr>
    </w:p>
    <w:p>
      <w:pPr>
        <w:ind w:left="660" w:right="20" w:hanging="328"/>
        <w:spacing w:after="0" w:line="342" w:lineRule="auto"/>
        <w:tabs>
          <w:tab w:leader="none" w:pos="5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pacing w:after="0" w:line="150" w:lineRule="exact"/>
        <w:rPr>
          <w:rFonts w:ascii="Arial" w:cs="Arial" w:eastAsia="Arial" w:hAnsi="Arial"/>
          <w:sz w:val="16"/>
          <w:szCs w:val="16"/>
          <w:color w:val="auto"/>
        </w:rPr>
      </w:pPr>
    </w:p>
    <w:p>
      <w:pPr>
        <w:ind w:left="660" w:right="220" w:hanging="328"/>
        <w:spacing w:after="0" w:line="277"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may only able to be removed from office for cause;</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66 2/3% of the then-outstanding voting power of our capital stock;</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bylaws provide that the affirmative vote of 66 2∕3% of the then-outstanding voting power of our capital stock, voting as a single class, is required for stockholders to amend or adopt any provision of our bylaws;</w:t>
      </w:r>
    </w:p>
    <w:p>
      <w:pPr>
        <w:spacing w:after="0" w:line="19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stockholders may only take action at a meeting of stockholders and not by written consent;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only our chairman of the board of directors, our lead independent director, our chief executive officer, or a majority of the board of directors are authorized to call a special meeting of stockholders;</w:t>
      </w:r>
    </w:p>
    <w:p>
      <w:pPr>
        <w:spacing w:after="0" w:line="19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bylaws provide that certain litigation against us can only be brought in Delaware;</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nothing in our amended and restated certificate of incorporation precludes future issuances without stockholder approval of the authorized but unissued shares of our Class A common stock;</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80" w:hanging="328"/>
        <w:spacing w:after="0" w:line="266"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20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contain exclusive forum provisions for certain claims, which could limit our stockholders’ ability to obtain a favorable judicial forum for disputes with us or our directors, officers, or employees.</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amended and restated bylaws, to the fullest extent permitted by law, provide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This provision does not apply to suits brought to enforce any duty or liability created by the Securities Act or Exchange Act, or rules and regulations thereunder.</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26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our 2026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2026 Notes, to repay the 2026 Notes at maturity or to repurchase the 2026 Notes upon a fundamental change, and our future debt may contain limitations on our ability to pay cash upon conversion or repurchase of the 2026 Notes.</w:t>
      </w:r>
    </w:p>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Holders will have the right to require us to repurchase their 2026 Notes upon the occurrence of a fundamental change at a fundamental change repurchase price equal to 100% of the principal amount of the 2026 Notes to be repurchased, plus accrued and unpaid special interest, if any. In addition, upon conversion of the 2026 Notes, we will be required to make cash payments for each $1,000 in principal amount of 2026 Notes converted of at least the lesser of $1,000 and the sum of the daily conversion values as described in the indenture governing the 2026 Notes. However, we may not have enough available cash or be able to obtain financing at the time we are required to make repurchases of notes surrendered therefor or pay cash with respect to the 2026 Notes being converted. In addition, our ability to repurchase the 2026 Notes or to pay cash upon conversions of the 2026 Notes may be limited by law, by regulatory authority or by agreements governing our future indebtedness. Our failure to repurchase 2026 Notes at a time when the repurchase is required or to pay any cash payable on future conversions of the 2026 Notes would constitute a default under the indenture governing the 2026 Notes. A default under the indenture governing the 2026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make cash payments upon conversions thereof.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lease facilities under operating leases with various expiration dates through 2030. Our corporate headquarters are located in San Francisco, California. We also lease office space in New York, New York; Pittsburgh, Pennsylvania; Salt Lake City, Utah; Chicago, Illinois; Las Vegas, Nevada; and Toronto, Ontario. We do not own any real property. We believe that our facilities are adequate to meet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Note 9. Commitments and Contingencies of the accompanying notes to our consolidated financial statements.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"AFRM" since January 13, 2021. Prior to that time, there was no public market for our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B common stock is not listed on any stock exchange nor traded on any public market.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August 22, 2022, there were 270 stockholders of record of our Class A common stock, and the closing price of our Class A common stock was $29.49 per share as reported on the Nasdaq Global Select Market. Because many of our shares of Class A common stock are held by brokers and other institutions on behalf of stockholders, we are unable to estimate the total number of stockholders represented by these record holders. As of August 22, 2022, there were 237 stockholders of record of our Class B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information with respect to the Company’s repurchases of shares of Class A common stock during the quarter ended June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 Purchased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Total Number of 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 Share</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203"/>
        </w:trPr>
        <w:tc>
          <w:tcPr>
            <w:tcW w:w="2080" w:type="dxa"/>
            <w:vAlign w:val="bottom"/>
            <w:gridSpan w:val="2"/>
            <w:vMerge w:val="continue"/>
          </w:tcPr>
          <w:p>
            <w:pPr>
              <w:spacing w:after="0"/>
              <w:rPr>
                <w:sz w:val="17"/>
                <w:szCs w:val="17"/>
                <w:color w:val="auto"/>
              </w:rPr>
            </w:pPr>
          </w:p>
        </w:tc>
        <w:tc>
          <w:tcPr>
            <w:tcW w:w="1860" w:type="dxa"/>
            <w:vAlign w:val="bottom"/>
          </w:tcPr>
          <w:p>
            <w:pPr>
              <w:jc w:val="center"/>
              <w:ind w:left="308"/>
              <w:spacing w:after="0" w:line="202" w:lineRule="exact"/>
              <w:rPr>
                <w:sz w:val="20"/>
                <w:szCs w:val="20"/>
                <w:color w:val="auto"/>
              </w:rPr>
            </w:pPr>
            <w:r>
              <w:rPr>
                <w:rFonts w:ascii="Arial" w:cs="Arial" w:eastAsia="Arial" w:hAnsi="Arial"/>
                <w:sz w:val="14"/>
                <w:szCs w:val="14"/>
                <w:b w:val="1"/>
                <w:bCs w:val="1"/>
                <w:color w:val="auto"/>
                <w:w w:val="88"/>
              </w:rPr>
              <w:t>Purchased</w:t>
            </w:r>
            <w:r>
              <w:rPr>
                <w:rFonts w:ascii="Arial" w:cs="Arial" w:eastAsia="Arial" w:hAnsi="Arial"/>
                <w:sz w:val="18"/>
                <w:szCs w:val="18"/>
                <w:b w:val="1"/>
                <w:bCs w:val="1"/>
                <w:color w:val="auto"/>
                <w:w w:val="88"/>
                <w:vertAlign w:val="superscript"/>
              </w:rPr>
              <w:t>(1)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Plans or Programs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May 1 - 31</w:t>
            </w:r>
          </w:p>
        </w:tc>
        <w:tc>
          <w:tcPr>
            <w:tcW w:w="18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220" w:type="dxa"/>
            <w:vAlign w:val="bottom"/>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1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660" w:right="20" w:hanging="328"/>
        <w:spacing w:after="0" w:line="234"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shares purchased were repurchases of unvested shares of our Class A common stock that had been issued upon early exercise of stock options. Pursuant to the associated option award agreements, upon termination of employment of a person holding unvested shares, we were entitled to repurchase the unvested shares.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graph below shows the cumulative total stockholder return on our Class A common stock with the cumulative total return on the Nasdaq Composite Index and the S&amp;P North American Technology Index. The graph assumes (i) that $100 was invested at the market close on January 13, 2021, the date that our Class A common stock commenced trading on the Nasdaq Global Select Market, in each of our Class A common stock, the Nasdaq Composite Index, and the S&amp;P North American Technology Index and (ii) reinvestment of gross dividends. The graph uses the closing market price on January 13, 2021 of $97.24 per share as the initial value of our Class A common stock.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139065</wp:posOffset>
            </wp:positionV>
            <wp:extent cx="5254625" cy="3000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546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related notes included elsewhere in this Annual Report on Form 10-K (“Form 10-K”). You should review the sections titled “Risk Factors” for a discussion of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 Unless the context otherwise requires, all references in this report to “Affirm,” the “Company,” “we,” “our,” “us,” or similar terms refer to Affirm Holdings, Inc. and its subsidiaries. A discussion regarding our financial condition and results of operations for the fiscal year ended June 30, 2022 compared to the fiscal year ended June 30, 2021 is presented below. A discussion regarding our financial condition and results of operations for the fiscal year ended June 30, 2021 compared to the fiscal year ended June 30, 2020 that are not included in this Form 10-K can be found in “Management’s Discussion and Analysis of Financial Condition and Results of Operations” in Part II, Item 7 of our Annual Report on Form 10-K for the fiscal year ended June 30,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5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5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2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achieved significant growth in recent periods. Our total revenue, net was approximately $1,349.3 million, $870.5 million, and $509.5 million for the years ended June 30, 2022, 2021, and 2020 respectively.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incurred net losses of $707.4 million, $441.0 million, and $112.6 million for the years ended June 30, 2022, 2021, and 2020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combination of our differentiated product offerings, efficient go-to-market strategy, and strong monetization engine has resulted in fast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184" w:lineRule="exact"/>
        <w:rPr>
          <w:sz w:val="20"/>
          <w:szCs w:val="20"/>
          <w:color w:val="auto"/>
        </w:rPr>
      </w:pPr>
    </w:p>
    <w:p>
      <w:pPr>
        <w:ind w:left="660" w:right="440" w:hanging="328"/>
        <w:spacing w:after="0" w:line="342" w:lineRule="auto"/>
        <w:tabs>
          <w:tab w:leader="none" w:pos="655"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Rapid GMV growth. </w:t>
      </w:r>
      <w:r>
        <w:rPr>
          <w:rFonts w:ascii="Arial" w:cs="Arial" w:eastAsia="Arial" w:hAnsi="Arial"/>
          <w:sz w:val="16"/>
          <w:szCs w:val="16"/>
          <w:color w:val="auto"/>
        </w:rPr>
        <w:t>We grew our GMV by approximately 87% year-over-year to $15.5 billion during the fiscal year ended June 30,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fiscal year ended June 30, 2021, GMV was $8.3 billion, which represented 79% growth over the fiscal year ended June 30, 2020.</w:t>
      </w:r>
    </w:p>
    <w:p>
      <w:pPr>
        <w:spacing w:after="0" w:line="83" w:lineRule="exact"/>
        <w:rPr>
          <w:rFonts w:ascii="Arial" w:cs="Arial" w:eastAsia="Arial" w:hAnsi="Arial"/>
          <w:sz w:val="16"/>
          <w:szCs w:val="16"/>
          <w:b w:val="1"/>
          <w:bCs w:val="1"/>
          <w:i w:val="1"/>
          <w:iCs w:val="1"/>
          <w:color w:val="auto"/>
        </w:rPr>
      </w:pPr>
    </w:p>
    <w:p>
      <w:pPr>
        <w:ind w:left="660" w:right="540" w:hanging="328"/>
        <w:spacing w:after="0" w:line="277" w:lineRule="auto"/>
        <w:tabs>
          <w:tab w:leader="none" w:pos="65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Increased consumer engagement. </w:t>
      </w:r>
      <w:r>
        <w:rPr>
          <w:rFonts w:ascii="Arial" w:cs="Arial" w:eastAsia="Arial" w:hAnsi="Arial"/>
          <w:sz w:val="18"/>
          <w:szCs w:val="18"/>
          <w:color w:val="auto"/>
        </w:rPr>
        <w:t>The number of active consumers on our platform grew by 6.9 million consumers from June 30, 2021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an increase of 96%, to a total of 14.0 million.</w:t>
      </w:r>
    </w:p>
    <w:p>
      <w:pPr>
        <w:spacing w:after="0" w:line="129" w:lineRule="exact"/>
        <w:rPr>
          <w:rFonts w:ascii="Arial" w:cs="Arial" w:eastAsia="Arial" w:hAnsi="Arial"/>
          <w:sz w:val="18"/>
          <w:szCs w:val="18"/>
          <w:b w:val="1"/>
          <w:bCs w:val="1"/>
          <w:i w:val="1"/>
          <w:iCs w:val="1"/>
          <w:color w:val="auto"/>
        </w:rPr>
      </w:pPr>
    </w:p>
    <w:p>
      <w:pPr>
        <w:ind w:left="660" w:right="160" w:hanging="328"/>
        <w:spacing w:after="0" w:line="263" w:lineRule="auto"/>
        <w:tabs>
          <w:tab w:leader="none" w:pos="65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Expanded merchant network. </w:t>
      </w:r>
      <w:r>
        <w:rPr>
          <w:rFonts w:ascii="Arial" w:cs="Arial" w:eastAsia="Arial" w:hAnsi="Arial"/>
          <w:sz w:val="18"/>
          <w:szCs w:val="18"/>
          <w:color w:val="auto"/>
        </w:rPr>
        <w:t>We have also continued to scale the breadth and reach of our platform. From June 30, 2021 to June 30, 2022,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 base expanded from 28,995 to 234,847 active merchants due primarily to continued expansion to merchants related to the Shopify partnership.</w:t>
      </w:r>
    </w:p>
    <w:p>
      <w:pPr>
        <w:spacing w:after="0" w:line="15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business is designed to scale efficiently. Our partnerships with banks and other funding relationships have allowed us to remain equity capital efficient. Since July 1, 2016, we have processed approximately $33.0 billion of GMV on our platform. As of June 30, 2022, we had over $10.6 billion in funding capacity from a diverse set of capital partners, including through our warehouse facilities, securitization trusts, and forward flow arrangements, an increase of $4.1 billion from $6.5 billion as of June 30, 2021.</w:t>
      </w:r>
    </w:p>
    <w:p>
      <w:pPr>
        <w:spacing w:after="0" w:line="1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Through the diversity of these funding relationships, the equity capital required to build our total platform portfolio has declined from approximately 4% of the total platform portfolio as of June 30, 2021, to approximately 3% as of June 30, 2022. This metric measures the equity intensity of our business or the amount of capital used in relation to the scale of our enterprise. We define our total platform portfolio as the unpaid principal balance outstanding of all loans facilitated through our platform as of the balance sheet date, including both those loans held for investment and those loans owned by third-parties. This amount totaled $7.1 billion and $4.7 billion as of June 30, 2022 and June 30, 2021, respectively. Additionally, we define the equity capital required as the balance of loans held for investment plus loans held for sale less funding debt and notes issued by securitization trusts, per our consolidated balance sheet. This amount totaled $206.1 million and $178.1 million as of June 30, 2022 and June 30, 2021, respectively. Equity capital required as a percent of the last twelve months’ GMV was 1% and 2% as of June 30, 2022 and June 30, 2021, respectively.</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our continued success will depend on many factors, including our ability to attract additional merchant partners, retain our existing merchant partners, and grow and develop our relationships with new and existing merchant partners, help our merchants grow their revenue on our platform, and develop new innovative solutions to establish the ubiquity of our network and breadth of our platform. For a further discussion of trends, uncertainties and other factors that could impact our operating results, see the section entitled “Risk Factors” in Item 1A, which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For the years ended June 30, 2022, 2021, and 2020, Split Pay and Core 0% loans represented 22% and 21%, 11% and 32%, and 6% and 37%, respectively, of total GMV facilitated through our platform.</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w:t>
      </w:r>
    </w:p>
    <w:p>
      <w:pPr>
        <w:spacing w:after="0" w:line="1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8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When a consumer applies for a loan through our platform, the loan is underwritten using our proprietary risk model. Once approved for the loan, the consumer then selects his/her/their preferred repayment option. The substantial majority of these loans are funded and issued by our originating bank partners.</w:t>
      </w:r>
    </w:p>
    <w:p>
      <w:pPr>
        <w:spacing w:after="0" w:line="14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substantial majority of the loans facilitated through our platform are originated through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14. Fair Value of Financial Assets and Liabilities for more information on the performance fee liability.</w:t>
      </w:r>
    </w:p>
    <w:p>
      <w:pPr>
        <w:spacing w:after="0" w:line="145"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We are also able to originate loans directly under our lending, servicing, and brokering licenses in Canada and across various states in the U.S. through our consolidated subsidiaries. We originated approximately $817.1 million and $257.7 million of loans in Canada for the years ended June 30, 2022 and June 30, 2021, respectively. We directly originated loans in the U.S. pursuant to our state licenses of approximately $2.5 billion and $336.1 million, for the years ended June 30, 2022 and June 30, 2021, respectively. For the year ended June 30, 2022, we self-originated 21% of total loan origination volume through our state and other licenses, compared to 7% for the year ended June 30, 2021.</w:t>
      </w:r>
    </w:p>
    <w:p>
      <w:pPr>
        <w:spacing w:after="0" w:line="13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Funding Sources</w:t>
      </w:r>
    </w:p>
    <w:p>
      <w:pPr>
        <w:spacing w:after="0" w:line="19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GMV</w:t>
      </w:r>
    </w:p>
    <w:p>
      <w:pPr>
        <w:spacing w:after="0" w:line="154"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Year ended</w:t>
      </w:r>
    </w:p>
    <w:p>
      <w:pPr>
        <w:jc w:val="center"/>
        <w:ind w:left="534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2020</w:t>
            </w:r>
          </w:p>
        </w:tc>
      </w:tr>
      <w:tr>
        <w:trPr>
          <w:trHeight w:val="199"/>
        </w:trPr>
        <w:tc>
          <w:tcPr>
            <w:tcW w:w="5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right="179"/>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Gross Merchandise Volume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15,483,237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8,292,031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4,637,220</w:t>
            </w:r>
          </w:p>
        </w:tc>
      </w:tr>
    </w:tbl>
    <w:p>
      <w:pPr>
        <w:spacing w:after="0" w:line="187"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year ended June 30, 2022, GMV was $15.5 billion, which represents an increase of approximately 87% as compared to $8.3 billion for the year ended June 30, 2021. For the year ended June 30, 2021, GMV was $8.3 billion, which represents an increase of approximately 79% as compared to $4.6 billion for the year ended June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Consumers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2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June 30, 2022</w:t>
            </w:r>
          </w:p>
        </w:tc>
        <w:tc>
          <w:tcPr>
            <w:tcW w:w="2120" w:type="dxa"/>
            <w:vAlign w:val="bottom"/>
            <w:tcBorders>
              <w:bottom w:val="single" w:sz="8" w:color="auto"/>
            </w:tcBorders>
          </w:tcPr>
          <w:p>
            <w:pPr>
              <w:jc w:val="center"/>
              <w:ind w:right="493"/>
              <w:spacing w:after="0"/>
              <w:rPr>
                <w:sz w:val="20"/>
                <w:szCs w:val="20"/>
                <w:color w:val="auto"/>
              </w:rPr>
            </w:pPr>
            <w:r>
              <w:rPr>
                <w:rFonts w:ascii="Arial" w:cs="Arial" w:eastAsia="Arial" w:hAnsi="Arial"/>
                <w:sz w:val="16"/>
                <w:szCs w:val="16"/>
                <w:b w:val="1"/>
                <w:bCs w:val="1"/>
                <w:color w:val="auto"/>
                <w:w w:val="90"/>
              </w:rPr>
              <w:t>June 30, 2021</w:t>
            </w:r>
          </w:p>
        </w:tc>
        <w:tc>
          <w:tcPr>
            <w:tcW w:w="14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6"/>
              </w:rPr>
              <w:t>June 30, 2020</w:t>
            </w:r>
          </w:p>
        </w:tc>
      </w:tr>
      <w:tr>
        <w:trPr>
          <w:trHeight w:val="191"/>
        </w:trPr>
        <w:tc>
          <w:tcPr>
            <w:tcW w:w="5660" w:type="dxa"/>
            <w:vAlign w:val="bottom"/>
          </w:tcPr>
          <w:p>
            <w:pPr>
              <w:spacing w:after="0"/>
              <w:rPr>
                <w:sz w:val="16"/>
                <w:szCs w:val="16"/>
                <w:color w:val="auto"/>
              </w:rPr>
            </w:pPr>
          </w:p>
        </w:tc>
        <w:tc>
          <w:tcPr>
            <w:tcW w:w="4140" w:type="dxa"/>
            <w:vAlign w:val="bottom"/>
            <w:gridSpan w:val="2"/>
          </w:tcPr>
          <w:p>
            <w:pPr>
              <w:jc w:val="center"/>
              <w:ind w:left="1357"/>
              <w:spacing w:after="0"/>
              <w:rPr>
                <w:sz w:val="20"/>
                <w:szCs w:val="20"/>
                <w:color w:val="auto"/>
              </w:rPr>
            </w:pPr>
            <w:r>
              <w:rPr>
                <w:rFonts w:ascii="Arial" w:cs="Arial" w:eastAsia="Arial" w:hAnsi="Arial"/>
                <w:sz w:val="14"/>
                <w:szCs w:val="14"/>
                <w:b w:val="1"/>
                <w:bCs w:val="1"/>
                <w:color w:val="auto"/>
                <w:w w:val="91"/>
              </w:rPr>
              <w:t>(in thousands, except per consumer data)</w:t>
            </w:r>
          </w:p>
        </w:tc>
        <w:tc>
          <w:tcPr>
            <w:tcW w:w="1440" w:type="dxa"/>
            <w:vAlign w:val="bottom"/>
          </w:tcPr>
          <w:p>
            <w:pPr>
              <w:spacing w:after="0"/>
              <w:rPr>
                <w:sz w:val="16"/>
                <w:szCs w:val="16"/>
                <w:color w:val="auto"/>
              </w:rPr>
            </w:pPr>
          </w:p>
        </w:tc>
      </w:tr>
      <w:tr>
        <w:trPr>
          <w:trHeight w:val="23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Consumers</w:t>
            </w:r>
          </w:p>
        </w:tc>
        <w:tc>
          <w:tcPr>
            <w:tcW w:w="2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13,980</w:t>
            </w:r>
          </w:p>
        </w:tc>
        <w:tc>
          <w:tcPr>
            <w:tcW w:w="21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7,121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Transactions per Active Consumer (x)</w:t>
            </w:r>
          </w:p>
        </w:tc>
        <w:tc>
          <w:tcPr>
            <w:tcW w:w="2020" w:type="dxa"/>
            <w:vAlign w:val="bottom"/>
          </w:tcPr>
          <w:p>
            <w:pPr>
              <w:jc w:val="right"/>
              <w:ind w:right="217"/>
              <w:spacing w:after="0"/>
              <w:rPr>
                <w:sz w:val="20"/>
                <w:szCs w:val="20"/>
                <w:color w:val="auto"/>
              </w:rPr>
            </w:pPr>
            <w:r>
              <w:rPr>
                <w:rFonts w:ascii="Arial" w:cs="Arial" w:eastAsia="Arial" w:hAnsi="Arial"/>
                <w:sz w:val="18"/>
                <w:szCs w:val="18"/>
                <w:color w:val="auto"/>
              </w:rPr>
              <w:t>3.0</w:t>
            </w:r>
          </w:p>
        </w:tc>
        <w:tc>
          <w:tcPr>
            <w:tcW w:w="2120" w:type="dxa"/>
            <w:vAlign w:val="bottom"/>
          </w:tcPr>
          <w:p>
            <w:pPr>
              <w:jc w:val="right"/>
              <w:ind w:right="373"/>
              <w:spacing w:after="0"/>
              <w:rPr>
                <w:sz w:val="20"/>
                <w:szCs w:val="20"/>
                <w:color w:val="auto"/>
              </w:rPr>
            </w:pPr>
            <w:r>
              <w:rPr>
                <w:rFonts w:ascii="Arial" w:cs="Arial" w:eastAsia="Arial" w:hAnsi="Arial"/>
                <w:sz w:val="18"/>
                <w:szCs w:val="18"/>
                <w:color w:val="auto"/>
              </w:rPr>
              <w:t>2.3</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June 30, 2022, we had 14.0 million active consumers, representing an increase of approximately 96% compared to 7.1 million as of June 30, 2021, and approximately 97% compared to 3.6 million as of June 30, 2020. Active consumer includes users on the PayBright and Returnly platforms during the twelve months prior to the respective measurement dates.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per Active Consumer</w:t>
      </w:r>
    </w:p>
    <w:p>
      <w:pPr>
        <w:spacing w:after="0" w:line="19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June 30, 2022, we had approximately 3.0 transactions per active consumer, an increase of approximately 31% compared to June 30, 2021 and an increase of 41% compared to June 30, 2020. Transactions per active consumer includes transactions on the PayBright and Returnly platforms during the twelve months prior to the respective measurement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4% as of June 30, 2021, to approximately 3% as of June 30, 2022. The mix of on-balance sheet and off-balance sheet funding is a function of both how we choose to allocate loan volume and the available supply of capital, both of which may also impact our results in any given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mix of products that our merchants offer and our consumers purchase in any period affects our operating results. In addition, shifts in volume among merchants in any period also affects our operating results. These mix impacts affect GMV, revenue, our financial results, and our key operating metric performance for that period. Differences in product mix relate to different loan durations, APR mix, and varying proportion of 0% APR versus interest-bearing financings.</w:t>
      </w:r>
    </w:p>
    <w:p>
      <w:pPr>
        <w:spacing w:after="0" w:line="15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Differences in merchant mix relate to the variations in the product and economic terms of the commercial agreements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will vary. In addition, our commercial agreement with Shopify to offer Shop Pay Installments powered by Affirm and our Split Pay offering, a short-term payment plan with 0% APR, will continue to impact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Investment</w:t>
      </w:r>
    </w:p>
    <w:p>
      <w:pPr>
        <w:spacing w:after="0" w:line="1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rely on the strength of our merchant relationships and positive user experience to develop our consumer brand and grow the ubiquity of our platform. During the year ended June 30, 2022, we continued to grow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have previously made, and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We experience seasonal fluctuations in our revenue as a result of consumer spending patterns. Historically, our revenue has been the strongest during the second quarter of our fiscal year due to increases in retail commerce during the holiday season. Adverse events that occur during these months could have a disproportionate effect on our financial results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9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Merchant partners (or merchants) are generally charged a fee based on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certain cases, the losses incurred on loans originated for a merchant may exceed the total network revenue earned on those loans. We record the excess loss amounts as a sales and marketing expense. During the years ended June 30, 2022, 2021, and 2020 we generated 34%, 44%, and 50% of our revenue, respectively, from merchant network fees.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smaller portion of our revenue comes from our Virtual Card product. 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We, or our originating bank partner, then originates a loan to the consumer once the transaction is confirmed by the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 This revenue is recognized as a percentage of both our captured volume transacted on the payment processor network and net interchange income, and this revenue related to net interchange income is presented net of associated processing fees. We generated 7%, 6%, and 4% of our revenue from virtual card network fees for the years ended June 30, 2022,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also earn revenue through interest earned on loans facilitated through our platform.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These discounts and premiums are accreted or amortized over the life of the loan using the effective interest method and represented 35%, 31%, and 19% of total interest income for the years ended June 30, 2022, 2021, and 2020, respectively. During the years ended June 30, 2022, 2021, and 2020, respectively, we generated 39%, 37%, and 37% of our revenue from interest income,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19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sell a portion of the loans we originate or purchase from our originating bank partners to third-party investors. We recognize a gain or loss on sale of such loans as the difference between the proceeds received, adjusted for initial recognition of servicing assets and liabilities obtained at the date of sale, and the carrying value of the loan. During the years ended June 30, 2022, 2021, and 2020, we generated 15%, 10%, and 6% of our revenue from gain on sales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earn a specified fee from providing professional services to manage loan portfolios on behalf of our third-party loan owners. Under the servicing agreements with our third-party loan owners, we are entitled to collect servicing fees on the loans that we service, which are paid monthly based upon an annual fixed percentage of the outstanding loan portfolio balance. Servicing income also includes fair value adjustments for servicing assets and servicing liabilities. During the years ended June 30, 2022, 2021, and 2020, we generated 5%, 3%, and 3% of our revenue from servicing income, respectively.</w:t>
      </w:r>
    </w:p>
    <w:p>
      <w:pPr>
        <w:spacing w:after="0" w:line="16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We expect our revenue may vary from period to period based on, among other things, the timing of onboarding and size of new merchants, the mix of 0% APR loans versus interest-bearing loans with simple interest, loan funding strategy and mix, type and mix of products that our merchants offer to their customers, the rate of repeat transactions, transaction volume, and seasonality of or fluctuations in usage of our platform.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13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June 30, 2022, we had 2,552 employees, compared to 1,641 employees as of June 30, 2021. We increased our headcount and personnel related costs across our business in order to support our growth expansion strategy. We expect headcount to continue to increase during fiscal year 2023 given our focus on growth and expansion.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8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purchase certain loans from our originating bank partners that are processed through our platform and our originating bank partners put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 These costs are incurred on a per loan basis.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8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future reasonable and supportable forecasts, and our historical net charge-off and loss experience. These costs are incurred on a per loan basis.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8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Funding costs consist of interest expense and the amortization of fees for certain borrowings including on balance sheet VIEs and sale and repurchase agreements, and other costs incurred in connection with funding the purchases and originations of loans. Amortization of debt issuance costs totaled $16.2 million, $6.4 million, and $2.3 million for the years ended June 30,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Processing and servicing expense consists primarily of payment processing fees, third-party customer support and collection expense, salaries and personnel-related costs of our customer care team, platform fees,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Platform fees are revenue sharing fees paid to our e-commerce platform partners.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8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which totaled $254.6 million, $171.5 million, and $75.8 million for the years ended June 30, 2022, 2021, and 2020, respectively.</w:t>
      </w:r>
    </w:p>
    <w:p>
      <w:pPr>
        <w:spacing w:after="0" w:line="14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Additionally, for the years ended June 30, 2022, 2021, and 2020, $133.7 million, $29.0 million, and $17.1 million, respectively, of salaries and personnel costs that relate to the creation of internally-developed software were capitalized into property, equipment and software, net on the consolidated balance sheets, and amortized into technology and data analytics expense over the useful life of the developed software. This amortization expense totaled $23.9 million, $10.3 million, and $5.5 million for the years ended June 30, 2022, 2021, and 2020, respectively. Additional technology and data analytics expenses include platform infrastructure and hosting costs, third-party data acquisition expenses, amortization of intangible assets, and expenses related to the maintenance of existing technology assets and our technology platform as a whole.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8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 In July 2020, we recognized an asset in connection with a commercial agreement with Shopify in which we granted warrants in exchange for their promotion of the Affirm platform with potential new merchant partners. This asset represents the probable future economic benefit to be realized over the expected benefit period and is valued based on the fair value of the warrants on the grant date. The expected benefit period of the asset was initially estimated to be four years, and the remaining useful life of the asset is reevaluated each reporting period. During the year ended June 30, 2022 the remaining expected benefit period was extended by two years upon the execution of an amendment to the commercial agreement with Shopify which extended the term of the agreement.</w:t>
      </w:r>
    </w:p>
    <w:p>
      <w:pPr>
        <w:spacing w:after="0" w:line="15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November 2021, we entered into a commercial agreement with Amazon and granted warrants in exchange for certain exclusivity provisions and the benefit of acquiring new users. In connection with the agreements, we recognized an asset associated with the portion of the warrants that were fully vested upon execution of the agreement. The asset is valued based on the fair value of the warrants on the grant date and represents the probable future economic benefit to be realized over the approximately 3.2 year remaining initial term of the commercial agreement. For the year ended June 30, 2022, we recognized $281.0 million of expenses related to the warrants within sales and marketing expense, respectively, which included the amortization expense of the commercial agreement asset and the expense based upon the grant-date fair value for the warrant shares that vested during the period. For the year ended June 30, 2022, the expense related to warrants and other share-based payments comprised 64% of sales and marketing expenses, compared to 36% for the year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in order to continue to expand our consumer base,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certain cases, the losses incurred on loans originated for a merchant may exceed the total network revenue earned on those loans. We record the excess loss amounts as a sales and marketing expense. These losses totaled $19.8 million, during the year ended June 30, 2022, compared to $1.7 million for the year ended June 30, 2021. We expect that our sales and marketing expense will continue to increase as we expand our sales and marketing efforts to drive our growth, expansion, and diversification.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continue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 income, net consists primarily of interest earned on our money market funds included in cash and cash equivalents and restricted cash, interest earned on securities available for sale, gains and losses incurred on derivative agreements, amortization of convertible debt issuance cost and revolving debt facility issuance costs, and fair value adjustments resulting from changes in the fair value of our contingent consideration liability, primarily driven by changes in the market price of our Class A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Income tax expense (benefit) consists of U.S. federal and state income taxes, Canadian federal and provincial income taxes, and income taxes attributable to other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selected consolidated statements of operations and comprehensive loss data for each of the periods presented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Year ended June 30,</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2020</w:t>
            </w:r>
          </w:p>
        </w:tc>
      </w:tr>
      <w:tr>
        <w:trPr>
          <w:trHeight w:val="191"/>
        </w:trPr>
        <w:tc>
          <w:tcPr>
            <w:tcW w:w="2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Merchant network revenue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458,511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379,551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256,752</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Virtual card network revenue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w:t>
            </w:r>
          </w:p>
        </w:tc>
      </w:tr>
      <w:tr>
        <w:trPr>
          <w:trHeight w:val="223"/>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Total network revenue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559,207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429,402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276,092</w:t>
            </w:r>
          </w:p>
        </w:tc>
      </w:tr>
      <w:tr>
        <w:trPr>
          <w:trHeight w:val="229"/>
        </w:trPr>
        <w:tc>
          <w:tcPr>
            <w:tcW w:w="58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186,730</w:t>
            </w:r>
          </w:p>
        </w:tc>
      </w:tr>
      <w:tr>
        <w:trPr>
          <w:trHeight w:val="229"/>
        </w:trPr>
        <w:tc>
          <w:tcPr>
            <w:tcW w:w="58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Gain on sales of loans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196,435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89,926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31,907</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Servicing income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r>
      <w:tr>
        <w:trPr>
          <w:trHeight w:val="223"/>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Revenue,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1,349,292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509,528</w:t>
            </w:r>
          </w:p>
        </w:tc>
      </w:tr>
      <w:tr>
        <w:trPr>
          <w:trHeight w:val="210"/>
        </w:trPr>
        <w:tc>
          <w:tcPr>
            <w:tcW w:w="58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23"/>
                <w:szCs w:val="23"/>
                <w:b w:val="1"/>
                <w:bCs w:val="1"/>
                <w:color w:val="auto"/>
                <w:vertAlign w:val="superscript"/>
              </w:rPr>
              <w:t>(2)</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Loss on loan purchase commitment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204,081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246,700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161,452</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credit losses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105,067</w:t>
            </w: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Funding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32,316</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Processing and servicing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49,831</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Technology and data analytics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418,643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249,336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122,378</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w:t>
            </w:r>
          </w:p>
        </w:tc>
      </w:tr>
      <w:tr>
        <w:trPr>
          <w:trHeight w:val="230"/>
        </w:trPr>
        <w:tc>
          <w:tcPr>
            <w:tcW w:w="5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121,230</w:t>
            </w:r>
          </w:p>
        </w:tc>
      </w:tr>
      <w:tr>
        <w:trPr>
          <w:trHeight w:val="22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2,215,340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1,254,131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617,318</w:t>
            </w:r>
          </w:p>
        </w:tc>
      </w:tr>
      <w:tr>
        <w:trPr>
          <w:trHeight w:val="223"/>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(866,048)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(383,667)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(107,790)</w:t>
            </w:r>
          </w:p>
        </w:tc>
      </w:tr>
      <w:tr>
        <w:trPr>
          <w:trHeight w:val="22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r>
      <w:tr>
        <w:trPr>
          <w:trHeight w:val="223"/>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(724,831)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(443,370)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(112,222)</w:t>
            </w:r>
          </w:p>
        </w:tc>
      </w:tr>
      <w:tr>
        <w:trPr>
          <w:trHeight w:val="22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3"/>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(707,417)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(441,027)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(112,598)</w:t>
            </w:r>
          </w:p>
        </w:tc>
      </w:tr>
      <w:tr>
        <w:trPr>
          <w:trHeight w:val="22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return to preferred stockholders on repurchase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(13,205)</w:t>
            </w:r>
          </w:p>
        </w:tc>
      </w:tr>
      <w:tr>
        <w:trPr>
          <w:trHeight w:val="223"/>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(707,417)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(441,027)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(125,803)</w:t>
            </w:r>
          </w:p>
        </w:tc>
      </w:tr>
      <w:tr>
        <w:trPr>
          <w:trHeight w:val="21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(loss) on securities available for sale, net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Other Comprehensive Income (Loss)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r>
      <w:tr>
        <w:trPr>
          <w:trHeight w:val="248"/>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(433,952)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(112,900)</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240" w:type="dxa"/>
            <w:vAlign w:val="bottom"/>
            <w:tcBorders>
              <w:bottom w:val="single" w:sz="8" w:color="auto"/>
            </w:tcBorders>
          </w:tcPr>
          <w:p>
            <w:pPr>
              <w:spacing w:after="0"/>
              <w:rPr>
                <w:sz w:val="22"/>
                <w:szCs w:val="22"/>
                <w:color w:val="auto"/>
              </w:rPr>
            </w:pPr>
          </w:p>
        </w:tc>
        <w:tc>
          <w:tcPr>
            <w:tcW w:w="3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bl>
    <w:p>
      <w:pPr>
        <w:spacing w:after="0" w:line="175" w:lineRule="exact"/>
        <w:rPr>
          <w:sz w:val="20"/>
          <w:szCs w:val="20"/>
          <w:color w:val="auto"/>
        </w:rPr>
      </w:pPr>
    </w:p>
    <w:p>
      <w:pPr>
        <w:ind w:left="340" w:right="20" w:hanging="332"/>
        <w:spacing w:after="0"/>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w w:val="90"/>
              </w:rPr>
              <w:t>Year ended June 30,</w:t>
            </w: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1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53"/>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Additions from loans purchased or originated, net of refunds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264,725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157,426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(185,050)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0"/>
              </w:rPr>
              <w:t>(191,626)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Amounts include stock-based compensation as follows:</w:t>
            </w: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w w:val="90"/>
              </w:rPr>
              <w:t>Year ended June 30,</w:t>
            </w: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1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53"/>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196,554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Technology and data analytics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Comparison of the Years Ended June 30, 2022 and 2021</w:t>
            </w: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Total Revenue, net</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Year ended June 30,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left="973"/>
              <w:spacing w:after="0"/>
              <w:rPr>
                <w:sz w:val="20"/>
                <w:szCs w:val="20"/>
                <w:color w:val="auto"/>
              </w:rPr>
            </w:pPr>
            <w:r>
              <w:rPr>
                <w:rFonts w:ascii="Arial" w:cs="Arial" w:eastAsia="Arial" w:hAnsi="Arial"/>
                <w:sz w:val="16"/>
                <w:szCs w:val="16"/>
                <w:b w:val="1"/>
                <w:bCs w:val="1"/>
                <w:color w:val="auto"/>
                <w:w w:val="91"/>
              </w:rPr>
              <w:t>Change</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8"/>
          </w:tcPr>
          <w:p>
            <w:pPr>
              <w:ind w:left="340"/>
              <w:spacing w:after="0"/>
              <w:rPr>
                <w:sz w:val="20"/>
                <w:szCs w:val="20"/>
                <w:color w:val="auto"/>
              </w:rPr>
            </w:pPr>
            <w:r>
              <w:rPr>
                <w:rFonts w:ascii="Arial" w:cs="Arial" w:eastAsia="Arial" w:hAnsi="Arial"/>
                <w:sz w:val="14"/>
                <w:szCs w:val="14"/>
                <w:b w:val="1"/>
                <w:bCs w:val="1"/>
                <w:color w:val="auto"/>
              </w:rPr>
              <w:t>(in thousands, except percentage)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network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379,551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Virtual card network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100,696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49,851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50,845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network revenue</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429,402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527,880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326,417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201,463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loans</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65,770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24,719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41,051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870,464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-4474210</wp:posOffset>
            </wp:positionV>
            <wp:extent cx="384873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48735" cy="154305"/>
                    </a:xfrm>
                    <a:prstGeom prst="rect">
                      <a:avLst/>
                    </a:prstGeom>
                    <a:noFill/>
                  </pic:spPr>
                </pic:pic>
              </a:graphicData>
            </a:graphic>
          </wp:anchor>
        </w:drawing>
      </w:r>
    </w:p>
    <w:p>
      <w:pPr>
        <w:spacing w:after="0" w:line="20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i w:val="1"/>
          <w:iCs w:val="1"/>
          <w:color w:val="auto"/>
        </w:rPr>
        <w:t xml:space="preserve">Total Revenue, net </w:t>
      </w:r>
      <w:r>
        <w:rPr>
          <w:rFonts w:ascii="Arial" w:cs="Arial" w:eastAsia="Arial" w:hAnsi="Arial"/>
          <w:sz w:val="16"/>
          <w:szCs w:val="16"/>
          <w:color w:val="auto"/>
        </w:rPr>
        <w:t>for the year ended June 30, 2022 increased by $478.8 million or 55%, compared to the year ended June 30, 2021.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is primarily due to an increase of $7.2 billion or 87% in GMV on our platform during the year, from $8.3 billion for the year ended June 30, 2021 to $15.5 billion for the year ended June 30, 2022. This increase in GMV was driven by the strong network effects of the expansion of our active merchant base from 28,995 as of June 30, 2021 to 234,847 as of June 30, 2022, an increase in active consumers from 7.1 million as of June 30, 2021 to 14.0 million as of June 30, 2022, and an increase in average transactions per consumer from 2.3 as of June 30, 2021 to 3.0 as of June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i w:val="1"/>
          <w:iCs w:val="1"/>
          <w:color w:val="auto"/>
        </w:rPr>
        <w:t xml:space="preserve">Merchant network revenue </w:t>
      </w:r>
      <w:r>
        <w:rPr>
          <w:rFonts w:ascii="Arial" w:cs="Arial" w:eastAsia="Arial" w:hAnsi="Arial"/>
          <w:sz w:val="18"/>
          <w:szCs w:val="18"/>
          <w:color w:val="auto"/>
        </w:rPr>
        <w:t>for the year ended June 30, 2022 increased by $79.0 million or 21%, compared to the year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Merchant network revenue as a percentage of GMV for the year ended June 30, 2022 decreased to 3.0% compared to 4.6% for the year ended June 30, 2021.</w:t>
      </w:r>
    </w:p>
    <w:p>
      <w:pPr>
        <w:spacing w:after="0" w:line="143"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AOV of our loans, and typically decreases with shorter duration and higher APR loans. Specifically, long-term 0% APR loans typically carry higher merchant fees as a percentage of GMV and have higher AOVs.</w:t>
      </w:r>
    </w:p>
    <w:p>
      <w:pPr>
        <w:spacing w:after="0" w:line="13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increase in merchant network revenue during the year ended June 30, 2022 was primarily driven by an increase in GMV, partially offset by reductions in the concentration of long-term 0% APR loans, our highest merchant fee category, which decreased from 21% of total GMV during the year ended June 30, 2021 to 11% during the year ended June 30, 2022. For the year ended June 30, 2022, approximately 8%, of total revenue was driven by our largest merchant partner by merchant network revenue, Peloton, for which we facilitate long-term 0% APR loans with a higher merchant fee, compared with 20% of total revenue in the comparative period. More broadly, for the year ended June 30, 2022, loans with term lengths greater than 12 months accounted for 20% of GMV, compared to 29% for the year ended June 30, 2021, primarily due to the increased adoption of our Split Pay product. AOV was lower at $403 for the year ended June 30, 2022, compared to $550 for the year ended June 30, 2021, primarily due to the increased adoption of our Split Pay product.</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increases were partially offset by a reduction of merchant network revenue of $80.4 million for the year ended June 30, 2022, associated with the creation of discounts upon the self-origination of loans with par values in excess of the fair value of such loans, compared to $11.4 million during the year ended June 30, 2021. These reductions to merchant network revenue are primarily due to our Split Pay product and our 0% APR lending programs outside of the United States, which we self-originate. For the year ended June 30, 2022, we self-originated $3.3 billion of loans, an increase of 453.9% compared to $0.6 billion during year ended June 30, 2021. While the discounts created upon the origination of a loan reduce merchant network revenue at the time of origination, the discounts are amortized into interest income over the life of the respective loans when retained on the balance sheet and any unamortized discount is reflected in the cost basis when determining gain on sale of loans.</w:t>
      </w:r>
    </w:p>
    <w:p>
      <w:pPr>
        <w:spacing w:after="0" w:line="15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for the year ended June 30, 2022 increased by $50.8 million or 102%, compared to the year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driven by an increase in GMV processed through our issuer processor of 100% for the year ended June 30, 2022, due to increased activity on our virtual card-enabled mobile application as well as growth in existing and new merchants integrated using our virtual card platform, growing from 756 merchants as of June 30, 2021 to 1,099 merchants as of June 30, 2022. Virtual card network revenue is also impacted by the mix of merchants as different merchants can have different interchange rates depending on their industry or size, among other factors.</w:t>
      </w:r>
    </w:p>
    <w:p>
      <w:pPr>
        <w:spacing w:after="0" w:line="13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for the year ended June 30, 2022 increased by $201.5 million or 62%, compared to the year ended June 30, 2021.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is correlated with the changes in the average balance of loans held for investment, as we recognize interest on loans held for investment using the effective interest method over the life of the loan. The average balance of loans held for investment increased by 27% to $2.3 billion for the year ended June 30, 2022, compared to the same period in the prior fiscal year.</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an annualized percentage of average loans held for investment, total interest income increased from approximately 18% during the year ended June 30, 2021 to 23% during the year ended June 30, 2022. This change was driven by a decrease in the average proportion of 0% APR loans being held on our consolidated balance sheet as a percentage of the average loans held for investment, which decreased from 46% during the year ended June 30, 2021 to 39% during the year ended June 30, 2022. The shift was largely due to increased concentration of loans with large enterprise merchant partners; those loans tend to be interest-bearing.</w:t>
      </w:r>
    </w:p>
    <w:p>
      <w:pPr>
        <w:spacing w:after="0" w:line="16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recognize interest income on 0% APR loans via the amortization of the loan discount. Short term 0% APR loans, including Split Pay loans, carry higher annualized discounts as percentages of annualized loan balances than longer term loans, and thus amortize more discount into interest income as percentages of unpaid principal balance than longer term loans. Therefore, the change in the mix of 0% APR loans held for investment is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contributing to the increase in interest income as an annualized percentage of average loans held for investment. The total amortization of discounts on loans held for investment increased by $84.0 million or 83% for the year ended June 30, 2022, compared with the year ended June 30, 2021. The amortization of discounts represented 35% of total interest income for the year ended June 30, 2022, compared to 31% for the year ended June 30, 2021, respectively. This increase included the amortization of discounts arising from self-originated loans held for investment of $106.1 million during the year ended June 30, 2022, which was $18.2 million for the year ended June 30, 2021.</w:t>
      </w:r>
    </w:p>
    <w:p>
      <w:pPr>
        <w:spacing w:after="0" w:line="147" w:lineRule="exact"/>
        <w:rPr>
          <w:sz w:val="20"/>
          <w:szCs w:val="20"/>
          <w:color w:val="auto"/>
        </w:rPr>
      </w:pPr>
    </w:p>
    <w:p>
      <w:pPr>
        <w:ind w:left="120" w:right="120" w:firstLine="648"/>
        <w:spacing w:after="0" w:line="255" w:lineRule="auto"/>
        <w:rPr>
          <w:sz w:val="20"/>
          <w:szCs w:val="20"/>
          <w:color w:val="auto"/>
        </w:rPr>
      </w:pPr>
      <w:r>
        <w:rPr>
          <w:rFonts w:ascii="Arial" w:cs="Arial" w:eastAsia="Arial" w:hAnsi="Arial"/>
          <w:sz w:val="18"/>
          <w:szCs w:val="18"/>
          <w:i w:val="1"/>
          <w:iCs w:val="1"/>
          <w:color w:val="auto"/>
        </w:rPr>
        <w:t xml:space="preserve">Gain on sales of loans </w:t>
      </w:r>
      <w:r>
        <w:rPr>
          <w:rFonts w:ascii="Arial" w:cs="Arial" w:eastAsia="Arial" w:hAnsi="Arial"/>
          <w:sz w:val="18"/>
          <w:szCs w:val="18"/>
          <w:color w:val="auto"/>
        </w:rPr>
        <w:t>for the year ended June 30, 2022 increased by $106.5 million or 118%, compared to the year ended June 30,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sold loans with an unpaid balance of $3.2 billion for the year ended June 30, 2021, and $7.1 billion for the year ended June 30, 2022, for which we retained servicing rights. This increase was primarily due to higher loan sale volume to third-party loan buyers and off-balance sheet securitizations, favorable loan sale pricing terms, and optimizing the allocation of loans to loan buyers with higher pricing terms. The increase was partially offset by a reduction of $6.2 million due to the net impact of the servicing assets and liabilities of the loans sold during the year ended June 30, 2022, compared to a reduction of $1.5 million for the year ended June 30, 2021</w:t>
      </w:r>
    </w:p>
    <w:p>
      <w:pPr>
        <w:spacing w:after="0" w:line="1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Servicing income </w:t>
      </w:r>
      <w:r>
        <w:rPr>
          <w:rFonts w:ascii="Arial" w:cs="Arial" w:eastAsia="Arial" w:hAnsi="Arial"/>
          <w:sz w:val="18"/>
          <w:szCs w:val="18"/>
          <w:color w:val="auto"/>
        </w:rPr>
        <w:t>for the year ended June 30, 2022 increased by $41.1 million or 166%, compared to the year ended June 30, 2021.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in the average unpaid principal balance of loans owned by third-party loan owners, which increased from $1.8 billion during the year ended June 30, 2021 to $3.6 billion during the year ended June 30, 2022. Additionally, we recognized an increase of servicing income of $6.3 million related to the changes in fair value of servicing assets and liabilities during the year ended June 30, 2022, compared with a reduction to servicing income of $1.5 million during the year ended June 30,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Year ended June 30,</w:t>
            </w:r>
          </w:p>
        </w:tc>
        <w:tc>
          <w:tcPr>
            <w:tcW w:w="1260" w:type="dxa"/>
            <w:vAlign w:val="bottom"/>
            <w:tcBorders>
              <w:bottom w:val="single" w:sz="8" w:color="auto"/>
            </w:tcBorders>
          </w:tcPr>
          <w:p>
            <w:pPr>
              <w:spacing w:after="0"/>
              <w:rPr>
                <w:sz w:val="18"/>
                <w:szCs w:val="18"/>
                <w:color w:val="auto"/>
              </w:rPr>
            </w:pPr>
          </w:p>
        </w:tc>
      </w:tr>
      <w:tr>
        <w:trPr>
          <w:trHeight w:val="210"/>
        </w:trPr>
        <w:tc>
          <w:tcPr>
            <w:tcW w:w="71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2021</w:t>
            </w:r>
          </w:p>
        </w:tc>
      </w:tr>
      <w:tr>
        <w:trPr>
          <w:trHeight w:val="184"/>
        </w:trPr>
        <w:tc>
          <w:tcPr>
            <w:tcW w:w="7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loan purchase commitment</w:t>
            </w:r>
          </w:p>
        </w:tc>
        <w:tc>
          <w:tcPr>
            <w:tcW w:w="120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204,081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246,700</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255,272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65,878</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1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73,578</w:t>
            </w:r>
          </w:p>
        </w:tc>
      </w:tr>
      <w:tr>
        <w:trPr>
          <w:trHeight w:val="22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transaction costs</w:t>
            </w:r>
          </w:p>
        </w:tc>
        <w:tc>
          <w:tcPr>
            <w:tcW w:w="1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686,861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438,856</w:t>
            </w:r>
          </w:p>
        </w:tc>
      </w:tr>
      <w:tr>
        <w:trPr>
          <w:trHeight w:val="223"/>
        </w:trPr>
        <w:tc>
          <w:tcPr>
            <w:tcW w:w="7140" w:type="dxa"/>
            <w:vAlign w:val="bottom"/>
          </w:tcPr>
          <w:p>
            <w:pPr>
              <w:ind w:left="40"/>
              <w:spacing w:after="0"/>
              <w:rPr>
                <w:sz w:val="20"/>
                <w:szCs w:val="20"/>
                <w:color w:val="auto"/>
              </w:rPr>
            </w:pPr>
            <w:r>
              <w:rPr>
                <w:rFonts w:ascii="Arial" w:cs="Arial" w:eastAsia="Arial" w:hAnsi="Arial"/>
                <w:sz w:val="18"/>
                <w:szCs w:val="18"/>
                <w:color w:val="auto"/>
              </w:rPr>
              <w:t>Technology and data analytics</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418,643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249,336</w:t>
            </w:r>
          </w:p>
        </w:tc>
      </w:tr>
      <w:tr>
        <w:trPr>
          <w:trHeight w:val="23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182,190</w:t>
            </w:r>
          </w:p>
        </w:tc>
      </w:tr>
      <w:tr>
        <w:trPr>
          <w:trHeight w:val="229"/>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577,493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383,749</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2,215,340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1,254,131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447484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74845" cy="15430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w:t>
            </w:r>
          </w:p>
        </w:tc>
      </w:tr>
      <w:tr>
        <w:trPr>
          <w:trHeight w:val="187"/>
        </w:trPr>
        <w:tc>
          <w:tcPr>
            <w:tcW w:w="3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(in thousands, except</w:t>
            </w:r>
          </w:p>
        </w:tc>
        <w:tc>
          <w:tcPr>
            <w:tcW w:w="1660" w:type="dxa"/>
            <w:vAlign w:val="bottom"/>
            <w:gridSpan w:val="2"/>
          </w:tcPr>
          <w:p>
            <w:pPr>
              <w:jc w:val="right"/>
              <w:ind w:right="73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loan purchase commitment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204,081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246,700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85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Loss on loan purchase commitment for the year ended June 30, 2022 decreased by $42.6 million or 17%, compared to the year ended June 30, 2021. This decrease was due to a decrease in the volume of long-term 0% APR loans purchased from our originating bank partners compared to the prior period, which are purchased above fair market value. The decrease in loss on loan purchase commitment is also impacted by changes in the estimate of fair value of the loans driven primarily by the mix of loan terms. The differences in fair values and purchase values for our loans are generally correlated with the term length, so the reduction in long term loans reduced the differences between the estimates of fair value and purchase value. During the year ended June 30, 2022, we purchased $3,251.5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million, of 0% APR loan receivables from our originating bank partners, representing a decrease of $33.1 million or 1% compared to the year ended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w:t>
            </w:r>
          </w:p>
        </w:tc>
      </w:tr>
      <w:tr>
        <w:trPr>
          <w:trHeight w:val="187"/>
        </w:trPr>
        <w:tc>
          <w:tcPr>
            <w:tcW w:w="3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80"/>
              </w:rPr>
              <w:t>(in thousands, except</w:t>
            </w:r>
          </w:p>
        </w:tc>
        <w:tc>
          <w:tcPr>
            <w:tcW w:w="1660" w:type="dxa"/>
            <w:vAlign w:val="bottom"/>
            <w:gridSpan w:val="2"/>
          </w:tcPr>
          <w:p>
            <w:pPr>
              <w:jc w:val="right"/>
              <w:ind w:right="71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255,272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65,878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0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Provision for credit losses generally represents the amount of expense required to maintain the allowance for credit losses on our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during the prior fiscal year, following the loss of our emerging growth company status, we adopted Accounting Standard Update (“ASU”) 2016-13, “Financial Instruments — Credit Losses (Topic 326)” using the modified retrospective approach. The amendments replaced the incurred loss impairment methodology for computing our allowance for credit losses with the current expected credit loss model ("CECL"), effective July 1, 2020. As part of this modified retrospective approach to adoption, we recorded an adjustment increasing the provision for credit losses by $10.1 million for the year ended June 30, 2021.</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June 30, 2022, the allowance as a percentage of loans held for investment increased from 5.8% as of June 30, 2021 to 6.2% as of June 30, 2022, primarily due to a deconcentration of long-term, lower-credit-risk 0% APR loans on our balance sheet and growth of new platforms and merchant partnerships with generally higher expected losses. Prior year provision for credit losses was unusually low due to release of stressed expected loss scenarios and the adoption of CECL. Those prior year impacts, combined with an overall larger loan population, shifting product mix, and normalized credit environment, resulted in an increase in provision for credit losses expense of $189.4 million or 287% compared to the year ended June 30,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w:t>
            </w:r>
          </w:p>
        </w:tc>
      </w:tr>
      <w:tr>
        <w:trPr>
          <w:trHeight w:val="187"/>
        </w:trPr>
        <w:tc>
          <w:tcPr>
            <w:tcW w:w="3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(in thousands, except</w:t>
            </w:r>
          </w:p>
        </w:tc>
        <w:tc>
          <w:tcPr>
            <w:tcW w:w="1660" w:type="dxa"/>
            <w:vAlign w:val="bottom"/>
            <w:gridSpan w:val="2"/>
          </w:tcPr>
          <w:p>
            <w:pPr>
              <w:jc w:val="right"/>
              <w:ind w:right="73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69,694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85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Funding costs for the year ended June 30, 2022 increased by $17.0 million or 32%, compared to the year ended June 30, 2021. Funding costs for a given period are correlated with the sum of the average balance of funding debt and the average balance of notes issued by securitization trusts. This increase was primarily due to the increase of notes issued by securitization trusts during the current fiscal year, which bear interest at fixed rates. The average balance of notes issued by securitization trusts during the year ended June 30, 2022 was $1,490.1 million, compared with $747.0 million, during the year ended June 30, 2021. The average balance of funding debt for the year ended June 30, 2022 was $677.0 million, compared with $752.6 million, during the year ended June 30, 2021. Combined, average total debt for the year ended June 30, 2022 increased by $667.6 million or 45%, respectively, compared to the year ended June 30, 2021 while the average reference interest rate increased by 163%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w:t>
            </w:r>
          </w:p>
        </w:tc>
      </w:tr>
      <w:tr>
        <w:trPr>
          <w:trHeight w:val="187"/>
        </w:trPr>
        <w:tc>
          <w:tcPr>
            <w:tcW w:w="3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80"/>
              </w:rPr>
              <w:t>(in thousands, except</w:t>
            </w:r>
          </w:p>
        </w:tc>
        <w:tc>
          <w:tcPr>
            <w:tcW w:w="1660" w:type="dxa"/>
            <w:vAlign w:val="bottom"/>
            <w:gridSpan w:val="2"/>
          </w:tcPr>
          <w:p>
            <w:pPr>
              <w:jc w:val="right"/>
              <w:ind w:right="71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157,814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73,578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03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Processing and servicing expense for the year ended June 30, 2022 increased by $84.2 million or 114%, compared to the year ended June 30, 2021. This increase was primarily due to a $56.1 million or 163% increase in payment processing fees related to increased servicing activity and payments volume for the year ended June 30, 2022. Additionally, processing fees paid to our platform partners increased by $5.4 million or 104%, for the year ended June 30, 2022. Personnel costs increased by $5.6 million or 47% for the year June 30, 2022 driven by growth in headcount. For the year ended June 30, 2022, third-party loan servicing and collections spend increased $17.0 million or 82%, due to increased loan volume.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w:t>
            </w:r>
          </w:p>
        </w:tc>
      </w:tr>
      <w:tr>
        <w:trPr>
          <w:trHeight w:val="187"/>
        </w:trPr>
        <w:tc>
          <w:tcPr>
            <w:tcW w:w="3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81"/>
              </w:rPr>
              <w:t>(in thousands, except</w:t>
            </w:r>
          </w:p>
        </w:tc>
        <w:tc>
          <w:tcPr>
            <w:tcW w:w="1660" w:type="dxa"/>
            <w:vAlign w:val="bottom"/>
            <w:gridSpan w:val="2"/>
          </w:tcPr>
          <w:p>
            <w:pPr>
              <w:jc w:val="right"/>
              <w:ind w:right="73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418,643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249,336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169,307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85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Technology and data analytics expense for the year ended June 30, 2022 increased by $169.3 million or 68%, compared to the year ended June 30, 2021. For the year ended June 30, 2022, we saw a $83.1 million or 48% increase in personnel costs compared to the year ended June 30, 2021 primarily due to an increased headcount as we continue to support our growth and technology platform as a whole. A portion of these personnel costs was stock-based compensation, which accounted for a $39.9 million increase compared to the year ended June 30, 2021, respectively, largely due to vesting of RSUs.</w:t>
      </w:r>
    </w:p>
    <w:p>
      <w:pPr>
        <w:spacing w:after="0" w:line="11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Additionally, there was a $51.9 million or 132%, increase in data infrastructure and hosting costs for the year ended June 30, 2022, compared to the year ended June 30, 2021, due to increased capacity requirements of our technology platform driven by increase in active users and transactions per active consumer. There was a $12.8 million or 75%, increase in underwriting data provider costs for the year ended June 30, 2022, compared to the year ended June 30, 2021, due to an increase in applications, partially offset by cost improvements achieved as a result of contract renegotiations. Furthermore, amortization of internally-developed software increased by $13.6 million or 132%, compared to the year ended June 30, 2021, primarily as a result of an increase in the number of capitalized projects during the period due to our ongoing investment in software development. Capitalized projects grew 370% from 30 projects for the year ended June 30, 2021 to 141 projects for the year ended June 30,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w:t>
            </w:r>
          </w:p>
        </w:tc>
      </w:tr>
      <w:tr>
        <w:trPr>
          <w:trHeight w:val="187"/>
        </w:trPr>
        <w:tc>
          <w:tcPr>
            <w:tcW w:w="3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80"/>
              </w:rPr>
              <w:t>(in thousands, except</w:t>
            </w:r>
          </w:p>
        </w:tc>
        <w:tc>
          <w:tcPr>
            <w:tcW w:w="1660" w:type="dxa"/>
            <w:vAlign w:val="bottom"/>
            <w:gridSpan w:val="2"/>
          </w:tcPr>
          <w:p>
            <w:pPr>
              <w:jc w:val="right"/>
              <w:ind w:right="71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532,343</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182,190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350,153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0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Sales and marketing expense for the year ended June 30, 2022 increased by $350.2 million or 192%, compared to the year ended June 30, 2021. This increase was primarily due to $281.0 million of expense related to warrants granted to Amazon during the year ended June 30, 2022. Additionally, personnel costs related to employees in the sales and marketing functions increased $19.5 million or 45%, compared to the year ended June 30, 2021 largely due to an increased headcount. Loss on loan originations increased $18.1 million or 1,067%, compared to the year ended June 30, 2021, primarily due to an increase in self-originated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40" w:firstLine="648"/>
        <w:spacing w:after="0" w:line="270" w:lineRule="auto"/>
        <w:rPr>
          <w:sz w:val="20"/>
          <w:szCs w:val="20"/>
          <w:color w:val="auto"/>
        </w:rPr>
      </w:pPr>
      <w:r>
        <w:rPr>
          <w:rFonts w:ascii="Arial" w:cs="Arial" w:eastAsia="Arial" w:hAnsi="Arial"/>
          <w:sz w:val="17"/>
          <w:szCs w:val="17"/>
          <w:color w:val="auto"/>
        </w:rPr>
        <w:t>Furthermore, there was a $20.9 million or 59%, increase in brand and consumer marketing spend during the year ended June 30, 2022, compared to the year ended June 30, 2021, associated with our expanded brand-activation, holiday shopping, lifestyle, and travel marketing campaigns, as well as a $5.1 million or 40% increase in business-to-business marketing spend compared to the year ended June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w:t>
            </w:r>
          </w:p>
        </w:tc>
      </w:tr>
      <w:tr>
        <w:trPr>
          <w:trHeight w:val="187"/>
        </w:trPr>
        <w:tc>
          <w:tcPr>
            <w:tcW w:w="3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(in thousands, except</w:t>
            </w:r>
          </w:p>
        </w:tc>
        <w:tc>
          <w:tcPr>
            <w:tcW w:w="1660" w:type="dxa"/>
            <w:vAlign w:val="bottom"/>
            <w:gridSpan w:val="2"/>
          </w:tcPr>
          <w:p>
            <w:pPr>
              <w:jc w:val="right"/>
              <w:ind w:right="73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577,493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383,749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193,744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85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5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General and administrative expense for the year ended June 30, 2022 increased by $193.7 million or 50%, compared to the year ended June 30, 2021 primarily due to an increased headcount as we continue to grow our finance, legal, operations, and administrative organizations. Additionally, professional fees increased by $16.0 million or 56%, during the year ended June 30, 2022 compared to the year ended June 30, 2021, to support our acquisitions, international expansion, and regulatory compliance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w:t>
            </w:r>
          </w:p>
        </w:tc>
      </w:tr>
      <w:tr>
        <w:trPr>
          <w:trHeight w:val="187"/>
        </w:trPr>
        <w:tc>
          <w:tcPr>
            <w:tcW w:w="3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80"/>
              </w:rPr>
              <w:t>(in thousands, except</w:t>
            </w:r>
          </w:p>
        </w:tc>
        <w:tc>
          <w:tcPr>
            <w:tcW w:w="1660" w:type="dxa"/>
            <w:vAlign w:val="bottom"/>
            <w:gridSpan w:val="2"/>
          </w:tcPr>
          <w:p>
            <w:pPr>
              <w:jc w:val="right"/>
              <w:ind w:right="71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141,217</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(59,703)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0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54" w:lineRule="exact"/>
        <w:rPr>
          <w:sz w:val="20"/>
          <w:szCs w:val="20"/>
          <w:color w:val="auto"/>
        </w:rPr>
      </w:pPr>
    </w:p>
    <w:p>
      <w:pPr>
        <w:ind w:right="240" w:firstLine="364"/>
        <w:spacing w:after="0" w:line="259" w:lineRule="auto"/>
        <w:rPr>
          <w:sz w:val="20"/>
          <w:szCs w:val="20"/>
          <w:color w:val="auto"/>
        </w:rPr>
      </w:pPr>
      <w:r>
        <w:rPr>
          <w:rFonts w:ascii="Arial" w:cs="Arial" w:eastAsia="Arial" w:hAnsi="Arial"/>
          <w:sz w:val="18"/>
          <w:szCs w:val="18"/>
          <w:color w:val="auto"/>
        </w:rPr>
        <w:t>For the year ended June 30, 2022, other (expense) income, net, was largely comprised of a gain of $89.3 million, recognized based on the change in fair value of the contingent consideration liability associated with our acquisition of PayBright, driven by decreases in the value of our common stock. Additionally other (expense) income, net included a gain of $48.6 million on hedging instruments due to increases in fair value of interest rate caps as a direct correlation with LIBOR and increased volatility in the market.</w:t>
      </w:r>
    </w:p>
    <w:p>
      <w:pPr>
        <w:spacing w:after="0" w:line="146" w:lineRule="exact"/>
        <w:rPr>
          <w:sz w:val="20"/>
          <w:szCs w:val="20"/>
          <w:color w:val="auto"/>
        </w:rPr>
      </w:pPr>
    </w:p>
    <w:p>
      <w:pPr>
        <w:ind w:right="60" w:firstLine="364"/>
        <w:spacing w:after="0" w:line="237" w:lineRule="auto"/>
        <w:rPr>
          <w:sz w:val="20"/>
          <w:szCs w:val="20"/>
          <w:color w:val="auto"/>
        </w:rPr>
      </w:pPr>
      <w:r>
        <w:rPr>
          <w:rFonts w:ascii="Arial" w:cs="Arial" w:eastAsia="Arial" w:hAnsi="Arial"/>
          <w:sz w:val="18"/>
          <w:szCs w:val="18"/>
          <w:color w:val="auto"/>
        </w:rPr>
        <w:t>For the year ended June 30, 2021, other (expense) income, net was primarily comprised of a loss of $92.9 million recognized based on the change in fair value of the contingent consideration liability associated with our acquisition of PayBright, driven by changes in the value of our common stock. Additionally, for the year ended June 30, 2021, other (expense) income, net included a gain of $30.1 million recognized upon the conversion of convertible notes into shares of Series G-1 preferred stock. The conversion of convertible notes was accounted for as a debt extinguishment since the number of shares of Series G-1 preferred stock issued upon conversion was variable and this gain represented the difference between the carrying value of the debt at the time of extinguishment and the allocated proceeds.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June 30,</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bottom w:val="single" w:sz="8" w:color="auto"/>
            </w:tcBorders>
          </w:tcPr>
          <w:p>
            <w:pPr>
              <w:spacing w:after="0"/>
              <w:rPr>
                <w:sz w:val="18"/>
                <w:szCs w:val="18"/>
                <w:color w:val="auto"/>
              </w:rPr>
            </w:pPr>
          </w:p>
        </w:tc>
      </w:tr>
      <w:tr>
        <w:trPr>
          <w:trHeight w:val="207"/>
        </w:trPr>
        <w:tc>
          <w:tcPr>
            <w:tcW w:w="38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7"/>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w:t>
            </w:r>
          </w:p>
        </w:tc>
      </w:tr>
      <w:tr>
        <w:trPr>
          <w:trHeight w:val="187"/>
        </w:trPr>
        <w:tc>
          <w:tcPr>
            <w:tcW w:w="3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80"/>
              </w:rPr>
              <w:t>(in thousands, except</w:t>
            </w:r>
          </w:p>
        </w:tc>
        <w:tc>
          <w:tcPr>
            <w:tcW w:w="1660" w:type="dxa"/>
            <w:vAlign w:val="bottom"/>
            <w:gridSpan w:val="2"/>
          </w:tcPr>
          <w:p>
            <w:pPr>
              <w:jc w:val="right"/>
              <w:ind w:right="71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(17,414)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400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7"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The income tax benefit for the year ended June 30, 2022 was primarily attributable to a change in our assessment of the future realization of certain foreign deferred tax assets, while the income tax benefit for the year ended June 30, 2021 was primarily attributable to an adjustment to the Company's valuation allowance resulting from a deferred tax liability assumed with the acquisition of Returnly.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our ability to recover our deferred tax assets in the jurisdiction from which they arise, we consider all available positive and negative evidence, including our historical financial performance, projections of future taxable income - incorporating any changes in circumstance for the business, future reversals of existing taxable temporary differences, and any carryback available. The assumptions about future taxable income require the use of Management’s judgment and are consistent with the plans and estimates we are using to manage the underlying businesses, yet they are subject to change from period to period.</w:t>
      </w:r>
    </w:p>
    <w:p>
      <w:pPr>
        <w:spacing w:after="0" w:line="14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a result of (i) the integration and consolidation of our PayBright business into and with Affirm’s Canadian business, which makes PayBright’s tax attributes utilizable against future income in the combined Canadian operations, (ii) the expansion of our overall business in Canada, and (iii) other objectively verifiable positive evidence that became available during the year ended June 30, 2022 - all of which we have concluded is sufficient to outweigh the existing negative evidence, including the presence of a three-year cumulative loss attributable to the related foreign jurisdiction, we have determined that it is more likely than not that our foreign deferred tax assets will be realized and a valuation allowance is not required.</w:t>
      </w:r>
    </w:p>
    <w:p>
      <w:pPr>
        <w:spacing w:after="0" w:line="13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Even though our determination that our foreign deferred tax assets will more likely than not be realized is primarily based on sufficient, objectively verifiable positive evidence, consideration was still required for the underlying projections of future income. If our assumptions change in the future and we determine that we will not be able to realize our foreign deferred tax assets, the tax benefits related to any release of the valuation allowance on foreign deferred tax assets as of June 30, 2022 will be reversed and recorded as an increase of income tax expense for the period.</w:t>
      </w:r>
    </w:p>
    <w:p>
      <w:pPr>
        <w:spacing w:after="0" w:line="13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continue to recognize a full valuation allowance against our U.S. federal and state net deferred tax assets. A significant piece of objective negative evidence evaluated was the cumulative loss incurred by the Company for the years ended June 30, 2022, 2021, and 2020. The presence of a three-year cumulative loss limits the ability to consider other subjective evidence, such as our expectations of future taxable income and projections for growth, and the other positive evidence available is not sufficient to outweigh the existing negative evidence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incurred losses since our inception, accumulating a deficit of $1.6 billion and $0.9 billion as of June 30, 2022 and June 30, 2021, respectively. We have historically financed the majority of our operating and capital needs through the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 On November 23, 2021, we issued the 2026 Notes, generating cash proceeds of $1.7 billion.</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June 30, 2022, our principal sources of liquidity were available for sale securities and cash and cash equivalents, available capacity from revolving debt facilities, revolving securitizations, forward flow loan sale arrangements, and certain cash flows from our operations. We believe that our existing cash balances, available capacity under our revolving debt facilities, revolving securitizations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 of June 30, 2022, we had approximately $1.3 billion of cash and cash equivalents to fund our future operations compared to approximately $1.5 billion as of June 30, 2021. Our cash and cash equivalents were comprised of operating bank accounts, money market funds, certificates of deposits, corporate bonds, and other commercial paper with maturities less than three months. Cash and cash equivalents are held primarily for continued investment in our business, for working capital purposes, and to facilitate a portion of our lending activities. Our policy is to invest cash in excess of our immediate working capital requirements in liquid investments and deposit accounts to preserve the principal balance and maintain adequate liquidity.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Restricted cash consists primarily of: (i) deposits restricted by standby letters of credit for office leases and merchant partnership agreements;</w:t>
      </w:r>
    </w:p>
    <w:p>
      <w:pPr>
        <w:spacing w:after="0" w:line="46" w:lineRule="exact"/>
        <w:rPr>
          <w:sz w:val="20"/>
          <w:szCs w:val="20"/>
          <w:color w:val="auto"/>
        </w:rPr>
      </w:pPr>
    </w:p>
    <w:p>
      <w:pPr>
        <w:ind w:right="220" w:firstLine="8"/>
        <w:spacing w:after="0" w:line="255"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funds held in accounts as collateral for our originating bank partners; and (iii) servicing funds held in accounts contractually restricted by agreements with warehouse credit facilities and third-party loan owners. We have no ability to draw on such funds as long as they remain restricted under the applicable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 for Sale</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June 30, 2022, we had $1.6 billion of investments in marketable debt securities classified as available-for-sale, compared to $16.2 million as of June 30, 2021. Our securities available for sale at fair value primarily consist of certificates of deposits, corporate bonds, commercial paper, and government bonds with maturities greater than three months. Investment securities traditionally provide a secondary source of liquidity since they can be converted into cash in a timely manner.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Debt</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summarizes our funding debt facilities as of June 30, 2022. The funding debt consists of warehouse credit facilities, other funding facilities, revolving credit facilities, and repurchase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Fiscal Year</w:t>
            </w:r>
          </w:p>
        </w:tc>
        <w:tc>
          <w:tcPr>
            <w:tcW w:w="22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b w:val="1"/>
                <w:bCs w:val="1"/>
                <w:color w:val="auto"/>
              </w:rPr>
              <w:t>Borrowing Capacity</w:t>
            </w:r>
          </w:p>
        </w:tc>
        <w:tc>
          <w:tcPr>
            <w:tcW w:w="200" w:type="dxa"/>
            <w:vAlign w:val="bottom"/>
          </w:tcPr>
          <w:p>
            <w:pPr>
              <w:spacing w:after="0"/>
              <w:rPr>
                <w:sz w:val="18"/>
                <w:szCs w:val="18"/>
                <w:color w:val="auto"/>
              </w:rPr>
            </w:pPr>
          </w:p>
        </w:tc>
        <w:tc>
          <w:tcPr>
            <w:tcW w:w="19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Principal Outstanding</w:t>
            </w:r>
          </w:p>
        </w:tc>
      </w:tr>
      <w:tr>
        <w:trPr>
          <w:trHeight w:val="191"/>
        </w:trPr>
        <w:tc>
          <w:tcPr>
            <w:tcW w:w="6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4"/>
          </w:tcPr>
          <w:p>
            <w:pPr>
              <w:jc w:val="right"/>
              <w:ind w:right="1631"/>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158,547</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1,812,972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421,484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34,428</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2028 and thereafter</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68,936</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2,934,027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683,395</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Through trusts, we entered into warehouse credit facilities with certain lenders to finance the purchase and origination of our loans. These trusts are consolidated variable interest entities (“VIEs”),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June 30, 2022, we were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compliance with all applicable covenants in the agreements. Refer to Note 11. Debt in the notes to the consolidated financial statements included elsewhere in this Form 10-K for additional information.</w:t>
      </w:r>
    </w:p>
    <w:p>
      <w:pPr>
        <w:spacing w:after="0" w:line="13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These revolving facilities mature between 2023 and 2029,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these facilities bear interest at an annual benchmark rate of LIBOR or at an alternative commercial paper rate (which is either</w:t>
      </w:r>
    </w:p>
    <w:p>
      <w:pPr>
        <w:spacing w:after="0" w:line="46" w:lineRule="exact"/>
        <w:rPr>
          <w:sz w:val="20"/>
          <w:szCs w:val="20"/>
          <w:color w:val="auto"/>
        </w:rPr>
      </w:pPr>
    </w:p>
    <w:p>
      <w:pPr>
        <w:jc w:val="both"/>
        <w:ind w:right="20" w:firstLine="8"/>
        <w:spacing w:after="0" w:line="253"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 to 0.75% per annum on the undrawn portion available.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Facilities</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between 2023 and 2024, and bear interest based on a benchmark rate plus a spread ranging from 1.25% to 4.25%.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4, 2022, we entered into a revolving credit agreement with a syndicate of commercial banks for a $165.0 million unsecured revolving credit facility, maturing on February 4, 2025. On May 16, 2022, we increased unsecured revolving commitments under the facility to $205.0 million. This facility bears interest at a rate equal to, at our option, either (a) a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 1.0% per annum, in each case, plus an applicable margin of 0.85% per annum. The facility contains certain covenants and restrictions, including certain financial maintenance covenants, and requires payment of a monthly unused commitment fee of 0.20% per annum on the undrawn balance available. There are no borrowings outstanding under the facility. Refer to Note 11. Debt.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9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our obligations. These assets can only be used to settle obligations of the underlying trusts. Each securitization trust issued senior notes and residual certificates to finance the purchase of the loans facilitated by our platform. The 2020-Z1, 2020-Z2, 2021-Z1, 2021-Z2, 2022-X1, and 2022-Z1 securitizations are secured by static pools of loans contributed at closing, whereas the 2021-A, 2021-B, and 2022-A securitizations are revolving and we may contribute additional loans from time to time until the end of the respective revolving period. The 2021-Z1, 2021-Z2, 2022-X1, and 2022-Z1 securitizations are off balance sheet since we determined we are not the primary beneficiary as of June 30, 2022. Refer to Note 12. Securitization and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54"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Year ended</w:t>
      </w:r>
    </w:p>
    <w:p>
      <w:pPr>
        <w:jc w:val="center"/>
        <w:ind w:left="66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gridSpan w:val="2"/>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6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2021</w:t>
            </w:r>
          </w:p>
        </w:tc>
      </w:tr>
      <w:tr>
        <w:trPr>
          <w:trHeight w:val="190"/>
        </w:trPr>
        <w:tc>
          <w:tcPr>
            <w:tcW w:w="22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6"/>
                <w:szCs w:val="16"/>
                <w:color w:val="auto"/>
              </w:rPr>
            </w:pPr>
          </w:p>
        </w:tc>
      </w:tr>
      <w:tr>
        <w:trPr>
          <w:trHeight w:val="238"/>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(162,194)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(193,130)</w:t>
            </w:r>
          </w:p>
        </w:tc>
      </w:tr>
      <w:tr>
        <w:trPr>
          <w:trHeight w:val="229"/>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jc w:val="right"/>
              <w:ind w:right="715"/>
              <w:spacing w:after="0"/>
              <w:rPr>
                <w:sz w:val="20"/>
                <w:szCs w:val="20"/>
                <w:color w:val="auto"/>
              </w:rPr>
            </w:pPr>
            <w:r>
              <w:rPr>
                <w:rFonts w:ascii="Arial" w:cs="Arial" w:eastAsia="Arial" w:hAnsi="Arial"/>
                <w:sz w:val="18"/>
                <w:szCs w:val="18"/>
                <w:color w:val="auto"/>
                <w:w w:val="93"/>
              </w:rPr>
              <w:t>(2,011,338)</w:t>
            </w:r>
          </w:p>
        </w:tc>
        <w:tc>
          <w:tcPr>
            <w:tcW w:w="1560" w:type="dxa"/>
            <w:vAlign w:val="bottom"/>
          </w:tcPr>
          <w:p>
            <w:pPr>
              <w:jc w:val="right"/>
              <w:spacing w:after="0"/>
              <w:rPr>
                <w:sz w:val="20"/>
                <w:szCs w:val="20"/>
                <w:color w:val="auto"/>
              </w:rPr>
            </w:pPr>
            <w:r>
              <w:rPr>
                <w:rFonts w:ascii="Arial" w:cs="Arial" w:eastAsia="Arial" w:hAnsi="Arial"/>
                <w:sz w:val="18"/>
                <w:szCs w:val="18"/>
                <w:color w:val="auto"/>
              </w:rPr>
              <w:t>(1,022,033)</w:t>
            </w:r>
          </w:p>
        </w:tc>
      </w:tr>
      <w:tr>
        <w:trPr>
          <w:trHeight w:val="243"/>
        </w:trPr>
        <w:tc>
          <w:tcPr>
            <w:tcW w:w="6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Cash Provided by Financing Activities</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2,037,119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2,577,830</w:t>
            </w:r>
          </w:p>
        </w:tc>
      </w:tr>
      <w:tr>
        <w:trPr>
          <w:trHeight w:val="175"/>
        </w:trPr>
        <w:tc>
          <w:tcPr>
            <w:tcW w:w="2240" w:type="dxa"/>
            <w:vAlign w:val="bottom"/>
            <w:tcBorders>
              <w:bottom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175" w:lineRule="exact"/>
        <w:rPr>
          <w:sz w:val="20"/>
          <w:szCs w:val="20"/>
          <w:color w:val="auto"/>
        </w:rPr>
      </w:pPr>
    </w:p>
    <w:p>
      <w:pPr>
        <w:ind w:left="820" w:hanging="164"/>
        <w:spacing w:after="0"/>
        <w:tabs>
          <w:tab w:leader="none" w:pos="82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Amounts include net cash provided by the issuance of redeemable convertible preferred stock and convertible debt as follows:</w:t>
      </w:r>
    </w:p>
    <w:p>
      <w:pPr>
        <w:spacing w:after="0" w:line="131" w:lineRule="exact"/>
        <w:rPr>
          <w:sz w:val="20"/>
          <w:szCs w:val="20"/>
          <w:color w:val="auto"/>
        </w:rPr>
      </w:pPr>
    </w:p>
    <w:p>
      <w:pPr>
        <w:jc w:val="center"/>
        <w:ind w:left="6680"/>
        <w:spacing w:after="0"/>
        <w:rPr>
          <w:sz w:val="20"/>
          <w:szCs w:val="20"/>
          <w:color w:val="auto"/>
        </w:rPr>
      </w:pPr>
      <w:r>
        <w:rPr>
          <w:rFonts w:ascii="Arial" w:cs="Arial" w:eastAsia="Arial" w:hAnsi="Arial"/>
          <w:sz w:val="16"/>
          <w:szCs w:val="16"/>
          <w:b w:val="1"/>
          <w:bCs w:val="1"/>
          <w:color w:val="auto"/>
        </w:rPr>
        <w:t>Year ended</w:t>
      </w:r>
    </w:p>
    <w:p>
      <w:pPr>
        <w:jc w:val="center"/>
        <w:ind w:left="668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2021</w:t>
            </w:r>
          </w:p>
        </w:tc>
      </w:tr>
      <w:tr>
        <w:trPr>
          <w:trHeight w:val="190"/>
        </w:trPr>
        <w:tc>
          <w:tcPr>
            <w:tcW w:w="6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6"/>
                <w:szCs w:val="16"/>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debt, net</w:t>
            </w:r>
          </w:p>
        </w:tc>
        <w:tc>
          <w:tcPr>
            <w:tcW w:w="132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1,704,300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repurchases</w:t>
            </w: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73,828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46,242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initial public offering, net</w:t>
            </w:r>
          </w:p>
        </w:tc>
        <w:tc>
          <w:tcPr>
            <w:tcW w:w="1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1,305,176</w:t>
            </w:r>
          </w:p>
        </w:tc>
      </w:tr>
      <w:tr>
        <w:trPr>
          <w:trHeight w:val="188"/>
        </w:trPr>
        <w:tc>
          <w:tcPr>
            <w:tcW w:w="6740" w:type="dxa"/>
            <w:vAlign w:val="bottom"/>
          </w:tcPr>
          <w:p>
            <w:pPr>
              <w:ind w:left="20"/>
              <w:spacing w:after="0" w:line="189" w:lineRule="exact"/>
              <w:rPr>
                <w:sz w:val="20"/>
                <w:szCs w:val="20"/>
                <w:color w:val="auto"/>
              </w:rPr>
            </w:pPr>
            <w:r>
              <w:rPr>
                <w:rFonts w:ascii="Arial" w:cs="Arial" w:eastAsia="Arial" w:hAnsi="Arial"/>
                <w:sz w:val="18"/>
                <w:szCs w:val="18"/>
                <w:color w:val="auto"/>
                <w:w w:val="94"/>
              </w:rPr>
              <w:t>Proceeds from issuance and conversion of redeemable convertible preferred stock, net of</w:t>
            </w: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repurchases and issuance costs</w:t>
            </w:r>
          </w:p>
        </w:tc>
        <w:tc>
          <w:tcPr>
            <w:tcW w:w="13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434,529</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equity-related financing activities</w:t>
            </w:r>
          </w:p>
        </w:tc>
        <w:tc>
          <w:tcPr>
            <w:tcW w:w="1320" w:type="dxa"/>
            <w:vAlign w:val="bottom"/>
            <w:tcBorders>
              <w:top w:val="single" w:sz="8" w:color="auto"/>
            </w:tcBorders>
            <w:shd w:val="clear" w:color="auto" w:fill="CCEEFF"/>
          </w:tcPr>
          <w:p>
            <w:pPr>
              <w:jc w:val="right"/>
              <w:ind w:right="113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1,778,128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1,785,947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cash provided by debt-related financing activities</w:t>
            </w: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444,169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950,163</w:t>
            </w: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tax withholding for stock-based compensation</w:t>
            </w:r>
          </w:p>
        </w:tc>
        <w:tc>
          <w:tcPr>
            <w:tcW w:w="1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(185,178)</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(158,280)</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2,037,119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2,577,830</w:t>
            </w:r>
          </w:p>
        </w:tc>
      </w:tr>
      <w:tr>
        <w:trPr>
          <w:trHeight w:val="20"/>
        </w:trPr>
        <w:tc>
          <w:tcPr>
            <w:tcW w:w="6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5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Cash used in operating activities for the year ended June 30, 2022 was $162.2 million, a decrease of $30.9 million from cash used in operating activities of $193.1 million for the year ended June 30, 2021. This reflects our net loss of $707.4 million, adjusted for non-cash charges of $525.8 million, net cash inflows of $29.4 million from the purchase and sale of loans held for sale, and net cash outflows of $9.9 million provided by changes in our operating assets and liabilities. For the year ended June 30, 2022, net cash inflows from the purchase and sale of loans held for sale increased $75.3 million compared to the $45.9 million net cash outflows for the year ended June 30, 2021.</w:t>
      </w:r>
    </w:p>
    <w:p>
      <w:pPr>
        <w:spacing w:after="0" w:line="14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Non-cash charges primarily consisted of: provision for credit losses, which increased by $189.4 million or 287% due to a change in product mix for on-balance sheet loans and an unusually low provision expense in the prior comparative period; gain on sales of loans, which increased by</w:t>
      </w:r>
    </w:p>
    <w:p>
      <w:pPr>
        <w:ind w:right="20"/>
        <w:spacing w:after="0" w:line="253" w:lineRule="auto"/>
        <w:rPr>
          <w:sz w:val="20"/>
          <w:szCs w:val="20"/>
          <w:color w:val="auto"/>
        </w:rPr>
      </w:pPr>
      <w:r>
        <w:rPr>
          <w:rFonts w:ascii="Arial" w:cs="Arial" w:eastAsia="Arial" w:hAnsi="Arial"/>
          <w:sz w:val="18"/>
          <w:szCs w:val="18"/>
          <w:color w:val="auto"/>
        </w:rPr>
        <w:t>$106.5 million from $89.9 million for the year ended June 30, 2021 due to improved loan sale economics, loan credit quality mix and increased loan sales since the year ended June 30, 2021; and amortization of premiums and discounts, which increased by $81.6 million or 90% due to increased amortization of discounts related to loans purchased from our originating bank partners at a price above fair market value. Furthermore, we incurred $391.0 million of stock-based compensation, up from $292.5 million due to accelerated vesting of RSUs for which the service-based condition had been met prior to the IPO,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performance-based condition was met on the IPO date and the addition of the Employee Share Purchase Plan during the period, and gains of $89.3 million due to the decrease in the fair value of our contingent consideration liability, driven by changes in the value of our common stock. Additionally, during the year ended June 30, 2022, we incurred $96.7 million of amortization expense associated with our commercial agreement assets.</w:t>
      </w:r>
    </w:p>
    <w:p>
      <w:pPr>
        <w:spacing w:after="0" w:line="10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net cash outflows resulting from changes in operating assets and liabilities decreased to $9.9 million for the year ended June 30, 2022, compared to net cash outflows of $53.7 million for the year ended June 30, 2021. This change was primarily driven by a decrease in other assets due to a reduction of prepaid payroll taxes during the year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Cash used in investing activities for the year ended June 30, 2022 was $2,011.3 million, an increase of $989.3 million from $1,022.0 million for the year ended June 30, 2021. The main driver of this was $10.4 billion of purchases of loans, representing an increase of $4.5 billion or 76% compared to the year ended June 30, 2021, due partly to continued growth in GMV. We recorded cash outflows of approximately $1,841.4 million related to purchases of available for sale securities in the current period. Additionally, we recorded cash outflow of approximately $25.4 million related to purchases of intangibles in connection with an asset acquisition during the period. These cash outflows were partially offset by $8.1 billion of repayments of loans, representing an increase of $3.8 billion, or 88%, compared to the year ended June 30, 2021, due to a higher average balance of loans held for investment and generally increasing credit quality of the portfolio.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Cash provided by financing activities for the year ended June 30, 2022 was $2,037.1 million, a decrease of $540.7 million from $2,577.8 million during the year ended June 30, 2021. During the year ended June 30, 2022, we saw a $738.2 million decrease in cash inflows from the issuance of notes by our securitization trusts due to a smaller volume of newly formed securitization trusts compared to the year ended June 30, 2021. Additionally, for the year ended June 30, 2021, cash from financing activities included proceeds of $1,305.2 million from the issuance of common stock upon our initial public offering and $434.5 million from the issuance of Series G redeemable convertible preferred stock. This decrease was partially offset by the issuance of convertible debt during the year ended June 30, 2022, which resulted in net cash inflows of $1,704.3 million, net of debt issuance costs.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Risks and Requirements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16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in connection with those efforts.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461" w:lineRule="auto"/>
        <w:rPr>
          <w:sz w:val="20"/>
          <w:szCs w:val="20"/>
          <w:color w:val="auto"/>
        </w:rPr>
      </w:pPr>
      <w:r>
        <w:rPr>
          <w:rFonts w:ascii="Arial" w:cs="Arial" w:eastAsia="Arial" w:hAnsi="Arial"/>
          <w:sz w:val="18"/>
          <w:szCs w:val="18"/>
          <w:color w:val="auto"/>
        </w:rPr>
        <w:t xml:space="preserve">our plans could be materially different than expected or that one or more of our significant judgments or estimates could prove to be materially incorrect. </w:t>
      </w:r>
      <w:r>
        <w:rPr>
          <w:rFonts w:ascii="Arial" w:cs="Arial" w:eastAsia="Arial" w:hAnsi="Arial"/>
          <w:sz w:val="18"/>
          <w:szCs w:val="18"/>
          <w:b w:val="1"/>
          <w:bCs w:val="1"/>
          <w:i w:val="1"/>
          <w:iCs w:val="1"/>
          <w:color w:val="auto"/>
        </w:rPr>
        <w:t>Concentrations of Revenue</w:t>
      </w:r>
    </w:p>
    <w:p>
      <w:pPr>
        <w:spacing w:after="0" w:line="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For the year ended June 30, 2022, there were no merchants that exceeded 10% of total revenue. For the years ended June 30, 2021 and 2020 approximately 20% and 28% of total revenue, respectively, was driven by one merchant partner. While we believe our growth will facilitate both revenue growth and merchant diversification as we continue to integrate with a wide range of merchants, changes in merchant loan volume and revenue concentration may cause our financial and operating performance to fluctuate significantly from period to period. Our revenue as a percentage of GMV in any given period varies across products. As such, as we continue to expand our network to include more merchants, revenue as a percentage of GMV will vary.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180" w:type="dxa"/>
            <w:vAlign w:val="bottom"/>
          </w:tcPr>
          <w:p>
            <w:pPr>
              <w:jc w:val="right"/>
              <w:ind w:right="354"/>
              <w:spacing w:after="0" w:line="129"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1 - 3 Years</w:t>
            </w:r>
          </w:p>
        </w:tc>
        <w:tc>
          <w:tcPr>
            <w:tcW w:w="2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1"/>
                <w:szCs w:val="11"/>
                <w:color w:val="auto"/>
              </w:rPr>
            </w:pPr>
          </w:p>
        </w:tc>
        <w:tc>
          <w:tcPr>
            <w:tcW w:w="120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421,484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68,936</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1,632,401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632,492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999,909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37,054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Contingent consideration liability</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line="230"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1,725,000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4,175,734</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235,394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1,086,429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2,777,287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-488315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-488315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-488315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-488315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228028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8028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-1207770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-1207770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-1207770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-1207770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7"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Consists of payment obligations under our office leases.</w:t>
      </w:r>
    </w:p>
    <w:p>
      <w:pPr>
        <w:spacing w:after="0" w:line="93" w:lineRule="exact"/>
        <w:rPr>
          <w:rFonts w:ascii="Arial" w:cs="Arial" w:eastAsia="Arial" w:hAnsi="Arial"/>
          <w:sz w:val="23"/>
          <w:szCs w:val="23"/>
          <w:color w:val="auto"/>
          <w:vertAlign w:val="superscript"/>
        </w:rPr>
      </w:pPr>
    </w:p>
    <w:p>
      <w:pPr>
        <w:ind w:left="980" w:right="660" w:hanging="324"/>
        <w:spacing w:after="0" w:line="320" w:lineRule="auto"/>
        <w:tabs>
          <w:tab w:leader="none" w:pos="96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In May 2020, we entered into an addendum to our agreement with our cloud computing web services provider which included annual spending commitments, as further described below. Refer to Note 9. Commitments and Contingencies for further information.</w:t>
      </w:r>
    </w:p>
    <w:p>
      <w:pPr>
        <w:spacing w:after="0" w:line="26" w:lineRule="exact"/>
        <w:rPr>
          <w:rFonts w:ascii="Arial" w:cs="Arial" w:eastAsia="Arial" w:hAnsi="Arial"/>
          <w:sz w:val="21"/>
          <w:szCs w:val="21"/>
          <w:color w:val="auto"/>
          <w:vertAlign w:val="superscript"/>
        </w:rPr>
      </w:pPr>
    </w:p>
    <w:p>
      <w:pPr>
        <w:ind w:left="980" w:right="260" w:hanging="324"/>
        <w:spacing w:after="0" w:line="227" w:lineRule="auto"/>
        <w:tabs>
          <w:tab w:leader="none" w:pos="96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Refer to Note 6. Balance Sheet Components for a description of the contingent consideration liability, recorded as a component of accrued expenses and other liabilities on the consolidated balance sheets.</w:t>
      </w:r>
    </w:p>
    <w:p>
      <w:pPr>
        <w:spacing w:after="0" w:line="94" w:lineRule="exact"/>
        <w:rPr>
          <w:rFonts w:ascii="Arial" w:cs="Arial" w:eastAsia="Arial" w:hAnsi="Arial"/>
          <w:sz w:val="23"/>
          <w:szCs w:val="23"/>
          <w:color w:val="auto"/>
          <w:vertAlign w:val="superscript"/>
        </w:rPr>
      </w:pPr>
    </w:p>
    <w:p>
      <w:pPr>
        <w:ind w:left="980" w:right="180" w:hanging="324"/>
        <w:spacing w:after="0" w:line="227" w:lineRule="auto"/>
        <w:tabs>
          <w:tab w:leader="none" w:pos="96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On November 23, 2021, the Company issued $1.7 billion in aggregate principal amount of 0% convertible senior notes due 2026 (the “2026 Notes”). The 2026 Notes mature on November 15, 2026. Refer to Note 11. Debt for further information.</w:t>
      </w:r>
    </w:p>
    <w:p>
      <w:pPr>
        <w:spacing w:after="0" w:line="9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Off-balance sheet loans relate to unconsolidated securitization transactions and loans sold to third-party investors for which we have some form of continuing involvement, including as servicer. For off-balance sheet loan sales where servicing is the only form of continuing involvement, we would only experience a loss if we were required to repurchase such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2022, the aggregate outstanding balance of loans held by third-party investors or off-balance sheet VIEs was $4.5 billion. As of June 30, 2022, we had four off-balance sheet VIEs, the 2021-Z1, 2021-Z2, 2022-X1, and 2022-Z1 securitization trusts. In the unlikely event payments on the loans backing any off-balance sheet securitization are insufficient to pay note holders, including any retained interest, then any amounts the Company contributed to the securitization reserve accounts may be depleted. See Note 12. Securitization and Variable Interest Entities of the accompanying notes to our consolidated financial statements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U.S. GAAP requires us to make certain estimates and judgments that affect the amounts reported in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1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evaluate our significant estimates on an ongoing basis, including, but not limited to, estimates related to merchant network revenue, loss on loan purchase commitment and allowance for credit losses. We believe these estimates have the greatest potential effect on our consolidated financial statements. Therefore, we consider these to be our critical accounting policies and estimates. For further information, our significant accounting policies are described in Note 2. Summary of Significant Accounting Policies within the notes to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Network Revenue</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Merchant network revenue consists primarily of merchant fees. Merchants are charged a fee on each transaction processed through the Affirm platform. The fees range depending on the individual arrangement between us and each merchant and vary based on the terms of the product offering. The fee is recognized as earned when the terms of the executed merchant agreement have been fulfilled and the merchant successfully confirms the transaction. We present our transaction with the merchant separate from our transactions with our originating bank partners. Except where we originate certain loans via our wholly-owned subsidiaries, our bank partners are the originator of the loan extended to the merchant’s customer, and accordingly we account for the loan separate from the fee received from the merchant.</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When we originate loans via our wholly-owned subsidiaries, certain loans may have zero or below market interest rates. In these instances, the par value of the loans originated is in excess of the fair market value of such loans, resulting in a loss, which we record as a reduction to merchant network revenue when we estimate that these losses will be recoverable over the term of our contract with the merchant. In order to continue to expand our consumer base, we may originate loans under certain merchant arrangements that we do not expect to achieve positive revenue. In these instances, the loss is recorded as sales and marketing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purchase loans from our originating bank partners that are facilitated through our platform. Under the terms of the agreement, we are generally required to pay the principal amount plus accrued interest for such loans. In certain instances, our originating bank partner may originate loans with zero or below market interest rates that we are required to purchase. In these instances, we may be required to purchase the loan for a price in excess of the fair market value of such loans, which results in a loss on loan purchase and is recognized as loss on loan purchase commitment in our consolidated statements of operations. The fair value is determined by taking the difference between the estimated fair value of the loan and the anticipated purchase price. When the loan is purchased, the liability is included in the amortized cost basis of the purchased loan as a discount, which is then amortized into interest income over the life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52" w:lineRule="exact"/>
        <w:rPr>
          <w:sz w:val="20"/>
          <w:szCs w:val="20"/>
          <w:color w:val="auto"/>
        </w:rPr>
      </w:pPr>
    </w:p>
    <w:p>
      <w:pPr>
        <w:ind w:firstLine="648"/>
        <w:spacing w:after="0" w:line="300" w:lineRule="auto"/>
        <w:rPr>
          <w:sz w:val="20"/>
          <w:szCs w:val="20"/>
          <w:color w:val="auto"/>
        </w:rPr>
      </w:pPr>
      <w:r>
        <w:rPr>
          <w:rFonts w:ascii="Arial" w:cs="Arial" w:eastAsia="Arial" w:hAnsi="Arial"/>
          <w:sz w:val="16"/>
          <w:szCs w:val="16"/>
          <w:color w:val="auto"/>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as of each balance sheet date. We immediately recognize an allowance for expected credit losses upon origination of a loan. Adjustments to the allowance each period for changes in our estimate of lifetime expected credit losses are recognized in earnings through the provision for credit losses presented on our consolidated statements of operations and comprehensive loss. We have made an accounting policy election to not measure an allowance for credit losses for accrued interest receivables. Previously recognized interest receivable from charged-off loans that is accrued but not collected from the consumer is reversed.</w:t>
      </w:r>
    </w:p>
    <w:p>
      <w:pPr>
        <w:spacing w:after="0" w:line="186" w:lineRule="exact"/>
        <w:rPr>
          <w:sz w:val="20"/>
          <w:szCs w:val="20"/>
          <w:color w:val="auto"/>
        </w:rPr>
      </w:pPr>
    </w:p>
    <w:p>
      <w:pPr>
        <w:ind w:right="80" w:firstLine="648"/>
        <w:spacing w:after="0" w:line="300" w:lineRule="auto"/>
        <w:rPr>
          <w:sz w:val="20"/>
          <w:szCs w:val="20"/>
          <w:color w:val="auto"/>
        </w:rPr>
      </w:pPr>
      <w:r>
        <w:rPr>
          <w:rFonts w:ascii="Arial" w:cs="Arial" w:eastAsia="Arial" w:hAnsi="Arial"/>
          <w:sz w:val="16"/>
          <w:szCs w:val="16"/>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credit loss experience. We also take into consideration certain qualitative factors where we adjust our quantitative baseline using our best judgement to consider the inherent uncertainty regarding future economic conditions and consumer loan performance. For example, the Company considers the impact of current economic and environmental factors at the reporting date that did not exist over the period from which historical experience was used.</w:t>
      </w:r>
    </w:p>
    <w:p>
      <w:pPr>
        <w:spacing w:after="0" w:line="18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underlying assumptions, estimates, and assessments we use to provide for losses are updated periodically to reflect our view of current conditions, which can result in changes to our assumptions. Changes in such estimates can significantly affect the allowance and provision for credit losses. It is possible that we will experience loan losses that are different from our current estimates.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operations within the United States, Canada and Australia,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Our cash and cash equivalents and certain of our restricted cash as of June 30, 2022 were held primarily in checking, money market, and savings accounts. As of June 30, 2022, we had $162.5 million of cash equivalents invested in money market funds, certificates of deposit, corporate bonds, and other commercial paper with maturities less than three months. Our cash and cash equivalents are held for working capital purposes. The fair value of our cash and cash equivalents and certain restricted cash would not be significantly affected by a change in interest rates due to their short-term nature.</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securities available for sale at fair value as of June 30, 2022 included $1,595.4 million of marketable debt securities with maturities greater than three months. A rise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material.</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Continued volatility in interest rates and potentially inflation, which may persist longer than previously expected, may adversely impact our customers’ spending levels and ability and willingness to pay outstanding amounts owed to us. Higher interest rates may lead to higher payment obligations on our future credit products, or to their lenders under mortgage, credit card, and other loans. Therefore, higher interest rates may lead to increased delinquencies, charge-offs, and allowances for loans and interest receivable, which could have an adverse effect on our operating results.</w:t>
      </w:r>
    </w:p>
    <w:p>
      <w:pPr>
        <w:spacing w:after="0" w:line="13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Increases in interest rates may result in higher coupons using refinancing. We maintain an interest rate hedging program which eliminates some, but not all, of the interest rate risk. Factoring in this program, as of June 30, 2022, we estimate that a hypothetical instantaneous 100 basis point upward parallel shock to interest rates would have a less than $30.0 million adverse impact on our annual financial results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2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rPr>
              <w:t>AFFIRM HOLDINGS, INC.</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6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rPr>
              <w:t>INDEX TO CONSOLIDATED FINANCIAL STATEMENTS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gridSpan w:val="3"/>
          </w:tcPr>
          <w:p>
            <w:pPr>
              <w:jc w:val="center"/>
              <w:ind w:left="1070"/>
              <w:spacing w:after="0"/>
              <w:rPr>
                <w:sz w:val="20"/>
                <w:szCs w:val="20"/>
                <w:color w:val="auto"/>
              </w:rPr>
            </w:pPr>
            <w:r>
              <w:rPr>
                <w:rFonts w:ascii="Arial" w:cs="Arial" w:eastAsia="Arial" w:hAnsi="Arial"/>
                <w:sz w:val="18"/>
                <w:szCs w:val="18"/>
                <w:color w:val="auto"/>
                <w:w w:val="85"/>
              </w:rPr>
              <w:t>Page</w:t>
            </w:r>
          </w:p>
        </w:tc>
      </w:tr>
      <w:tr>
        <w:trPr>
          <w:trHeight w:val="203"/>
        </w:trPr>
        <w:tc>
          <w:tcPr>
            <w:tcW w:w="20" w:type="dxa"/>
            <w:vAlign w:val="bottom"/>
          </w:tcPr>
          <w:p>
            <w:pPr>
              <w:spacing w:after="0"/>
              <w:rPr>
                <w:sz w:val="17"/>
                <w:szCs w:val="17"/>
                <w:color w:val="auto"/>
              </w:rPr>
            </w:pPr>
          </w:p>
        </w:tc>
        <w:tc>
          <w:tcPr>
            <w:tcW w:w="9520" w:type="dxa"/>
            <w:vAlign w:val="bottom"/>
            <w:gridSpan w:val="7"/>
          </w:tcPr>
          <w:p>
            <w:pPr>
              <w:spacing w:after="0" w:line="202" w:lineRule="exact"/>
              <w:rPr>
                <w:sz w:val="20"/>
                <w:szCs w:val="20"/>
                <w:color w:val="auto"/>
              </w:rPr>
            </w:pPr>
            <w:r>
              <w:rPr>
                <w:rFonts w:ascii="Arial" w:cs="Arial" w:eastAsia="Arial" w:hAnsi="Arial"/>
                <w:sz w:val="18"/>
                <w:szCs w:val="18"/>
                <w:color w:val="0000FF"/>
              </w:rPr>
              <w:t xml:space="preserve">Report of Independent Registered Public Accounting Firms </w:t>
            </w:r>
            <w:r>
              <w:rPr>
                <w:rFonts w:ascii="Arial" w:cs="Arial" w:eastAsia="Arial" w:hAnsi="Arial"/>
                <w:sz w:val="18"/>
                <w:szCs w:val="18"/>
                <w:color w:val="000000"/>
              </w:rPr>
              <w:t>(PCAOB ID No. 34)</w:t>
            </w:r>
          </w:p>
        </w:tc>
        <w:tc>
          <w:tcPr>
            <w:tcW w:w="1520" w:type="dxa"/>
            <w:vAlign w:val="bottom"/>
            <w:gridSpan w:val="3"/>
          </w:tcPr>
          <w:p>
            <w:pPr>
              <w:jc w:val="center"/>
              <w:ind w:left="1050"/>
              <w:spacing w:after="0" w:line="202" w:lineRule="exact"/>
              <w:rPr>
                <w:sz w:val="20"/>
                <w:szCs w:val="20"/>
                <w:color w:val="auto"/>
              </w:rPr>
            </w:pPr>
            <w:r>
              <w:rPr>
                <w:rFonts w:ascii="Arial" w:cs="Arial" w:eastAsia="Arial" w:hAnsi="Arial"/>
                <w:sz w:val="18"/>
                <w:szCs w:val="18"/>
                <w:color w:val="0000FF"/>
                <w:w w:val="89"/>
              </w:rPr>
              <w:t>85</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200" w:type="dxa"/>
            <w:vAlign w:val="bottom"/>
            <w:gridSpan w:val="3"/>
          </w:tcPr>
          <w:p>
            <w:pPr>
              <w:spacing w:after="0"/>
              <w:rPr>
                <w:sz w:val="18"/>
                <w:szCs w:val="18"/>
                <w:color w:val="auto"/>
              </w:rPr>
            </w:pPr>
          </w:p>
        </w:tc>
        <w:tc>
          <w:tcPr>
            <w:tcW w:w="522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0000FF"/>
                <w:w w:val="89"/>
              </w:rPr>
              <w:t>87</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2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1520" w:type="dxa"/>
            <w:vAlign w:val="bottom"/>
            <w:gridSpan w:val="3"/>
          </w:tcPr>
          <w:p>
            <w:pPr>
              <w:jc w:val="center"/>
              <w:ind w:left="1050"/>
              <w:spacing w:after="0"/>
              <w:rPr>
                <w:sz w:val="20"/>
                <w:szCs w:val="20"/>
                <w:color w:val="auto"/>
              </w:rPr>
            </w:pPr>
            <w:r>
              <w:rPr>
                <w:rFonts w:ascii="Arial" w:cs="Arial" w:eastAsia="Arial" w:hAnsi="Arial"/>
                <w:sz w:val="18"/>
                <w:szCs w:val="18"/>
                <w:color w:val="0000FF"/>
                <w:w w:val="89"/>
              </w:rPr>
              <w:t>89</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7"/>
          </w:tcPr>
          <w:p>
            <w:pPr>
              <w:spacing w:after="0"/>
              <w:rPr>
                <w:sz w:val="20"/>
                <w:szCs w:val="20"/>
                <w:color w:val="auto"/>
              </w:rPr>
            </w:pPr>
            <w:r>
              <w:rPr>
                <w:rFonts w:ascii="Arial" w:cs="Arial" w:eastAsia="Arial" w:hAnsi="Arial"/>
                <w:sz w:val="18"/>
                <w:szCs w:val="18"/>
                <w:color w:val="0000FF"/>
              </w:rPr>
              <w:t>Consolidated Statements of Changes in Redeemable Convertible Preferred Stock and Stockholders’ Equity (Deficit</w:t>
            </w:r>
            <w:r>
              <w:rPr>
                <w:rFonts w:ascii="Arial" w:cs="Arial" w:eastAsia="Arial" w:hAnsi="Arial"/>
                <w:sz w:val="18"/>
                <w:szCs w:val="18"/>
                <w:color w:val="000000"/>
              </w:rPr>
              <w:t>)</w:t>
            </w:r>
          </w:p>
        </w:tc>
        <w:tc>
          <w:tcPr>
            <w:tcW w:w="1520" w:type="dxa"/>
            <w:vAlign w:val="bottom"/>
            <w:gridSpan w:val="3"/>
          </w:tcPr>
          <w:p>
            <w:pPr>
              <w:jc w:val="center"/>
              <w:ind w:left="1050"/>
              <w:spacing w:after="0"/>
              <w:rPr>
                <w:sz w:val="20"/>
                <w:szCs w:val="20"/>
                <w:color w:val="auto"/>
              </w:rPr>
            </w:pPr>
            <w:r>
              <w:rPr>
                <w:rFonts w:ascii="Arial" w:cs="Arial" w:eastAsia="Arial" w:hAnsi="Arial"/>
                <w:sz w:val="18"/>
                <w:szCs w:val="18"/>
                <w:color w:val="0000FF"/>
                <w:w w:val="89"/>
              </w:rPr>
              <w:t>90</w:t>
            </w: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Cash Flows</w:t>
            </w:r>
          </w:p>
        </w:tc>
        <w:tc>
          <w:tcPr>
            <w:tcW w:w="5420" w:type="dxa"/>
            <w:vAlign w:val="bottom"/>
            <w:gridSpan w:val="4"/>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0000FF"/>
                <w:w w:val="89"/>
              </w:rPr>
              <w:t>92</w:t>
            </w: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360" w:type="dxa"/>
            <w:vAlign w:val="bottom"/>
            <w:gridSpan w:val="4"/>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0000FF"/>
                <w:w w:val="89"/>
              </w:rPr>
              <w:t>94</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Affirm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Affirm Holdings, Inc. and subsidiaries (the "Company") as of June 30, 2022 and 2021, the related consolidated statements of operations and comprehensive loss, changes in redeemable convertible preferred stock and stockholders’ equity (deficit), and cash flows for each of the three years in the period ended June 30, 2022, and the related notes (collectively referred to as the “financial statements”). In our opinion, the financial statements present fairly, in all material respects, the financial position of the Company as of June 30, 2022 and 2021, and the results of its operations and its cash flows for each of the three years in the period ended June 30, 2022, in conformity with accounting principles generally accepted in the United States of America.</w:t>
      </w:r>
    </w:p>
    <w:p>
      <w:pPr>
        <w:spacing w:after="0" w:line="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August 29, 2022,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right="5200"/>
        <w:spacing w:after="0" w:line="375" w:lineRule="auto"/>
        <w:rPr>
          <w:sz w:val="20"/>
          <w:szCs w:val="20"/>
          <w:color w:val="auto"/>
        </w:rPr>
      </w:pPr>
      <w:r>
        <w:rPr>
          <w:rFonts w:ascii="Arial" w:cs="Arial" w:eastAsia="Arial" w:hAnsi="Arial"/>
          <w:sz w:val="18"/>
          <w:szCs w:val="18"/>
          <w:b w:val="1"/>
          <w:bCs w:val="1"/>
          <w:i w:val="1"/>
          <w:iCs w:val="1"/>
          <w:color w:val="auto"/>
        </w:rPr>
        <w:t xml:space="preserve">Allowance for Credit Losses — Refer to Notes 2 and 4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allowance for credit losses (ACL) is a material estimate of the Company and as of June 30, 2022, the total balance was $155.4 million. In estimating the ACL, management utilizes a migration analysis of delinquent and current loan receivables. The analysis focuses on the pertinent factors underlying the quality of the loan portfolio. These factors include historical performance, the age of the receivable balance, customer credit-worthiness, changes in the size and composition of the loan portfolio, delinquency levels, bankruptcy filings, and actual credit loss experience. Management also incorporates qualitative adjustments to the quantitative model to consider the inherent uncertainty regarding future economic conditions and consumer loan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Determining the appropriate level of qualitative adjustments is inherently subjective and relies on significant judgment. Given the subjective nature and amount of judgment required in developing these estimates, performing audit procedures to evaluate the reasonableness of the ACL required a high degree of auditor judgment, an increased extent of audit effort, credit specialists, and the need to involve more experienced audit professionals.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allowance for credit losses included the following procedures, among others:</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tested the design and effectiveness of controls over the ACL, including management’s controls over the qualitative adjustments.</w:t>
      </w:r>
    </w:p>
    <w:p>
      <w:pPr>
        <w:spacing w:after="0" w:line="128"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management’s process for estimating the ACL, which included involving our credit specialists to evaluate the appropriateness of the models and methodologies used including the use of qualitative adjustments.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the accuracy and completeness of the data used to estimate the allowance for credit losses.</w:t>
      </w:r>
    </w:p>
    <w:p>
      <w:pPr>
        <w:spacing w:after="0" w:line="117"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the qualitative adjustments, including assessing the basis and overall magnitude of the adjustments, obtaining third party macroeconomic data, and evaluating any contradictory evidence.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29,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1,255,171</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1,466,558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295,636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226,074</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1,595,373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16,170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2,503,561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2,022,320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(117,760)</w:t>
            </w:r>
          </w:p>
        </w:tc>
        <w:tc>
          <w:tcPr>
            <w:tcW w:w="0" w:type="dxa"/>
            <w:vAlign w:val="bottom"/>
          </w:tcPr>
          <w:p>
            <w:pPr>
              <w:spacing w:after="0"/>
              <w:rPr>
                <w:sz w:val="1"/>
                <w:szCs w:val="1"/>
                <w:color w:val="auto"/>
              </w:rPr>
            </w:pPr>
          </w:p>
        </w:tc>
      </w:tr>
      <w:tr>
        <w:trPr>
          <w:trHeight w:val="176"/>
        </w:trPr>
        <w:tc>
          <w:tcPr>
            <w:tcW w:w="802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2,348,169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1,904,560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91,575</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171,482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62,499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539,534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516,515</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78,942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67,930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227,377</w:t>
            </w:r>
          </w:p>
        </w:tc>
        <w:tc>
          <w:tcPr>
            <w:tcW w:w="0" w:type="dxa"/>
            <w:vAlign w:val="bottom"/>
          </w:tcPr>
          <w:p>
            <w:pPr>
              <w:spacing w:after="0"/>
              <w:rPr>
                <w:sz w:val="1"/>
                <w:szCs w:val="1"/>
                <w:color w:val="auto"/>
              </w:rPr>
            </w:pP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281,567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274,679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6,973,792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33,072</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57,758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50,079</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237,598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323,577</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1,706,668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1,627,580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1,176,673</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672,577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680,602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4,355,537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2,291,440</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(Note 9)</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80"/>
              <w:spacing w:after="0" w:line="135" w:lineRule="exact"/>
              <w:rPr>
                <w:sz w:val="20"/>
                <w:szCs w:val="20"/>
                <w:color w:val="auto"/>
              </w:rPr>
            </w:pPr>
            <w:r>
              <w:rPr>
                <w:rFonts w:ascii="Arial" w:cs="Arial" w:eastAsia="Arial" w:hAnsi="Arial"/>
                <w:sz w:val="14"/>
                <w:szCs w:val="14"/>
                <w:color w:val="auto"/>
                <w:w w:val="93"/>
              </w:rPr>
              <w:t>Class A common stock, par value $0.00001 per share: 3,030,000,000 shares authorized, 227,255,529 shares issued and outstanding</w:t>
            </w: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8020" w:type="dxa"/>
            <w:vAlign w:val="bottom"/>
          </w:tcPr>
          <w:p>
            <w:pPr>
              <w:ind w:left="300"/>
              <w:spacing w:after="0"/>
              <w:rPr>
                <w:sz w:val="20"/>
                <w:szCs w:val="20"/>
                <w:color w:val="auto"/>
              </w:rPr>
            </w:pPr>
            <w:r>
              <w:rPr>
                <w:rFonts w:ascii="Arial" w:cs="Arial" w:eastAsia="Arial" w:hAnsi="Arial"/>
                <w:sz w:val="14"/>
                <w:szCs w:val="14"/>
                <w:color w:val="auto"/>
              </w:rPr>
              <w:t>as of June 30, 2022; 3,030,000,000 shares authorized, 181,131,728 shares issued and outstanding as of June 30, 2021</w:t>
            </w: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20" w:type="dxa"/>
            <w:vAlign w:val="bottom"/>
            <w:shd w:val="clear" w:color="auto" w:fill="CCEEFF"/>
          </w:tcPr>
          <w:p>
            <w:pPr>
              <w:ind w:left="280"/>
              <w:spacing w:after="0" w:line="135" w:lineRule="exact"/>
              <w:rPr>
                <w:sz w:val="20"/>
                <w:szCs w:val="20"/>
                <w:color w:val="auto"/>
              </w:rPr>
            </w:pPr>
            <w:r>
              <w:rPr>
                <w:rFonts w:ascii="Arial" w:cs="Arial" w:eastAsia="Arial" w:hAnsi="Arial"/>
                <w:sz w:val="14"/>
                <w:szCs w:val="14"/>
                <w:color w:val="auto"/>
                <w:w w:val="93"/>
              </w:rPr>
              <w:t>Class B common stock, par value $0.00001 per share: 140,000,000 shares authorized, 60,109,844 shares issued and outstanding as</w:t>
            </w: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of June 30, 2022; 140,000,000 authorized, 88,226,376 shares issued and outstanding as of June 30, 2021</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4,231,303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3,467,236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(1,605,902)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(898,485)</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Accumulated other comprehensive gain (loss)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6,773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2,618,255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2,575,527</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6,973,792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BALANCE SHEETS, CONT.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 thousands, except shares and per share amounts)</w:t>
      </w:r>
    </w:p>
    <w:p>
      <w:pPr>
        <w:spacing w:after="0" w:line="238" w:lineRule="exact"/>
        <w:rPr>
          <w:sz w:val="20"/>
          <w:szCs w:val="20"/>
          <w:color w:val="auto"/>
        </w:rPr>
      </w:pPr>
    </w:p>
    <w:p>
      <w:pPr>
        <w:ind w:firstLine="177"/>
        <w:spacing w:after="0" w:line="301" w:lineRule="auto"/>
        <w:rPr>
          <w:sz w:val="20"/>
          <w:szCs w:val="20"/>
          <w:color w:val="auto"/>
        </w:rPr>
      </w:pPr>
      <w:r>
        <w:rPr>
          <w:rFonts w:ascii="Arial" w:cs="Arial" w:eastAsia="Arial" w:hAnsi="Arial"/>
          <w:sz w:val="16"/>
          <w:szCs w:val="16"/>
          <w:color w:val="auto"/>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2021</w:t>
            </w:r>
          </w:p>
        </w:tc>
      </w:tr>
      <w:tr>
        <w:trPr>
          <w:trHeight w:val="26"/>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164,530</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142,385</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held for investment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2,179,026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1,743,810</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Allowance for credit losses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(124,052)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(94,463)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 for investment, net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2,054,974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1,649,347</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8,209</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3,683</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2,242,269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1,803,624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2,897</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2,927</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2,613</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15,494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3,820</w:t>
            </w:r>
          </w:p>
        </w:tc>
      </w:tr>
      <w:tr>
        <w:trPr>
          <w:trHeight w:val="20"/>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1,627,580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1,176,673</w:t>
            </w: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514,033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607,394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2,166,529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1,793,427</w:t>
            </w:r>
          </w:p>
        </w:tc>
      </w:tr>
      <w:tr>
        <w:trPr>
          <w:trHeight w:val="203"/>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net assets of consolidated VIEs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75,740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10,197</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Merchant network revenue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458,511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379,551</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256,752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Virtual card network revenue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49,851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19,340</w:t>
            </w:r>
          </w:p>
        </w:tc>
        <w:tc>
          <w:tcPr>
            <w:tcW w:w="0" w:type="dxa"/>
            <w:vAlign w:val="bottom"/>
          </w:tcPr>
          <w:p>
            <w:pPr>
              <w:spacing w:after="0"/>
              <w:rPr>
                <w:sz w:val="1"/>
                <w:szCs w:val="1"/>
                <w:color w:val="auto"/>
              </w:rPr>
            </w:pPr>
          </w:p>
        </w:tc>
      </w:tr>
      <w:tr>
        <w:trPr>
          <w:trHeight w:val="176"/>
        </w:trPr>
        <w:tc>
          <w:tcPr>
            <w:tcW w:w="6380" w:type="dxa"/>
            <w:vAlign w:val="bottom"/>
          </w:tcPr>
          <w:p>
            <w:pPr>
              <w:ind w:left="240"/>
              <w:spacing w:after="0"/>
              <w:rPr>
                <w:sz w:val="20"/>
                <w:szCs w:val="20"/>
                <w:color w:val="auto"/>
              </w:rPr>
            </w:pPr>
            <w:r>
              <w:rPr>
                <w:rFonts w:ascii="Arial" w:cs="Arial" w:eastAsia="Arial" w:hAnsi="Arial"/>
                <w:sz w:val="14"/>
                <w:szCs w:val="14"/>
                <w:color w:val="auto"/>
              </w:rPr>
              <w:t>Total network revenue</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559,207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429,402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276,092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527,880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326,417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186,730</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Gain on sales of loans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196,435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89,926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31,907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Servicing income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65,770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24,719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14,799</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1,349,292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870,464</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509,528</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Loss on loan purchase commitment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204,081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246,700</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161,452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255,272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65,878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105,067</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Funding costs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69,694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52,700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32,316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Processing and servicing</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157,814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73,578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49,831</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Technology and data analytics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418,643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249,336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122,378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532,343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182,190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25,044</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577,493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383,749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121,230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2,215,340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1,254,131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617,318</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Loss</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(866,048)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(383,667)</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(107,790)</w:t>
            </w:r>
          </w:p>
        </w:tc>
        <w:tc>
          <w:tcPr>
            <w:tcW w:w="0" w:type="dxa"/>
            <w:vAlign w:val="bottom"/>
          </w:tcPr>
          <w:p>
            <w:pPr>
              <w:spacing w:after="0"/>
              <w:rPr>
                <w:sz w:val="1"/>
                <w:szCs w:val="1"/>
                <w:color w:val="auto"/>
              </w:rPr>
            </w:pPr>
          </w:p>
        </w:tc>
      </w:tr>
      <w:tr>
        <w:trPr>
          <w:trHeight w:val="20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141,217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(59,703)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(4,432)</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(724,831)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(443,370)</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(112,222)</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(707,417)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(441,027)</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(112,598)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Excess return to preferred stockholders on repurchase</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(707,417)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(441,027)</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(125,803)</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(5,900)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7,046</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(loss) on securities available for sale, net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Income (Loss)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(13,922)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7,075</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(721,339)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(433,952)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(112,900)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 for Class A and Class B</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9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281,704,041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158,367,923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47,856,720</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281,704,041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159,244,611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47,856,720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395"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CONSOLIDATED STATEMENT OF REDEEMABLE CONVERTIBLE PREFERRED STOCK AND</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STOCKHOLDERS’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2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2020" w:type="dxa"/>
            <w:vAlign w:val="bottom"/>
            <w:tcBorders>
              <w:right w:val="single" w:sz="8" w:color="auto"/>
            </w:tcBorders>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77"/>
        </w:trPr>
        <w:tc>
          <w:tcPr>
            <w:tcW w:w="3120" w:type="dxa"/>
            <w:vAlign w:val="bottom"/>
          </w:tcPr>
          <w:p>
            <w:pPr>
              <w:spacing w:after="0"/>
              <w:rPr>
                <w:sz w:val="6"/>
                <w:szCs w:val="6"/>
                <w:color w:val="auto"/>
              </w:rPr>
            </w:pPr>
          </w:p>
        </w:tc>
        <w:tc>
          <w:tcPr>
            <w:tcW w:w="192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19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right"/>
              <w:ind w:right="140"/>
              <w:spacing w:after="0" w:line="116" w:lineRule="exact"/>
              <w:rPr>
                <w:sz w:val="20"/>
                <w:szCs w:val="20"/>
                <w:color w:val="auto"/>
              </w:rPr>
            </w:pPr>
            <w:r>
              <w:rPr>
                <w:rFonts w:ascii="Arial" w:cs="Arial" w:eastAsia="Arial" w:hAnsi="Arial"/>
                <w:sz w:val="13"/>
                <w:szCs w:val="13"/>
                <w:b w:val="1"/>
                <w:bCs w:val="1"/>
                <w:color w:val="auto"/>
              </w:rPr>
              <w:t>Accumulated</w:t>
            </w:r>
          </w:p>
        </w:tc>
        <w:tc>
          <w:tcPr>
            <w:tcW w:w="1100" w:type="dxa"/>
            <w:vAlign w:val="bottom"/>
            <w:gridSpan w:val="3"/>
          </w:tcPr>
          <w:p>
            <w:pPr>
              <w:ind w:left="40"/>
              <w:spacing w:after="0" w:line="116"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0"/>
                <w:szCs w:val="10"/>
                <w:color w:val="auto"/>
              </w:rPr>
            </w:pPr>
          </w:p>
        </w:tc>
        <w:tc>
          <w:tcPr>
            <w:tcW w:w="780" w:type="dxa"/>
            <w:vAlign w:val="bottom"/>
          </w:tcPr>
          <w:p>
            <w:pPr>
              <w:jc w:val="center"/>
              <w:ind w:right="88"/>
              <w:spacing w:after="0" w:line="116"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15"/>
        </w:trPr>
        <w:tc>
          <w:tcPr>
            <w:tcW w:w="312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8"/>
                <w:szCs w:val="18"/>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122,653,704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798,074</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47,078,208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54,824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(318,238)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(263,414)</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2,101,317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(1,495,098)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(16,331)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(18,853)</w:t>
            </w: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w w:val="95"/>
              </w:rPr>
              <w:t>Issuance of redeemable convertible preferred stock,</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1,175,872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15,481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net of issuance costs of $0</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Repurchases of redeemable convertible preferred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(1,713,605)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Convertible notes beneficial conversion option</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32,545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32,545</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(112,598)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(112,598)</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122,115,971</w:t>
            </w:r>
          </w:p>
        </w:tc>
        <w:tc>
          <w:tcPr>
            <w:tcW w:w="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804,170</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47,684,427</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80,373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(447,167)</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Issuance of redeemable convertible preferred stock,</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21,836,687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434,542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issuance costs of $143</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Conversion of convertible debt</w:t>
            </w:r>
          </w:p>
        </w:tc>
        <w:tc>
          <w:tcPr>
            <w:tcW w:w="920" w:type="dxa"/>
            <w:vAlign w:val="bottom"/>
          </w:tcPr>
          <w:p>
            <w:pPr>
              <w:jc w:val="right"/>
              <w:spacing w:after="0"/>
              <w:rPr>
                <w:sz w:val="20"/>
                <w:szCs w:val="20"/>
                <w:color w:val="auto"/>
              </w:rPr>
            </w:pPr>
            <w:r>
              <w:rPr>
                <w:rFonts w:ascii="Arial" w:cs="Arial" w:eastAsia="Arial" w:hAnsi="Arial"/>
                <w:sz w:val="14"/>
                <w:szCs w:val="14"/>
                <w:color w:val="auto"/>
              </w:rPr>
              <w:t>4,444,321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(42,124)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Conversion of redeemable convertible preferred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(148,396,979)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(1,327,271)</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148,396,979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1,327,269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1,327,260</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initial public</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28,290,000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1,305,176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1,305,177</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offering, net of issuance costs of $6,871</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Issuance of common stock upon exercise of stock</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12,418,931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46,462</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w:t>
            </w: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exercise of</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20,651,583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271,156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271,156</w:t>
            </w:r>
          </w:p>
        </w:tc>
        <w:tc>
          <w:tcPr>
            <w:tcW w:w="0" w:type="dxa"/>
            <w:vAlign w:val="bottom"/>
          </w:tcPr>
          <w:p>
            <w:pPr>
              <w:spacing w:after="0"/>
              <w:rPr>
                <w:sz w:val="1"/>
                <w:szCs w:val="1"/>
                <w:color w:val="auto"/>
              </w:rPr>
            </w:pPr>
          </w:p>
        </w:tc>
      </w:tr>
      <w:tr>
        <w:trPr>
          <w:trHeight w:val="188"/>
        </w:trPr>
        <w:tc>
          <w:tcPr>
            <w:tcW w:w="3120" w:type="dxa"/>
            <w:vAlign w:val="bottom"/>
          </w:tcPr>
          <w:p>
            <w:pPr>
              <w:ind w:left="180"/>
              <w:spacing w:after="0"/>
              <w:rPr>
                <w:sz w:val="20"/>
                <w:szCs w:val="20"/>
                <w:color w:val="auto"/>
              </w:rPr>
            </w:pPr>
            <w:r>
              <w:rPr>
                <w:rFonts w:ascii="Arial" w:cs="Arial" w:eastAsia="Arial" w:hAnsi="Arial"/>
                <w:sz w:val="14"/>
                <w:szCs w:val="14"/>
                <w:color w:val="auto"/>
              </w:rPr>
              <w:t>warrants</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for acquisitions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9,167,515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331,498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331,498</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2,878,060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(129,391)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306,506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306,506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(158,280)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(158,280)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Effects of adoption of new accounting standards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Deconsolidation of variable interest entity</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7,046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gains on investments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(441,027)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(441,027)</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269,358,104</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3,467,236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(898,485)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2,575,527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1714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The share amounts listed above combine common stock, Class A common stock and Class B common stock.</w:t>
      </w: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 OF REDEEMABLE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STOCKHOLDERS’ EQUITY (DEFICIT), CONT.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share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left="3240"/>
        <w:spacing w:after="0"/>
        <w:rPr>
          <w:sz w:val="20"/>
          <w:szCs w:val="20"/>
          <w:color w:val="auto"/>
        </w:rPr>
      </w:pPr>
      <w:r>
        <w:rPr>
          <w:rFonts w:ascii="Arial" w:cs="Arial" w:eastAsia="Arial" w:hAnsi="Arial"/>
          <w:sz w:val="14"/>
          <w:szCs w:val="14"/>
          <w:b w:val="1"/>
          <w:bCs w:val="1"/>
          <w:color w:val="auto"/>
        </w:rPr>
        <w:t>Redeemable Convertible</w:t>
      </w:r>
    </w:p>
    <w:p>
      <w:pPr>
        <w:jc w:val="center"/>
        <w:ind w:left="3240"/>
        <w:spacing w:after="0"/>
        <w:rPr>
          <w:sz w:val="20"/>
          <w:szCs w:val="20"/>
          <w:color w:val="auto"/>
        </w:rPr>
      </w:pPr>
      <w:r>
        <w:rPr>
          <w:rFonts w:ascii="Arial" w:cs="Arial" w:eastAsia="Arial" w:hAnsi="Arial"/>
          <w:sz w:val="14"/>
          <w:szCs w:val="14"/>
          <w:b w:val="1"/>
          <w:bCs w:val="1"/>
          <w:color w:val="auto"/>
        </w:rPr>
        <w:t>Preferred Stock</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22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June 30, 2021</w:t>
            </w:r>
          </w:p>
        </w:tc>
        <w:tc>
          <w:tcPr>
            <w:tcW w:w="6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1"/>
        </w:trPr>
        <w:tc>
          <w:tcPr>
            <w:tcW w:w="3860" w:type="dxa"/>
            <w:vAlign w:val="bottom"/>
            <w:gridSpan w:val="2"/>
          </w:tcPr>
          <w:p>
            <w:pPr>
              <w:spacing w:after="0" w:line="151" w:lineRule="exact"/>
              <w:rPr>
                <w:sz w:val="20"/>
                <w:szCs w:val="20"/>
                <w:color w:val="auto"/>
              </w:rPr>
            </w:pPr>
            <w:r>
              <w:rPr>
                <w:rFonts w:ascii="Arial" w:cs="Arial" w:eastAsia="Arial" w:hAnsi="Arial"/>
                <w:sz w:val="14"/>
                <w:szCs w:val="14"/>
                <w:color w:val="auto"/>
              </w:rPr>
              <w:t>Issuance of common stock upon exercise of stock</w:t>
            </w: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option</w:t>
            </w:r>
          </w:p>
        </w:tc>
        <w:tc>
          <w:tcPr>
            <w:tcW w:w="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gridSpan w:val="2"/>
          </w:tcPr>
          <w:p>
            <w:pPr>
              <w:spacing w:after="0"/>
              <w:rPr>
                <w:sz w:val="20"/>
                <w:szCs w:val="20"/>
                <w:color w:val="auto"/>
              </w:rPr>
            </w:pPr>
            <w:r>
              <w:rPr>
                <w:rFonts w:ascii="Arial" w:cs="Arial" w:eastAsia="Arial" w:hAnsi="Arial"/>
                <w:sz w:val="14"/>
                <w:szCs w:val="14"/>
                <w:color w:val="auto"/>
              </w:rPr>
              <w:t>Issuance of common stock in acquisitions</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860" w:type="dxa"/>
            <w:vAlign w:val="bottom"/>
            <w:gridSpan w:val="2"/>
          </w:tcPr>
          <w:p>
            <w:pPr>
              <w:spacing w:after="0"/>
              <w:rPr>
                <w:sz w:val="20"/>
                <w:szCs w:val="20"/>
                <w:color w:val="auto"/>
              </w:rPr>
            </w:pPr>
            <w:r>
              <w:rPr>
                <w:rFonts w:ascii="Arial" w:cs="Arial" w:eastAsia="Arial" w:hAnsi="Arial"/>
                <w:sz w:val="14"/>
                <w:szCs w:val="14"/>
                <w:color w:val="auto"/>
              </w:rPr>
              <w:t>Issuance of common stock, employee share purchase</w:t>
            </w: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plan</w:t>
            </w:r>
          </w:p>
        </w:tc>
        <w:tc>
          <w:tcPr>
            <w:tcW w:w="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gridSpan w:val="2"/>
          </w:tcPr>
          <w:p>
            <w:pPr>
              <w:spacing w:after="0"/>
              <w:rPr>
                <w:sz w:val="20"/>
                <w:szCs w:val="20"/>
                <w:color w:val="auto"/>
              </w:rPr>
            </w:pPr>
            <w:r>
              <w:rPr>
                <w:rFonts w:ascii="Arial" w:cs="Arial" w:eastAsia="Arial" w:hAnsi="Arial"/>
                <w:sz w:val="14"/>
                <w:szCs w:val="14"/>
                <w:color w:val="auto"/>
              </w:rPr>
              <w:t>Vesting of restricted stock units</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Vesting of warrants for common stock</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Repurchases of common stock</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Tax withholding on stock-based compensation</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Unrealized loss on securities available for sale</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June 30, 2022</w:t>
            </w:r>
          </w:p>
        </w:tc>
        <w:tc>
          <w:tcPr>
            <w:tcW w:w="6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9"/>
        </w:trPr>
        <w:tc>
          <w:tcPr>
            <w:tcW w:w="19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3"/>
            <w:vMerge w:val="restart"/>
          </w:tcPr>
          <w:p>
            <w:pPr>
              <w:jc w:val="right"/>
              <w:ind w:right="14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3"/>
            <w:vMerge w:val="restart"/>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780" w:type="dxa"/>
            <w:vAlign w:val="bottom"/>
            <w:vMerge w:val="restart"/>
          </w:tcPr>
          <w:p>
            <w:pPr>
              <w:jc w:val="center"/>
              <w:ind w:right="88"/>
              <w:spacing w:after="0" w:line="12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269,358,104</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3,467,236</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(898,485)</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6,773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2,575,527</w:t>
            </w:r>
          </w:p>
        </w:tc>
        <w:tc>
          <w:tcPr>
            <w:tcW w:w="0" w:type="dxa"/>
            <w:vAlign w:val="bottom"/>
          </w:tcPr>
          <w:p>
            <w:pPr>
              <w:spacing w:after="0"/>
              <w:rPr>
                <w:sz w:val="1"/>
                <w:szCs w:val="1"/>
                <w:color w:val="auto"/>
              </w:rPr>
            </w:pPr>
          </w:p>
        </w:tc>
      </w:tr>
      <w:tr>
        <w:trPr>
          <w:trHeight w:val="328"/>
        </w:trPr>
        <w:tc>
          <w:tcPr>
            <w:tcW w:w="920" w:type="dxa"/>
            <w:vAlign w:val="bottom"/>
          </w:tcPr>
          <w:p>
            <w:pPr>
              <w:jc w:val="right"/>
              <w:spacing w:after="0"/>
              <w:rPr>
                <w:sz w:val="20"/>
                <w:szCs w:val="20"/>
                <w:color w:val="auto"/>
              </w:rPr>
            </w:pPr>
            <w:r>
              <w:rPr>
                <w:rFonts w:ascii="Arial" w:cs="Arial" w:eastAsia="Arial" w:hAnsi="Arial"/>
                <w:sz w:val="14"/>
                <w:szCs w:val="14"/>
                <w:color w:val="auto"/>
              </w:rPr>
              <w:t>13,565,397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69,876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69,876</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Arial" w:cs="Arial" w:eastAsia="Arial" w:hAnsi="Arial"/>
                <w:sz w:val="14"/>
                <w:szCs w:val="14"/>
                <w:color w:val="auto"/>
              </w:rPr>
              <w:t>488,097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42,109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42,109</w:t>
            </w:r>
          </w:p>
        </w:tc>
        <w:tc>
          <w:tcPr>
            <w:tcW w:w="0" w:type="dxa"/>
            <w:vAlign w:val="bottom"/>
          </w:tcPr>
          <w:p>
            <w:pPr>
              <w:spacing w:after="0"/>
              <w:rPr>
                <w:sz w:val="1"/>
                <w:szCs w:val="1"/>
                <w:color w:val="auto"/>
              </w:rPr>
            </w:pPr>
          </w:p>
        </w:tc>
      </w:tr>
      <w:tr>
        <w:trPr>
          <w:trHeight w:val="338"/>
        </w:trPr>
        <w:tc>
          <w:tcPr>
            <w:tcW w:w="920" w:type="dxa"/>
            <w:vAlign w:val="bottom"/>
          </w:tcPr>
          <w:p>
            <w:pPr>
              <w:jc w:val="right"/>
              <w:spacing w:after="0"/>
              <w:rPr>
                <w:sz w:val="20"/>
                <w:szCs w:val="20"/>
                <w:color w:val="auto"/>
              </w:rPr>
            </w:pPr>
            <w:r>
              <w:rPr>
                <w:rFonts w:ascii="Arial" w:cs="Arial" w:eastAsia="Arial" w:hAnsi="Arial"/>
                <w:sz w:val="14"/>
                <w:szCs w:val="14"/>
                <w:color w:val="auto"/>
              </w:rPr>
              <w:t>149,137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Arial" w:cs="Arial" w:eastAsia="Arial" w:hAnsi="Arial"/>
                <w:sz w:val="14"/>
                <w:szCs w:val="14"/>
                <w:color w:val="auto"/>
              </w:rPr>
              <w:t>3,815,156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388,208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388,208</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Arial" w:cs="Arial" w:eastAsia="Arial" w:hAnsi="Arial"/>
                <w:sz w:val="14"/>
                <w:szCs w:val="14"/>
                <w:color w:val="auto"/>
              </w:rPr>
              <w:t>(10,518)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445,525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445,525</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(185,178)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(185,178)</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(5,900)</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(8,022)</w:t>
            </w:r>
          </w:p>
        </w:tc>
        <w:tc>
          <w:tcPr>
            <w:tcW w:w="0" w:type="dxa"/>
            <w:vAlign w:val="bottom"/>
          </w:tcPr>
          <w:p>
            <w:pPr>
              <w:spacing w:after="0"/>
              <w:rPr>
                <w:sz w:val="1"/>
                <w:szCs w:val="1"/>
                <w:color w:val="auto"/>
              </w:rPr>
            </w:pPr>
          </w:p>
        </w:tc>
      </w:tr>
      <w:tr>
        <w:trPr>
          <w:trHeight w:val="203"/>
        </w:trPr>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(707,417)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(707,417)</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287,365,373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4,231,303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(1,605,902)</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(7,149)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2,618,255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-2270760</wp:posOffset>
            </wp:positionV>
            <wp:extent cx="7132320" cy="22631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80"/>
            <w:col w:w="6040"/>
          </w:cols>
          <w:pgMar w:left="320" w:top="125" w:right="339" w:bottom="1440" w:gutter="0" w:footer="0" w:header="0"/>
          <w:type w:val="continuous"/>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6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2020</w:t>
            </w:r>
          </w:p>
        </w:tc>
      </w:tr>
      <w:tr>
        <w:trPr>
          <w:trHeight w:val="161"/>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(707,417)</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(441,027)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(112,598)</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Provision for credit losses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255,272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65,878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105,067</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premiums and discounts on loans,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(27,605)</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Gain on sales of loans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(196,435)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(89,926)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(31,907)</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Changes in fair value of assets and liabilities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2,847</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Amortization of commercial agreement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96,737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69,103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issuance costs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Amortization of discount on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agreement warrant expense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390,983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292,507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29,625</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9,444</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Impairment of right of use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11,544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68"/>
        </w:trPr>
        <w:tc>
          <w:tcPr>
            <w:tcW w:w="6280" w:type="dxa"/>
            <w:vAlign w:val="bottom"/>
          </w:tcPr>
          <w:p>
            <w:pPr>
              <w:ind w:left="240"/>
              <w:spacing w:after="0"/>
              <w:rPr>
                <w:sz w:val="20"/>
                <w:szCs w:val="20"/>
                <w:color w:val="auto"/>
              </w:rPr>
            </w:pPr>
            <w:r>
              <w:rPr>
                <w:rFonts w:ascii="Arial" w:cs="Arial" w:eastAsia="Arial" w:hAnsi="Arial"/>
                <w:sz w:val="13"/>
                <w:szCs w:val="13"/>
                <w:color w:val="auto"/>
              </w:rPr>
              <w:t>Change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loans held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(5,552,662)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(2,640,734)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(2,101,483)</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Proceeds from the sale of loans held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5,582,035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2,594,835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2,021,938</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(19,049)</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(209,139)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19,936</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7,514</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color w:val="auto"/>
              </w:rPr>
              <w:t>Payable to third-party loan owners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25,082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8,279</w:t>
            </w: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interest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r>
      <w:tr>
        <w:trPr>
          <w:trHeight w:val="169"/>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67,290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13,868</w:t>
            </w:r>
          </w:p>
        </w:tc>
      </w:tr>
      <w:tr>
        <w:trPr>
          <w:trHeight w:val="176"/>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(162,194)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(193,130)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(71,302)</w:t>
            </w:r>
          </w:p>
        </w:tc>
      </w:tr>
      <w:tr>
        <w:trPr>
          <w:trHeight w:val="150"/>
        </w:trPr>
        <w:tc>
          <w:tcPr>
            <w:tcW w:w="62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1"/>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and origination of loans held for investment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(10,362,048)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(5,897,252)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(2,830,320)</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the sale of loans held for investment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1,898,607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824,011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303,433</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Principal repayments and other loan servicing activity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8,121,583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4,324,618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2,294,833</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Acquisition, net of cash and restricted cash acquired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(5,999)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(222,433)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intangible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Additions to property, equipment and software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(86,290)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(20,252)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(21,019)</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(1,841,380)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maturities and repayments of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311,035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cash inflows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investing cash outflows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(2,011,338)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(1,022,033)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(253,073)</w:t>
            </w:r>
          </w:p>
        </w:tc>
      </w:tr>
      <w:tr>
        <w:trPr>
          <w:trHeight w:val="150"/>
        </w:trPr>
        <w:tc>
          <w:tcPr>
            <w:tcW w:w="62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1"/>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convertible debt,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1,704,300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funding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4,101,134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2,942,254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2,132,805</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 of debt issuance costs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Principal repayments of funding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(4,090,562)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(3,165,103)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(1,882,155)</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notes and residual trust certificates by securitization trusts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999,394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1,395,879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Principal repayments of notes issued by securitization trusts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(552,046)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(210,368)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redeemable convertible preferred stock, net</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15,481</w:t>
            </w:r>
          </w:p>
        </w:tc>
      </w:tr>
      <w:tr>
        <w:trPr>
          <w:trHeight w:val="194"/>
        </w:trPr>
        <w:tc>
          <w:tcPr>
            <w:tcW w:w="6280" w:type="dxa"/>
            <w:vAlign w:val="bottom"/>
          </w:tcPr>
          <w:p>
            <w:pPr>
              <w:ind w:left="140"/>
              <w:spacing w:after="0"/>
              <w:rPr>
                <w:sz w:val="20"/>
                <w:szCs w:val="20"/>
                <w:color w:val="auto"/>
              </w:rPr>
            </w:pPr>
            <w:r>
              <w:rPr>
                <w:rFonts w:ascii="Arial" w:cs="Arial" w:eastAsia="Arial" w:hAnsi="Arial"/>
                <w:sz w:val="13"/>
                <w:szCs w:val="13"/>
                <w:color w:val="auto"/>
              </w:rPr>
              <w:t>Repurchase and conversion of redeemable convertible preferred stock</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(22,591)</w:t>
            </w:r>
          </w:p>
        </w:tc>
      </w:tr>
      <w:tr>
        <w:trPr>
          <w:trHeight w:val="184"/>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initial public offering, net</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1,305,176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80" w:type="dxa"/>
            <w:vAlign w:val="bottom"/>
          </w:tcPr>
          <w:p>
            <w:pPr>
              <w:ind w:left="140"/>
              <w:spacing w:after="0"/>
              <w:rPr>
                <w:sz w:val="20"/>
                <w:szCs w:val="20"/>
                <w:color w:val="auto"/>
              </w:rPr>
            </w:pPr>
            <w:r>
              <w:rPr>
                <w:rFonts w:ascii="Arial" w:cs="Arial" w:eastAsia="Arial" w:hAnsi="Arial"/>
                <w:sz w:val="13"/>
                <w:szCs w:val="13"/>
                <w:color w:val="auto"/>
              </w:rPr>
              <w:t>Proceeds from exercise of common stock options and warrants and contributions to ESPP</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73,914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47,042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2,733</w:t>
            </w:r>
          </w:p>
        </w:tc>
      </w:tr>
      <w:tr>
        <w:trPr>
          <w:trHeight w:val="183"/>
        </w:trPr>
        <w:tc>
          <w:tcPr>
            <w:tcW w:w="6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(18,854)</w:t>
            </w:r>
          </w:p>
        </w:tc>
      </w:tr>
      <w:tr>
        <w:trPr>
          <w:trHeight w:val="169"/>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Payments of tax withholding for stock-based compensation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(185,178)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(158,280)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Financing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2,037,119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2,577,830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294,732</w:t>
            </w:r>
          </w:p>
        </w:tc>
      </w:tr>
      <w:tr>
        <w:trPr>
          <w:trHeight w:val="169"/>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(141,825)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1,364,504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(29,643)</w:t>
            </w:r>
          </w:p>
        </w:tc>
      </w:tr>
      <w:tr>
        <w:trPr>
          <w:trHeight w:val="16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1,692,632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328,128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357,771</w:t>
            </w:r>
          </w:p>
        </w:tc>
      </w:tr>
      <w:tr>
        <w:trPr>
          <w:trHeight w:val="20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1,550,807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1,692,632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328,128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CONT.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3"/>
              </w:rPr>
              <w:t>Year ended June 30,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0"/>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2020</w:t>
            </w:r>
          </w:p>
        </w:tc>
      </w:tr>
      <w:tr>
        <w:trPr>
          <w:trHeight w:val="16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to amounts on consolidated balance sheets (as of period end)</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94"/>
        </w:trPr>
        <w:tc>
          <w:tcPr>
            <w:tcW w:w="6460" w:type="dxa"/>
            <w:vAlign w:val="bottom"/>
            <w:gridSpan w:val="2"/>
          </w:tcPr>
          <w:p>
            <w:pPr>
              <w:ind w:left="20"/>
              <w:spacing w:after="0"/>
              <w:rPr>
                <w:sz w:val="20"/>
                <w:szCs w:val="20"/>
                <w:color w:val="auto"/>
              </w:rPr>
            </w:pPr>
            <w:r>
              <w:rPr>
                <w:rFonts w:ascii="Arial" w:cs="Arial" w:eastAsia="Arial" w:hAnsi="Arial"/>
                <w:sz w:val="13"/>
                <w:szCs w:val="13"/>
                <w:color w:val="auto"/>
              </w:rPr>
              <w:t>Cash and cash equivalents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86"/>
              </w:rPr>
              <w:t>1,255,171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1,466,558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267,059</w:t>
            </w:r>
          </w:p>
        </w:tc>
      </w:tr>
      <w:tr>
        <w:trPr>
          <w:trHeight w:val="204"/>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295,636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226,074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61,069</w:t>
            </w:r>
          </w:p>
        </w:tc>
      </w:tr>
      <w:tr>
        <w:trPr>
          <w:trHeight w:val="203"/>
        </w:trPr>
        <w:tc>
          <w:tcPr>
            <w:tcW w:w="64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Cash, Cash Equivalents and Restricted Cash</w:t>
            </w:r>
          </w:p>
        </w:tc>
        <w:tc>
          <w:tcPr>
            <w:tcW w:w="860" w:type="dxa"/>
            <w:vAlign w:val="bottom"/>
            <w:tcBorders>
              <w:bottom w:val="single" w:sz="8" w:color="auto"/>
            </w:tcBorders>
          </w:tcPr>
          <w:p>
            <w:pPr>
              <w:jc w:val="right"/>
              <w:ind w:right="721"/>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1,550,807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1,692,632</w:t>
            </w:r>
          </w:p>
        </w:tc>
        <w:tc>
          <w:tcPr>
            <w:tcW w:w="10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82"/>
              </w:rPr>
              <w:t>$</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328,128</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27"/>
        </w:trPr>
        <w:tc>
          <w:tcPr>
            <w:tcW w:w="6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2"/>
              </w:rPr>
              <w:t>Year ended June 30,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0"/>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r>
      <w:tr>
        <w:trPr>
          <w:trHeight w:val="16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Cash payments for interest expense</w:t>
            </w:r>
          </w:p>
        </w:tc>
        <w:tc>
          <w:tcPr>
            <w:tcW w:w="860" w:type="dxa"/>
            <w:vAlign w:val="bottom"/>
          </w:tcPr>
          <w:p>
            <w:pPr>
              <w:jc w:val="right"/>
              <w:ind w:right="74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51,524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41,690</w:t>
            </w:r>
          </w:p>
        </w:tc>
        <w:tc>
          <w:tcPr>
            <w:tcW w:w="4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28,085</w:t>
            </w:r>
          </w:p>
        </w:tc>
      </w:tr>
      <w:tr>
        <w:trPr>
          <w:trHeight w:val="183"/>
        </w:trPr>
        <w:tc>
          <w:tcPr>
            <w:tcW w:w="6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paid for operating leases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13,215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Cash paid for income taxes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219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 included in capitalized internal-use software</w:t>
            </w:r>
          </w:p>
        </w:tc>
        <w:tc>
          <w:tcPr>
            <w:tcW w:w="860" w:type="dxa"/>
            <w:vAlign w:val="bottom"/>
          </w:tcPr>
          <w:p>
            <w:pPr>
              <w:jc w:val="right"/>
              <w:ind w:right="74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54,542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13,999</w:t>
            </w:r>
          </w:p>
        </w:tc>
        <w:tc>
          <w:tcPr>
            <w:tcW w:w="4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2,921</w:t>
            </w:r>
          </w:p>
        </w:tc>
      </w:tr>
      <w:tr>
        <w:trPr>
          <w:trHeight w:val="210"/>
        </w:trPr>
        <w:tc>
          <w:tcPr>
            <w:tcW w:w="6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in connection with settlement of contingent consideration liability</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Securities retained under unconsolidated securitization transactions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54,997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common stock in connection with acquisition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331,498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Right of use assets obtained in exchange for operating lease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78,421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Additions to property and equipment included in accrued expenses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Conversion of redeemable convertible preferred stock</w:t>
            </w:r>
          </w:p>
        </w:tc>
        <w:tc>
          <w:tcPr>
            <w:tcW w:w="86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1,327,271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warrants in exchange for commercial agreement</w:t>
            </w:r>
          </w:p>
        </w:tc>
        <w:tc>
          <w:tcPr>
            <w:tcW w:w="8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270,579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460" w:type="dxa"/>
            <w:vAlign w:val="bottom"/>
            <w:gridSpan w:val="2"/>
          </w:tcPr>
          <w:p>
            <w:pPr>
              <w:ind w:left="140"/>
              <w:spacing w:after="0"/>
              <w:rPr>
                <w:sz w:val="20"/>
                <w:szCs w:val="20"/>
                <w:color w:val="auto"/>
              </w:rPr>
            </w:pPr>
            <w:r>
              <w:rPr>
                <w:rFonts w:ascii="Arial" w:cs="Arial" w:eastAsia="Arial" w:hAnsi="Arial"/>
                <w:sz w:val="13"/>
                <w:szCs w:val="13"/>
                <w:color w:val="auto"/>
              </w:rPr>
              <w:t>Conversion of convertible debt</w:t>
            </w:r>
          </w:p>
        </w:tc>
        <w:tc>
          <w:tcPr>
            <w:tcW w:w="86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88,559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 of commercial agreement asset</w:t>
            </w:r>
          </w:p>
        </w:tc>
        <w:tc>
          <w:tcPr>
            <w:tcW w:w="8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25,900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Loans are self-originated or funded and issued by our originating bank partners.</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ind w:right="460" w:firstLine="648"/>
        <w:spacing w:after="0" w:line="324"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(“U.S. GAAP”), as contained in the Financial Accounting Standards Board (“FASB”) Accounting Standards Codification (“ASC”).</w:t>
      </w:r>
    </w:p>
    <w:p>
      <w:pPr>
        <w:spacing w:after="0" w:line="161" w:lineRule="exact"/>
        <w:rPr>
          <w:sz w:val="20"/>
          <w:szCs w:val="20"/>
          <w:color w:val="auto"/>
        </w:rPr>
      </w:pPr>
    </w:p>
    <w:p>
      <w:pPr>
        <w:ind w:right="280" w:firstLine="648"/>
        <w:spacing w:after="0" w:line="307" w:lineRule="auto"/>
        <w:rPr>
          <w:sz w:val="20"/>
          <w:szCs w:val="20"/>
          <w:color w:val="auto"/>
        </w:rPr>
      </w:pPr>
      <w:r>
        <w:rPr>
          <w:rFonts w:ascii="Arial" w:cs="Arial" w:eastAsia="Arial" w:hAnsi="Arial"/>
          <w:sz w:val="16"/>
          <w:szCs w:val="16"/>
          <w:color w:val="auto"/>
        </w:rPr>
        <w:t>Our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preparation of consolidated financial statements in conformity with U.S. GAAP requires the use of estimates, judgments and assumptions that affect the reported amounts in the consolidated financial statements and the accompanying notes. Material estimates that are particularly susceptible to significant change relate to determination of variable consideration for revenue, the allowance for credit losses, capitalized internal-use software development costs, valuation allowance for deferred tax assets, loss on loan purchase commitment, the fair value of servicing assets and liabilities, discount on self-originated loans, the fair value of assets acquired and any contingent consideration transferred in business combinations,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historical experience, current events, and other factors we believe to be reasonable under the circumstances. To the extent that there are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these estimates and actual results, our financial condition or operating results will be materially affected.</w:t>
      </w:r>
    </w:p>
    <w:p>
      <w:pPr>
        <w:spacing w:after="0" w:line="252" w:lineRule="exact"/>
        <w:rPr>
          <w:sz w:val="20"/>
          <w:szCs w:val="20"/>
          <w:color w:val="auto"/>
        </w:rPr>
      </w:pPr>
    </w:p>
    <w:p>
      <w:pPr>
        <w:ind w:right="360" w:firstLine="648"/>
        <w:spacing w:after="0" w:line="293" w:lineRule="auto"/>
        <w:rPr>
          <w:sz w:val="20"/>
          <w:szCs w:val="20"/>
          <w:color w:val="auto"/>
        </w:rPr>
      </w:pPr>
      <w:r>
        <w:rPr>
          <w:rFonts w:ascii="Arial" w:cs="Arial" w:eastAsia="Arial" w:hAnsi="Arial"/>
          <w:sz w:val="18"/>
          <w:szCs w:val="18"/>
          <w:color w:val="auto"/>
        </w:rPr>
        <w:t>These estimates are based on information available as of the date of the consolidated financial statements; therefore,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 of Prior Period Amounts</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Subsequent to the issuance of our financial statements included in our Annual Report on Form 10-K for the fiscal year ended June 30, 2021, which was filed with the SEC on September 17, 2021, we identified understatements in certain prior period amounts related to the fair value measurement of contingent consideration and stock-based compensation.</w:t>
      </w:r>
    </w:p>
    <w:p>
      <w:pPr>
        <w:spacing w:after="0" w:line="211" w:lineRule="exact"/>
        <w:rPr>
          <w:sz w:val="20"/>
          <w:szCs w:val="20"/>
          <w:color w:val="auto"/>
        </w:rPr>
      </w:pPr>
    </w:p>
    <w:p>
      <w:pPr>
        <w:jc w:val="both"/>
        <w:ind w:right="160" w:firstLine="648"/>
        <w:spacing w:after="0" w:line="255" w:lineRule="auto"/>
        <w:rPr>
          <w:sz w:val="20"/>
          <w:szCs w:val="20"/>
          <w:color w:val="auto"/>
        </w:rPr>
      </w:pPr>
      <w:r>
        <w:rPr>
          <w:rFonts w:ascii="Arial" w:cs="Arial" w:eastAsia="Arial" w:hAnsi="Arial"/>
          <w:sz w:val="18"/>
          <w:szCs w:val="18"/>
          <w:color w:val="auto"/>
        </w:rPr>
        <w:t>We remeasure the fair value of the contingent consideration liability recorded in connection with the PayBright, Inc. (“PayBright”) acquisition at each reporting date. An incorrect input in the Monte Carlo simulation used to estimate the fair value as of June 30, 2021, resulted in an understatement of accrued expenses and other liabilities of $5.6 million as of June 30, 2021 as previously reported.</w:t>
      </w:r>
    </w:p>
    <w:p>
      <w:pPr>
        <w:spacing w:after="0" w:line="3"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measure stock-based compensation based on the fair value of an award at the grant date and recognize expense over the vesting period of the award based on the estimated portion of the award that is expected to vest. An incorrect determination of the grant date and service inception dates for certain awards granted prior to our initial public offering (“IPO”), as well as incorrect treatment of expense recognition for certain terminated employees, resulted in an understatement of additional paid in capital and misstatement of stock-based compensation expense as of and for the year ended June 30, 2021 as previously reported.</w:t>
      </w:r>
    </w:p>
    <w:p>
      <w:pPr>
        <w:spacing w:after="0" w:line="218"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Accordingly, we have corrected the accompanying financial statements and related footnotes as of and for the year ended June 30, 2021 from amounts previously reported. We have evaluated the materiality of these misstatements based on an analysis of quantitative and qualitative factors and concluded they were not material to the prior period financial statements, individually or in aggregate.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the impact of the correction as of and for the year ended June 30, 2021, as presented below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As of June 30, 2021</w:t>
            </w:r>
          </w:p>
        </w:tc>
        <w:tc>
          <w:tcPr>
            <w:tcW w:w="180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Adjustments</w:t>
            </w:r>
          </w:p>
        </w:tc>
        <w:tc>
          <w:tcPr>
            <w:tcW w:w="180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323,577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2,285,814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2,291,440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3,462,762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3,467,236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0" w:type="dxa"/>
            <w:vAlign w:val="bottom"/>
          </w:tcPr>
          <w:p>
            <w:pPr>
              <w:jc w:val="right"/>
              <w:spacing w:after="0"/>
              <w:rPr>
                <w:sz w:val="20"/>
                <w:szCs w:val="20"/>
                <w:color w:val="auto"/>
              </w:rPr>
            </w:pPr>
            <w:r>
              <w:rPr>
                <w:rFonts w:ascii="Arial" w:cs="Arial" w:eastAsia="Arial" w:hAnsi="Arial"/>
                <w:sz w:val="18"/>
                <w:szCs w:val="18"/>
                <w:color w:val="auto"/>
              </w:rPr>
              <w:t>(888,381)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(898,485)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2,581,153</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2,575,527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and Comprehensive Loss</w:t>
            </w:r>
          </w:p>
        </w:tc>
        <w:tc>
          <w:tcPr>
            <w:tcW w:w="5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Processing and servicing</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73,578</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182,190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383,749</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1,249,657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1,254,131</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(59,703)</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(433,266)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(10,104)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(443,370)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(441,027)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7,046</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Comprehensive Income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(423,852)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(10,100)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(433,952)</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Net loss per share attributable to common stockholders for Class A and</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B:</w:t>
            </w: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9"/>
        </w:trPr>
        <w:tc>
          <w:tcPr>
            <w:tcW w:w="5620" w:type="dxa"/>
            <w:vAlign w:val="bottom"/>
          </w:tcPr>
          <w:p>
            <w:pPr>
              <w:ind w:left="12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578"/>
        </w:trPr>
        <w:tc>
          <w:tcPr>
            <w:tcW w:w="56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158"/>
        </w:trPr>
        <w:tc>
          <w:tcPr>
            <w:tcW w:w="56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6"/>
              </w:rPr>
              <w:t>Consolidated Statement of Redeemable Convertible Preferred Stock and</w:t>
            </w:r>
          </w:p>
        </w:tc>
        <w:tc>
          <w:tcPr>
            <w:tcW w:w="5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Stock-based compensation - Additional Paid-In Capital</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306,506</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 adjustments - Accumulated Other</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Loss - Accumulated Deficit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(430,923)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(441,027)</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2021 - Total Stockholders' Equity</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2,581,153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2,575,527</w:t>
            </w:r>
          </w:p>
        </w:tc>
      </w:tr>
      <w:tr>
        <w:trPr>
          <w:trHeight w:val="564"/>
        </w:trPr>
        <w:tc>
          <w:tcPr>
            <w:tcW w:w="56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Cash Flows</w:t>
            </w:r>
          </w:p>
        </w:tc>
        <w:tc>
          <w:tcPr>
            <w:tcW w:w="5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(441,027)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fair value of assets and liabilities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57,285</w:t>
            </w: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288,033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292,507</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Used in Operating Activities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Operating segments are components of a company for which separate financial information is internally produced for regular use by the Chief Operating Decision Maker (“CODM”) to allocate resources and assess the performance of the business. Our CODM, the Chief Executive Officer of Affirm Holdings, Inc., uses a variety of measures to assess the performance of the business; however, detailed profitability information that could be used to allocate resources and assess the performance of the business is managed and reviewed for the consolidated company as a whole.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use the acquisition method of accounting for business combination transactions, and, accordingly, recognize the fair values of assets acquired and liabilities assumed in our consolidated financial statements. Assets acquired and liabilities assumed in a business combination that arise from contingencies are recognized at fair value.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consolidated financial statements include the results of operations of any acquired company since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Cash and cash equivalents consist of checking, money market and savings accounts held at financial institutions and short term highly liquid marketable securities, including money market funds and other corporate securities purchased with an original maturity of three months or less.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Restricted cash consists primarily of: (i) deposits restricted by standby letters of credit for office leases and certain commercial agreements; (ii) funds held in accounts as collateral for our originating bank partners; and (iii) servicing funds held in accounts contractually restricted by agreements with warehouse credit facilities, securitization trusts, and third-party loan owners. We have no ability to draw on such funds as long as they remain restricted under the applicable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hold certain investments in marketable debt securities and retained interests in our unconsolidated securitization trusts which are accounted for under ASC Topic 320, “Investments - Debt Securities” (“ASC 320”). We have classified these investments as available for sale, as defined within ASC</w:t>
      </w:r>
    </w:p>
    <w:p>
      <w:pPr>
        <w:ind w:right="40" w:firstLine="8"/>
        <w:spacing w:after="0" w:line="275" w:lineRule="auto"/>
        <w:tabs>
          <w:tab w:leader="none" w:pos="3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investments are held at fair value with changes in fair value recorded in unrealized gain (loss) on securities available for sale, net within other comprehensive income (loss), excluding the portion relating to any credit loss.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which management identifies as a credit loss will be recognized as an allowance for credit losses through other (expense) income, net. To the extent management intends to sell or may be required to sell a security in an unrealized loss position, we 1) reverse any previously recorded allowance for credit losses with an offsetting entry to reduce the amortized cost basis of the security and 2) write-off any remaining portion of the amortized cost basis to equal its fair value, with this change recorded through other (expense) income, net.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for available for sale securities is recorded within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Available for sale securities initially purchased with less than 90 days until maturity with quoted transaction prices in an active market are classified as cash and cash equivalents.</w:t>
      </w:r>
    </w:p>
    <w:p>
      <w:pPr>
        <w:spacing w:after="0" w:line="211"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With respect to retained interests in our securitization trusts, we apply the guidance in ASC Topic 325, “Investments - Other” (“ASC 325”) relating to beneficial interests. Accordingly, we recognize interest income each period based on the effective interest rate calculated using expected cash flows. Changes in the timing of expected cash flows are accounted for prospectively through an adjustment to interest income. When fair value is below amortized cost, we record an allowance for credit losses measured based on the difference between amortized cost and projected cash flows discounted at the effective interest rate. The allowance for credit losses is capped at the difference between amortized cost and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w:t>
      </w:r>
    </w:p>
    <w:p>
      <w:pPr>
        <w:spacing w:after="0" w:line="252"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We either originate loans directly or purchase our loans from our originating bank partners pursuant to the terms outlined in the respective executed loan sale program agreements between us and our bank partners. Loan receivables that we have the intent and ability to hold for the foreseeable future or until maturity or payoff are classified as held for investment and are reported at amortized cost, which includes unpaid principal balances, any related premiums including fees paid to our originating bank partners and discounts due to loss on loan purchase commitment for loans with a fair value below the purchase price, where applicable, adjusted for any charge-offs. The amortized cost is adjusted for the allowance for credit losses within loans held for investment, net.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66"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We sell certain loans to third-party loan buyers and securitization trusts. A loan is initially classified as held for sale when the loan is identified as for sale to a third party loan buyer or to be sold to a securitization that is anticipated to be off balance sheet. Loans classified as held for sale are recorded at the lower of amortized cost or fair value. A loan that is initially designated as held for sale or held for investment may be reclassified when our intent for that loan changes. When a loan held for investment is reclassified to held for sale and reported at fair value, any allowance for the credit loss related to that loan is released and any fair value adjustment to record the loan at the lower of amortized cost or fair value is recorded. Our loans designated as held for sale are generally sold within one to three days of the balance sheet date. Fair value adjustments were not material for loans designated as held for sale as of June 30, 2022 and June 30,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5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account for loan sales in accordance with ASC 860, “Transfers and Servicing” (“ASC 860”) which states that a transfer of financial assets, a group of financial assets, or a participating interest in a financial asset is accounted for as a sale if all of the following conditions are met:</w:t>
      </w:r>
    </w:p>
    <w:p>
      <w:pPr>
        <w:spacing w:after="0" w:line="187"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assets are isolated from the transferor and its consolidated affiliates as well as its creditors;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transferee or beneficial interest holders have the right to pledge or exchange the transferred financial assets;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transferor does not maintain effective control of the transferred assets.</w:t>
      </w:r>
    </w:p>
    <w:p>
      <w:pPr>
        <w:spacing w:after="0" w:line="251"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For the years ended June 30, 2022, 2021, and 2020, all loan sales met the requirements for sale treatment in accordance with ASC 860. We record the gain or loss on the sale of a loan at the sale date in an amount equal to the proceeds received, adjusted for initial recognition of servicing assets or liabilities obtained at the date of sale, less the carrying value of the loan.</w:t>
      </w:r>
    </w:p>
    <w:p>
      <w:pPr>
        <w:spacing w:after="0" w:line="203" w:lineRule="exact"/>
        <w:rPr>
          <w:sz w:val="20"/>
          <w:szCs w:val="20"/>
          <w:color w:val="auto"/>
        </w:rPr>
      </w:pPr>
    </w:p>
    <w:p>
      <w:pPr>
        <w:ind w:right="580" w:firstLine="648"/>
        <w:spacing w:after="0" w:line="293" w:lineRule="auto"/>
        <w:rPr>
          <w:sz w:val="20"/>
          <w:szCs w:val="20"/>
          <w:color w:val="auto"/>
        </w:rPr>
      </w:pPr>
      <w:r>
        <w:rPr>
          <w:rFonts w:ascii="Arial" w:cs="Arial" w:eastAsia="Arial" w:hAnsi="Arial"/>
          <w:sz w:val="18"/>
          <w:szCs w:val="18"/>
          <w:color w:val="auto"/>
        </w:rPr>
        <w:t>Upon the sale of a loan to a third-party loan buyer or unconsolidated securitization in which we retain servicing rights, we may recognize a servicing asset or liability. Receiving more than adequate compensation,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defined by ASC 860, for servicing those loans, results in recognition of a servicing asset. Receiving less than adequate compensation results in a servicing liability. Servicing assets and liabilities are recorded at fair value and are presented as a component of other assets or accrued expenses and other liabilities, respectively. The recognition of a servicing asset results in a corresponding increase to the gain on sales of loans. The recognition of a servicing liability results in a corresponding decrease to gain on sales of loans. The servicing rights are marked to fair value each period, with the subsequent adjustment recognized in servicing income. The subsequent measurement includes changes in inputs or assumptions used in the valuation model.</w:t>
      </w:r>
    </w:p>
    <w:p>
      <w:pPr>
        <w:spacing w:after="0" w:line="181" w:lineRule="exact"/>
        <w:rPr>
          <w:sz w:val="20"/>
          <w:szCs w:val="20"/>
          <w:color w:val="auto"/>
        </w:rPr>
      </w:pPr>
    </w:p>
    <w:p>
      <w:pPr>
        <w:ind w:right="60" w:firstLine="648"/>
        <w:spacing w:after="0" w:line="265" w:lineRule="auto"/>
        <w:rPr>
          <w:sz w:val="20"/>
          <w:szCs w:val="20"/>
          <w:color w:val="auto"/>
        </w:rPr>
      </w:pPr>
      <w:r>
        <w:rPr>
          <w:rFonts w:ascii="Arial" w:cs="Arial" w:eastAsia="Arial" w:hAnsi="Arial"/>
          <w:sz w:val="18"/>
          <w:szCs w:val="18"/>
          <w:color w:val="auto"/>
        </w:rPr>
        <w:t>In connection with the sale of a loan to a third-party loan buyer or unconsolidated securitization, we may also recognize a recourse liability in accordance with ASC 460, “Guarantees” (“ASC 460”) as in certain circumstances we may become required to re-purchase loans from third-party investors due to breaches in representations and warranties. The recognition of a recourse liability results in a corresponding decrease to gain on sales of loans. The recourse liability is amortized over the loan term and remeasured each period based on the outstanding loan balance and changes in our expectation of future repurchase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52"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on individual loans as of each balance sheet date. We immediately recognize an allowance for expected credit losses upon the origination of a loan. Adjustments to the allowance each period for changes in our estimate of lifetime expected credit losses are recognized in earnings through the provision for credit losses presented on our consolidated statements of operations and comprehensive loss. We have made an accounting policy election to not measure an allowance for credit losses for accrued interest receivables. Previously recognized interest receivable from charged-off loans that is accrued but not collected from the consumer is reversed.</w:t>
      </w:r>
    </w:p>
    <w:p>
      <w:pPr>
        <w:spacing w:after="0" w:line="21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and actual credit loss experience. We also take into consideration certain qualitative factors where we adjust our quantitative baseline using our best judgment to consider the inherent uncertainty regarding future economic conditions and consumer loan performance. For example, the Company considers the impact of current economic factors at the reporting date that did not exist over the period from which historical experience was used. As of June 30, 2022, we have considered the impact of Federal Reserve monetary policy, labor market trends, inflation and consumer sentiment.</w:t>
      </w:r>
    </w:p>
    <w:p>
      <w:pPr>
        <w:spacing w:after="0" w:line="1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 Refer to Note 4. Loans Held for Investment and Allowance for Credit Losses for more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52" w:lineRule="exact"/>
        <w:rPr>
          <w:sz w:val="20"/>
          <w:szCs w:val="20"/>
          <w:color w:val="auto"/>
        </w:rPr>
      </w:pPr>
    </w:p>
    <w:p>
      <w:pPr>
        <w:ind w:right="260" w:firstLine="648"/>
        <w:spacing w:after="0" w:line="284" w:lineRule="auto"/>
        <w:rPr>
          <w:sz w:val="20"/>
          <w:szCs w:val="20"/>
          <w:color w:val="auto"/>
        </w:rPr>
      </w:pPr>
      <w:r>
        <w:rPr>
          <w:rFonts w:ascii="Arial" w:cs="Arial" w:eastAsia="Arial" w:hAnsi="Arial"/>
          <w:sz w:val="17"/>
          <w:szCs w:val="17"/>
          <w:color w:val="auto"/>
        </w:rPr>
        <w:t>Our accounts receivable consist primarily of amounts due from payment processors, merchant partners, affiliate network partners and servicing fees due from third-party loan owners. We evaluate accounts receivable to determine management’s current estimate of expected credit losses based on historical experience and future expectations and record an allowance for credit losses, as applicable. Our allowance for credit losses with respect to accounts receivable was $13.9 million and $4.1 million as of June 30,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52" w:lineRule="exact"/>
        <w:rPr>
          <w:sz w:val="20"/>
          <w:szCs w:val="20"/>
          <w:color w:val="auto"/>
        </w:rPr>
      </w:pPr>
    </w:p>
    <w:p>
      <w:pPr>
        <w:ind w:right="40" w:firstLine="648"/>
        <w:spacing w:after="0" w:line="313" w:lineRule="auto"/>
        <w:rPr>
          <w:sz w:val="20"/>
          <w:szCs w:val="20"/>
          <w:color w:val="auto"/>
        </w:rPr>
      </w:pPr>
      <w:r>
        <w:rPr>
          <w:rFonts w:ascii="Arial" w:cs="Arial" w:eastAsia="Arial" w:hAnsi="Arial"/>
          <w:sz w:val="16"/>
          <w:szCs w:val="16"/>
          <w:color w:val="auto"/>
        </w:rPr>
        <w:t>Property, equipment and software consist of computer and office equipment, capitalized internal-use developed software and website development costs and leasehold improvements. Property, equipment and software is stated at cost less accumulated depreciation and amortization. Depreciation and amortization expenses are recognized using the straight-line method over the estimated useful lives of the assets, which range from three to seven years. Leasehold improvements are depreciated over the shorter of the improvement’s estimated useful life or the remaining lease term.</w:t>
      </w:r>
    </w:p>
    <w:p>
      <w:pPr>
        <w:spacing w:after="0" w:line="17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capitalize costs to develop internally developed software when preliminary development efforts are successfully completed, management has authorized and committed project funding, and it is probable that the project will be completed and the software or website will function and be used as intended. Capitalized internal-use software costs primarily include salaries and payroll-related costs for employees directly involved in the development efforts, software licenses acquired and fees paid to external consultants. Such costs are amortized on a straight-line basis over the estimated useful life of the related asset, which is three years. Costs incurred prior to meeting these criteria, together with costs incurred for training and maintenance, are expensed as incurred. Costs incurred for enhancements that are expected to result in additional functionality are capitalized and expensed over the estimated useful life of the upgrades. Capitalized internally developed software costs are included in property, equipment and software, and amortization expense is included in technology and data analytics expense in the consolidated statements of operations and comprehensive loss.</w:t>
      </w:r>
    </w:p>
    <w:p>
      <w:pPr>
        <w:spacing w:after="0" w:line="1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Property, equipment and software is tested for impairment when there is an indication that the carrying value of an asset group may not be recoverable. Carrying values are not recoverable when the undiscounted cash flows estimated to be generated by the assets are less than their carrying values. When an asset is determined not to be recoverable, the impairment is measured based on the excess, if any, of the carrying value of the asset over its respective fair value and recorded in the period the determination is made.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recognize the excess of the purchase price over the fair value of identifiable net assets acquired at the acquisition date as goodwill. Goodwill is not amortized but is reviewed for impairment annually and more frequently if an event occurs or circumstances change that would more likely than not reduce the fair value of a reporting unit below its carrying value. We first perform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2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Identifiable intangible assets include developed technology, merchant relationships, assembled workforce, and trade names resulting from acquisitions, including asset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consolidated balance sheets. We review the carrying amounts of intangible assets group for impairment whenever events or changes in circumstances indicate that the carrying amount of the assets may not be recoverable. We measure the recoverability of intangible assets by comparing the carrying amount of each asset to the future undiscounted cash flows we expect the asset to generate. If we consider any of these assets to be impaired, the impairment to be recognized equals the amount by which the carrying value of the asset exceeds its fair value. In addition, we periodically evaluate the estimated remaining useful lives of long-lived intangible assets to determine whether events or changes in circumstances warrant a revision to the remaining period of depreciation or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8"/>
          <w:szCs w:val="18"/>
          <w:color w:val="auto"/>
        </w:rPr>
        <w:t>We determine whether an arrangement is a lease for accounting purposes at contract inception. For operating leases, we record a right-of-use asset within other assets in our consolidated balance sheets, which represents our right to use an underlying asset for the lease term. A corresponding lease liability, which represents our obligation to make lease payments arising from the lease, is recorded in accrued expenses and other liabilities in our consolidated balance sheets.</w:t>
      </w:r>
    </w:p>
    <w:p>
      <w:pPr>
        <w:spacing w:after="0" w:line="206" w:lineRule="exact"/>
        <w:rPr>
          <w:sz w:val="20"/>
          <w:szCs w:val="20"/>
          <w:color w:val="auto"/>
        </w:rPr>
      </w:pPr>
    </w:p>
    <w:p>
      <w:pPr>
        <w:ind w:right="120" w:firstLine="648"/>
        <w:spacing w:after="0" w:line="307" w:lineRule="auto"/>
        <w:rPr>
          <w:sz w:val="20"/>
          <w:szCs w:val="20"/>
          <w:color w:val="auto"/>
        </w:rPr>
      </w:pPr>
      <w:r>
        <w:rPr>
          <w:rFonts w:ascii="Arial" w:cs="Arial" w:eastAsia="Arial" w:hAnsi="Arial"/>
          <w:sz w:val="16"/>
          <w:szCs w:val="16"/>
          <w:color w:val="auto"/>
        </w:rPr>
        <w:t>ROU assets and lease liabilities are recognized at the lease commencement date based on the present value of lease payments over the lease term. To discount the lease payments, we use an incremental borrowing rate derived from a corporate yield curve corresponding with the lease term using information available on the commencement date. We have the option to renew or extend our leases. We include these periods in the lease term when a decision has been made to exercise the option. Lease expense for operating leases is recognized on a straight-line basis over the lease term.</w:t>
      </w:r>
    </w:p>
    <w:p>
      <w:pPr>
        <w:spacing w:after="0" w:line="193"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have elected the practical expedient allowing the combination of lease and non-lease components by class of underlying asset. We have also elected the short-term lease exception and will not recognize right-of-use assets or lease liabilities for qualifying leases with a term of less than 12 months from lease commencement.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Non-marketable equity securities which do not have a readily determinable fair value are measured at cost less impairment, if any, and adjusted for changes resulting from observable price changes in orderly transactions for an identical or similar investment in the same issuer (the “measurement alternative”).</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Unrealized and realized gains and losses on the investment due to impairment or observable price changes in orderly transaction for an identical or similar investment of the same issuer, if any, are recognized in other (expense) income, net on our consolidated statements of operations and comprehensive loss and a new carrying value is established for the investment upon such recognition.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 and Debt Issuance Costs</w:t>
      </w:r>
    </w:p>
    <w:p>
      <w:pPr>
        <w:spacing w:after="0" w:line="266" w:lineRule="exact"/>
        <w:rPr>
          <w:sz w:val="20"/>
          <w:szCs w:val="20"/>
          <w:color w:val="auto"/>
        </w:rPr>
      </w:pPr>
    </w:p>
    <w:p>
      <w:pPr>
        <w:ind w:right="60" w:firstLine="648"/>
        <w:spacing w:after="0" w:line="280" w:lineRule="auto"/>
        <w:rPr>
          <w:sz w:val="20"/>
          <w:szCs w:val="20"/>
          <w:color w:val="auto"/>
        </w:rPr>
      </w:pPr>
      <w:r>
        <w:rPr>
          <w:rFonts w:ascii="Arial" w:cs="Arial" w:eastAsia="Arial" w:hAnsi="Arial"/>
          <w:sz w:val="17"/>
          <w:szCs w:val="17"/>
          <w:color w:val="auto"/>
        </w:rPr>
        <w:t>We borrow from various lenders through our warehouse facilities and through sale and repurchase agreements by pledging certain retained interests in our off balance sheet securitizations to finance loans we originate directly and purchase loans from our originating bank partners. These borrowings are carried at amortized cost. Costs incurred in connection with borrowings, such as banker fees, commitment fees and legal fees, are classified as deferred debt issuance costs. We defer these costs and amortize them on a straight-line basis over the term of the debt. Interest payments and amortization of debt issuance costs incurred on funding debt is presented as funding costs in the consolidated statements of operations and comprehensive loss. Unamortized debt issuance costs are presented as a reduction of the associated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66"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Income taxes are accounted for using the asset and liability method, which requires recognition of deferred tax assets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the enacted tax rates and laws that are expected to apply to taxable income in the years in which those temporary differences are expected to be recovered or settled. The effect of a change in tax rates on deferred tax assets and liabilities is recognized as an income tax expense (benefit)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Valuation allowances are provided when necessary to reduce deferred tax assets to the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We regularly review the deferred tax assets for recoverability based on historical taxable income, projected future taxable income, the expected timing of the reversals of existing temporary differences, and tax planning strategies; however, in evaluating the positive evidence available, expectations of future taxable income and projections for growth are usually not sufficient to overcome the negative evidence of the presence of a three-year cumulative loss. Should there be a change in the ability to recover deferred tax assets, our income tax provision would increase or decrease in the period in which the assessment is changed.</w:t>
      </w:r>
    </w:p>
    <w:p>
      <w:pPr>
        <w:spacing w:after="0" w:line="19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federal, state, and foreign tax laws and regulations, and positions taken in our tax returns may be subject to challenge by the taxing authorities upon examination. In accordance with applicable accounting guidance, uncertain tax positions are recognized in the financial statements only when it is more likely than not that the positions will be sustained upon examination by the tax authorities, assuming full knowledge of the position and all relevant facts. Interest and penalties, if any, on income tax uncertainties are classified within income tax expense in the income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and Liabilities</w:t>
      </w:r>
    </w:p>
    <w:p>
      <w:pPr>
        <w:spacing w:after="0" w:line="252" w:lineRule="exact"/>
        <w:rPr>
          <w:sz w:val="20"/>
          <w:szCs w:val="20"/>
          <w:color w:val="auto"/>
        </w:rPr>
      </w:pPr>
    </w:p>
    <w:p>
      <w:pPr>
        <w:ind w:right="260" w:firstLine="648"/>
        <w:spacing w:after="0" w:line="290" w:lineRule="auto"/>
        <w:rPr>
          <w:sz w:val="20"/>
          <w:szCs w:val="20"/>
          <w:color w:val="auto"/>
        </w:rPr>
      </w:pPr>
      <w:r>
        <w:rPr>
          <w:rFonts w:ascii="Arial" w:cs="Arial" w:eastAsia="Arial" w:hAnsi="Arial"/>
          <w:sz w:val="17"/>
          <w:szCs w:val="17"/>
          <w:color w:val="auto"/>
        </w:rPr>
        <w:t>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where available. If such quoted market prices are not available, fair value is based upon internally developed models that use, as inputs, observable market-based parameters to the greatest extent possible.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ASC 820 establishes a fair value hierarchy that prioritizes the use of inputs used in valuation methodologies into the following three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251" w:lineRule="exact"/>
        <w:rPr>
          <w:sz w:val="20"/>
          <w:szCs w:val="20"/>
          <w:color w:val="auto"/>
        </w:rPr>
      </w:pPr>
    </w:p>
    <w:p>
      <w:pPr>
        <w:ind w:left="660" w:right="20" w:hanging="328"/>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1: 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spacing w:after="0" w:line="186"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205" w:lineRule="exact"/>
        <w:rPr>
          <w:rFonts w:ascii="Arial" w:cs="Arial" w:eastAsia="Arial" w:hAnsi="Arial"/>
          <w:sz w:val="17"/>
          <w:szCs w:val="17"/>
          <w:color w:val="auto"/>
        </w:rPr>
      </w:pPr>
    </w:p>
    <w:p>
      <w:pPr>
        <w:jc w:val="both"/>
        <w:ind w:left="660" w:right="8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 — Revenue from Contracts with Customers</w:t>
      </w:r>
    </w:p>
    <w:p>
      <w:pPr>
        <w:spacing w:after="0" w:line="25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Merchant network revenue consists of merchant fees. Merchant partners (or merchants) are charged a fee on each transaction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1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service comprises a single performance obligation to merchants to facilitate transactions with consumers. From time to time, we offer merchants promotional incentives to offer incentives to promote our platform to their customers, such as fee reductions or rebates. These amounts, as well as refunds, are recorded as a reduction of revenue and netted against merchant network revenue.</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certain cases, the losses incurred on loans originated for a merchant may exceed the total network revenue earned on those loans. We record the excess loss amounts as a sales and marketing expense.</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5, 2021, our largest merchant partner at the time, Peloton, announced a voluntary recall of two of its products following a report by the U.S. Consumer Product Safety Commission released on April 17, 2021. Pursuant to ASC 606, we revised our estimate of the variable consideration associated with revenue earned on the facilitation of transactions related to the recalled products and recorded a reduction in revenue of $5.4 million during the year ended June 30, 2021.</w:t>
      </w:r>
    </w:p>
    <w:p>
      <w:pPr>
        <w:spacing w:after="0" w:line="21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 — Revenue from Contracts with Customers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Our originating bank partner then originates a loan to the consumer once the transaction is confirmed by the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 From time to time, we offer certain integrated merchants promotional incentives to promote our platform to their customers, such as rebates of interchange fees charged by the issuer processor. These amounts are recorded as a reduction of revenue and netted against virtual card network revenue.</w:t>
      </w:r>
    </w:p>
    <w:p>
      <w:pPr>
        <w:spacing w:after="0" w:line="21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contracts with issuer processors are defined at the transaction level and do not extend beyond the service already provided. The fees collected from issuer processors for each transaction are determined as a percentage of the interchange fees charged on transactions facilitated on the payment processor network, and revenue is recognized at the point in time the transaction is completed successfully. The fees collected are presented in revenue, net of associated processing fees. As the issuer processors do not provide distinct services to us, any fees paid to the issuer processors are offset against collected fees. We have concluded that these fees do not give rise to a future material right because the pricing of each transaction does not depend on the volume of prior successful transactions. We do not have any capitalized contract costs, and do not carry any material contract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service comprises a single performance obligation to the issuer processors to facilitate transactions with consumers.</w:t>
      </w:r>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 portion of virtual card network revenue relates to incentive payments from card network partners, which we are eligible to receive for reaching certain cumulative volume targets on program cards issued by the issuer processors.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borrower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June 30, 2022 and June 30, 2021, the balance of loans held for investment on non-accrual status was $1.7 million and $1.1 million, respectively.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Any discounts or premiums on loan receivables created upon the purchase of a loan from our originating bank partners or upon the origination of a loan are amortized into interest income over the life of the loan using the effective interest method. The amortization is presented together as interest income in the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Loan Purchase Commitment</w:t>
      </w:r>
    </w:p>
    <w:p>
      <w:pPr>
        <w:spacing w:after="0" w:line="252" w:lineRule="exact"/>
        <w:rPr>
          <w:sz w:val="20"/>
          <w:szCs w:val="20"/>
          <w:color w:val="auto"/>
        </w:rPr>
      </w:pPr>
    </w:p>
    <w:p>
      <w:pPr>
        <w:jc w:val="both"/>
        <w:ind w:right="40" w:firstLine="648"/>
        <w:spacing w:after="0" w:line="305" w:lineRule="auto"/>
        <w:rPr>
          <w:sz w:val="20"/>
          <w:szCs w:val="20"/>
          <w:color w:val="auto"/>
        </w:rPr>
      </w:pPr>
      <w:r>
        <w:rPr>
          <w:rFonts w:ascii="Arial" w:cs="Arial" w:eastAsia="Arial" w:hAnsi="Arial"/>
          <w:sz w:val="16"/>
          <w:szCs w:val="16"/>
          <w:color w:val="auto"/>
        </w:rPr>
        <w:t>We purchase certain loans from our originating bank partners that are processed through our platform that our originating bank partner puts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w:t>
      </w:r>
    </w:p>
    <w:p>
      <w:pPr>
        <w:spacing w:after="0" w:line="181" w:lineRule="exact"/>
        <w:rPr>
          <w:sz w:val="20"/>
          <w:szCs w:val="20"/>
          <w:color w:val="auto"/>
        </w:rPr>
      </w:pPr>
    </w:p>
    <w:p>
      <w:pPr>
        <w:ind w:right="120" w:firstLine="648"/>
        <w:spacing w:after="0" w:line="269" w:lineRule="auto"/>
        <w:rPr>
          <w:sz w:val="20"/>
          <w:szCs w:val="20"/>
          <w:color w:val="auto"/>
        </w:rPr>
      </w:pPr>
      <w:r>
        <w:rPr>
          <w:rFonts w:ascii="Arial" w:cs="Arial" w:eastAsia="Arial" w:hAnsi="Arial"/>
          <w:sz w:val="18"/>
          <w:szCs w:val="18"/>
          <w:color w:val="auto"/>
        </w:rPr>
        <w:t>Due to the nature of this arrangement with our originating bank partners, we recognize a net liability for this commitment when the merchant confirms the transaction. This liability is recorded at fair value, which is determined by the difference between the estimated fair value of the loan and the anticipated purchase price. Upon purchase, the liability is included in the amortized cost basis of the purchased loan as a discount, which is amortized into interest income over the life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Referral Partners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we make payments to customer referral partners providing lead generation services for each transaction processed through our technology platform. We first evaluate whether the customer referral partner is a customer or a vendor. We consider customer referral partners as customers if we determine they are the principal to eligible merchants in providing the facilitation of credit service. We consider customer referral partners as vendors if we determine that we are the principal to eligible merchants in providing the facilitation of credit service. Payments made to customer referral partners that are considered to be our customer are recorded as a reduction of revenue, and payments made to customer referral partners that are not considered to be our customers are recorded in processing and servicing expense, respectively, over the associated period of benefit within our consolidated statements of operations and comprehensive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Costs</w:t>
      </w:r>
    </w:p>
    <w:p>
      <w:pPr>
        <w:spacing w:after="0" w:line="266"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Sales and marketing costs include the expense related to warrants and other share-based payments granted to our enterprise partners. See Note 6. Balance Sheet Components for more information on these arrangements. Sales and marketing costs also include salaries and personnel-related costs, as well as costs of general marketing and promotional activities, promotional event programs, sponsorships, and allocated overhead. A portion of these costs related to general marketing and promotional activities are considered advertising costs within the meaning of ASC Topic 720, “Other Expenses” (“ASC 720”), and are expensed as incurred. Advertising costs totaled $74.0 million, $48.1 million and $3.3 million for the year ended June 30, 2022, 2021, and 2020,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mitigate the impact of changes in interest rates with various derivative instruments, including interest rate caps, constant maturity swaps, and curve efficient swaps that are accounted for as derivatives pursuant to ASC Topic 815, “Derivatives and Hedging” ("ASC Topic 815"). ASC Topic 815 requires that an entity recognize all derivatives as either assets or liabilities on the balance sheet, measure those instruments at fair value and recognize changes in the fair value of derivatives in earnings in the period of change unless the derivative qualifies as a designated hedge that offsets certain exposures. During the periods presented, we have not designated any of our derivatives as hedging instruments.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account for stock-based compensation expense in accordance with the fair value recognition and measurement provisions of U.S. GAAP, which requires compensation cost for the grant date fair value of stock-based awards to be recognized over the requisite service period. In addition, we made an accounting policy election to estimate the expected forfeiture rate for service-based awards and only recognize expense for those stock-based awards expected to vest. We estimate the forfeiture rate based on our historical experience with stock-based awards that are granted and forfeited prior to vesting.</w:t>
      </w:r>
    </w:p>
    <w:p>
      <w:pPr>
        <w:spacing w:after="0" w:line="21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of stock-based awards, granted or modified, is determined on the grant date (or modification or acquisition dates, if applicable) at fair value, using appropriate valuation techniques.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Awards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record stock-based compensation expense for service-based stock options and restricted stock units (“RSUs”) on a straight-line basis over the requisite service period, which is generally one to four years. The fair value of each option on the date of grant is determined using the Black Scholes-Merton option pricing model using the single-option award approach. Volatility is based on historical volatility rates obtained from comparable publicly-traded companies that operate in the same or related business as us, as there is a limited time period of historical market data for our common stock. The risk-free interest rate is determined using a U.S. Treasury rate for the period that coincides with the expected term set forth. We used the simplified method to determine an estimate of the expected term of an employee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We account for stock-based awards to non-employees, including consultants, in accordance with ASC Topic 718, “Compensation — Stock Compensation” (“ASC 718”), in which equity-classified awards are measured at the grant date fair value and recognized as expense in the period and manner as though we had paid cash in exchange for goods or services instead of granting a stock-based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Awards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Prior to the IPO, we granted RSUs that were subject to two vesting conditions: a service-based vesting condition (i.e., employment over a period of time) and a performance-based vesting condition (i.e., a liquidity event in the form of either certain change in control transactions or an initial public offering). The performance-based condition was met upon the IPO. We record stock-based compensation expense for these awards on an accelerated attribution method over the requisite service period, which is generally four years.</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exercise or vesting of a stock-based award, the tax effect of the difference, if any, between the cumulative compensation cost recognized for financial statement purposes and the deduction for income tax purposes, will be recognized as an income tax expense or benefit in the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Awards</w:t>
      </w:r>
    </w:p>
    <w:p>
      <w:pPr>
        <w:spacing w:after="0" w:line="252"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We have granted stock option awards with service-based and performance-based vesting conditions, with market-based conditions that are incorporated into the grant date fair value. We determined the grant date fair value of these awards by utilizing a Monte Carlo simulation model that incorporates the possibility that the market-based conditions may not be satisfied. The Monte Carlo simulation also incorporates assumptions including expected stock price volatility, expected term, and risk-free interest rates. We estimate the volatility of common stock on the date of grant based on the weighted-average historical stock price volatility of comparable publicly-traded companies in our industry group. We estimate the expected term of the award based on various exercise scenarios. The risk-free interest rate is determined using a U.S. Treasury rate for the period that coincides with the expected term set forth.</w:t>
      </w:r>
    </w:p>
    <w:p>
      <w:pPr>
        <w:spacing w:after="0" w:line="22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record stock-based compensation expense for market-based equity awards on an accelerated attribution method over the requisite service period, and only if performance-based conditions are considered probable of being satisfied.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wholly-owned foreign subsidiaries that use the local currency of their respective country as their functional currency. Assets and liabilities of these subsidiaries are translated into U.S. dollars at exchange rates prevailing at the balance sheet dates. Revenue, costs, and expenses of these subsidiaries are translated into U.S. dollars using daily exchange rates when incurred. Gains and losses resulting from these translations are recorded as a component of accumulated other comprehensive income (loss) (“AOCI”). Gains and losses from the remeasurement of foreign currency transactions into the functional currency are recognized as other income (expense), net, in our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66"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We calculate net income or loss per share using the two-class method. The two-class method requires income available to common stockholders for the period to be allocated between each class of common stock and participating securities based upon their respective rights to receive dividends as if all income for the period had been distributed. Our participating securities include common stock issued upon the early exercise of stock options and convertible senior notes. We consider any shares issued upon early exercise of stock options, subject to repurchase, to be participating securities because holders of such shares have non-forfeitable dividend rights in the event a cash dividend is declared on our common stock. These participating securities do not contractually require the holders of such shares to participate in our losses. As such, net losses for the years presented were not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our participating securities. Prior to the conversion of redeemable convertible preferred stock into shares of our common stock on January 12, 2021, these shares also represented participating securities.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calculate basic net loss per share attributable to common stockholders for Class A and Class B common stock by dividing net loss attributable to common stockholders by the weighted average number of common shares outstanding in each class for the period.</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We calculate diluted net loss per share attributable to common stockholders by dividing net loss attributable to common stockholders by the weighted average number of common shares outstanding in each class, after giving consideration to the dilutive effect of our redeemable convertible preferred stock, stock options, restricted stock units, employee stock purchase plan shares, convertible debt and common stock warrants that are outstanding during the period. We have generated a net loss in all periods presented, and therefore, the basic and diluted net loss per share attributable to common stockholders are the same as the inclusion of the potentially dilutive securities would be anti-dilutive. During the years ended June 30, 2021 and 2020, the excess of the repurchase price of preferred stock over its carrying value was recorded as an increase to net loss to determine net loss attributable to common stockholders, basic and diluted.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 Instruments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2020, the FASB issued Accounting Standard Update (“ASU”) 2020-06, “Debt — Debt with Conversion and Other Options (Subtopic 470-20) and Derivatives and Hedging — Contracts in Entity’s Own Equity (Subtopic 815-40),”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early adopted the new standard effective July 1, 2021 on a modified retrospective basis. The adoption of the new standard did not have any impact on our financial statements as of the adoption date. As further discussed in Note 11. Debt, the Company issued certain convertible senior notes in November 2021, and the accounting for these instruments was based on the guidance in ASU 2020-06.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Accounting Bulletin No. 12</w:t>
      </w:r>
      <w:r>
        <w:rPr>
          <w:rFonts w:ascii="Arial" w:cs="Arial" w:eastAsia="Arial" w:hAnsi="Arial"/>
          <w:sz w:val="18"/>
          <w:szCs w:val="18"/>
          <w:color w:val="auto"/>
        </w:rPr>
        <w:t>1</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March 2022, the SEC staff released Staff Accounting Bulletin No. 121 ("SAB 121"), which expressed the views of the SEC staff regarding the accounting for obligations to safeguard crypto-assets an entity holds for users of its crypto platform. This guidance requires entities that hold crypto-assets on behalf of platform users to recognize a liability to reflect the entity’s obligation to safeguard the crypto-assets held for its platform users, whether safeguarding is provided by the entity or by an agent acting on behalf of the entity. The liability should be measured at initial recognition and each reporting date at the fair value of the crypto-assets that the entity is responsible for holding for its platform users, taking into account any potential loss event. The entity should also recognize an asset at the same time that it recognizes the safeguarding liability, measured at initial recognition and each reporting date at the fair value of the crypto-assets held for its platform users taking into account any potential loss event. The entity should also describe the asset and the corresponding liability in the footnotes to the financial statements and consider including information regarding who (e.g. the company, its agent, or another third party) holds the cryptographic key information, maintains the internal recordkeeping of those assets, and is obligated to secure the assets and protect them from loss or theft. This guidance is effective from the first interim period after June 15, 2022 and should be applied retrospectively. We adopted the guidance in SAB 121 as of June 30, 2022 on a retrospective basis. The adoption of the guidance did not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6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This ASU is effective for all entities upon issuance as of March 12, 2020 through December 31, 2022. In January 2021, the FASB also issued ASU 2021-01, “Reference Rate Reform (Topic 848),” which provides additional optional expedients and exceptions applicable to all entities that have derivative instruments that use an interest rate for margining, discounting, or contract price alignment that is modified as a result of reference rate reform. This ASU is effective for all entities upon issuance as of January 7, 2021 through December 31, 2022. We have reviewed all our financial agreements that utilize LIBOR as the reference rate and determined there is no material impact to our consolidated financial statements as of June 30, 2022. Throughout the remaining effective period for ASU 2020-04 and ASU 2021-01, we will continue to evaluate the available relief measures within each of these amendments and will determine any impact on our consolidated financial statements and disclosures, as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such as deferred revenue, acquired in a business combination to be 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66" w:lineRule="exact"/>
        <w:rPr>
          <w:sz w:val="20"/>
          <w:szCs w:val="20"/>
          <w:color w:val="auto"/>
        </w:rPr>
      </w:pPr>
    </w:p>
    <w:p>
      <w:pPr>
        <w:ind w:right="40" w:firstLine="180"/>
        <w:spacing w:after="0" w:line="269" w:lineRule="auto"/>
        <w:rPr>
          <w:sz w:val="20"/>
          <w:szCs w:val="20"/>
          <w:color w:val="auto"/>
        </w:rPr>
      </w:pPr>
      <w:r>
        <w:rPr>
          <w:rFonts w:ascii="Arial" w:cs="Arial" w:eastAsia="Arial" w:hAnsi="Arial"/>
          <w:sz w:val="17"/>
          <w:szCs w:val="17"/>
          <w:color w:val="auto"/>
        </w:rPr>
        <w:t>In March 2022, the FASB issued ASU 2022-02, “Financial Instruments— Credit Losses (Topic 326), Troubled Debt Restructurings and Vintage Disclosure” which addresses areas identified by the FASB as part of its post-implementation review of the current expected credit losses model or “CECL” previously issued in ASU 2016-13, “Financial Instruments — Credit Losses (Topic 326)”. The amendments in this ASU eliminate the accounting guidance for troubled debt restructurings by creditors while enhancing the disclosure requirements for loan refinancing and restructurings made with borrowers experiencing financial difficulty. In addition, the amendments require a public business entity to disclose current-period gross write-offs by year of origination for financing receivables and net investment in leases in the vintage disclosures. For entities that have adopted ASU 2016-13, ASU 2022-02 is effective for fiscal years beginning after December 15, 2022, including interim periods within those fiscal years. Early adoption is permitted if an entity has adopted ASU 2016-13. Amendments in this ASU should be applied prospectively except for the transition method related to the accounting for troubled debt restructurings in which an entity has the option to apply a modified retrospective transition method resulting in a cumulative-effect adjustment to retained earnings in the period of adoption.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Interest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5"/>
              </w:rPr>
              <w:t>Year ended June 30,</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unpaid principal balance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8"/>
              </w:rPr>
              <w:t>365,993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237,526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Amortization of discount on loans</w:t>
            </w:r>
          </w:p>
        </w:tc>
        <w:tc>
          <w:tcPr>
            <w:tcW w:w="360" w:type="dxa"/>
            <w:vAlign w:val="bottom"/>
          </w:tcPr>
          <w:p>
            <w:pPr>
              <w:spacing w:after="0"/>
              <w:rPr>
                <w:sz w:val="19"/>
                <w:szCs w:val="19"/>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w w:val="98"/>
              </w:rPr>
              <w:t>185,050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101,078</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35,251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premiums on loans</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(13,085)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receivable charged-off, net of recoveries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w w:val="92"/>
              </w:rPr>
              <w:t>(10,078)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(3,169)</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8"/>
              </w:rPr>
              <w:t>527,880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326,417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186,730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0" w:type="dxa"/>
            <w:vAlign w:val="bottom"/>
          </w:tcPr>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5"/>
          </w:tcPr>
          <w:p>
            <w:pPr>
              <w:ind w:left="44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351"/>
              <w:spacing w:after="0"/>
              <w:rPr>
                <w:sz w:val="20"/>
                <w:szCs w:val="20"/>
                <w:color w:val="auto"/>
              </w:rPr>
            </w:pPr>
            <w:r>
              <w:rPr>
                <w:rFonts w:ascii="Arial" w:cs="Arial" w:eastAsia="Arial" w:hAnsi="Arial"/>
                <w:sz w:val="16"/>
                <w:szCs w:val="16"/>
                <w:b w:val="1"/>
                <w:bCs w:val="1"/>
                <w:color w:val="auto"/>
                <w:w w:val="88"/>
              </w:rPr>
              <w:t>June 30, 2021</w:t>
            </w:r>
          </w:p>
        </w:tc>
        <w:tc>
          <w:tcPr>
            <w:tcW w:w="0" w:type="dxa"/>
            <w:vAlign w:val="bottom"/>
          </w:tcPr>
          <w:p>
            <w:pPr>
              <w:spacing w:after="0"/>
              <w:rPr>
                <w:sz w:val="1"/>
                <w:szCs w:val="1"/>
                <w:color w:val="auto"/>
              </w:rPr>
            </w:pPr>
          </w:p>
        </w:tc>
      </w:tr>
      <w:tr>
        <w:trPr>
          <w:trHeight w:val="22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3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2,516,733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2,058,863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15,466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Discount due to loss on loan purchase commitment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(53,177)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Discount due to loss on self-originated loans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adjustment on loans acquired through business combination</w:t>
            </w:r>
          </w:p>
        </w:tc>
        <w:tc>
          <w:tcPr>
            <w:tcW w:w="3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2,503,561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2,022,320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right="60" w:firstLine="656"/>
        <w:spacing w:after="0" w:line="317" w:lineRule="auto"/>
        <w:tabs>
          <w:tab w:leader="none" w:pos="813"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As of June 30, 2021, discount due to loss on self-originated loans, in the amount of $6.2 million, was included with discount due to loss on loan purchase commitment.</w:t>
      </w:r>
    </w:p>
    <w:p>
      <w:pPr>
        <w:spacing w:after="0" w:line="15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majority of the loans that are underwritten using our technology platform and originated by our originating bank partners are later purchased by us. We purchased loans from our originating bank partners in the amount of $12.1 billion, $7.9 billion, and $4.7 billion for the years ended June 30, 2022, 2021, and 2020, respectively.</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self-originated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1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by fiscal year of origination on loans held for investment and loans held for sale (in thousands) as of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2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1,374,223</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94 – 96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620,403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632,431</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223,952</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&lt;90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44,437</w:t>
            </w:r>
          </w:p>
        </w:tc>
      </w:tr>
      <w:tr>
        <w:trPr>
          <w:trHeight w:val="229"/>
        </w:trPr>
        <w:tc>
          <w:tcPr>
            <w:tcW w:w="2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210,491</w:t>
            </w: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Total loan receivables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2,288,907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2,485,534</w:t>
            </w: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ind w:left="660" w:right="360" w:hanging="328"/>
        <w:spacing w:after="0" w:line="227" w:lineRule="auto"/>
        <w:tabs>
          <w:tab w:leader="none" w:pos="648"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new markets without sufficient data currently available for use by the Affirm scoring methodology including loan receivables originated in Canada and Australia.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charge-offs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(227,770)</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recoveries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24,598</w:t>
            </w:r>
          </w:p>
        </w:tc>
        <w:tc>
          <w:tcPr>
            <w:tcW w:w="0" w:type="dxa"/>
            <w:vAlign w:val="bottom"/>
          </w:tcPr>
          <w:p>
            <w:pPr>
              <w:spacing w:after="0"/>
              <w:rPr>
                <w:sz w:val="1"/>
                <w:szCs w:val="1"/>
                <w:color w:val="auto"/>
              </w:rPr>
            </w:pPr>
          </w:p>
        </w:tc>
      </w:tr>
      <w:tr>
        <w:trPr>
          <w:trHeight w:val="155"/>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Current period net charge-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(128,050)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(80,158)</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(203,172)</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of loans held for investment and loans held for sale by delinquency status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Pr>
          <w:p>
            <w:pPr>
              <w:spacing w:after="0"/>
              <w:rPr>
                <w:sz w:val="18"/>
                <w:szCs w:val="18"/>
                <w:color w:val="auto"/>
              </w:rPr>
            </w:pPr>
          </w:p>
        </w:tc>
        <w:tc>
          <w:tcPr>
            <w:tcW w:w="162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1,939,976</w:t>
            </w:r>
          </w:p>
        </w:tc>
      </w:tr>
      <w:tr>
        <w:trPr>
          <w:trHeight w:val="230"/>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4 – 29 calendar days past due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77,963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43,838</w:t>
            </w: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 59 calendar days past due</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60 – 89 calendar days past due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12,044</w:t>
            </w:r>
          </w:p>
        </w:tc>
      </w:tr>
      <w:tr>
        <w:trPr>
          <w:trHeight w:val="230"/>
        </w:trPr>
        <w:tc>
          <w:tcPr>
            <w:tcW w:w="7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90 – 119 calendar days past due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 amortized cost basis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2,485,534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2,019,884</w:t>
            </w:r>
          </w:p>
        </w:tc>
      </w:tr>
      <w:tr>
        <w:trPr>
          <w:trHeight w:val="20"/>
        </w:trPr>
        <w:tc>
          <w:tcPr>
            <w:tcW w:w="2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spacing w:after="0" w:line="7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$22.7 million of loan receivables as of June 30, 2022 that are 90 days or more past due, but are not on nonaccrual status.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08" w:lineRule="exact"/>
        <w:rPr>
          <w:rFonts w:ascii="Arial" w:cs="Arial" w:eastAsia="Arial" w:hAnsi="Arial"/>
          <w:sz w:val="23"/>
          <w:szCs w:val="23"/>
          <w:color w:val="auto"/>
          <w:vertAlign w:val="superscript"/>
        </w:rPr>
      </w:pPr>
    </w:p>
    <w:p>
      <w:pPr>
        <w:ind w:left="5820"/>
        <w:spacing w:after="0"/>
        <w:rPr>
          <w:rFonts w:ascii="Arial" w:cs="Arial" w:eastAsia="Arial" w:hAnsi="Arial"/>
          <w:sz w:val="23"/>
          <w:szCs w:val="23"/>
          <w:color w:val="auto"/>
          <w:vertAlign w:val="superscript"/>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consolidated statements of operations and comprehensive loss. 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activity in the allowance for credit losses (in thousands):</w:t>
      </w:r>
    </w:p>
    <w:p>
      <w:pPr>
        <w:spacing w:after="0" w:line="141"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Year ended</w:t>
      </w:r>
    </w:p>
    <w:p>
      <w:pPr>
        <w:jc w:val="center"/>
        <w:ind w:left="598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at beginning of period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66,260</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Adjustment due to adoption of new accounting standard</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10,083</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101,540</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680" w:type="dxa"/>
            <w:vAlign w:val="bottom"/>
          </w:tcPr>
          <w:p>
            <w:pPr>
              <w:jc w:val="right"/>
              <w:spacing w:after="0"/>
              <w:rPr>
                <w:sz w:val="20"/>
                <w:szCs w:val="20"/>
                <w:color w:val="auto"/>
              </w:rPr>
            </w:pPr>
            <w:r>
              <w:rPr>
                <w:rFonts w:ascii="Arial" w:cs="Arial" w:eastAsia="Arial" w:hAnsi="Arial"/>
                <w:sz w:val="18"/>
                <w:szCs w:val="18"/>
                <w:color w:val="auto"/>
              </w:rPr>
              <w:t>(227,770)</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(65,149)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(81,052)</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charged-off receivables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Allowance at end of period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155,392</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117,760</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95,137</w:t>
            </w:r>
          </w:p>
        </w:tc>
      </w:tr>
      <w:tr>
        <w:trPr>
          <w:trHeight w:val="21"/>
        </w:trPr>
        <w:tc>
          <w:tcPr>
            <w:tcW w:w="60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w:t>
      </w:r>
    </w:p>
    <w:p>
      <w:pPr>
        <w:spacing w:after="0" w:line="23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On April 19, 2022, Affirm completed the closing of the transaction contemplated by a Release and Waiver Agreement entered into with Fast AF, Inc., (“Fast”) relating to the hiring of certain of its employees or service providers and an option to acquire certain of its assets. The purchase price was comprised of (i) $10.0 million in cash and (ii) forgiveness of a $15.0 million senior secured note issued to Fast in April 2022 prior to the closing.</w:t>
      </w:r>
    </w:p>
    <w:p>
      <w:pPr>
        <w:spacing w:after="0" w:line="14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acquisition was accounted for as an asset acquisition in accordance with ASC Topic 805, “Business Combinations” (“ASC 805”) since the assets acquired do not meet the definition of a business. The acquired identifiable intangible assets have been recorded at a total cost of $25.4 million, which includes approximately $0.4 million of transaction costs associated with the acquisition. The excess of the total cost of the assets over their total fair value was allocated between the assets on the basis of their relative fair values. 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21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the identifiable intangible assets acquired and the cost allocated to each asset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 to purchase developed technology</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The assembled workforce intangible asset has an expected useful life of 1.5 years. The developed technology asset will be amortized over its expected useful life if the associated assets are purchased and entered into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ShopBrain</w:t>
      </w:r>
    </w:p>
    <w:p>
      <w:pPr>
        <w:spacing w:after="0" w:line="239" w:lineRule="exact"/>
        <w:rPr>
          <w:sz w:val="20"/>
          <w:szCs w:val="20"/>
          <w:color w:val="auto"/>
        </w:rPr>
      </w:pPr>
    </w:p>
    <w:p>
      <w:pPr>
        <w:ind w:right="220" w:firstLine="648"/>
        <w:spacing w:after="0" w:line="249" w:lineRule="auto"/>
        <w:rPr>
          <w:sz w:val="20"/>
          <w:szCs w:val="20"/>
          <w:color w:val="auto"/>
        </w:rPr>
      </w:pPr>
      <w:r>
        <w:rPr>
          <w:rFonts w:ascii="Arial" w:cs="Arial" w:eastAsia="Arial" w:hAnsi="Arial"/>
          <w:sz w:val="18"/>
          <w:szCs w:val="18"/>
          <w:color w:val="auto"/>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$40.0 million, which consisted of the following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49"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08"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30,512</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63"/>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Fair Value</w:t>
            </w:r>
          </w:p>
        </w:tc>
        <w:tc>
          <w:tcPr>
            <w:tcW w:w="18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440" w:firstLine="648"/>
        <w:spacing w:after="0" w:line="291"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17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transaction costs associated with the acquisition were approximately $0.2 million for the year ended June 30, 2022, which are included in general and administrative expense within the consolidated statements of operations and comprehensive loss.</w:t>
      </w:r>
    </w:p>
    <w:p>
      <w:pPr>
        <w:spacing w:after="0" w:line="184"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Pro forma adjustments would only include the additional amortization that would have been charged assuming the intangible assets had been recorded as of July 1, 2020. Such adjustments would not be material to the consolidated statements of operations and comprehensive loss for the year ended June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Kite</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June 1, 2021, Affirm completed the acquisition of technology and intellectual property from Manhattan Engineering, Inc. and entered into employment arrangements with certain of its employees (“the Kite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purchase price was comprised of $26.0 million in cash, including $9.0 million held in escrow and subject to forfeiture if certain employees terminate within a stipulated time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$24.8 million which consisted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26,000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of contingent consideration asset</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(1,241)</w:t>
            </w: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acquisition date fair value of consideration transferred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24,759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the value of assembled workforce. The goodwill is expected to be deductible for income tax purposes.</w:t>
      </w:r>
    </w:p>
    <w:p>
      <w:pPr>
        <w:spacing w:after="0" w:line="17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allocation of the consideration paid of approximately $24.8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24,759</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660" w:type="dxa"/>
            <w:vAlign w:val="bottom"/>
          </w:tcPr>
          <w:p>
            <w:pPr>
              <w:jc w:val="center"/>
              <w:ind w:left="15"/>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440" w:firstLine="648"/>
        <w:spacing w:after="0" w:line="308"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173"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The transaction costs associated with the acquisition were approximately $0.2 million for the year ended June 30, 2021, which are included in general and administrative expense in the consolidated statements of operations and comprehensive loss. There were no transaction costs associated with the acquisition for the year ended June 30, 2022.</w:t>
      </w:r>
    </w:p>
    <w:p>
      <w:pPr>
        <w:spacing w:after="0" w:line="203"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Pro forma adjustments would only include the additional amortization that would have been charged assuming the intangible assets had been recorded as of July 1, 2019. Such adjustments would not be material to the consolidated statements of operations and comprehensive loss for the year ended June 30,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Returnly</w:t>
      </w:r>
    </w:p>
    <w:p>
      <w:pPr>
        <w:spacing w:after="0" w:line="252"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On May 1, 2021, Affirm completed a merger transaction with Returnly Technologies, Inc. (“Returnly”), a leading provider of online return experiences for direct-to-consumer brands. Prior to the merger transaction, Affirm owned approximately 1% of the outstanding shares of Returnly. By effect of the merger transaction, Affirm acquired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of the remaining outstanding shares, increasing its equity interest from approximately 1% to 100%. We have included the financial results of Returnly in our consolidated financial statements from the date of acquisition.</w:t>
      </w:r>
    </w:p>
    <w:p>
      <w:pPr>
        <w:spacing w:after="0" w:line="21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The purchase price for the remaining interest was comprised of (i) approximately $71.5 million in cash and (ii) 2,989,697 shares of our common stock issued to the shareholders of Returnly at closing. We also issued 304,364 shares of our common stock, which are held in escrow and subject to forfeiture upon the termination of certain employees or if certain revenue milestones are not met. Because the future payment of the escrowed shares is contingent on continued employment, the arrangement represents stock-based compensation in the post combination period. Refer to Note 16. Equity Incentive Plans for additional information on the escrowed share arrangement.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acquisition date fair value of the consideration transferred for Returnly was approximately $286.0 million, which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common stock transferred</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214,475</w:t>
            </w: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acquisition date fair value of consideration transferred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359" w:lineRule="auto"/>
        <w:rPr>
          <w:sz w:val="20"/>
          <w:szCs w:val="20"/>
          <w:color w:val="auto"/>
        </w:rPr>
      </w:pPr>
      <w:r>
        <w:rPr>
          <w:rFonts w:ascii="Arial" w:cs="Arial" w:eastAsia="Arial" w:hAnsi="Arial"/>
          <w:sz w:val="16"/>
          <w:szCs w:val="16"/>
          <w:color w:val="auto"/>
        </w:rPr>
        <w:t>The acquisition date fair value of the equity interest in Returnly held by Affirm immediately before the acquisition date was $2.1 million, resulting in the recognition of a $1.6 million gain included in other (expense) income, net in the consolidated statements of operations and comprehensive loss.</w:t>
      </w:r>
    </w:p>
    <w:p>
      <w:pPr>
        <w:spacing w:after="0" w:line="138" w:lineRule="exact"/>
        <w:rPr>
          <w:sz w:val="20"/>
          <w:szCs w:val="20"/>
          <w:color w:val="auto"/>
        </w:rPr>
      </w:pPr>
    </w:p>
    <w:p>
      <w:pPr>
        <w:ind w:right="40" w:firstLine="648"/>
        <w:spacing w:after="0" w:line="284" w:lineRule="auto"/>
        <w:rPr>
          <w:sz w:val="20"/>
          <w:szCs w:val="20"/>
          <w:color w:val="auto"/>
        </w:rPr>
      </w:pPr>
      <w:r>
        <w:rPr>
          <w:rFonts w:ascii="Arial" w:cs="Arial" w:eastAsia="Arial" w:hAnsi="Arial"/>
          <w:sz w:val="17"/>
          <w:szCs w:val="17"/>
          <w:color w:val="auto"/>
        </w:rPr>
        <w:t>The acquisition of Returnly was accounted for as a business combination and reflects the application of acquisition accounting in accordance with ASC 805. The acquired Returnly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Goodwill is not expected to be deductible for income tax purposes.</w:t>
      </w:r>
    </w:p>
    <w:p>
      <w:pPr>
        <w:spacing w:after="0" w:line="20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the allocation of the fair value of the consideration paid and the previously held equity interest of approximately $288.1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9,585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r>
      <w:tr>
        <w:trPr>
          <w:trHeight w:val="223"/>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54,431</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233,623</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Total fair value of consideration transferred and previously held investment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288,054</w:t>
            </w:r>
          </w:p>
        </w:tc>
      </w:tr>
      <w:tr>
        <w:trPr>
          <w:trHeight w:val="20"/>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660" w:type="dxa"/>
            <w:vAlign w:val="bottom"/>
          </w:tcPr>
          <w:p>
            <w:pPr>
              <w:jc w:val="center"/>
              <w:ind w:left="14"/>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Merchant relationships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29,200</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00" w:firstLine="648"/>
        <w:spacing w:after="0" w:line="269" w:lineRule="auto"/>
        <w:rPr>
          <w:sz w:val="20"/>
          <w:szCs w:val="20"/>
          <w:color w:val="auto"/>
        </w:rPr>
      </w:pPr>
      <w:r>
        <w:rPr>
          <w:rFonts w:ascii="Arial" w:cs="Arial" w:eastAsia="Arial" w:hAnsi="Arial"/>
          <w:sz w:val="18"/>
          <w:szCs w:val="18"/>
          <w:color w:val="auto"/>
        </w:rPr>
        <w:t>The fair value of the merchant relationship intangible asset was estimated by applying the income approach, which is based upon the discounted projected future cash flows attributable to the existing merchant relationships. The fair value of the developed technology intangible asset was determined by applying the replacement cost method. The fair value measurements are based on significant unobservable inputs, including management estimates and assumptions, and thus represent Level 3 measurements.</w:t>
      </w:r>
    </w:p>
    <w:p>
      <w:pPr>
        <w:spacing w:after="0" w:line="206"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The transaction costs associated with the acquisition were approximately $1.8 million for the year ended June 30, 2021, which are included in general and administrative expense in the consolidated statements of operations and comprehensive loss. There were no transaction costs associated with the acquisition for the year ended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266" w:lineRule="exact"/>
        <w:rPr>
          <w:sz w:val="20"/>
          <w:szCs w:val="20"/>
          <w:color w:val="auto"/>
        </w:rPr>
      </w:pPr>
    </w:p>
    <w:p>
      <w:pPr>
        <w:ind w:right="160" w:firstLine="648"/>
        <w:spacing w:after="0" w:line="280"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Returnly had occurred on July 1, 2019 and combines the historical results of Affirm and Returnly.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6"/>
                <w:szCs w:val="16"/>
                <w:color w:val="auto"/>
              </w:rPr>
            </w:pPr>
          </w:p>
        </w:tc>
        <w:tc>
          <w:tcPr>
            <w:tcW w:w="1600" w:type="dxa"/>
            <w:vAlign w:val="bottom"/>
          </w:tcPr>
          <w:p>
            <w:pPr>
              <w:jc w:val="center"/>
              <w:ind w:right="255"/>
              <w:spacing w:after="0"/>
              <w:rPr>
                <w:sz w:val="20"/>
                <w:szCs w:val="20"/>
                <w:color w:val="auto"/>
              </w:rPr>
            </w:pPr>
            <w:r>
              <w:rPr>
                <w:rFonts w:ascii="Arial" w:cs="Arial" w:eastAsia="Arial" w:hAnsi="Arial"/>
                <w:sz w:val="16"/>
                <w:szCs w:val="16"/>
                <w:b w:val="1"/>
                <w:bCs w:val="1"/>
                <w:color w:val="auto"/>
                <w:w w:val="90"/>
              </w:rPr>
              <w:t>Year ended</w:t>
            </w:r>
          </w:p>
        </w:tc>
      </w:tr>
      <w:tr>
        <w:trPr>
          <w:trHeight w:val="213"/>
        </w:trPr>
        <w:tc>
          <w:tcPr>
            <w:tcW w:w="7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340" w:type="dxa"/>
            <w:vAlign w:val="bottom"/>
          </w:tcPr>
          <w:p>
            <w:pPr>
              <w:spacing w:after="0"/>
              <w:rPr>
                <w:sz w:val="18"/>
                <w:szCs w:val="18"/>
                <w:color w:val="auto"/>
              </w:rPr>
            </w:pPr>
          </w:p>
        </w:tc>
        <w:tc>
          <w:tcPr>
            <w:tcW w:w="1600" w:type="dxa"/>
            <w:vAlign w:val="bottom"/>
          </w:tcPr>
          <w:p>
            <w:pPr>
              <w:jc w:val="center"/>
              <w:ind w:right="255"/>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7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255"/>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255"/>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517,438</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(465,875)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(132,721)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PayBright</w:t>
      </w:r>
    </w:p>
    <w:p>
      <w:pPr>
        <w:spacing w:after="0" w:line="252" w:lineRule="exact"/>
        <w:rPr>
          <w:sz w:val="20"/>
          <w:szCs w:val="20"/>
          <w:color w:val="auto"/>
        </w:rPr>
      </w:pPr>
    </w:p>
    <w:p>
      <w:pPr>
        <w:ind w:right="580" w:firstLine="648"/>
        <w:spacing w:after="0" w:line="248" w:lineRule="auto"/>
        <w:rPr>
          <w:sz w:val="20"/>
          <w:szCs w:val="20"/>
          <w:color w:val="auto"/>
        </w:rPr>
      </w:pPr>
      <w:r>
        <w:rPr>
          <w:rFonts w:ascii="Arial" w:cs="Arial" w:eastAsia="Arial" w:hAnsi="Arial"/>
          <w:sz w:val="18"/>
          <w:szCs w:val="18"/>
          <w:color w:val="auto"/>
        </w:rPr>
        <w:t>On January 1, 2021, Affirm Canada Holdings Ltd. (“Affirm Canada”), a subsidiary of Affirm, and Affirm acquired all outstanding stock of PayBright, Inc., one of Canada’s leading buy now, pay later providers, for approximately $288.8 million. We have included the financial results of PayBright in our consolidated financial statements from the date of acquisition.</w:t>
      </w:r>
    </w:p>
    <w:p>
      <w:pPr>
        <w:spacing w:after="0" w:line="209" w:lineRule="exact"/>
        <w:rPr>
          <w:sz w:val="20"/>
          <w:szCs w:val="20"/>
          <w:color w:val="auto"/>
        </w:rPr>
      </w:pPr>
    </w:p>
    <w:p>
      <w:pPr>
        <w:ind w:right="140" w:firstLine="648"/>
        <w:spacing w:after="0" w:line="249" w:lineRule="auto"/>
        <w:rPr>
          <w:sz w:val="20"/>
          <w:szCs w:val="20"/>
          <w:color w:val="auto"/>
        </w:rPr>
      </w:pPr>
      <w:r>
        <w:rPr>
          <w:rFonts w:ascii="Arial" w:cs="Arial" w:eastAsia="Arial" w:hAnsi="Arial"/>
          <w:sz w:val="18"/>
          <w:szCs w:val="18"/>
          <w:color w:val="auto"/>
        </w:rPr>
        <w:t>The purchase price was comprised of (i) approximately $114.5 million in cash, (ii) 3,622,445 shares of our common stock issued to the shareholders of PayBright at closing and (iii) 2,587,362 shares of our common stock held in escrow and subject to forfeiture if certain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held in escrow.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acquisition date fair value of the consideration transferred for PayBright was approximately $288.8 million, which consisted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Fair value of common stock transferred</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116,989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57,275</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288,754</w:t>
            </w:r>
          </w:p>
        </w:tc>
      </w:tr>
      <w:tr>
        <w:trPr>
          <w:trHeight w:val="20"/>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further details on our fair value methodology with respect to the contingent consideration, see Note 14. Fair Value of Financial Assets and Liabilities.</w:t>
      </w:r>
    </w:p>
    <w:p>
      <w:pPr>
        <w:spacing w:after="0" w:line="184" w:lineRule="exact"/>
        <w:rPr>
          <w:sz w:val="20"/>
          <w:szCs w:val="20"/>
          <w:color w:val="auto"/>
        </w:rPr>
      </w:pPr>
    </w:p>
    <w:p>
      <w:pPr>
        <w:ind w:right="320" w:firstLine="648"/>
        <w:spacing w:after="0" w:line="290" w:lineRule="auto"/>
        <w:rPr>
          <w:sz w:val="20"/>
          <w:szCs w:val="20"/>
          <w:color w:val="auto"/>
        </w:rPr>
      </w:pPr>
      <w:r>
        <w:rPr>
          <w:rFonts w:ascii="Arial" w:cs="Arial" w:eastAsia="Arial" w:hAnsi="Arial"/>
          <w:sz w:val="16"/>
          <w:szCs w:val="16"/>
          <w:color w:val="auto"/>
        </w:rPr>
        <w:t>The acquisition of PayBright was accounted for as a business combination and reflects the application of acquisition accounting in accordance with ASC 805. The acquired PayBright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in Canada. Goodwill is not expected to be deductible for income tax purposes.</w:t>
      </w:r>
    </w:p>
    <w:p>
      <w:pPr>
        <w:spacing w:after="0" w:line="1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allocation of the consideration paid of approximately $288.8 million to the fair values of the assets acquired and liabilities assumed at the acquisition date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16,653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123,685</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Funding debt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85,310</w:t>
            </w:r>
          </w:p>
        </w:tc>
      </w:tr>
      <w:tr>
        <w:trPr>
          <w:trHeight w:val="223"/>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92,105</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257,174</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288,754</w:t>
            </w:r>
          </w:p>
        </w:tc>
      </w:tr>
      <w:tr>
        <w:trPr>
          <w:trHeight w:val="20"/>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63"/>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Merchant relationships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transaction costs associated with the acquisition were approximately $2.4 million for the year ended June 30, 2021, which are included in general and administrative expense in the consolidated statements of operations and comprehensive loss. There were no transaction costs associated with the acquisition for the year ended June 30,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23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PayBright had occurred on July 1, 2019 and combines the historical results of Affirm and PayBright.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Year ended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Year ended</w:t>
            </w:r>
          </w:p>
        </w:tc>
      </w:tr>
      <w:tr>
        <w:trPr>
          <w:trHeight w:val="213"/>
        </w:trPr>
        <w:tc>
          <w:tcPr>
            <w:tcW w:w="7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r>
      <w:tr>
        <w:trPr>
          <w:trHeight w:val="209"/>
        </w:trPr>
        <w:tc>
          <w:tcPr>
            <w:tcW w:w="72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692"/>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Borders>
              <w:top w:val="single" w:sz="8" w:color="auto"/>
              <w:bottom w:val="single" w:sz="8" w:color="auto"/>
            </w:tcBorders>
          </w:tcPr>
          <w:p>
            <w:pPr>
              <w:spacing w:after="0"/>
              <w:rPr>
                <w:sz w:val="18"/>
                <w:szCs w:val="18"/>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524,657</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ind w:right="41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(447,116)</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(128,244)</w:t>
            </w:r>
          </w:p>
        </w:tc>
      </w:tr>
      <w:tr>
        <w:trPr>
          <w:trHeight w:val="553"/>
        </w:trPr>
        <w:tc>
          <w:tcPr>
            <w:tcW w:w="7280" w:type="dxa"/>
            <w:vAlign w:val="bottom"/>
          </w:tcPr>
          <w:p>
            <w:pPr>
              <w:spacing w:after="0"/>
              <w:rPr>
                <w:sz w:val="20"/>
                <w:szCs w:val="20"/>
                <w:color w:val="auto"/>
              </w:rPr>
            </w:pPr>
            <w:r>
              <w:rPr>
                <w:rFonts w:ascii="Arial" w:cs="Arial" w:eastAsia="Arial" w:hAnsi="Arial"/>
                <w:sz w:val="18"/>
                <w:szCs w:val="18"/>
                <w:b w:val="1"/>
                <w:bCs w:val="1"/>
                <w:color w:val="auto"/>
              </w:rPr>
              <w:t>6.  Balance Sheet Components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728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3"/>
        </w:trPr>
        <w:tc>
          <w:tcPr>
            <w:tcW w:w="7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6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68,197</w:t>
            </w:r>
          </w:p>
        </w:tc>
        <w:tc>
          <w:tcPr>
            <w:tcW w:w="140" w:type="dxa"/>
            <w:vAlign w:val="bottom"/>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16,169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15,212</w:t>
            </w:r>
          </w:p>
        </w:tc>
        <w:tc>
          <w:tcPr>
            <w:tcW w:w="14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40" w:type="dxa"/>
            <w:vAlign w:val="bottom"/>
          </w:tcPr>
          <w:p>
            <w:pPr>
              <w:spacing w:after="0"/>
              <w:rPr>
                <w:sz w:val="19"/>
                <w:szCs w:val="19"/>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equipment</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w:t>
            </w:r>
          </w:p>
        </w:tc>
        <w:tc>
          <w:tcPr>
            <w:tcW w:w="140" w:type="dxa"/>
            <w:vAlign w:val="bottom"/>
          </w:tcPr>
          <w:p>
            <w:pPr>
              <w:spacing w:after="0"/>
              <w:rPr>
                <w:sz w:val="19"/>
                <w:szCs w:val="19"/>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at cost</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231,820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w:t>
            </w:r>
          </w:p>
        </w:tc>
        <w:tc>
          <w:tcPr>
            <w:tcW w:w="140" w:type="dxa"/>
            <w:vAlign w:val="bottom"/>
          </w:tcPr>
          <w:p>
            <w:pPr>
              <w:spacing w:after="0"/>
              <w:rPr>
                <w:sz w:val="19"/>
                <w:szCs w:val="19"/>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(60,338)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(32,901)</w:t>
            </w:r>
          </w:p>
        </w:tc>
        <w:tc>
          <w:tcPr>
            <w:tcW w:w="140" w:type="dxa"/>
            <w:vAlign w:val="bottom"/>
          </w:tcPr>
          <w:p>
            <w:pPr>
              <w:spacing w:after="0"/>
              <w:rPr>
                <w:sz w:val="19"/>
                <w:szCs w:val="19"/>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171,482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62,499</w:t>
            </w:r>
          </w:p>
        </w:tc>
        <w:tc>
          <w:tcPr>
            <w:tcW w:w="140" w:type="dxa"/>
            <w:vAlign w:val="bottom"/>
          </w:tcPr>
          <w:p>
            <w:pPr>
              <w:spacing w:after="0"/>
              <w:rPr>
                <w:sz w:val="21"/>
                <w:szCs w:val="2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84" w:lineRule="auto"/>
        <w:rPr>
          <w:sz w:val="20"/>
          <w:szCs w:val="20"/>
          <w:color w:val="auto"/>
        </w:rPr>
      </w:pPr>
      <w:r>
        <w:rPr>
          <w:rFonts w:ascii="Arial" w:cs="Arial" w:eastAsia="Arial" w:hAnsi="Arial"/>
          <w:sz w:val="17"/>
          <w:szCs w:val="17"/>
          <w:color w:val="auto"/>
        </w:rPr>
        <w:t>Depreciation and amortization expense on property, equipment and software was $29.2 million, $15.4 million and $9.4 million for the years ended June 30, 2022, 2021, and 2020, respectively. Depreciation expense on leasehold improvements, furniture and equipment, and computer equipment is allocated between general and administrative, technology and data analytics, sales and marketing, and processing and servicing based on employee headcount in the consolidated statements of operations and comprehensive loss. Amortization expense on internally developed software is included as a component of technology and data analytics in the consolidated statements of operations and comprehensive loss.</w:t>
      </w:r>
    </w:p>
    <w:p>
      <w:pPr>
        <w:spacing w:after="0" w:line="193"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For the year ended June 30, 2021, we recorded impairment expense of $1.5 million related to leasehold improvements. No impairment losses related to leasehold improvements were noted during both the years ended June 30, 2022 and 2020. No impairment losses related to property, equipment and software were recorded during the years ended June 30,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i w:val="1"/>
                <w:iCs w:val="1"/>
                <w:color w:val="auto"/>
              </w:rPr>
              <w:t>Goodwill and Intangible Assets</w:t>
            </w: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10220" w:type="dxa"/>
            <w:vAlign w:val="bottom"/>
            <w:gridSpan w:val="2"/>
          </w:tcPr>
          <w:p>
            <w:pPr>
              <w:ind w:left="660"/>
              <w:spacing w:after="0"/>
              <w:rPr>
                <w:sz w:val="20"/>
                <w:szCs w:val="20"/>
                <w:color w:val="auto"/>
              </w:rPr>
            </w:pPr>
            <w:r>
              <w:rPr>
                <w:rFonts w:ascii="Arial" w:cs="Arial" w:eastAsia="Arial" w:hAnsi="Arial"/>
                <w:sz w:val="18"/>
                <w:szCs w:val="18"/>
                <w:color w:val="auto"/>
                <w:w w:val="93"/>
              </w:rPr>
              <w:t>The changes in the carrying amount of goodwill during the years ended June 30, 2022 and 2021 were as follows (in thousands):</w:t>
            </w:r>
          </w:p>
        </w:tc>
        <w:tc>
          <w:tcPr>
            <w:tcW w:w="1020" w:type="dxa"/>
            <w:vAlign w:val="bottom"/>
          </w:tcPr>
          <w:p>
            <w:pPr>
              <w:spacing w:after="0"/>
              <w:rPr>
                <w:sz w:val="24"/>
                <w:szCs w:val="24"/>
                <w:color w:val="auto"/>
              </w:rPr>
            </w:pPr>
          </w:p>
        </w:tc>
      </w:tr>
      <w:tr>
        <w:trPr>
          <w:trHeight w:val="270"/>
        </w:trPr>
        <w:tc>
          <w:tcPr>
            <w:tcW w:w="9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94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508,581</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516,515</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33,318</w:t>
            </w:r>
          </w:p>
        </w:tc>
      </w:tr>
      <w:tr>
        <w:trPr>
          <w:trHeight w:val="229"/>
        </w:trPr>
        <w:tc>
          <w:tcPr>
            <w:tcW w:w="9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539,534</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Refer to Note 5. Acquisitions for a description of additions to goodwill during the years ended June 30, 2022 and 2021. No impairment losses related to goodwill were recorded during the years ended June 30, 2022, 2021, and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June 30, 2022</w:t>
            </w: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Accumulated</w:t>
            </w: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vMerge w:val="restart"/>
          </w:tcPr>
          <w:p>
            <w:pPr>
              <w:jc w:val="right"/>
              <w:ind w:right="671"/>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14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39,782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23,900</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 indefinite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In connection with the Fast asset acquisition, we also recorded a $12.9 million intangible asset representing the option to purchase developed technology as of June 30, 2022. The asset will not be amortized until the purchase is complete and the asset is placed into service. Refer to Note 5. Acquisitions for a description of the acquisition and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June 30, 2021</w:t>
            </w: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Accumulated</w:t>
            </w: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vMerge w:val="restart"/>
          </w:tcPr>
          <w:p>
            <w:pPr>
              <w:jc w:val="right"/>
              <w:ind w:right="672"/>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14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38,951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27,246</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Trademarks and domains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As of June 30, 2021, trademarks and domains included both definite and indefinite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for intangible assets was $23.5 million, $4.6 million and nil for the years ended June 30, 2022,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losses related to intangible assets were recorded during the years ended June 30, 2022, 2021, and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ind w:left="660"/>
              <w:spacing w:after="0"/>
              <w:rPr>
                <w:sz w:val="20"/>
                <w:szCs w:val="20"/>
                <w:color w:val="auto"/>
              </w:rPr>
            </w:pPr>
            <w:r>
              <w:rPr>
                <w:rFonts w:ascii="Arial" w:cs="Arial" w:eastAsia="Arial" w:hAnsi="Arial"/>
                <w:sz w:val="18"/>
                <w:szCs w:val="18"/>
                <w:color w:val="auto"/>
                <w:w w:val="94"/>
              </w:rPr>
              <w:t>The expected future amortization expense of these intangible assets as of June 30, 2022 is as follows (in thousands):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9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21,686</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63,521</w:t>
            </w:r>
          </w:p>
        </w:tc>
      </w:tr>
      <w:tr>
        <w:trPr>
          <w:trHeight w:val="20"/>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 Assets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During the year ended June 30, 2022, we entered into a commercial agreement with Amazon.com Services LLC and Amazon Payments, Inc. ("Amazon") and granted warrants in exchange for certain exclusivity and performance provisions and the benefit of acquiring new users. In connection with the agreements, we recognized an asset of $133.5 million associated with the portion of the warrants that were fully vested upon execution of the agreement. The asset was valued based on the fair value of the warrants on the grant date and represents the probable future economic benefit to be realized over the approximately 3.2 year remaining initial term of the commercial agreement. For the year ended June 30, 2022, we recognized amortization expense of $26.3 million in our consolidated statements of operations and comprehensive loss as a component of sales and marketing expense. Refer to Note 15. Redeemable Convertible Preferred Stock and Stockholders’ Equity for further discussion of the warrants.</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During the year ended June 30, 2021,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June 30, 2021. The expected benefit period of the asset was initially estimated to be four years, and the remaining useful life of the asset is reevaluated each reporting period. During the year ended June 30, 2022, the remaining expected benefit period was extended by two years upon the execution of an amendment to the commercial agreement with Shopify which extended the term of the agreement. We recorded amortization expense related to the commercial agreement asset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$62.2 million and $64.9 million for the years ended June 30, 2022, and 2021, respectively, in our consolidated statements of operations and comprehensive loss as a component of sales and marketing expense.</w:t>
      </w:r>
    </w:p>
    <w:p>
      <w:pPr>
        <w:spacing w:after="0" w:line="19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During the year ended June 30,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We recorded amortization expense related to the asset of $8.1 million, and $4.3 million for the years ended June 30, 2022, and 2021, respectively, in our consolidated statements of operations and comprehensive loss as a component of sales and marketing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2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57,828</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 at cost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payroll taxes for stock-based compensation</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111,278</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Processing reserves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26,423</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29,881</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274,679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6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320" w:type="dxa"/>
            <w:vAlign w:val="bottom"/>
          </w:tcPr>
          <w:p>
            <w:pPr>
              <w:spacing w:after="0"/>
              <w:rPr>
                <w:sz w:val="24"/>
                <w:szCs w:val="24"/>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2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47,674</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65,713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74,952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held for derivative instruments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153,447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agreement liability</w:t>
            </w:r>
          </w:p>
        </w:tc>
        <w:tc>
          <w:tcPr>
            <w:tcW w:w="3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22,147</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323,577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and we will continue to remeasure the liability to its fair value at each reporting date until the contingency is resolved. As of June 30, 2022, the fair value of the contingent consideration liability was $23.3 million. For further details on our fair value methodology with respect to the contingent consideration, see Note 14.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year ended June 30, 2021, we recognized a liability in connection with a commercial agreement with an enterprise partner of $25.9 million. As of June 30, 2022, we have fully settled this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180 days to one year. As of June 30, 2022, we have not considered such provisions in the determination of the lease term, as it is not reasonably certain these options will be exercised. Leases have remaining terms that range from less than one year to eight years.</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consolidated balance sheets and totaled $9.7 million and $9.9 million as of June 30, 2022 and June 30, 2021, respectively.</w:t>
      </w:r>
    </w:p>
    <w:p>
      <w:pPr>
        <w:spacing w:after="0" w:line="21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of June 30, 2022, right-of-use assets of $50.7 million were included in other assets, and the related operating lease liability totaled $65.7 million which was included in accrued expenses and other liabilities in the consolidated balance sheet.</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impairment expense related to leases during the year ended June 30, 2022 was not material to our consolidated statements of operations. For the year ended June 30, 2021, we recognized impairment expense of $11.5 million and for several of our operating lease right-of-use assets, included in general and administrative expense on our consolidated statements of operations and comprehensive loss. There was no impairment expense related to leases during the year ended June 30,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operating lease expenses are as follows (in thousands):</w:t>
      </w:r>
    </w:p>
    <w:p>
      <w:pPr>
        <w:spacing w:after="0" w:line="46"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Year ended</w:t>
      </w:r>
    </w:p>
    <w:p>
      <w:pPr>
        <w:jc w:val="center"/>
        <w:ind w:left="564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2020</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Short-term lease expenses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1,200</w:t>
            </w:r>
          </w:p>
        </w:tc>
      </w:tr>
    </w:tbl>
    <w:p>
      <w:pPr>
        <w:spacing w:after="0" w:line="32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have subleased a portion of our leased facilities. Sublease income totaled $3.1 million during the year ended June 30, 2022. There was no sublease income for both the years ended June 30, 2021 and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term and discount rate information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8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4.9</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0" w:type="dxa"/>
            <w:vAlign w:val="bottom"/>
          </w:tcPr>
          <w:p>
            <w:pPr>
              <w:jc w:val="right"/>
              <w:ind w:right="633"/>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660"/>
              <w:spacing w:after="0"/>
              <w:rPr>
                <w:sz w:val="20"/>
                <w:szCs w:val="20"/>
                <w:color w:val="auto"/>
              </w:rPr>
            </w:pPr>
            <w:r>
              <w:rPr>
                <w:rFonts w:ascii="Arial" w:cs="Arial" w:eastAsia="Arial" w:hAnsi="Arial"/>
                <w:sz w:val="18"/>
                <w:szCs w:val="18"/>
                <w:color w:val="auto"/>
              </w:rPr>
              <w:t>Maturities of operating lease liabilities as of June 30, 2022 are as follows (in thousands) for the years ended:</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22"/>
        </w:trPr>
        <w:tc>
          <w:tcPr>
            <w:tcW w:w="9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16,334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15,270</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74,536</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2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offer a 401(k) plan to full-time employees. Eligibility for the plan is effective on the first of the month following an employee’s first 90 days of service. Employees may elect to contribute to a traditional 401(k) plan, which qualifies as a deferred compensation arrangement under Section 401 of the Internal Revenue Code (“IRC”). In this case, participating employees defer a portion of their pre-tax earnings. Employees may also contribute to a Roth 401(k) plan using post-tax dollars. We have not made any matching contributions to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Welfare Benefits</w:t>
      </w:r>
    </w:p>
    <w:p>
      <w:pPr>
        <w:spacing w:after="0" w:line="26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provide health and welfare benefits to our employees, including health, dental, prescription drug and vision for which we are fully-insured. The expense incurred associated with these benefits was $20.6 million, $10.5 million, and $7.1 million for the years ended June 30, 2022, 2021, and 2020,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Obligation</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The aggregate outstanding balance of loans held by third-party investors or unconsolidated VIEs was $4,504.5 million and $2,453.9 million as of June 30, 2022 and June 30, 2021, respectively, of which we have recorded a repurchase liability of $2.0 million and $2.1 million as of June 30, 2022 and June 30, 2021, respectively, within accrued expenses and other liabilities in our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Toole v. Affirm Holdings, Inc.</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On February 28, 2022, plaintiff Jeffrey Toole filed a putative class action against Affirm and Max Levchin in the U.S. District Court for the Northern District of California (the “Toole action”). The Toole complaint alleges that Affirm violated Sections 10(b) and 20(a) of the Exchange Act, and Rule 10b-5 promulgated thereunder by issuing and then subsequently deleting a tweet from its official Twitter account on February 10, 2022, which omitted full details of Affirm’s second quarter fiscal 2022 financial results. Toole seeks class certification, unspecified compensatory and punitive damages, and costs and expenses. On June 9, 2022, the Court appointed Eric Nunez as lead plaintiff and Robbins Geller Rudman &amp; Dowd LLP as class counsel.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Vallieres v Levchin, et al.</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25, 2022, plaintiff Michael Vallieres filed a derivative lawsuit in the U.S. District Court for the Northern District of California against Affirm, as a nominal defendant, and certain of Affirm’s current officers and directors as defendants based on allegations substantially similar to those in the Toole action. The Vallieres complaint purports to assert claims on Affirm's behalf for breach of fiduciary duty, gross mismanagement, abuse of control, unjust enrichment, and contribution under the federal securities laws, and seeks corporate reforms, unspecified damages and restitution, and fees and costs. On June 10, 2022, the Court stayed this derivative action pending the resolution of Affirm’s anticipated motion to dismiss the Toole complaint referenced above.</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determined, based on current knowledge, that the aggregate amount or range of losses that are estimable with respect to the our legal proceedings, including the matters described above, would not have a material adverse effect on our consolidated financial position, results of operations or cash flows. Amounts accrued as of June 30, 2022 were not material. The ultimate outcome of legal proceedings involves judgments, estimates and inherent uncertainties, and cannot be predicted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have substantial credit risk primarily in our consumer loans held for investment and in our cash and cash equivalents. We maintain our cash and cash equivalents in accounts at regulated domestic financial institutions in amounts that may exceed FDIC insured amounts. We believe we are not exposed to any significant credit risk in these accounts.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exposed to default risk on both loan receivables purchased from our originating bank partners and loan receivables that are self-originated. The ultimate collectability of a substantial portion of the loan portfolio is susceptible to changes in economic and market conditions. Loans receivables are diversified geographically. As of June 30, 2022 and June 30, 2021, approximately 12% and 15%, respectively, of loan receivables related to customers residing in the state of California. No other states or provinces exceeded 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the year ended June 30, 2022, there were no merchants that exceeded 10% of total revenue, and for the years ended June 30, 2021 and 2020, approximately 20% and 28% , respectively, of total revenue was driven by one merchant.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years ended June 30, 2022 and 2021, we recorded purchase commitments of $37.1 million and $89.3 million, respectively, primarily related to cloud and hosting services. In February 2012, we entered into an agreement with a third-party cloud computing web services provider for our cloud computing and hosting services. In May 2020, we entered into an addendum to our agreement which included annual spending commitments for the period between May 2020 and April 2023 with an aggregate committed spend of $120.0 million during such period. Our agreement with our cloud computing web services provider will continue indefinitely until terminated by either party. Our cloud-computing web services provider may terminate the customer agreement for convenience with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days prior written notice and may, in some cases, terminate the agreement immediately for cause upon notice. If we fail to meet the minimum purchase commitment during any year, we may be required to pay the difference. We pay our cloud-computing web services provider monthly, and we may pay more than the minimum purchase commitment to our cloud-computing web services provider based on usage.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June 30, 2022, the outstanding balance and interest earned on such loans is immaterial.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encompasses funding debt, convertible senior notes and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2022</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158,547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460,289</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102,203</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r>
      <w:tr>
        <w:trPr>
          <w:trHeight w:val="22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debt issuance costs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680,602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proceeds from the borrowings can only be used for the purposes of facilitating loan funding and origination, with advance rates ranging from 83% to 88% of the total collateralized balance. These trusts are bankruptcy-remote special-purpose vehicles in which creditors do not have recourse against the general credit of Affirm. These revolving facilities mature between fiscal years 2024 and 2029, and subject to covenant compliance, generally permit borrowings up to 12 months prior to the final maturity date of each respective facility. As of June 30, 2022, the aggregate commitment amount of these facilities was $2,450.0 million on a revolving basis, of which $473.3 million was drawn, with $1,976.7 million remaining available. Some of the loans originated by us or purchased from the originating bank partners are pledged as collateral for borrowings in our facilities. The unpaid principal balance of these loans totaled $549.6 million and $664.1 million as of June 30, 2022 and June 30, 2021, respectively.</w:t>
      </w:r>
    </w:p>
    <w:p>
      <w:pPr>
        <w:spacing w:after="0" w:line="20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Borrowings under these warehouse credit facilities bear interest at an annual benchmark rate of LIBOR or an alternative commercial paper rate (which is either (i) the per annum rate equivalent to the weighted-average of the per annum rates at which all commercial paper notes were issued by certain lenders to fund advances or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loans, or (ii) the daily weighted-average of LIBOR, as set forth in the applicable credit agreement), plus a spread ranging from 1.65% to 4.00%. Interest is payable monthly. In addition, these agreements require payment of a monthly unused commitment fee ranging from 0.00% to 0.75% per annum on the undrawn portion available.</w:t>
      </w:r>
    </w:p>
    <w:p>
      <w:pPr>
        <w:spacing w:after="0" w:line="211"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As of June 30, 2022,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Funding Facilities</w:t>
      </w:r>
    </w:p>
    <w:p>
      <w:pPr>
        <w:spacing w:after="0" w:line="252" w:lineRule="exact"/>
        <w:rPr>
          <w:sz w:val="20"/>
          <w:szCs w:val="20"/>
          <w:color w:val="auto"/>
        </w:rPr>
      </w:pPr>
    </w:p>
    <w:p>
      <w:pPr>
        <w:ind w:right="20" w:firstLine="648"/>
        <w:spacing w:after="0" w:line="307"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2024, and bear interest based on a benchmark rate plus a spread ranging from 1.25% to 4.25%.</w:t>
      </w:r>
    </w:p>
    <w:p>
      <w:pPr>
        <w:spacing w:after="0" w:line="19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As of June 30, 2022, the aggregate commitment amount of these facilities was $484.0 million on a revolving basis, of which $183.1 million was drawn, with $300.9 million remaining available. The unpaid principal balance of loans pledged to these facilities totaled $210.1 million and $74.1 million as of June 30, 2022 and June 30, 2021, respectively.</w:t>
      </w:r>
    </w:p>
    <w:p>
      <w:pPr>
        <w:spacing w:after="0" w:line="21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at the PayBright subsidiary level or the Affirm Holdings level. As of June 30, 2022,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 Agreements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a repurchase date extension for an additional three month term at market interest rates on such extension date. As of June 30, 2022, the interest rates were 2.68% on the senior pledged securities for 2022-X1, 2021-Z1 and 2021-Z2 and 4.33% on the residual certificate pledged securities for 2022-X1, 2021-Z1 and 2021-Z2 . We had $27.0 million and $13.9 million in debt outstanding under our repurchase agreements disclosed within funding debt on the consolidated balance sheets as of June 30, 2022 and June 30, 2021, respectively. The debt will be amortized through regular principal and interest payments on the pledged securities. The outstanding debt relates to $32.4 million and $16.2 million in pledged securities disclosed within securities available for sale at fair value on the consolidated balance sheets as of June 30, 2022 and June 30,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60" w:firstLine="648"/>
        <w:spacing w:after="0" w:line="265" w:lineRule="auto"/>
        <w:rPr>
          <w:sz w:val="20"/>
          <w:szCs w:val="20"/>
          <w:color w:val="auto"/>
        </w:rPr>
      </w:pPr>
      <w:r>
        <w:rPr>
          <w:rFonts w:ascii="Arial" w:cs="Arial" w:eastAsia="Arial" w:hAnsi="Arial"/>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0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$1,000 of principal of the 2026 Notes will initially be convertible into 4.6371 shares of our common stock, which is equivalent to an initial conversion price of approximately $215.65 per share, subject to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307" w:lineRule="auto"/>
        <w:rPr>
          <w:sz w:val="20"/>
          <w:szCs w:val="20"/>
          <w:color w:val="auto"/>
        </w:rPr>
      </w:pPr>
      <w:r>
        <w:rPr>
          <w:rFonts w:ascii="Arial" w:cs="Arial" w:eastAsia="Arial" w:hAnsi="Arial"/>
          <w:sz w:val="16"/>
          <w:szCs w:val="16"/>
          <w:color w:val="auto"/>
        </w:rPr>
        <w:t>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193" w:lineRule="exact"/>
        <w:rPr>
          <w:sz w:val="20"/>
          <w:szCs w:val="20"/>
          <w:color w:val="auto"/>
        </w:rPr>
      </w:pPr>
    </w:p>
    <w:p>
      <w:pPr>
        <w:ind w:left="580" w:right="20" w:hanging="5"/>
        <w:spacing w:after="0" w:line="259" w:lineRule="auto"/>
        <w:tabs>
          <w:tab w:leader="none" w:pos="7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13" w:lineRule="exact"/>
        <w:rPr>
          <w:rFonts w:ascii="Arial" w:cs="Arial" w:eastAsia="Arial" w:hAnsi="Arial"/>
          <w:sz w:val="18"/>
          <w:szCs w:val="18"/>
          <w:color w:val="auto"/>
        </w:rPr>
      </w:pPr>
    </w:p>
    <w:p>
      <w:pPr>
        <w:jc w:val="both"/>
        <w:ind w:left="580" w:right="40" w:hanging="5"/>
        <w:spacing w:after="0" w:line="311" w:lineRule="auto"/>
        <w:tabs>
          <w:tab w:leader="none" w:pos="7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75" w:lineRule="exact"/>
        <w:rPr>
          <w:rFonts w:ascii="Arial" w:cs="Arial" w:eastAsia="Arial" w:hAnsi="Arial"/>
          <w:sz w:val="16"/>
          <w:szCs w:val="16"/>
          <w:color w:val="auto"/>
        </w:rPr>
      </w:pPr>
    </w:p>
    <w:p>
      <w:pPr>
        <w:ind w:left="580" w:right="180" w:hanging="5"/>
        <w:spacing w:after="0" w:line="277" w:lineRule="auto"/>
        <w:tabs>
          <w:tab w:leader="none" w:pos="7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760" w:hanging="18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25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25" w:lineRule="exact"/>
        <w:rPr>
          <w:sz w:val="20"/>
          <w:szCs w:val="20"/>
          <w:color w:val="auto"/>
        </w:rPr>
      </w:pPr>
    </w:p>
    <w:p>
      <w:pPr>
        <w:ind w:firstLine="648"/>
        <w:spacing w:after="0" w:line="280" w:lineRule="auto"/>
        <w:rPr>
          <w:sz w:val="20"/>
          <w:szCs w:val="20"/>
          <w:color w:val="auto"/>
        </w:rPr>
      </w:pPr>
      <w:r>
        <w:rPr>
          <w:rFonts w:ascii="Arial" w:cs="Arial" w:eastAsia="Arial" w:hAnsi="Arial"/>
          <w:sz w:val="17"/>
          <w:szCs w:val="17"/>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196" w:lineRule="exact"/>
        <w:rPr>
          <w:sz w:val="20"/>
          <w:szCs w:val="20"/>
          <w:color w:val="auto"/>
        </w:rPr>
      </w:pPr>
    </w:p>
    <w:p>
      <w:pPr>
        <w:ind w:right="80" w:firstLine="648"/>
        <w:spacing w:after="0" w:line="290" w:lineRule="auto"/>
        <w:rPr>
          <w:sz w:val="20"/>
          <w:szCs w:val="20"/>
          <w:color w:val="auto"/>
        </w:rPr>
      </w:pPr>
      <w:r>
        <w:rPr>
          <w:rFonts w:ascii="Arial" w:cs="Arial" w:eastAsia="Arial" w:hAnsi="Arial"/>
          <w:sz w:val="17"/>
          <w:szCs w:val="17"/>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net carrying amount of the liability component of the convertible senior notes outstanding as of June 30, 2022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right"/>
              <w:ind w:right="572"/>
              <w:spacing w:after="0"/>
              <w:rPr>
                <w:sz w:val="20"/>
                <w:szCs w:val="20"/>
                <w:color w:val="auto"/>
              </w:rPr>
            </w:pPr>
            <w:r>
              <w:rPr>
                <w:rFonts w:ascii="Arial" w:cs="Arial" w:eastAsia="Arial" w:hAnsi="Arial"/>
                <w:sz w:val="16"/>
                <w:szCs w:val="16"/>
                <w:b w:val="1"/>
                <w:bCs w:val="1"/>
                <w:color w:val="auto"/>
              </w:rPr>
              <w:t>June 30, 2022</w:t>
            </w:r>
          </w:p>
        </w:tc>
      </w:tr>
      <w:tr>
        <w:trPr>
          <w:trHeight w:val="23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issuance costs</w:t>
            </w: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(18,332)</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1,706,668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8"/>
          <w:szCs w:val="18"/>
          <w:color w:val="auto"/>
        </w:rPr>
        <w:t>The 2026 Notes do not bear interest. For the year ended June 30, 2022, we recognized $2.4 million, of interest expense related to the amortization of debt discount and issuance costs in the consolidated statement of operations and comprehensive loss within other (expense) income, net. As of June 30, 2022, the remaining life of the 2026 Notes is approximately 53 months.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January 19, 2021, we entered into a revolving credit agreement with a syndicate of commercial banks for a $185.0 million unsecured revolving credit facility with a final maturity date of January 19, 2024. Effective December 15, 2021, we executed our right to terminate the revolving credit agreement and no early termination penalties were incurred. As of December 15, 2021, we had not drawn on the facility and there was no outstanding balance to be repaid. Upon termination, we accelerated the amortization of $1.2 million of issuance costs which were recorded in other (expense) income, net.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On February 4, 2022, we entered into a new revolving credit agreement with a syndicate of commercial banks for a $165.0 million unsecured revolving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On May 16, 2022, we increased unsecured revolving commitments under the facility to $205.0 million. This facility bears interest at a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at our option, either (a) a Secured Overnight Financing Rate (“SOFR”) rate determined by reference to the forward-looking term SOFR rate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interest period, plus an applicable margin of 1.85% per annum or (b) a base rate determined by reference to the highest of (i) the federal funds rate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0.50% per annum, (ii) the rate last quoted by the Wall Street Journal as the U.S. prime rate and (iii) the one-month forward-looking term SOFR rate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per annum, in each case, plus an applicable margin of 0.85% per annum. The revolving credit agreement has a final maturity date of February 4,</w:t>
      </w:r>
    </w:p>
    <w:p>
      <w:pPr>
        <w:spacing w:after="0" w:line="3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2025. The facility contains certain covenants and restrictions, including certain financial maintenance covenants, and requires payment of a monthly unused commitment fee of 0.20% per annum on the undrawn balance available. There are no borrowings outstanding under the facility as of June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Securitization and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consolidate VIEs when we are deemed to be the primary beneficiary.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66" w:lineRule="exact"/>
        <w:rPr>
          <w:sz w:val="20"/>
          <w:szCs w:val="20"/>
          <w:color w:val="auto"/>
        </w:rPr>
      </w:pPr>
    </w:p>
    <w:p>
      <w:pPr>
        <w:ind w:right="180" w:firstLine="648"/>
        <w:spacing w:after="0" w:line="280" w:lineRule="auto"/>
        <w:rPr>
          <w:sz w:val="20"/>
          <w:szCs w:val="20"/>
          <w:color w:val="auto"/>
        </w:rPr>
      </w:pPr>
      <w:r>
        <w:rPr>
          <w:rFonts w:ascii="Arial" w:cs="Arial" w:eastAsia="Arial" w:hAnsi="Arial"/>
          <w:sz w:val="17"/>
          <w:szCs w:val="17"/>
          <w:color w:val="auto"/>
        </w:rPr>
        <w:t>We established certain entities, deemed to be VIEs, to enter into warehouse credit facilities for the purpose of purchasing loans from our originating bank partners and funding self-originated loans. Refer to Note 11.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Securitizations</w:t>
      </w:r>
    </w:p>
    <w:p>
      <w:pPr>
        <w:spacing w:after="0" w:line="252" w:lineRule="exact"/>
        <w:rPr>
          <w:sz w:val="20"/>
          <w:szCs w:val="20"/>
          <w:color w:val="auto"/>
        </w:rPr>
      </w:pPr>
    </w:p>
    <w:p>
      <w:pPr>
        <w:ind w:right="220" w:firstLine="648"/>
        <w:spacing w:after="0" w:line="284"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193"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07" w:lineRule="exact"/>
        <w:rPr>
          <w:sz w:val="20"/>
          <w:szCs w:val="20"/>
          <w:color w:val="auto"/>
        </w:rPr>
      </w:pPr>
    </w:p>
    <w:p>
      <w:pPr>
        <w:ind w:right="240" w:firstLine="648"/>
        <w:spacing w:after="0" w:line="359" w:lineRule="auto"/>
        <w:rPr>
          <w:sz w:val="20"/>
          <w:szCs w:val="20"/>
          <w:color w:val="auto"/>
        </w:rPr>
      </w:pPr>
      <w:r>
        <w:rPr>
          <w:rFonts w:ascii="Arial" w:cs="Arial" w:eastAsia="Arial" w:hAnsi="Arial"/>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3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consolidated balance sheets.</w:t>
      </w:r>
    </w:p>
    <w:p>
      <w:pPr>
        <w:spacing w:after="0" w:line="211" w:lineRule="exact"/>
        <w:rPr>
          <w:sz w:val="20"/>
          <w:szCs w:val="20"/>
          <w:color w:val="auto"/>
        </w:rPr>
      </w:pPr>
    </w:p>
    <w:p>
      <w:pPr>
        <w:ind w:right="20" w:firstLine="648"/>
        <w:spacing w:after="0" w:line="278" w:lineRule="auto"/>
        <w:rPr>
          <w:sz w:val="20"/>
          <w:szCs w:val="20"/>
          <w:color w:val="auto"/>
        </w:rPr>
      </w:pPr>
      <w:r>
        <w:rPr>
          <w:rFonts w:ascii="Arial" w:cs="Arial" w:eastAsia="Arial" w:hAnsi="Arial"/>
          <w:sz w:val="17"/>
          <w:szCs w:val="17"/>
          <w:color w:val="auto"/>
        </w:rPr>
        <w:t>As of June 30, 2022, we consolidated Affirm Asset Securitization Trust 2020-Z1 (“2020-Z1”), Affirm Asset Securitization Trust 2020-A (“2020-A”), Affirm Asset Securitization Trust 2020-Z2 (“2020-Z2”), Affirm Asset Securitization Trust 2021-A (“2021-A”), Affirm Asset Securitization Trust 2021-B (“2021-B”), and Affirm Asset Securitization Trust 2022-A (“2022-A”). Each securitization trust issued interest-bearing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$2,554.3 million. The 2020-Z1 and 2020-Z2 securitizations are secured by static pools of loans contributed at closing, whereas the 2021-A, 2021-B, and 2022-A securitizations are revolving and we may contribute additional loans from time to time until the end of the revolving period. For the 2020-Z2 securitization, we purchased $27.9 million of loan receivables from our third-party loan buyers which were then contributed to the trust.</w:t>
      </w:r>
    </w:p>
    <w:p>
      <w:pPr>
        <w:spacing w:after="0" w:line="2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For each securitization, the residual certificates represent the right to receive excess cash on the loans each collection period after all fees and required distributions have been made to the note holders on the related payment date. For 2020-Z1, 2020-A, 2021-A, 2021-B, and 2022-A, all notes were sold to third-party investors and we retained 100% of the residual certificates issued by the securitization trusts. For 2020-Z2, all notes were sold to third-party investors and we retained 93.3% of the residual certificates issued by the securitization trust, and a third-party investor holds the remaining 6.7% of the residual certificates in 2020-Z2. The residual trust certificates held by third-party investors are measured at fair value, using a discounted cash flow model, and presented within accrued expenses and other liabilities on the consolidated balance sheets. In addition to the retained residual certificates, our continued involvement includes loan servicing responsibilities over the life of the underlying loans.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defer and amortize debt issuance costs for consolidated securitization trusts on a straight-line basis over the expected life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2020-Z1</w:t>
      </w:r>
    </w:p>
    <w:p>
      <w:pPr>
        <w:spacing w:after="0" w:line="25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July 8, 2020, the notes under the 2020-Z1 securitization were issued as a single class: Class A in the amount of $150.0 million (the “2020-Z1 notes”). The 2020-Z1 notes bear interest at a fixed rate of 3.46% and have a maturity date of October 15, 2024. Principal and interest payments began in September 2020 and are payable monthly. These 2021-Z1 notes are recorded at amortized cost on the consolidated balance sheet. The 2020-Z1 notes held by third-party investors and the unamortized debt issuance costs are included in notes issued by securitization trusts with a balance of $30.5 million on the consolidated balance sheets at June 30, 2022 and are secured by loan receivables at amortized cost of $30.3 million included in loans held for investment on the consolidated balance sheets at June 30,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2020-A</w:t>
      </w:r>
    </w:p>
    <w:p>
      <w:pPr>
        <w:spacing w:after="0" w:line="252" w:lineRule="exact"/>
        <w:rPr>
          <w:sz w:val="20"/>
          <w:szCs w:val="20"/>
          <w:color w:val="auto"/>
        </w:rPr>
      </w:pPr>
    </w:p>
    <w:p>
      <w:pPr>
        <w:ind w:right="40" w:firstLine="648"/>
        <w:spacing w:after="0" w:line="300" w:lineRule="auto"/>
        <w:rPr>
          <w:sz w:val="20"/>
          <w:szCs w:val="20"/>
          <w:color w:val="auto"/>
        </w:rPr>
      </w:pPr>
      <w:r>
        <w:rPr>
          <w:rFonts w:ascii="Arial" w:cs="Arial" w:eastAsia="Arial" w:hAnsi="Arial"/>
          <w:sz w:val="16"/>
          <w:szCs w:val="16"/>
          <w:color w:val="auto"/>
        </w:rPr>
        <w:t>On August 5, 2020, the notes under the 2020-A securitization were issued in three classes: Class A in the amount of $330.0 million, Class B in the amount of $16.2 million, and Class C in the amount of $22.1 million (collectively, the “2020-A notes”). On April 15, 2022, we exercised the optional redemption right under the 2020-A securitization where Affirm as the 100% residual certificate owner repurchased the outstanding receivables at a repurchase price of $234.0 million which was equal to the fair market value of the receivables as of the last day of the related collection period. All of the outstanding 2020-A notes were paid at the aggregate redemption price of $280.4 million. The Class A, Class B, and Class C notes previously bore interest at a fixed rate of 2.10%, 3.54%, and 6.23%, respectively, and each class had a final maturity date of February 18,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2020-Z2</w:t>
      </w:r>
    </w:p>
    <w:p>
      <w:pPr>
        <w:spacing w:after="0" w:line="252"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color w:val="auto"/>
        </w:rPr>
        <w:t>On October 22, 2020, the notes under the 2020-Z2 securitization were issued as a single class: Class A in the amount of $375.0 million (the “2020-Z2 notes”). The 2020-Z2 notes bear interest at a fixed rate of 1.90% and have a maturity date of January 15, 2025. Principal and interest payments began in December 2020 and are payable monthly. These 2020-Z2 notes are recorded at amortized cost on the consolidated balance sheet. The notes held by third-party investors and the unamortized debt issuance costs are included in the 2020-Z2 notes issued by securitization trusts with a balance of $102.0 million on the consolidated balance sheets at June 30, 2022 and are secured by loan receivables at amortized cost of $101.2 million included in loans held for investment on the consolidated balance sheets at June 30, 2022. The residual trust certificates held by third-party investors are measured at fair value using a discounted cash flow model, and presented within accrued expenses and other liabilities on the consolidated balance sheets. See Note 14. Fair Value of Financial Assets and Liabilities for additional information on the fair value sensitivity of these asset-backed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18, 2021, the notes under the 2021-A securitization were issued in five classes: Class A in the amount of $407.2 million, Class B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amount of $30.3 million, Class C in the amount of $21.0 million, Class D in the amount of $22.5 million, and Class E in the amount of $19.0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“2021-A notes”). The Class A, Class B, Class C, Class D, and Class E notes bear interest at a fixed rate of 0.88%, 1.06%, 1.66%, 3.49%,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5.65%, respectively, and each class has a maturity date of August 15, 2025. Principal and interest payments began in March 2021 and are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monthly. These notes are recorded at amortized cost on the consolidated balance sheet. The associated debt issuance costs totaled $0.3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2022. The 2021-A notes held by third-party investors and the unamortized debt issuance costs are included in notes issued by securitization trusts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a balance of $500.0 million on the consolidated balance sheets at June 30, 2022 and are secured by loan receivables at amortized cost of $498.5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included in loans held for investment on the consolidated balance sheets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2021-B</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4, 2021, the notes under the 2021-B securitization were issued in five classes: Class A in the amount of $418.8 million, Class B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of $28.0 million, Class C in the amount of $19.8 million, Class D in the amount of $22.5 million, and Class E in the amount of $11.0 million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“2021-B notes”). The Class A, Class B, Class C, Class D, and Class E notes bear interest at a fixed rate of 1.03%, 1.24%, 1.40%, 2.54%,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4.61%, respectively, and each class has a maturity date of August 17, 2026. Principal and interest payments began in October 2021 and are payable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monthly. These notes are recorded at amortized cost on the consolidated balance sheet. The associated debt issuance costs totaled $1.8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2022. The 2021-B notes held by third-party investors and the unamortized debt issuance costs are included in notes issued by securitization trusts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balance of $500.0 million on the consolidated balance sheets at June 30, 2022 and are secured by loan receivables at amortized cost of $511.1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 included in loans held for investment on the consolidated balance sheets as of June 30, 2022.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2022-A</w:t>
      </w:r>
    </w:p>
    <w:p>
      <w:pPr>
        <w:spacing w:after="0" w:line="252" w:lineRule="exact"/>
        <w:rPr>
          <w:sz w:val="20"/>
          <w:szCs w:val="20"/>
          <w:color w:val="auto"/>
        </w:rPr>
      </w:pPr>
    </w:p>
    <w:p>
      <w:pPr>
        <w:ind w:right="20" w:firstLine="648"/>
        <w:spacing w:after="0" w:line="278" w:lineRule="auto"/>
        <w:rPr>
          <w:sz w:val="20"/>
          <w:szCs w:val="20"/>
          <w:color w:val="auto"/>
        </w:rPr>
      </w:pPr>
      <w:r>
        <w:rPr>
          <w:rFonts w:ascii="Arial" w:cs="Arial" w:eastAsia="Arial" w:hAnsi="Arial"/>
          <w:sz w:val="17"/>
          <w:szCs w:val="17"/>
          <w:color w:val="auto"/>
        </w:rPr>
        <w:t>On May 4, 2022 the notes under the 2022-A securitization issued in five classes: Class A in the amount of $405.6 million, Class B in the amount of $27.6 million, Class C in the amount of $26.8 million, Class D in the amount of $18.2 million, and Class E in the amount of $21.8 million (collectively, the “2022-A notes”). The Class A, Class B, Class C, Class D, and Class E notes bear interest at a fixed rate of 4.30%, 4.64%, 4.89%, 5.53%, and 8.04%, respectively and each class has a maturity date of May 17, 2027. Principal and interest payments will begin July 2022 and are payable monthly. These notes are recorded at amortized cost on the consolidated balance sheet. The associated debt issuance costs totaled $2.7 million as of June 30, 2022. The 2022-A notes held by third-party investors and the unamortized debt issuance costs are included in notes issued by securitization trusts with a balance of $499.9 million on the consolidated balance sheets at June 30, 2022 and are secured by loan receivables at amortized cost of $519.6 million included in loans held for investment on the consolidated balance sheets as of June 30, 2022.</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the aggregate carrying value of financial assets and liabilities from our involvement with consolidated VIEs.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2022</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28,785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87"/>
              </w:rPr>
              <w:t>46,955</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75,740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2"/>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2021</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73,315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2"/>
              <w:spacing w:after="0"/>
              <w:rPr>
                <w:sz w:val="20"/>
                <w:szCs w:val="20"/>
                <w:color w:val="auto"/>
              </w:rPr>
            </w:pPr>
            <w:r>
              <w:rPr>
                <w:rFonts w:ascii="Arial" w:cs="Arial" w:eastAsia="Arial" w:hAnsi="Arial"/>
                <w:sz w:val="18"/>
                <w:szCs w:val="18"/>
                <w:color w:val="auto"/>
                <w:w w:val="92"/>
              </w:rPr>
              <w:t>(63,118)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10,197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ind w:right="40" w:firstLine="648"/>
        <w:spacing w:after="0" w:line="320" w:lineRule="auto"/>
        <w:rPr>
          <w:sz w:val="20"/>
          <w:szCs w:val="20"/>
          <w:color w:val="auto"/>
        </w:rPr>
      </w:pPr>
      <w:r>
        <w:rPr>
          <w:rFonts w:ascii="Arial" w:cs="Arial" w:eastAsia="Arial" w:hAnsi="Arial"/>
          <w:sz w:val="16"/>
          <w:szCs w:val="16"/>
          <w:color w:val="auto"/>
        </w:rPr>
        <w:t>As of June 30, 2022, Affirm Asset Securitization Trust 2021-Z1 (“2021-Z1”), Affirm Asset Securitization Trust 2021-Z2 (“2021-Z2”), Affirm Asset Securitization Trust 2022-X1 (“2022-X1”), and Affirm Asset Securitization Trust 2022-Z1 (“2022-Z1”) were unconsolidated VIEs. We did not retain significant economic exposure through our variable interests and therefore we determined that we are not the primary beneficiary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each securitization, the residual certificates represent the right to receive excess cash on the loans each collection period after all fees and required distributions have been made to the note holders on the related payment date. For 2021-Z1, 2021-Z2, 2022-X1, and 2022-Z1, we retained a 5% vertical interest in each trust, respectively, via our ownership of 5% par amount of each class of notes, and 5% par amount of residual interests. The remaining 95% of notes and residual interests were sold to third-party investors.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2021-Z1</w:t>
      </w:r>
    </w:p>
    <w:p>
      <w:pPr>
        <w:spacing w:after="0" w:line="252" w:lineRule="exact"/>
        <w:rPr>
          <w:sz w:val="20"/>
          <w:szCs w:val="20"/>
          <w:color w:val="auto"/>
        </w:rPr>
      </w:pPr>
    </w:p>
    <w:p>
      <w:pPr>
        <w:jc w:val="both"/>
        <w:ind w:right="300" w:firstLine="648"/>
        <w:spacing w:after="0" w:line="271" w:lineRule="auto"/>
        <w:rPr>
          <w:sz w:val="20"/>
          <w:szCs w:val="20"/>
          <w:color w:val="auto"/>
        </w:rPr>
      </w:pPr>
      <w:r>
        <w:rPr>
          <w:rFonts w:ascii="Arial" w:cs="Arial" w:eastAsia="Arial" w:hAnsi="Arial"/>
          <w:sz w:val="18"/>
          <w:szCs w:val="18"/>
          <w:color w:val="auto"/>
        </w:rPr>
        <w:t>On May 5, 2021, the notes under 2021-Z1 securitization were issued as a single class: Class A in the amount of $320.0 million (the “2021-Z1 notes”). The 2021-Z1 notes bear interest at a fixed rate of 1.07% and have a maturity date of August 15, 2025. Principal and interest payments began in June 2021 and are payable monthly.</w:t>
      </w:r>
    </w:p>
    <w:p>
      <w:pPr>
        <w:spacing w:after="0" w:line="20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2021-Z1 securitization is secured by a static pool of loans which were contributed at the closing date to the 2021-Z1 trust. The loans contributed at closing were facilitated through our technology platform and purchased from our originating bank partners, with an aggregate outstanding principal balance of $351.0 million. Of the loans sold to the 2021-Z1 trust, we purchased $41.4 million of loan receivables from one of our third-party loan buyers, which were contributed to the trust at closing.</w:t>
      </w:r>
    </w:p>
    <w:p>
      <w:pPr>
        <w:spacing w:after="0" w:line="22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At closing, we retained 5% of the 2021-Z1 notes and 86.9% of the residual certificates issued by the 2021-Z1 trust. The third-party loan contributor received 13.1% of the residual certificates at closing. On May 17, 2021, we sold a majority of the residual certificates retained at closing, comprising 81.9% of the par value, to five third-party investors. Subsequent to this sale, we retained only a 5% vertical interest in the 2021-Z1 trust via our ownership of 5% par amount of the 2021-Z1 notes and 5% par amount of the residual interests. We were required to retain these interests for compliance with U.S. risk retention rules.</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We initially consolidated the 2021-Z1 trust at closing due to retaining a majority of the residual interest. However, upon completing the subsequent third-party sale of 81.9% of the residual certificates on May 17, 2021, we determined that we no longer had significant economic exposure through our variable interests and as such, we determined that we were no longer the primary beneficiary as of this date.</w:t>
      </w:r>
    </w:p>
    <w:p>
      <w:pPr>
        <w:spacing w:after="0" w:line="20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Upon deconsolidating the 2021-Z1 trust, we recognized a gain of $16.7 million, which is included within gain on sale of loans in our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2021-Z2</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November 10, 2021, the notes under 2021-Z2 securitization were issued as a single class: Class A in the amount of $260.0 million (the “2021-Z2 notes”). The 2021-Z2 notes bear interest at a fixed rate of 1.17% and have a maturity date of November 16, 2026. Principal and interest payments began in January 2022 and are payable monthly.</w:t>
      </w:r>
    </w:p>
    <w:p>
      <w:pPr>
        <w:spacing w:after="0" w:line="20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2021-Z2 securitization is secured by a static pool of loans which were contributed at the closing date to the 2021-Z2 trust. The loans contributed at closing were facilitated through our technology platform and purchased from our originating bank partners, with an aggregate outstanding principal balance of $287.5 million. Of the loans sold to the 2021-Z2 trust, we purchased $192.5 million of loan receivables from one of our third-party loan buyers, which were contributed to the trust at closing.</w:t>
      </w:r>
    </w:p>
    <w:p>
      <w:pPr>
        <w:spacing w:after="0" w:line="223"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At closing, we retained only a 5% vertical interest in the 2021-Z2 trust via our ownership of 5% par amount of the 2021-Z2 notes and 5% par amount of the residual interests. We were required to retain these interests for compliance with U.S. risk retention rules. The third-party loan contributor received 95% of the residual certificates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the closing date of the 2021-Z2 trust, we recognized a gain on sales of loans sold to the trust of $6.1 million, which is included within gain on sales of loans in our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2022-X1</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On February 9, 2022, the notes under 2022-X1 securitization were issued as a single class: Class A in the amount of $366.5 million (the “2022-X1 notes”). The 2022-X1 notes bear interest at a fixed rate of 1.75% and have a maturity date of February 16, 2027. Principal and interest payments began in April 2022 and are payable monthly.</w:t>
      </w:r>
    </w:p>
    <w:p>
      <w:pPr>
        <w:spacing w:after="0" w:line="203" w:lineRule="exact"/>
        <w:rPr>
          <w:sz w:val="20"/>
          <w:szCs w:val="20"/>
          <w:color w:val="auto"/>
        </w:rPr>
      </w:pPr>
    </w:p>
    <w:p>
      <w:pPr>
        <w:ind w:right="240" w:firstLine="648"/>
        <w:spacing w:after="0" w:line="269" w:lineRule="auto"/>
        <w:rPr>
          <w:sz w:val="20"/>
          <w:szCs w:val="20"/>
          <w:color w:val="auto"/>
        </w:rPr>
      </w:pPr>
      <w:r>
        <w:rPr>
          <w:rFonts w:ascii="Arial" w:cs="Arial" w:eastAsia="Arial" w:hAnsi="Arial"/>
          <w:sz w:val="18"/>
          <w:szCs w:val="18"/>
          <w:color w:val="auto"/>
        </w:rPr>
        <w:t>The 2022-X1 securitization is secured by a static pool of loans which were contributed at the closing date to the 2022-X1 trust. The loans contributed at closing were facilitated through our technology platform and originated by us or purchased from our originating bank partners, with an aggregate outstanding principal balance of $406.2 million. Of the loans sold to the 2022-X1 trust, we purchased $258.3 million of loan receivables from two of our third-party loan buyers, which were contributed to the trust at closing.</w:t>
      </w:r>
    </w:p>
    <w:p>
      <w:pPr>
        <w:spacing w:after="0" w:line="206"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At closing, we retained only a 5% vertical interest in the 2022-X1 trust via our ownership of 5% par amount of the 2022-X1 notes and 5% par amount of the residual interests. We were required to retain these interests for compliance with U.S. risk retention rules. The remaining 95% of the residual certificates were sold to third-party investors at closing.</w:t>
      </w:r>
    </w:p>
    <w:p>
      <w:pPr>
        <w:spacing w:after="0" w:line="20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the closing date of the 2022-X1 trust, we recognized gain on sales of loans sold to the trust of $13.1 million, which is included within gain on sales of loans in our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2022-Z1</w:t>
      </w:r>
    </w:p>
    <w:p>
      <w:pPr>
        <w:spacing w:after="0" w:line="2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June 22, 2022, the notes under 2022-Z1 securitization were issued in two classes: Class A in the amount of $356.0 million and Class B in the amount of $15.5 million (collectively the “2022-Z1 notes”). The 2022-Z1 notes bear interest at a fixed rate of 4.55% and 6.49%, respectively and each class has a maturity date of June 15, 2027. Principal and interest payments begin in August 2022 and are payable monthly.</w:t>
      </w:r>
    </w:p>
    <w:p>
      <w:pPr>
        <w:spacing w:after="0" w:line="191" w:lineRule="exact"/>
        <w:rPr>
          <w:sz w:val="20"/>
          <w:szCs w:val="20"/>
          <w:color w:val="auto"/>
        </w:rPr>
      </w:pPr>
    </w:p>
    <w:p>
      <w:pPr>
        <w:ind w:right="260" w:firstLine="648"/>
        <w:spacing w:after="0" w:line="269" w:lineRule="auto"/>
        <w:rPr>
          <w:sz w:val="20"/>
          <w:szCs w:val="20"/>
          <w:color w:val="auto"/>
        </w:rPr>
      </w:pPr>
      <w:r>
        <w:rPr>
          <w:rFonts w:ascii="Arial" w:cs="Arial" w:eastAsia="Arial" w:hAnsi="Arial"/>
          <w:sz w:val="18"/>
          <w:szCs w:val="18"/>
          <w:color w:val="auto"/>
        </w:rPr>
        <w:t>The 2022-Z1 securitization is secured by a static pool of loans which were contributed at the closing date to the 2022-Z1 trust. The loans contributed at closing were facilitated through our technology platform and originated by us or purchased from our originating bank partners, with an aggregate outstanding principal balance of $420.3 million. Of the loans sold to the 2022-Z1 trust, we purchased $251.7 million of loan receivables from one of our third-party loan buyers, which were contributed to the trust at closing.</w:t>
      </w:r>
    </w:p>
    <w:p>
      <w:pPr>
        <w:spacing w:after="0" w:line="206"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At closing, we retained only a 5% vertical interest in the 2022-Z1 trust via our ownership of 5% par amount of the 2022-Z1 notes and 5% par amount of the residual interests. We were required to retain these interests for compliance with U.S. risk retention rules. The remaining 95% of the residual certificates were sold to third-party investors at closing.</w:t>
      </w:r>
    </w:p>
    <w:p>
      <w:pPr>
        <w:spacing w:after="0" w:line="203" w:lineRule="exact"/>
        <w:rPr>
          <w:sz w:val="20"/>
          <w:szCs w:val="20"/>
          <w:color w:val="auto"/>
        </w:rPr>
      </w:pPr>
    </w:p>
    <w:p>
      <w:pPr>
        <w:ind w:right="420" w:firstLine="648"/>
        <w:spacing w:after="0" w:line="293" w:lineRule="auto"/>
        <w:rPr>
          <w:sz w:val="20"/>
          <w:szCs w:val="20"/>
          <w:color w:val="auto"/>
        </w:rPr>
      </w:pPr>
      <w:r>
        <w:rPr>
          <w:rFonts w:ascii="Arial" w:cs="Arial" w:eastAsia="Arial" w:hAnsi="Arial"/>
          <w:sz w:val="18"/>
          <w:szCs w:val="18"/>
          <w:color w:val="auto"/>
        </w:rPr>
        <w:t>On the closing date of the 2022-Z1 trust, the amount recognized within gain on sale of loans sold to the trust was immaterial, this is included within gain on sales of loans in our consolidated statements of operations and comprehensive loss.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pertains to unconsolidated VIEs where we hold a variable interest but are not the primary beneficiary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996,242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51,248</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304,567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304,567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Assets of unconsolidated VIEs include the carrying value for loans held in the 2021-Z1, 2021-Z2, 2022-X1, and 2022-Z1 trust and cash held in the collection and reserve accounts established for the trust. Liabilities include the outstanding principal balance of the 2021-Z1, 2021-Z2, 2022-X1, and 2022-Z1 notes.</w:t>
      </w:r>
    </w:p>
    <w:p>
      <w:pPr>
        <w:spacing w:after="0" w:line="203"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242424"/>
        </w:rPr>
        <w:t xml:space="preserve">Maximum </w:t>
      </w:r>
      <w:r>
        <w:rPr>
          <w:rFonts w:ascii="Arial" w:cs="Arial" w:eastAsia="Arial" w:hAnsi="Arial"/>
          <w:sz w:val="18"/>
          <w:szCs w:val="18"/>
          <w:color w:val="000000"/>
        </w:rPr>
        <w:t>exposure to losses represents our exposure through our continuing involvement as servicer and through our retained interests. For 2021-Z1, 2021-Z2, 2022-X1 and 2022-Z1, this includes $51.7 million in retained notes and residual certificates disclosed within securities available for sale at fair value in our consolidated balance sheets and $0.4 million related to our servicing liabilities and receivables disclosed within other assets in our consolidated balance sheets as of June 30, 2022.</w:t>
      </w:r>
    </w:p>
    <w:p>
      <w:pPr>
        <w:spacing w:after="0" w:line="206"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Additionally, we may experience a loss due to future repurchase obligations resulting from breaches in representations and warranties in our securitization and third-party sale agreements. In connection with 2021-Z1, 2021-Z2, 2022-X1 and 2022-Z1, this amount was not material as of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Beneficial Interests in Unconsolidated VIEs</w:t>
      </w:r>
    </w:p>
    <w:p>
      <w:pPr>
        <w:spacing w:after="0" w:line="266"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2021-Z1, 2021-Z2, 2022-X1, and 2022-Z1 as “available for sale” and as such they are disclosed at fair value in our consolidated balance sheets.</w:t>
      </w:r>
    </w:p>
    <w:p>
      <w:pPr>
        <w:spacing w:after="0" w:line="18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See Note 13. Investments and Note 14. Fair Value of Financial Assets and Liabilities for additional information on the fair value sensitivity of the notes receivable and residual certificates. Additionally, as of June 30, 2022, we have pledged the 2021-Z1, 2021-Z2, and 2022-X1 retained beneficial interests as collateral in connection with a sale and repurchase agreement as described in Note 11. Debt.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Marketable securities include certain investments classified as cash and cash equivalents and securities available for sale, at fair value, and consist of the following as of each date presented within the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2022</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162,483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143,241</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229,272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bonds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US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58,541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available for sale:</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300,390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478,293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bonds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Non-US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17,955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Securitization notes receivable and certificates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159,411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19"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These securities, excluding 2022-Z1, have been pledged as collateral in connection with sale and repurchase agreements as discussed within Note</w:t>
      </w:r>
    </w:p>
    <w:p>
      <w:pPr>
        <w:spacing w:after="0" w:line="1" w:lineRule="exact"/>
        <w:rPr>
          <w:rFonts w:ascii="Arial" w:cs="Arial" w:eastAsia="Arial" w:hAnsi="Arial"/>
          <w:sz w:val="21"/>
          <w:szCs w:val="21"/>
          <w:b w:val="1"/>
          <w:bCs w:val="1"/>
          <w:color w:val="auto"/>
          <w:vertAlign w:val="superscript"/>
        </w:rPr>
      </w:pPr>
    </w:p>
    <w:p>
      <w:pPr>
        <w:ind w:left="920" w:hanging="264"/>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Debt.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 for Sale, at Fair Value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June 30, 2022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6"/>
                <w:szCs w:val="16"/>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center"/>
              <w:ind w:left="8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436,927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Securitization notes receivable and certificates </w:t>
            </w:r>
            <w:r>
              <w:rPr>
                <w:rFonts w:ascii="Arial" w:cs="Arial" w:eastAsia="Arial" w:hAnsi="Arial"/>
                <w:sz w:val="23"/>
                <w:szCs w:val="23"/>
                <w:color w:val="auto"/>
                <w:w w:val="94"/>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872"/>
              <w:spacing w:after="0"/>
              <w:rPr>
                <w:sz w:val="20"/>
                <w:szCs w:val="20"/>
                <w:color w:val="auto"/>
              </w:rPr>
            </w:pPr>
            <w:r>
              <w:rPr>
                <w:rFonts w:ascii="Arial" w:cs="Arial" w:eastAsia="Arial" w:hAnsi="Arial"/>
                <w:sz w:val="18"/>
                <w:szCs w:val="18"/>
                <w:color w:val="auto"/>
                <w:w w:val="93"/>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1,907,255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872"/>
              <w:spacing w:after="0"/>
              <w:rPr>
                <w:sz w:val="20"/>
                <w:szCs w:val="20"/>
                <w:color w:val="auto"/>
              </w:rPr>
            </w:pPr>
            <w:r>
              <w:rPr>
                <w:rFonts w:ascii="Arial" w:cs="Arial" w:eastAsia="Arial" w:hAnsi="Arial"/>
                <w:sz w:val="18"/>
                <w:szCs w:val="18"/>
                <w:color w:val="auto"/>
                <w:w w:val="93"/>
              </w:rPr>
              <w:t>(21)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660" w:right="760" w:hanging="328"/>
        <w:spacing w:after="0" w:line="227"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Certificates of deposit, corporate bonds, commercial paper, and US government bonds include $303.8 million classified as cash and cash equivalents within the consolidated balance sheets.</w:t>
      </w:r>
    </w:p>
    <w:p>
      <w:pPr>
        <w:ind w:left="640" w:hanging="308"/>
        <w:spacing w:after="0" w:line="214" w:lineRule="auto"/>
        <w:tabs>
          <w:tab w:leader="none" w:pos="640" w:val="left"/>
        </w:tabs>
        <w:numPr>
          <w:ilvl w:val="0"/>
          <w:numId w:val="44"/>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These securities, excluding 2022-Z1, have been pledged as collateral in connection with sale and repurchase agreements as discussed within Note</w:t>
      </w:r>
    </w:p>
    <w:p>
      <w:pPr>
        <w:spacing w:after="0" w:line="2" w:lineRule="exact"/>
        <w:rPr>
          <w:rFonts w:ascii="Arial" w:cs="Arial" w:eastAsia="Arial" w:hAnsi="Arial"/>
          <w:sz w:val="21"/>
          <w:szCs w:val="21"/>
          <w:b w:val="1"/>
          <w:bCs w:val="1"/>
          <w:color w:val="auto"/>
          <w:vertAlign w:val="superscript"/>
        </w:rPr>
      </w:pPr>
    </w:p>
    <w:p>
      <w:pPr>
        <w:ind w:left="920" w:hanging="264"/>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June 30, 2021 were as follows (in thousands):</w:t>
      </w:r>
    </w:p>
    <w:tbl>
      <w:tblPr>
        <w:tblLayout w:type="fixed"/>
        <w:tblInd w:w="0" w:type="dxa"/>
        <w:tblCellMar>
          <w:top w:w="0" w:type="dxa"/>
          <w:left w:w="0" w:type="dxa"/>
          <w:bottom w:w="0" w:type="dxa"/>
          <w:right w:w="0" w:type="dxa"/>
        </w:tblCellMar>
      </w:tblPr>
      <w:tr>
        <w:trPr>
          <w:trHeight w:val="163"/>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63"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63"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4"/>
                <w:szCs w:val="14"/>
                <w:color w:val="auto"/>
              </w:rPr>
            </w:pPr>
          </w:p>
        </w:tc>
        <w:tc>
          <w:tcPr>
            <w:tcW w:w="1420" w:type="dxa"/>
            <w:vAlign w:val="bottom"/>
            <w:gridSpan w:val="2"/>
          </w:tcPr>
          <w:p>
            <w:pPr>
              <w:ind w:left="80"/>
              <w:spacing w:after="0" w:line="163"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4"/>
                <w:szCs w:val="14"/>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notes receivable and certificates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June 30, 2022 and June 30, 2021, there were no material reversals of prior period allowance for credit losses recognized for available for sale securities.</w:t>
      </w:r>
    </w:p>
    <w:p>
      <w:pPr>
        <w:spacing w:after="0" w:line="19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June 30, 2022, is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Arial" w:cs="Arial" w:eastAsia="Arial" w:hAnsi="Arial"/>
                <w:sz w:val="16"/>
                <w:szCs w:val="16"/>
                <w:b w:val="1"/>
                <w:bCs w:val="1"/>
                <w:color w:val="auto"/>
              </w:rPr>
              <w:t>Less than or equal to 1 year</w:t>
            </w:r>
          </w:p>
        </w:tc>
        <w:tc>
          <w:tcPr>
            <w:tcW w:w="16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Arial" w:cs="Arial" w:eastAsia="Arial" w:hAnsi="Arial"/>
                <w:sz w:val="16"/>
                <w:szCs w:val="16"/>
                <w:b w:val="1"/>
                <w:bCs w:val="1"/>
                <w:color w:val="auto"/>
              </w:rPr>
              <w:t>Greater than 1 year</w:t>
            </w: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60"/>
              <w:spacing w:after="0" w:line="158" w:lineRule="exact"/>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32"/>
              <w:spacing w:after="0" w:line="158" w:lineRule="exact"/>
              <w:rPr>
                <w:sz w:val="20"/>
                <w:szCs w:val="20"/>
                <w:color w:val="auto"/>
              </w:rPr>
            </w:pPr>
            <w:r>
              <w:rPr>
                <w:rFonts w:ascii="Arial" w:cs="Arial" w:eastAsia="Arial" w:hAnsi="Arial"/>
                <w:sz w:val="16"/>
                <w:szCs w:val="16"/>
                <w:b w:val="1"/>
                <w:bCs w:val="1"/>
                <w:color w:val="auto"/>
                <w:w w:val="96"/>
              </w:rPr>
              <w:t>Unrealized</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431,903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Securitization notes receivable and certificates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The number of positions with unrealized losses as of June 30, 2022 totaled 270.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securities available for sale with unrealized losses for which an allowance for credit losses had not been recorded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length of time to contractual maturities of securities available for sale as of June 30, 2022,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Within 1 year</w:t>
            </w:r>
          </w:p>
        </w:tc>
        <w:tc>
          <w:tcPr>
            <w:tcW w:w="12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Greater than 1 year, less than or</w:t>
            </w:r>
          </w:p>
        </w:tc>
        <w:tc>
          <w:tcPr>
            <w:tcW w:w="280" w:type="dxa"/>
            <w:vAlign w:val="bottom"/>
          </w:tcPr>
          <w:p>
            <w:pPr>
              <w:spacing w:after="0"/>
              <w:rPr>
                <w:sz w:val="16"/>
                <w:szCs w:val="16"/>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equal to 5 years</w:t>
            </w:r>
          </w:p>
        </w:tc>
        <w:tc>
          <w:tcPr>
            <w:tcW w:w="2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3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371,907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Arial" w:cs="Arial" w:eastAsia="Arial" w:hAnsi="Arial"/>
                <w:sz w:val="18"/>
                <w:szCs w:val="18"/>
                <w:color w:val="auto"/>
              </w:rPr>
              <w:t>US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438,947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436,927</w:t>
            </w: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1,604,885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1,907,255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1,899,212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life of expected cash flows as of June 30, 2022.</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Gross proceeds from matured or redeemed securities for the year ended June 30, 2022 were $2,187.8 million.</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available for sale securities realized gains and losses from portfolio sales were not material for the year ended June 30, 2022 and there were no portfolio sales or associated realized gains or losses for the year 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Equity investments without a readily determinable fair value held at cost were $43.2 million and $11.3 million as of June 30, 2022 and June 30, 2021, respectively, and are included in other assets within the consolidated balance sheets.</w:t>
      </w:r>
    </w:p>
    <w:p>
      <w:pPr>
        <w:spacing w:after="0" w:line="19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There have been no unrealized or realized gains and losses due to observable changes in orderly transactions and we did not record any impairment for the years ended June 30, 2022 or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2022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Government bonds - 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58,541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300,390</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368,671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478,293</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378,386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378,386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5900" w:type="dxa"/>
            <w:vAlign w:val="bottom"/>
          </w:tcPr>
          <w:p>
            <w:pPr>
              <w:ind w:left="460"/>
              <w:spacing w:after="0"/>
              <w:rPr>
                <w:sz w:val="20"/>
                <w:szCs w:val="20"/>
                <w:color w:val="auto"/>
              </w:rPr>
            </w:pPr>
            <w:r>
              <w:rPr>
                <w:rFonts w:ascii="Arial" w:cs="Arial" w:eastAsia="Arial" w:hAnsi="Arial"/>
                <w:sz w:val="18"/>
                <w:szCs w:val="18"/>
                <w:color w:val="auto"/>
              </w:rPr>
              <w:t>Total securities available for sale</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1,543,695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1,595,373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162,483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1,897,517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2,112,870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23,348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30,095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30,095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12"/>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143,241</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143,241</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2,880</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18,519</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164,640</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3,961</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153,447</w:t>
            </w:r>
          </w:p>
        </w:tc>
      </w:tr>
      <w:tr>
        <w:trPr>
          <w:trHeight w:val="230"/>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162,076</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162,076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periods ended June 30, 2022 and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(Level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Available for Sale</w:t>
      </w:r>
    </w:p>
    <w:p>
      <w:pPr>
        <w:spacing w:after="0" w:line="25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June 30, 2022, we held marketable securities classified as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objective in holding derivatives is to reduce the volatility in cash flows associated with our funding activities, arising from changes in interest rates. We do not employ derivatives for trading or speculative purposes.</w:t>
      </w:r>
    </w:p>
    <w:p>
      <w:pPr>
        <w:spacing w:after="0" w:line="184" w:lineRule="exact"/>
        <w:rPr>
          <w:sz w:val="20"/>
          <w:szCs w:val="20"/>
          <w:color w:val="auto"/>
        </w:rPr>
      </w:pPr>
    </w:p>
    <w:p>
      <w:pPr>
        <w:ind w:right="40" w:firstLine="648"/>
        <w:spacing w:after="0" w:line="324" w:lineRule="auto"/>
        <w:rPr>
          <w:sz w:val="20"/>
          <w:szCs w:val="20"/>
          <w:color w:val="auto"/>
        </w:rPr>
      </w:pPr>
      <w:r>
        <w:rPr>
          <w:rFonts w:ascii="Arial" w:cs="Arial" w:eastAsia="Arial" w:hAnsi="Arial"/>
          <w:sz w:val="16"/>
          <w:szCs w:val="16"/>
          <w:color w:val="auto"/>
        </w:rPr>
        <w:t>As of June 30, 2022 and June 30, 2021, we used a combination of interest rate cap agreements and interest rate swaps to manage interest costs and the risk associated with variable interest rates. Neither the interest rate caps or the interest rate swaps have been designated as hedging instruments.</w:t>
      </w:r>
    </w:p>
    <w:p>
      <w:pPr>
        <w:spacing w:after="0" w:line="165"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As of June 30, 2022 and June 30, 2021, the interest rate caps and interest rate swaps are in a net asset position, and classified as Level 2 within the fair value hierarchy, based on prices quoted for similar financial instruments in markets that are not active. The fair values are presented gross within other assets and offsetting collateral received by the counterparty is presented as a liability within accrued expenses and other liabilities on the consolidated balance sheets. Any changes in the fair value of these financial instruments are reflected in other (expense) income, net,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sold loans with an unpaid balance of $7,149.0 million, $3,232.9 million, and $2,664.4 million for the years ended June 30, 2022, 2021, and 2020, respectively, for which we retained servicing rights.</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June 30, 2022 and June 30, 2021, we serviced loans which we sold with a remaining unpaid principal balance of $4,504.5 million and $2,453.9 million, respectively.</w:t>
      </w:r>
    </w:p>
    <w:p>
      <w:pPr>
        <w:spacing w:after="0" w:line="19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Default Rate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earned $65.8 million, $24.7 million, and $14.8 million of servicing income for the year ended June 30, 2022, 2021, and 2020, respectively.</w:t>
      </w:r>
    </w:p>
    <w:p>
      <w:pPr>
        <w:spacing w:after="0" w:line="27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June 30, 2022 and June 30, 2021, the aggregate fair value of the servicing assets was measured at $1.2 million and $2.3 million, respectively, and presented within other assets on the consolidated balance sheets. As of June 30, 2022 and June 30, 2021, the aggregate fair value of the servicing liabilities was measured at $2.7 million and $4.0 million, respectively, and presented within accrued expenses and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aggregate fair value of our servicing assets during the years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6"/>
              </w:rPr>
              <w:t>Servicing Assets</w:t>
            </w:r>
          </w:p>
        </w:tc>
        <w:tc>
          <w:tcPr>
            <w:tcW w:w="1320" w:type="dxa"/>
            <w:vAlign w:val="bottom"/>
            <w:tcBorders>
              <w:bottom w:val="single" w:sz="8" w:color="auto"/>
            </w:tcBorders>
          </w:tcPr>
          <w:p>
            <w:pPr>
              <w:spacing w:after="0"/>
              <w:rPr>
                <w:sz w:val="18"/>
                <w:szCs w:val="18"/>
                <w:color w:val="auto"/>
              </w:rPr>
            </w:pPr>
          </w:p>
        </w:tc>
      </w:tr>
      <w:tr>
        <w:trPr>
          <w:trHeight w:val="158"/>
        </w:trPr>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0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0"/>
              </w:rPr>
              <w:t>Year ended</w:t>
            </w:r>
          </w:p>
        </w:tc>
        <w:tc>
          <w:tcPr>
            <w:tcW w:w="1320" w:type="dxa"/>
            <w:vAlign w:val="bottom"/>
          </w:tcPr>
          <w:p>
            <w:pPr>
              <w:spacing w:after="0"/>
              <w:rPr>
                <w:sz w:val="13"/>
                <w:szCs w:val="13"/>
                <w:color w:val="auto"/>
              </w:rPr>
            </w:pPr>
          </w:p>
        </w:tc>
      </w:tr>
      <w:tr>
        <w:trPr>
          <w:trHeight w:val="213"/>
        </w:trPr>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2021</w:t>
            </w:r>
          </w:p>
        </w:tc>
      </w:tr>
      <w:tr>
        <w:trPr>
          <w:trHeight w:val="22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8"/>
              </w:rPr>
              <w:t>2,349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88"/>
              </w:rPr>
              <w:t>2,132</w:t>
            </w:r>
          </w:p>
        </w:tc>
      </w:tr>
      <w:tr>
        <w:trPr>
          <w:trHeight w:val="230"/>
        </w:trPr>
        <w:tc>
          <w:tcPr>
            <w:tcW w:w="7120" w:type="dxa"/>
            <w:vAlign w:val="bottom"/>
            <w:gridSpan w:val="2"/>
          </w:tcPr>
          <w:p>
            <w:pPr>
              <w:ind w:left="140"/>
              <w:spacing w:after="0"/>
              <w:rPr>
                <w:sz w:val="20"/>
                <w:szCs w:val="20"/>
                <w:color w:val="auto"/>
              </w:rPr>
            </w:pPr>
            <w:r>
              <w:rPr>
                <w:rFonts w:ascii="Arial" w:cs="Arial" w:eastAsia="Arial" w:hAnsi="Arial"/>
                <w:sz w:val="18"/>
                <w:szCs w:val="18"/>
                <w:color w:val="auto"/>
              </w:rPr>
              <w:t>Initial transfers of financial assets</w:t>
            </w:r>
          </w:p>
        </w:tc>
        <w:tc>
          <w:tcPr>
            <w:tcW w:w="1300" w:type="dxa"/>
            <w:vAlign w:val="bottom"/>
          </w:tcPr>
          <w:p>
            <w:pPr>
              <w:spacing w:after="0"/>
              <w:rPr>
                <w:sz w:val="19"/>
                <w:szCs w:val="19"/>
                <w:color w:val="auto"/>
              </w:rPr>
            </w:pPr>
          </w:p>
        </w:tc>
        <w:tc>
          <w:tcPr>
            <w:tcW w:w="700" w:type="dxa"/>
            <w:vAlign w:val="bottom"/>
          </w:tcPr>
          <w:p>
            <w:pPr>
              <w:jc w:val="center"/>
              <w:ind w:left="54"/>
              <w:spacing w:after="0"/>
              <w:rPr>
                <w:sz w:val="20"/>
                <w:szCs w:val="20"/>
                <w:color w:val="auto"/>
              </w:rPr>
            </w:pPr>
            <w:r>
              <w:rPr>
                <w:rFonts w:ascii="Arial" w:cs="Arial" w:eastAsia="Arial" w:hAnsi="Arial"/>
                <w:sz w:val="18"/>
                <w:szCs w:val="18"/>
                <w:color w:val="auto"/>
                <w:w w:val="88"/>
              </w:rPr>
              <w:t>2,899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center"/>
              <w:ind w:left="672"/>
              <w:spacing w:after="0"/>
              <w:rPr>
                <w:sz w:val="20"/>
                <w:szCs w:val="20"/>
                <w:color w:val="auto"/>
              </w:rPr>
            </w:pPr>
            <w:r>
              <w:rPr>
                <w:rFonts w:ascii="Arial" w:cs="Arial" w:eastAsia="Arial" w:hAnsi="Arial"/>
                <w:sz w:val="18"/>
                <w:szCs w:val="18"/>
                <w:color w:val="auto"/>
                <w:w w:val="88"/>
              </w:rPr>
              <w:t>2,915</w:t>
            </w:r>
          </w:p>
        </w:tc>
      </w:tr>
      <w:tr>
        <w:trPr>
          <w:trHeight w:val="229"/>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1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(4,056)</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4"/>
              </w:rPr>
              <w:t>(2,698)</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Fair value at end of period</w:t>
            </w:r>
          </w:p>
        </w:tc>
        <w:tc>
          <w:tcPr>
            <w:tcW w:w="1300" w:type="dxa"/>
            <w:vAlign w:val="bottom"/>
            <w:tcBorders>
              <w:bottom w:val="single" w:sz="8" w:color="auto"/>
            </w:tcBorders>
          </w:tcPr>
          <w:p>
            <w:pPr>
              <w:jc w:val="right"/>
              <w:ind w:right="109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88"/>
              </w:rPr>
              <w:t>1,192</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88"/>
              </w:rPr>
              <w:t>2,349</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aggregate fair value of our servicing liabilities during the years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Servicing Liabilities</w:t>
            </w:r>
          </w:p>
        </w:tc>
        <w:tc>
          <w:tcPr>
            <w:tcW w:w="1260" w:type="dxa"/>
            <w:vAlign w:val="bottom"/>
            <w:tcBorders>
              <w:bottom w:val="single" w:sz="8" w:color="auto"/>
            </w:tcBorders>
          </w:tcPr>
          <w:p>
            <w:pPr>
              <w:spacing w:after="0"/>
              <w:rPr>
                <w:sz w:val="18"/>
                <w:szCs w:val="18"/>
                <w:color w:val="auto"/>
              </w:rPr>
            </w:pPr>
          </w:p>
        </w:tc>
      </w:tr>
      <w:tr>
        <w:trPr>
          <w:trHeight w:val="158"/>
        </w:trPr>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0"/>
              </w:rPr>
              <w:t>Year ended</w:t>
            </w:r>
          </w:p>
        </w:tc>
        <w:tc>
          <w:tcPr>
            <w:tcW w:w="1260" w:type="dxa"/>
            <w:vAlign w:val="bottom"/>
          </w:tcPr>
          <w:p>
            <w:pPr>
              <w:spacing w:after="0"/>
              <w:rPr>
                <w:sz w:val="13"/>
                <w:szCs w:val="13"/>
                <w:color w:val="auto"/>
              </w:rPr>
            </w:pPr>
          </w:p>
        </w:tc>
      </w:tr>
      <w:tr>
        <w:trPr>
          <w:trHeight w:val="213"/>
        </w:trPr>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260" w:type="dxa"/>
            <w:vAlign w:val="bottom"/>
            <w:tcBorders>
              <w:bottom w:val="single" w:sz="8" w:color="auto"/>
            </w:tcBorders>
          </w:tcPr>
          <w:p>
            <w:pPr>
              <w:spacing w:after="0"/>
              <w:rPr>
                <w:sz w:val="18"/>
                <w:szCs w:val="18"/>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2021</w:t>
            </w:r>
          </w:p>
        </w:tc>
      </w:tr>
      <w:tr>
        <w:trPr>
          <w:trHeight w:val="22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8"/>
              </w:rPr>
              <w:t>1,540</w:t>
            </w:r>
          </w:p>
        </w:tc>
      </w:tr>
      <w:tr>
        <w:trPr>
          <w:trHeight w:val="229"/>
        </w:trPr>
        <w:tc>
          <w:tcPr>
            <w:tcW w:w="7120" w:type="dxa"/>
            <w:vAlign w:val="bottom"/>
            <w:gridSpan w:val="2"/>
          </w:tcPr>
          <w:p>
            <w:pPr>
              <w:ind w:left="140"/>
              <w:spacing w:after="0"/>
              <w:rPr>
                <w:sz w:val="20"/>
                <w:szCs w:val="20"/>
                <w:color w:val="auto"/>
              </w:rPr>
            </w:pPr>
            <w:r>
              <w:rPr>
                <w:rFonts w:ascii="Arial" w:cs="Arial" w:eastAsia="Arial" w:hAnsi="Arial"/>
                <w:sz w:val="18"/>
                <w:szCs w:val="18"/>
                <w:color w:val="auto"/>
              </w:rPr>
              <w:t>Initial transfers of financial assets</w:t>
            </w: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center"/>
              <w:ind w:left="612"/>
              <w:spacing w:after="0"/>
              <w:rPr>
                <w:sz w:val="20"/>
                <w:szCs w:val="20"/>
                <w:color w:val="auto"/>
              </w:rPr>
            </w:pPr>
            <w:r>
              <w:rPr>
                <w:rFonts w:ascii="Arial" w:cs="Arial" w:eastAsia="Arial" w:hAnsi="Arial"/>
                <w:sz w:val="18"/>
                <w:szCs w:val="18"/>
                <w:color w:val="auto"/>
                <w:w w:val="88"/>
              </w:rPr>
              <w:t>8,794</w:t>
            </w:r>
          </w:p>
        </w:tc>
      </w:tr>
      <w:tr>
        <w:trPr>
          <w:trHeight w:val="230"/>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1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94"/>
              </w:rPr>
              <w:t>(6,373)</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Fair value at end of period</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88"/>
              </w:rPr>
              <w:t>3,961</w:t>
            </w:r>
          </w:p>
        </w:tc>
      </w:tr>
      <w:tr>
        <w:trPr>
          <w:trHeight w:val="21"/>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ind w:left="520"/>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6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0.78 %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29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default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296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Net default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9.03 %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24.44 %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4141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5"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June 30,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ind w:left="520"/>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0.70 %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0.81 %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default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2.71 %</w:t>
            </w:r>
          </w:p>
        </w:tc>
      </w:tr>
      <w:tr>
        <w:trPr>
          <w:trHeight w:val="230"/>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Net default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0.80 %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8.42 %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4141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Net default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Net default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(expense) income, net, on the consolidated statements of operations and comprehensive loss.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performance fee liability during the years ended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center"/>
              <w:ind w:left="572"/>
              <w:spacing w:after="0"/>
              <w:rPr>
                <w:sz w:val="20"/>
                <w:szCs w:val="20"/>
                <w:color w:val="auto"/>
              </w:rPr>
            </w:pPr>
            <w:r>
              <w:rPr>
                <w:rFonts w:ascii="Arial" w:cs="Arial" w:eastAsia="Arial" w:hAnsi="Arial"/>
                <w:sz w:val="16"/>
                <w:szCs w:val="16"/>
                <w:b w:val="1"/>
                <w:bCs w:val="1"/>
                <w:color w:val="auto"/>
                <w:w w:val="93"/>
              </w:rPr>
              <w:t>Performance Fee Liability</w:t>
            </w:r>
          </w:p>
        </w:tc>
        <w:tc>
          <w:tcPr>
            <w:tcW w:w="640" w:type="dxa"/>
            <w:vAlign w:val="bottom"/>
            <w:tcBorders>
              <w:bottom w:val="single" w:sz="8" w:color="auto"/>
            </w:tcBorders>
          </w:tcPr>
          <w:p>
            <w:pPr>
              <w:spacing w:after="0"/>
              <w:rPr>
                <w:sz w:val="18"/>
                <w:szCs w:val="18"/>
                <w:color w:val="auto"/>
              </w:rPr>
            </w:pPr>
          </w:p>
        </w:tc>
      </w:tr>
      <w:tr>
        <w:trPr>
          <w:trHeight w:val="158"/>
        </w:trPr>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20" w:type="dxa"/>
            <w:vAlign w:val="bottom"/>
            <w:gridSpan w:val="3"/>
          </w:tcPr>
          <w:p>
            <w:pPr>
              <w:jc w:val="center"/>
              <w:ind w:right="610"/>
              <w:spacing w:after="0" w:line="158" w:lineRule="exact"/>
              <w:rPr>
                <w:sz w:val="20"/>
                <w:szCs w:val="20"/>
                <w:color w:val="auto"/>
              </w:rPr>
            </w:pPr>
            <w:r>
              <w:rPr>
                <w:rFonts w:ascii="Arial" w:cs="Arial" w:eastAsia="Arial" w:hAnsi="Arial"/>
                <w:sz w:val="16"/>
                <w:szCs w:val="16"/>
                <w:b w:val="1"/>
                <w:bCs w:val="1"/>
                <w:color w:val="auto"/>
                <w:w w:val="90"/>
              </w:rPr>
              <w:t>Year ended</w:t>
            </w:r>
          </w:p>
        </w:tc>
        <w:tc>
          <w:tcPr>
            <w:tcW w:w="640" w:type="dxa"/>
            <w:vAlign w:val="bottom"/>
          </w:tcPr>
          <w:p>
            <w:pPr>
              <w:spacing w:after="0"/>
              <w:rPr>
                <w:sz w:val="13"/>
                <w:szCs w:val="13"/>
                <w:color w:val="auto"/>
              </w:rPr>
            </w:pPr>
          </w:p>
        </w:tc>
      </w:tr>
      <w:tr>
        <w:trPr>
          <w:trHeight w:val="213"/>
        </w:trPr>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6"/>
                <w:szCs w:val="16"/>
                <w:b w:val="1"/>
                <w:bCs w:val="1"/>
                <w:color w:val="auto"/>
                <w:w w:val="87"/>
              </w:rPr>
              <w:t>June 30,</w:t>
            </w:r>
          </w:p>
        </w:tc>
        <w:tc>
          <w:tcPr>
            <w:tcW w:w="640" w:type="dxa"/>
            <w:vAlign w:val="bottom"/>
            <w:tcBorders>
              <w:bottom w:val="single" w:sz="8" w:color="auto"/>
            </w:tcBorders>
          </w:tcPr>
          <w:p>
            <w:pPr>
              <w:spacing w:after="0"/>
              <w:rPr>
                <w:sz w:val="18"/>
                <w:szCs w:val="18"/>
                <w:color w:val="auto"/>
              </w:rPr>
            </w:pPr>
          </w:p>
        </w:tc>
      </w:tr>
      <w:tr>
        <w:trPr>
          <w:trHeight w:val="226"/>
        </w:trPr>
        <w:tc>
          <w:tcPr>
            <w:tcW w:w="7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r>
      <w:tr>
        <w:trPr>
          <w:trHeight w:val="223"/>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6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7120" w:type="dxa"/>
            <w:vAlign w:val="bottom"/>
            <w:gridSpan w:val="2"/>
          </w:tcPr>
          <w:p>
            <w:pPr>
              <w:ind w:left="140"/>
              <w:spacing w:after="0"/>
              <w:rPr>
                <w:sz w:val="20"/>
                <w:szCs w:val="20"/>
                <w:color w:val="auto"/>
              </w:rPr>
            </w:pPr>
            <w:r>
              <w:rPr>
                <w:rFonts w:ascii="Arial" w:cs="Arial" w:eastAsia="Arial" w:hAnsi="Arial"/>
                <w:sz w:val="18"/>
                <w:szCs w:val="18"/>
                <w:color w:val="auto"/>
              </w:rPr>
              <w:t>Purchases of loans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Subsequent changes in fair value</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r>
      <w:tr>
        <w:trPr>
          <w:trHeight w:val="248"/>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gridSpan w:val="3"/>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880" w:type="dxa"/>
            <w:vAlign w:val="bottom"/>
            <w:gridSpan w:val="3"/>
          </w:tcPr>
          <w:p>
            <w:pPr>
              <w:ind w:left="20"/>
              <w:spacing w:after="0"/>
              <w:rPr>
                <w:sz w:val="20"/>
                <w:szCs w:val="20"/>
                <w:color w:val="auto"/>
              </w:rPr>
            </w:pPr>
            <w:r>
              <w:rPr>
                <w:rFonts w:ascii="Arial" w:cs="Arial" w:eastAsia="Arial" w:hAnsi="Arial"/>
                <w:sz w:val="18"/>
                <w:szCs w:val="18"/>
                <w:color w:val="auto"/>
              </w:rPr>
              <w:t>Refund rate</w:t>
            </w:r>
          </w:p>
        </w:tc>
        <w:tc>
          <w:tcPr>
            <w:tcW w:w="1260" w:type="dxa"/>
            <w:vAlign w:val="bottom"/>
          </w:tcPr>
          <w:p>
            <w:pPr>
              <w:jc w:val="center"/>
              <w:ind w:right="92"/>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26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w:t>
            </w:r>
          </w:p>
        </w:tc>
      </w:tr>
      <w:tr>
        <w:trPr>
          <w:trHeight w:val="392"/>
        </w:trPr>
        <w:tc>
          <w:tcPr>
            <w:tcW w:w="6880" w:type="dxa"/>
            <w:vAlign w:val="bottom"/>
            <w:gridSpan w:val="3"/>
          </w:tcPr>
          <w:p>
            <w:pPr>
              <w:ind w:left="660"/>
              <w:spacing w:after="0"/>
              <w:rPr>
                <w:sz w:val="20"/>
                <w:szCs w:val="20"/>
                <w:color w:val="auto"/>
              </w:rPr>
            </w:pPr>
            <w:r>
              <w:rPr>
                <w:rFonts w:ascii="Arial" w:cs="Arial" w:eastAsia="Arial" w:hAnsi="Arial"/>
                <w:sz w:val="18"/>
                <w:szCs w:val="18"/>
                <w:color w:val="auto"/>
                <w:w w:val="93"/>
              </w:rPr>
              <w:t>Level 3 fair value measurement of the performance fee liability as of June 30, 2021:</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83"/>
        </w:trPr>
        <w:tc>
          <w:tcPr>
            <w:tcW w:w="6880" w:type="dxa"/>
            <w:vAlign w:val="bottom"/>
            <w:gridSpan w:val="3"/>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880" w:type="dxa"/>
            <w:vAlign w:val="bottom"/>
            <w:gridSpan w:val="3"/>
          </w:tcPr>
          <w:p>
            <w:pPr>
              <w:ind w:left="20"/>
              <w:spacing w:after="0"/>
              <w:rPr>
                <w:sz w:val="20"/>
                <w:szCs w:val="20"/>
                <w:color w:val="auto"/>
              </w:rPr>
            </w:pPr>
            <w:r>
              <w:rPr>
                <w:rFonts w:ascii="Arial" w:cs="Arial" w:eastAsia="Arial" w:hAnsi="Arial"/>
                <w:sz w:val="18"/>
                <w:szCs w:val="18"/>
                <w:color w:val="auto"/>
              </w:rPr>
              <w:t>Refund rate</w:t>
            </w:r>
          </w:p>
        </w:tc>
        <w:tc>
          <w:tcPr>
            <w:tcW w:w="1260" w:type="dxa"/>
            <w:vAlign w:val="bottom"/>
          </w:tcPr>
          <w:p>
            <w:pPr>
              <w:jc w:val="center"/>
              <w:ind w:right="92"/>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26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 Held by Third-Parties in Consolidated VIEs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Refer to Note 12. Securitization and Variable Interest Entities for a description of the 2020-Z2 securitization trust. Residual trust certificates held by third-party investor(s) are measured at fair value, using a discounted cash flow model, and presented within accrued expenses and other liabilities on the consolidated balance sheets. Any changes in the fair value of the liability are reflected in other (expense) income, net, on the consolidated statements of operations and comprehensive loss.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fair value of the residual trust certificates held by third-parties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June 30, 2021 (in thousands):</w:t>
      </w:r>
    </w:p>
    <w:p>
      <w:pPr>
        <w:spacing w:after="0" w:line="32" w:lineRule="exact"/>
        <w:rPr>
          <w:sz w:val="20"/>
          <w:szCs w:val="20"/>
          <w:color w:val="auto"/>
        </w:rPr>
      </w:pPr>
    </w:p>
    <w:p>
      <w:pPr>
        <w:jc w:val="center"/>
        <w:ind w:left="7100"/>
        <w:spacing w:after="0"/>
        <w:rPr>
          <w:sz w:val="20"/>
          <w:szCs w:val="20"/>
          <w:color w:val="auto"/>
        </w:rPr>
      </w:pPr>
      <w:r>
        <w:rPr>
          <w:rFonts w:ascii="Arial" w:cs="Arial" w:eastAsia="Arial" w:hAnsi="Arial"/>
          <w:sz w:val="16"/>
          <w:szCs w:val="16"/>
          <w:b w:val="1"/>
          <w:bCs w:val="1"/>
          <w:color w:val="auto"/>
        </w:rPr>
        <w:t>Year ended</w:t>
      </w:r>
    </w:p>
    <w:p>
      <w:pPr>
        <w:jc w:val="center"/>
        <w:ind w:left="71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Initial transfer of financial assets</w:t>
            </w:r>
          </w:p>
        </w:tc>
        <w:tc>
          <w:tcPr>
            <w:tcW w:w="13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w:t>
            </w: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held by third-parties as of June 30, 2022 and June 30, 2021:</w:t>
      </w:r>
    </w:p>
    <w:tbl>
      <w:tblPr>
        <w:tblLayout w:type="fixed"/>
        <w:tblInd w:w="0" w:type="dxa"/>
        <w:tblCellMar>
          <w:top w:w="0" w:type="dxa"/>
          <w:left w:w="0" w:type="dxa"/>
          <w:bottom w:w="0" w:type="dxa"/>
          <w:right w:w="0" w:type="dxa"/>
        </w:tblCellMar>
      </w:tblP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ind w:left="460"/>
              <w:spacing w:after="0"/>
              <w:rPr>
                <w:sz w:val="20"/>
                <w:szCs w:val="20"/>
                <w:color w:val="auto"/>
              </w:rPr>
            </w:pPr>
            <w:r>
              <w:rPr>
                <w:rFonts w:ascii="Arial" w:cs="Arial" w:eastAsia="Arial" w:hAnsi="Arial"/>
                <w:sz w:val="16"/>
                <w:szCs w:val="16"/>
                <w:b w:val="1"/>
                <w:bCs w:val="1"/>
                <w:color w:val="auto"/>
              </w:rPr>
              <w:t>Maximum</w:t>
            </w:r>
          </w:p>
        </w:tc>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bl>
    <w:p>
      <w:pPr>
        <w:spacing w:after="0" w:line="161"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certificates held by third-party investor(s) given hypothetical changes in significant unobservable inputs (in thousands):</w:t>
      </w: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754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54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54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Retained Beneficial Interests in Unconsolidated VIEs</w:t>
      </w:r>
    </w:p>
    <w:p>
      <w:pPr>
        <w:spacing w:after="0" w:line="25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 of June 30, 2022, the Company held notes receivable and residual trust certificates with an aggregate fair value of $51.7 million in connection with the 2021-Z1, 2021-Z2, 2022-X1, and 2022-Z1 securitizations, which are unconsolidated securitizations. The balances correspond to the 5% economic risk retention the Company is required to maintain as the securitization sponsor. Refer to Note 12. Securitization and Variable Interest Entities for a further description of the 2021-Z1, 2021-Z2, 2022-X1and 2022-Z1 securitization trusts.</w:t>
      </w:r>
    </w:p>
    <w:p>
      <w:pPr>
        <w:spacing w:after="0" w:line="223" w:lineRule="exact"/>
        <w:rPr>
          <w:sz w:val="20"/>
          <w:szCs w:val="20"/>
          <w:color w:val="auto"/>
        </w:rPr>
      </w:pPr>
    </w:p>
    <w:p>
      <w:pPr>
        <w:ind w:firstLine="648"/>
        <w:spacing w:after="0" w:line="284" w:lineRule="auto"/>
        <w:rPr>
          <w:sz w:val="20"/>
          <w:szCs w:val="20"/>
          <w:color w:val="auto"/>
        </w:rPr>
      </w:pPr>
      <w:r>
        <w:rPr>
          <w:rFonts w:ascii="Arial" w:cs="Arial" w:eastAsia="Arial" w:hAnsi="Arial"/>
          <w:sz w:val="17"/>
          <w:szCs w:val="17"/>
          <w:color w:val="auto"/>
        </w:rPr>
        <w:t>These assets are measured at fair value using a discounted cash flow model, and presented within securities available for sale at fair value on the consolidated balance sheets. Changes in the fair value, other than declines in fair value due to credit recognized as an allowance, are reflected in other comprehensive income (loss) on the consolidated statements of operations and comprehensive loss. Declines in fair value due to credit are reflected in other (expense) income, net on the consolidated statements of operations and comprehensive loss.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fair value of the notes receivable and residual trust certificates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June 30, 2021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16,144</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(due to payments or sales)</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Change in unrealized gain (loss)</w:t>
            </w:r>
          </w:p>
        </w:tc>
        <w:tc>
          <w:tcPr>
            <w:tcW w:w="1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(impairment on) securities available for sale</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as of June 30,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22.50%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5.37%</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10.95%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2.65%</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18.48%</w:t>
            </w:r>
          </w:p>
        </w:tc>
      </w:tr>
    </w:tbl>
    <w:p>
      <w:pPr>
        <w:spacing w:after="0" w:line="200" w:lineRule="exact"/>
        <w:rPr>
          <w:sz w:val="20"/>
          <w:szCs w:val="20"/>
          <w:color w:val="auto"/>
        </w:rPr>
      </w:pPr>
    </w:p>
    <w:p>
      <w:pPr>
        <w:spacing w:after="0" w:line="29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as of June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11.46%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11.46%</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11.46%</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0.61%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0.61%</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r>
    </w:tbl>
    <w:p>
      <w:pPr>
        <w:spacing w:after="0" w:line="32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p>
      <w:pPr>
        <w:spacing w:after="0" w:line="5"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Year ended</w:t>
      </w:r>
    </w:p>
    <w:p>
      <w:pPr>
        <w:jc w:val="center"/>
        <w:ind w:left="75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5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The acquisition date fair value of the contingent consideration liability was estimated using a Monte Carlo simulation in which the fair value is equal to the estimated number of shares to be released from escrow, which are determined based on simulated revenue, multiplied by the simulated share price, discounted at the risk-free rate. The liability is remeasured to its fair value at each reporting date, utilizing a Monte Carlo simulation for periods in which actual revenues are unknown, until the contingency is resolved. During the year ended June 30, 2022 one of these milestones was achieved and a portion of the shares were released from escrow, resulting in a reduction to the contingent liability. The change in fair value of the contingent consideration at each reporting date is recognized as a component of other (expense) income, net in the consolidated statements of operations and comprehensive loss for the respective period.</w:t>
      </w:r>
    </w:p>
    <w:p>
      <w:pPr>
        <w:spacing w:after="0" w:line="2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the activity related to the fair value of the PayBright contingent consideration during the years ended June 30, 2022 and June 30, 2021 (in thousands):</w:t>
      </w:r>
    </w:p>
    <w:p>
      <w:pPr>
        <w:spacing w:after="0" w:line="234"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Subsequent changes in fair value</w:t>
            </w: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(89,313)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150,135</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shares released from escrow</w:t>
            </w: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PayBright contingent consideration are the discount rate, equity volatility, and revenue volatility.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contingent consideration as of June 30, 2022:</w:t>
      </w: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Equity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36.00%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139.00%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116.00%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144.00%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34.00%</w:t>
            </w:r>
          </w:p>
        </w:tc>
      </w:tr>
      <w:tr>
        <w:trPr>
          <w:trHeight w:val="554"/>
        </w:trPr>
        <w:tc>
          <w:tcPr>
            <w:tcW w:w="6700" w:type="dxa"/>
            <w:vAlign w:val="bottom"/>
            <w:gridSpan w:val="2"/>
          </w:tcPr>
          <w:p>
            <w:pPr>
              <w:ind w:left="660"/>
              <w:spacing w:after="0"/>
              <w:rPr>
                <w:sz w:val="20"/>
                <w:szCs w:val="20"/>
                <w:color w:val="auto"/>
              </w:rPr>
            </w:pPr>
            <w:r>
              <w:rPr>
                <w:rFonts w:ascii="Arial" w:cs="Arial" w:eastAsia="Arial" w:hAnsi="Arial"/>
                <w:sz w:val="18"/>
                <w:szCs w:val="18"/>
                <w:color w:val="auto"/>
                <w:w w:val="89"/>
              </w:rPr>
              <w:t>Level 3 fair value measurement of the contingent consideration as of June 30, 2021:</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0"/>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Equity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37.00%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97.00%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62.00%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37.00%</w:t>
            </w:r>
          </w:p>
        </w:tc>
      </w:tr>
    </w:tbl>
    <w:p>
      <w:pPr>
        <w:spacing w:after="0" w:line="32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Kite acquisition included $9.0 million of cash held in escrow, the release of which is determined based on employee retention. The acquisition date fair value of the contingent consideration of $1.2 million was estimated using a probability-weighted approach in which the likelihoods of potential employee retention outcomes were applied to the respective payout amounts and discounted to present value. The contingent consideration asset is remeasured to fair value at each reporting date based on the remaining amount held in escrow, passage of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changes in expectations regarding employee retention outcomes until the contingency is resolved. The change in fair value of the contingent consideration asset at each reporting date is recognized as a component of other (expense) income, net in the consolidated statements of operations and comprehensive loss for the respective period. During the year ended June 30, 2022, the contingency was resolved and the fair value of the contingent consideration asset was reduced to zero. For the years ended June 30, 2022 and 2021, respectively, the change in fair value of the contingent consideration asset was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Share Liability</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During the fiscal year ended June 30,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consolidated balance sheets.</w:t>
      </w:r>
    </w:p>
    <w:p>
      <w:pPr>
        <w:spacing w:after="0" w:line="184"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following table summarizes the activity related to the fair value of the profit share liability during the years ended June 30, 2022 and June 30, 2021 (in thousands):</w:t>
      </w:r>
    </w:p>
    <w:p>
      <w:pPr>
        <w:jc w:val="center"/>
        <w:ind w:left="7120"/>
        <w:spacing w:after="0" w:line="235" w:lineRule="auto"/>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2,464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Facilitation of loans</w:t>
            </w:r>
          </w:p>
        </w:tc>
        <w:tc>
          <w:tcPr>
            <w:tcW w:w="1320" w:type="dxa"/>
            <w:vAlign w:val="bottom"/>
          </w:tcPr>
          <w:p>
            <w:pPr>
              <w:spacing w:after="0"/>
              <w:rPr>
                <w:sz w:val="19"/>
                <w:szCs w:val="19"/>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88"/>
              </w:rPr>
              <w:t>5,955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4,206</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performance</w:t>
            </w: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(7,642)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1,210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8"/>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profit sharing liability as of June 30, 2022:</w:t>
      </w:r>
    </w:p>
    <w:tbl>
      <w:tblPr>
        <w:tblLayout w:type="fixed"/>
        <w:tblInd w:w="0" w:type="dxa"/>
        <w:tblCellMar>
          <w:top w:w="0" w:type="dxa"/>
          <w:left w:w="0" w:type="dxa"/>
          <w:bottom w:w="0" w:type="dxa"/>
          <w:right w:w="0" w:type="dxa"/>
        </w:tblCellMar>
      </w:tblP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Arial" w:cs="Arial" w:eastAsia="Arial" w:hAnsi="Arial"/>
                <w:sz w:val="16"/>
                <w:szCs w:val="16"/>
                <w:b w:val="1"/>
                <w:bCs w:val="1"/>
                <w:color w:val="auto"/>
              </w:rPr>
              <w:t>Minimum</w:t>
            </w: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Maximum</w:t>
            </w:r>
          </w:p>
        </w:tc>
        <w:tc>
          <w:tcPr>
            <w:tcW w:w="162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Program profitability</w:t>
            </w: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1.28%</w:t>
            </w:r>
          </w:p>
        </w:tc>
      </w:tr>
    </w:tbl>
    <w:p>
      <w:pPr>
        <w:spacing w:after="0" w:line="309"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profit sharing liability as of June 30, 2021:</w:t>
      </w:r>
    </w:p>
    <w:tbl>
      <w:tblPr>
        <w:tblLayout w:type="fixed"/>
        <w:tblInd w:w="0" w:type="dxa"/>
        <w:tblCellMar>
          <w:top w:w="0" w:type="dxa"/>
          <w:left w:w="0" w:type="dxa"/>
          <w:bottom w:w="0" w:type="dxa"/>
          <w:right w:w="0" w:type="dxa"/>
        </w:tblCellMar>
      </w:tblP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Arial" w:cs="Arial" w:eastAsia="Arial" w:hAnsi="Arial"/>
                <w:sz w:val="16"/>
                <w:szCs w:val="16"/>
                <w:b w:val="1"/>
                <w:bCs w:val="1"/>
                <w:color w:val="auto"/>
              </w:rPr>
              <w:t>Minimum</w:t>
            </w: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Maximum</w:t>
            </w:r>
          </w:p>
        </w:tc>
        <w:tc>
          <w:tcPr>
            <w:tcW w:w="162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Program profitability</w:t>
            </w: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3.75%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52" w:lineRule="exact"/>
        <w:rPr>
          <w:sz w:val="20"/>
          <w:szCs w:val="20"/>
          <w:color w:val="auto"/>
        </w:rPr>
      </w:pPr>
    </w:p>
    <w:p>
      <w:pPr>
        <w:ind w:right="860" w:firstLine="648"/>
        <w:spacing w:after="0" w:line="274" w:lineRule="auto"/>
        <w:rPr>
          <w:sz w:val="20"/>
          <w:szCs w:val="20"/>
          <w:color w:val="auto"/>
        </w:rPr>
      </w:pPr>
      <w:r>
        <w:rPr>
          <w:rFonts w:ascii="Arial" w:cs="Arial" w:eastAsia="Arial" w:hAnsi="Arial"/>
          <w:sz w:val="18"/>
          <w:szCs w:val="18"/>
          <w:color w:val="auto"/>
        </w:rPr>
        <w:t>The following table presents the fair value hierarchy for financial assets and liabilities not recorded at fair value as of June 30, 2022 (in thousands):</w:t>
      </w:r>
    </w:p>
    <w:tbl>
      <w:tblPr>
        <w:tblLayout w:type="fixed"/>
        <w:tblInd w:w="0" w:type="dxa"/>
        <w:tblCellMar>
          <w:top w:w="0" w:type="dxa"/>
          <w:left w:w="0" w:type="dxa"/>
          <w:bottom w:w="0" w:type="dxa"/>
          <w:right w:w="0" w:type="dxa"/>
        </w:tblCellMar>
      </w:tblPr>
      <w:tr>
        <w:trPr>
          <w:trHeight w:val="163"/>
        </w:trPr>
        <w:tc>
          <w:tcPr>
            <w:tcW w:w="3880" w:type="dxa"/>
            <w:vAlign w:val="bottom"/>
          </w:tcPr>
          <w:p>
            <w:pPr>
              <w:spacing w:after="0"/>
              <w:rPr>
                <w:sz w:val="14"/>
                <w:szCs w:val="14"/>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4"/>
                <w:szCs w:val="14"/>
                <w:color w:val="auto"/>
              </w:rPr>
            </w:pPr>
          </w:p>
        </w:tc>
        <w:tc>
          <w:tcPr>
            <w:tcW w:w="1260" w:type="dxa"/>
            <w:vAlign w:val="bottom"/>
          </w:tcPr>
          <w:p>
            <w:pPr>
              <w:jc w:val="right"/>
              <w:ind w:right="92"/>
              <w:spacing w:after="0" w:line="163" w:lineRule="exact"/>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2,428,202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984,285</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1,627,580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1,529,401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Funding debt</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683,388</w:t>
            </w:r>
          </w:p>
        </w:tc>
        <w:tc>
          <w:tcPr>
            <w:tcW w:w="0" w:type="dxa"/>
            <w:vAlign w:val="bottom"/>
          </w:tcPr>
          <w:p>
            <w:pPr>
              <w:spacing w:after="0"/>
              <w:rPr>
                <w:sz w:val="1"/>
                <w:szCs w:val="1"/>
                <w:color w:val="auto"/>
              </w:rPr>
            </w:pP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4,017,643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984,285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2,212,789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3,197,074</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00" w:hanging="328"/>
        <w:spacing w:after="0" w:line="227" w:lineRule="auto"/>
        <w:tabs>
          <w:tab w:leader="none" w:pos="648"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40" w:hanging="308"/>
        <w:spacing w:after="0" w:line="196" w:lineRule="auto"/>
        <w:tabs>
          <w:tab w:leader="none" w:pos="64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As of June 30, 2022, debt issuance costs in the amount of $10.8 million, was included within funding debt.</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presents the fair value hierarchy for financial assets and liabilities not recorded at fair value as of June 30,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6"/>
                <w:szCs w:val="1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6"/>
                <w:szCs w:val="16"/>
                <w:color w:val="auto"/>
              </w:rPr>
            </w:pP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13,030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91,575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2,180,415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275,855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1,883,364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2,159,219</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57,758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57,758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57,758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third-party loan owners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1,176,673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1,184,663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2,138,119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1,876,134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2,146,109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Redeemable Convertible Preferred Stock and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June 30, 2021, we issued 21,836,687 shares of Series G redeemable convertible preferred stock at $19.93 per share for an aggregate purchase amount of $434.9 million. These shares had a liquidation preference of $435.1 million. As part of this equity financing round, the convertible notes issued in April 2020 converted into 4,444,321 shares of Series G-1 redeemable convertible preferred stock. These shares had a liquidation preference of $75.3 million prior to conversion.</w:t>
      </w:r>
    </w:p>
    <w:p>
      <w:pPr>
        <w:spacing w:after="0" w:line="22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January 12, 2021, prior to our IPO, all outstanding shares of redeemable convertible preferred stock were converted into shares of our common stock on a one-to-one basis and their carrying value of $1.3 billion was reclassified into stockholders' deficit. Following this conversion, we amended and restated our certificate of incorporation to effect a reclassification of each share of our outstanding common stock into ½ share of Class A common stock and ½ share of Class B common stock, with cash paid for fractional shares. As of June 30, 2022 and June 30, 2021, there were no shares of redeemable convertible preferred stock issued and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94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 2022</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outstanding under stock plan</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53,158,233</w:t>
            </w:r>
          </w:p>
        </w:tc>
        <w:tc>
          <w:tcPr>
            <w:tcW w:w="1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58,417,514</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for future grant under stock plan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31,156,746</w:t>
            </w: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29,793,755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84,314,979</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88,211,269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warrants are included as a component of additional paid in capital within the consolidated balance sheets.</w:t>
      </w:r>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During the year ended June 30, 2022, we granted warrants to purchase 22,000,000 shares of common stock in connection with a commercial agreement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In connection with the portion of these warrants that were fully vested upon execution, we recognized a commercial agreement asset of $133.5 million upon execution of the agreement in November 2021. Refer to Note 6. Balance Sheet Components for more information on the asset and related amortization during the period. The remaining grant-date fair value of the warrants will be recognized within our consolidated statements of operations and comprehensive loss as a component of sales and marketing expense as the warrants vest, based upon Amazon’s satisfaction of the vesting conditions. In connection with the warrants, a total of $281.0 million was recognized within 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expense during the year ended June 30, 2022, which included $26.3 million in amortization expense of the commercial agreement asset and $254.7 million in expense based upon the grant-date fair value of the warrant shares that vested during the period.</w:t>
      </w:r>
    </w:p>
    <w:p>
      <w:pPr>
        <w:spacing w:after="0" w:line="200" w:lineRule="exact"/>
        <w:rPr>
          <w:sz w:val="20"/>
          <w:szCs w:val="20"/>
          <w:color w:val="auto"/>
        </w:rPr>
      </w:pPr>
    </w:p>
    <w:p>
      <w:pPr>
        <w:spacing w:after="0" w:line="24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year ended June 30, 2021, we granted warrants to purchase 20,297,595 shares of common stock in connection with a commercial agreement with Shopify Inc. The exercise price was $0.01 per share, and the term of the warrants was 10 years. We valued the warrants at the grant date using the Black-Scholes-Merton option pricing model with the following assumptions: a dividend yield of zero, years to maturity of 10 years, volatility of 52%, and a risk-free rate of 0.62%. In connection with these warrants, we recognized an asset of $270.6 million at June 30, 2021 associated with the fair value of the warrants, which were fully vested as of June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warrants activity during the years ended June 30, 2022 and June 30, 2021:</w:t>
      </w:r>
    </w:p>
    <w:p>
      <w:pPr>
        <w:spacing w:after="0" w:line="123"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5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Remaining Life</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 Price ($)</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0" w:type="dxa"/>
            <w:vAlign w:val="bottom"/>
          </w:tcPr>
          <w:p>
            <w:pPr>
              <w:spacing w:after="0"/>
              <w:rPr>
                <w:sz w:val="1"/>
                <w:szCs w:val="1"/>
                <w:color w:val="auto"/>
              </w:rPr>
            </w:pPr>
          </w:p>
        </w:tc>
      </w:tr>
      <w:tr>
        <w:trPr>
          <w:trHeight w:val="22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706,065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7.21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20,297,595</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0.01</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(20,651,583)</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0.04</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8.93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tcPr>
          <w:p>
            <w:pPr>
              <w:jc w:val="right"/>
              <w:spacing w:after="0"/>
              <w:rPr>
                <w:sz w:val="20"/>
                <w:szCs w:val="20"/>
                <w:color w:val="auto"/>
              </w:rPr>
            </w:pPr>
            <w:r>
              <w:rPr>
                <w:rFonts w:ascii="Arial" w:cs="Arial" w:eastAsia="Arial" w:hAnsi="Arial"/>
                <w:sz w:val="18"/>
                <w:szCs w:val="18"/>
                <w:color w:val="auto"/>
              </w:rPr>
              <w:t>(352,077)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3.80</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8.27</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68.19</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5.60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2022</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$68.19</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5.60</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Warrants exercisable, June 30,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3,382,419</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$32.52</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weighted-average grant date fair values of warrants granted during the years ended June 30, 2022 and June 30, 2021, were $94.20 and $13.34, respectively. On June 30, 2022, the weighted-average grant date fair values for outstanding warrants and exercisable warrants, were $94.20 and $114.77,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Incentive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Stock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our Amended and Restated 2012 Stock Plan (the “Plan”), we may grant incentive and nonqualified stock options, restricted stock, and restricted stock units (“RSUs”) to employees, officers, directors, and consultants. As of June 30, 2022, the maximum number of shares of common stock which may be issued under the Plan is 118,374,202 Class A shares. As of June 30, 2022 and June 30, 2021, there were 31,156,746 and 29,793,755 shares of Class A common stock, respectively, available for future grants under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stock option activity for the year ended June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31,662,750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2,428,616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19,310,706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June 30, 2022</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5.98</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139,121</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11,792,367</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Vested and exercisable, and expected to vest thereafter</w:t>
            </w:r>
            <w:r>
              <w:rPr>
                <w:rFonts w:ascii="Arial" w:cs="Arial" w:eastAsia="Arial" w:hAnsi="Arial"/>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weighted-average grant date fair value of employee options granted for the years ended June 30, 2022, 2021, and 2020, was $13.29, $59.83, and $3.26, respectively. The aggregate intrinsic value of options exercised was approximately $1.4 billion, $706.7 million, and $3.1 million for the years ended June 30, 2022, 2021, and 2020, respectively. The total fair value of stock options vested during the years ended June 30, 2022, 2021, and 2020 was $30.3 million, $97.4 million, and $53.9 million, respectively.</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fair value of each option on the date of grant is determined using the Black Scholes-Merton option pricing model using the single-option award approach with the weighted-average assumptions set forth in the table below. Volatility is based on historical volatility rates obtained from certain public companies that operate in the same or related business as us since there is a limited period of historical market data for our common stock. The risk-free interest rate is determined using a U.S. Treasury rate for the period that coincides with the expected term set forth. We used the simplified method to determine an estimate of the expected term of an employee share option.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Year ended June 30,</w:t>
            </w:r>
          </w:p>
        </w:tc>
        <w:tc>
          <w:tcPr>
            <w:tcW w:w="1800" w:type="dxa"/>
            <w:vAlign w:val="bottom"/>
            <w:tcBorders>
              <w:bottom w:val="single" w:sz="8" w:color="auto"/>
            </w:tcBorders>
          </w:tcPr>
          <w:p>
            <w:pPr>
              <w:spacing w:after="0"/>
              <w:rPr>
                <w:sz w:val="18"/>
                <w:szCs w:val="18"/>
                <w:color w:val="auto"/>
              </w:rPr>
            </w:pPr>
          </w:p>
        </w:tc>
      </w:tr>
      <w:tr>
        <w:trPr>
          <w:trHeight w:val="226"/>
        </w:trPr>
        <w:tc>
          <w:tcPr>
            <w:tcW w:w="566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1.47% - 3.01%</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0.70% - 1.05%</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0.28% - 1.76%</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6.35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5.87</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0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June 30, 2022, unrecognized compensation expense related to unvested stock options was approximately $67.0 million. The weighted-average period over which such compensation expense will be recognized is approximately 1.9 years.</w:t>
      </w:r>
    </w:p>
    <w:p>
      <w:pPr>
        <w:spacing w:after="0" w:line="19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When an employee exercises stock options, we collect and remit taxes on the employee’s behalf to applicable taxing authorities. As of June 30, 2022 and June 30, 2021, the balance of equity exercise taxes payable was $10.9 million and $23.7 million, respectively, which is included in accounts payable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with Early Exercise Rights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accordance with the Plan, for certain stock options issued prior to the IPO, we allow for early exercise of the options while retaining the right to repurchase any unvested options upon termination of employment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original exercise price. The proceeds received from early exercise of stock options have been recorded within accrued expenses and other liabilities on the consolidated balance sheets. As of June 30, 2022 and June 30, 2021, the early exercise liability totaled $0.3 million and $0.9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Award</w:t>
      </w:r>
    </w:p>
    <w:p>
      <w:pPr>
        <w:spacing w:after="0" w:line="252"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 Award”).</w:t>
      </w:r>
    </w:p>
    <w:p>
      <w:pPr>
        <w:spacing w:after="0" w:line="203"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As discussed below, the Value Creation Award will only be earned, if at all, in the event the price of our Class A common stock attains stock price hurdles that are significantly in excess of the Company's IPO price per share, over a period of five years, subject to Mr. Levchin’s continued service to the Company.</w:t>
      </w:r>
    </w:p>
    <w:p>
      <w:pPr>
        <w:spacing w:after="0" w:line="2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Value Creation Award is divided into ten tranches, each of which Mr. Levchin may earn by satisfying a performance condition within a five-year period following the IPO. The performance condition for each tranche will be satisfied on the date the 90 average trading day volume weighted share price of the Company’s Class A common stock exceeds certain specified stock price hurdles, presented in the table below, which were determined based on a target percentage of share price appreciation from the IPO price. Once earned as a result of satisfying the performance condition, the options will vest and become exercisable over a five-year period that commenced at the time of the IPO, subject to Mr. Levchin’s continued service to the Company, in annual amounts equal to 15%, 15%, 20%, 25% and 25%, respectively. The per share exercise price of the Value Creation Award is $49.00, the price to the public in the IPO.</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Tranche</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Price Hurdle</w:t>
            </w:r>
          </w:p>
        </w:tc>
        <w:tc>
          <w:tcPr>
            <w:tcW w:w="156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Options</w:t>
            </w: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181.79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371.91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2,250,000</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estimated the fair value of the Value Creation Award granted with market conditions on the grant date using a Monte Carlo simulation model. We recognize stock-based compensation on these awards based on the grant date fair value using an accelerated attribution method over the requisite service period, and only if performance-based conditions are considered probable of being satisfied. During the years ended June 30, 2022 and June 30, 2021, we incurred stock-based compensation expense of $140.7 million and $83.9 million, respectively, associated with the Value Creation Award as a component of general and administrative expense within the consolidated statements of operations and comprehensive loss. During the year ended June 30, 2022, based on achievement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 price hurdles and time-based service conditions, 1,875,000 shares vested. As of June 30, 2022, none of these awards have been exercised.</w:t>
      </w:r>
    </w:p>
    <w:p>
      <w:pPr>
        <w:spacing w:after="0" w:line="26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2022, unrecognized compensation expense related to the Value Creation Award was approximately $207.5 million. The period over which such compensation expense will be recognized is approximately 3.5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RSU activity during the year ended June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8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June 30,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14,242,111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15,903,666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(6,251,519)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(2,506,666)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June 30,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21,387,592</w:t>
            </w:r>
          </w:p>
        </w:tc>
        <w:tc>
          <w:tcPr>
            <w:tcW w:w="3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June 30, 2022, unrecognized compensation expense related to unvested RSUs was approximately $690.0 million. The weighted-average period over which such compensation expense will be recognized is approximately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8.9 million shares of Class A common stock were reserved and available for issuance under the ESPP and 149,137 shares have been issued as of June 30, 2022. The ESPP provides for six-month offering periods beginning December 1 and June 1 of each year. The first offering period began on December 1, 2021, and the second offering period began on June 1, 2022.</w:t>
      </w:r>
    </w:p>
    <w:p>
      <w:pPr>
        <w:spacing w:after="0" w:line="21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The Black-Scholes-Merton model incorporates assumptions including the dividend yield, expected stock price volatility, expected term, and risk-free interest rates. We utilized the following assumptions: a dividend yield of zero; a 0.5 year expected term based on the six-month offering period; the historical stock price volatility of comparable publicly-traded companies in our industry group; and a risk-free rate corresponding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U.S. Treasury rate which coincides with the expected term. We record stock-based compensation expense on a straight-line basis over each six-month offering period, the requisite service period of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6"/>
                <w:szCs w:val="16"/>
                <w:b w:val="1"/>
                <w:bCs w:val="1"/>
                <w:color w:val="auto"/>
                <w:w w:val="93"/>
              </w:rPr>
              <w:t>Year ended June 30,</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3"/>
        </w:trPr>
        <w:tc>
          <w:tcPr>
            <w:tcW w:w="6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248,797</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196,554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13,682</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76,643</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17,092</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4,040</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390,983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292,507</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30,089</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445,525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306,506</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33,010</w:t>
            </w:r>
          </w:p>
        </w:tc>
      </w:tr>
      <w:tr>
        <w:trPr>
          <w:trHeight w:val="20"/>
        </w:trPr>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 As of June 30, 2022, we have not recognized any stock-based compensation expense for these awards.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the grant date fair value based on the probability of achievement of the revenue targets at each reporting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6" w:lineRule="exact"/>
        <w:rPr>
          <w:sz w:val="20"/>
          <w:szCs w:val="20"/>
          <w:color w:val="auto"/>
        </w:rPr>
      </w:pPr>
    </w:p>
    <w:p>
      <w:pPr>
        <w:ind w:right="480" w:firstLine="648"/>
        <w:spacing w:after="0" w:line="274" w:lineRule="auto"/>
        <w:rPr>
          <w:sz w:val="20"/>
          <w:szCs w:val="20"/>
          <w:color w:val="auto"/>
        </w:rPr>
      </w:pPr>
      <w:r>
        <w:rPr>
          <w:rFonts w:ascii="Arial" w:cs="Arial" w:eastAsia="Arial" w:hAnsi="Arial"/>
          <w:sz w:val="18"/>
          <w:szCs w:val="18"/>
          <w:color w:val="auto"/>
        </w:rPr>
        <w:t>The U.S. and foreign components of income (loss) before income taxes for the years ended June 30, 2022, 2021, and 2020 are as follows (in thousands):</w:t>
      </w: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(benefit) for the years ended June 30, 2022, 2021, and 2020 is summarized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current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deferred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income tax benefit for the year ended June 30, 2022, was primarily attributable to a change in our assessment of the future realization of certain foreign deferred tax assets, while the income tax benefit for the year ended June 30, 2021 and the income tax expense for the year ended June 30, 2020 were primarily attributable to an adjustment to the Company's valuation allowance resulting from a deferred tax liability assumed with the acquisition of Returnly and to various state income taxes and the tax amortization of certain intangibles, respectively.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U.S. statutory federal income tax rate to our effective tax rate for the years ended June 30, 2022,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79"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federal income tax rate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tax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Tax benefit related to tax credits, net</w:t>
            </w:r>
          </w:p>
        </w:tc>
        <w:tc>
          <w:tcPr>
            <w:tcW w:w="62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change in fair value of contingent consideration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Change in unrecognized tax benefits</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(90.8)%</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deferred tax assets and liabilities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6"/>
                <w:szCs w:val="16"/>
                <w:b w:val="1"/>
                <w:bCs w:val="1"/>
                <w:color w:val="auto"/>
              </w:rPr>
              <w:t>Year Ended June 30,</w:t>
            </w:r>
          </w:p>
        </w:tc>
      </w:tr>
      <w:tr>
        <w:trPr>
          <w:trHeight w:val="210"/>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430,464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41,155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23,914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r>
      <w:tr>
        <w:trPr>
          <w:trHeight w:val="22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553,550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(15,214)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(18,386)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warrants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r>
      <w:tr>
        <w:trPr>
          <w:trHeight w:val="22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deferred tax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(499,828)</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assets (liabilities), net of valuation allowance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We continue to recognize a full valuation allowance against our U.S. federal and state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years ended June 30, 2022, 2021, and 2020. The presence of a three-year cumulative loss limits the ability to consider other subjective evidence, such as our expectations of future taxable income and projections for growth. The domestic valuation allowance increased by $668.5 million during the year ended June 30, 2022.</w:t>
      </w:r>
    </w:p>
    <w:p>
      <w:pPr>
        <w:spacing w:after="0" w:line="218"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As a result of the integration and consolidation of our PayBright business into and with Affirm’s Canadian business and the expansion of our overall business in Canada, as well as other objectively verifiable positive evidence that became available during the year ended June 30, 2022, all of which we have concluded is sufficient to outweigh the existing negative evidence – including the presence of a three-year cumulative loss attributable to the related foreign jurisdiction, we have determined that it is more likely than not that our foreign deferred tax assets will be realized and a valuation allowance is not required. Accordingly, the foreign valuation allowance decreased by $10.1 million during the year ended June 30, 2022.</w:t>
      </w:r>
    </w:p>
    <w:p>
      <w:pPr>
        <w:spacing w:after="0" w:line="214"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As of June 30, 2022, we had pretax U.S. federal net operating loss ("NOL") carryforwards of approximately $3,405.9 million, state NOL carryforwards of $3,590.4 million, and foreign NOL carryforwards of $65.8 million. If not utilized, certain U.S. federal and state NOL carryforwards will begin to expire in 2029, whereas others have an unlimited carryforward period, and foreign NOL carryforwards will begin to expire in 2039. Additionally, as of June 30, 2022, we also had U.S. federal and state research and development tax credit carryforwards of $82.0 million and $37.7 million, respectively. The U.S. federal research and development tax credit carryforwards will begin to expire in 2041 while the state research and development tax credits may be carried forward indefinitely. As of June 30, 2022, the Company also had other state tax credit carryforwards of $2.6 million, which will begin to expire in 2024 if not utilized.</w:t>
      </w:r>
    </w:p>
    <w:p>
      <w:pPr>
        <w:spacing w:after="0" w:line="22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Of the above NOL carryforwards, approximately $42.0 million pretax U.S. federal NOL carryforwards and $36.4 million state NOL carryforwards are from domestic acquisitions, which may be subject to an annual utilization limitation under Internal Revenue Code Section 382.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The future utilization of all domestic NOL and tax credit carryforwards may be subject to an annual limitation, pursuant to Internal Revenue Code Sections 382 and 383 and similar state provisions, due to ownership changes that may have occurred previously or that could occur in the future. Any limitation may result in the expiration of all or a portion of the NOL carryforwards before utilization.</w:t>
      </w:r>
    </w:p>
    <w:p>
      <w:pPr>
        <w:spacing w:after="0" w:line="20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The Company accounts for uncertainties in income taxes in accordance with ASC 740, Income Taxes (“ASC 740”). The following table provides a reconciliation of the beginning and ending amounts of gross unrecognized tax benefits (in thousands):</w:t>
      </w: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w w:val="95"/>
              </w:rPr>
              <w:t>Year ended June 30,</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 for tax positions related to the current year</w:t>
            </w:r>
          </w:p>
        </w:tc>
        <w:tc>
          <w:tcPr>
            <w:tcW w:w="96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28,407</w:t>
            </w:r>
          </w:p>
        </w:tc>
        <w:tc>
          <w:tcPr>
            <w:tcW w:w="440" w:type="dxa"/>
            <w:vAlign w:val="bottom"/>
          </w:tcPr>
          <w:p>
            <w:pPr>
              <w:spacing w:after="0"/>
              <w:rPr>
                <w:sz w:val="19"/>
                <w:szCs w:val="19"/>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 for tax positions related to prior years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19,460</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47,867</w:t>
            </w:r>
          </w:p>
        </w:tc>
        <w:tc>
          <w:tcPr>
            <w:tcW w:w="4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2022, the Company had no unrecognized tax benefits related to uncertain tax positions that, if recognized, would impact the effective tax rate. The Company does not expect the total amount of unrecognized tax benefits to significantly increase or decrease within the next twelve months.</w:t>
      </w:r>
    </w:p>
    <w:p>
      <w:pPr>
        <w:spacing w:after="0" w:line="2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and penalties on unrecognized tax benefits are recorded as a component of tax expense. During the years ended June 30, 2022, 2021, and 2020, we did not recognize accrued interest and penalties related to unrecognized tax benefits.</w:t>
      </w:r>
    </w:p>
    <w:p>
      <w:pPr>
        <w:spacing w:after="0" w:line="21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file U.S. federal and state income tax returns as well as various foreign income tax returns with varying statutes of limitation. With respect to the Company’s major tax filings, all tax years remain open to examination due to the carryover of unused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Loss per Share Attributable to Common Stockholders</w:t>
      </w:r>
    </w:p>
    <w:p>
      <w:pPr>
        <w:spacing w:after="0" w:line="25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On January 12, 2021, we amended and restated our certificate of incorporation to effect a reclassification of each share of our outstanding common stock into ½ share of Class A common stock and ½ share of Class B common stock, with cash paid for fractional shares. Therefore, we have two classes of common stock: Class A common stock and Class B common stock. The rights, including the dividends and distributions, of the holders of our Class A and Class B common stock are identical, except with respect to voting. Additionally, the conversion of all outstanding shares of redeemable convertible preferred stock into shares of our common stock occurred immediately prior to the reclassification.</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tables present basic and diluted net loss per share attributable to common stockholders for Class A and Class B common stock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6"/>
                <w:szCs w:val="16"/>
                <w:b w:val="1"/>
                <w:bCs w:val="1"/>
                <w:color w:val="auto"/>
              </w:rPr>
              <w:t>Year ended June 30, 2022</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Arial" w:cs="Arial" w:eastAsia="Arial" w:hAnsi="Arial"/>
                <w:sz w:val="16"/>
                <w:szCs w:val="16"/>
                <w:b w:val="1"/>
                <w:bCs w:val="1"/>
                <w:color w:val="auto"/>
              </w:rPr>
              <w:t>Class A</w:t>
            </w:r>
          </w:p>
        </w:tc>
        <w:tc>
          <w:tcPr>
            <w:tcW w:w="420" w:type="dxa"/>
            <w:vAlign w:val="bottom"/>
          </w:tcPr>
          <w:p>
            <w:pPr>
              <w:spacing w:after="0"/>
              <w:rPr>
                <w:sz w:val="18"/>
                <w:szCs w:val="18"/>
                <w:color w:val="auto"/>
              </w:rPr>
            </w:pPr>
          </w:p>
        </w:tc>
        <w:tc>
          <w:tcPr>
            <w:tcW w:w="1580" w:type="dxa"/>
            <w:vAlign w:val="bottom"/>
          </w:tcPr>
          <w:p>
            <w:pPr>
              <w:jc w:val="right"/>
              <w:ind w:right="651"/>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(170,763)</w:t>
            </w: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 attributable to common stockholders</w:t>
            </w:r>
          </w:p>
        </w:tc>
        <w:tc>
          <w:tcPr>
            <w:tcW w:w="4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(536,654)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(170,763)</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213,703,749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68,000,292</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Total-basic</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213,703,749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68,000,292</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213,703,749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68,000,292</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Total-diluted</w:t>
            </w:r>
          </w:p>
        </w:tc>
        <w:tc>
          <w:tcPr>
            <w:tcW w:w="4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213,703,749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68,000,292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common stockholders: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6"/>
                <w:szCs w:val="16"/>
                <w:b w:val="1"/>
                <w:bCs w:val="1"/>
                <w:color w:val="auto"/>
              </w:rPr>
              <w:t>Year ended June 30, 2021</w:t>
            </w:r>
          </w:p>
        </w:tc>
      </w:tr>
      <w:tr>
        <w:trPr>
          <w:trHeight w:val="210"/>
        </w:trPr>
        <w:tc>
          <w:tcPr>
            <w:tcW w:w="7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Arial" w:cs="Arial" w:eastAsia="Arial" w:hAnsi="Arial"/>
                <w:sz w:val="16"/>
                <w:szCs w:val="16"/>
                <w:b w:val="1"/>
                <w:bCs w:val="1"/>
                <w:color w:val="auto"/>
              </w:rPr>
              <w:t>Class A</w:t>
            </w:r>
          </w:p>
        </w:tc>
        <w:tc>
          <w:tcPr>
            <w:tcW w:w="420" w:type="dxa"/>
            <w:vAlign w:val="bottom"/>
          </w:tcPr>
          <w:p>
            <w:pPr>
              <w:spacing w:after="0"/>
              <w:rPr>
                <w:sz w:val="18"/>
                <w:szCs w:val="18"/>
                <w:color w:val="auto"/>
              </w:rPr>
            </w:pPr>
          </w:p>
        </w:tc>
        <w:tc>
          <w:tcPr>
            <w:tcW w:w="1580" w:type="dxa"/>
            <w:vAlign w:val="bottom"/>
          </w:tcPr>
          <w:p>
            <w:pPr>
              <w:jc w:val="right"/>
              <w:ind w:right="651"/>
              <w:spacing w:after="0"/>
              <w:rPr>
                <w:sz w:val="20"/>
                <w:szCs w:val="20"/>
                <w:color w:val="auto"/>
              </w:rPr>
            </w:pPr>
            <w:r>
              <w:rPr>
                <w:rFonts w:ascii="Arial" w:cs="Arial" w:eastAsia="Arial" w:hAnsi="Arial"/>
                <w:sz w:val="16"/>
                <w:szCs w:val="16"/>
                <w:b w:val="1"/>
                <w:bCs w:val="1"/>
                <w:color w:val="auto"/>
              </w:rPr>
              <w:t>Class B</w:t>
            </w: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(206,027)</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(206,027)</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(206,027)</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return to preferred stockholders on repurchase</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Gain on conversion of convertible debt</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convertible debt prior to conversion</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(219,073)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84,385,884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73,982,039</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Total-basic</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84,385,884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73,982,039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84,385,884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73,982,039</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attributable to convertible debt prior to conversion</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438,344</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Total-diluted</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84,824,228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74,420,383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attributable to common stockholders:</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bl>
    <w:p>
      <w:pPr>
        <w:spacing w:after="0" w:line="200" w:lineRule="exact"/>
        <w:rPr>
          <w:sz w:val="20"/>
          <w:szCs w:val="20"/>
          <w:color w:val="auto"/>
        </w:rPr>
      </w:pPr>
    </w:p>
    <w:p>
      <w:pPr>
        <w:spacing w:after="0" w:line="204"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Year ended June 30,</w:t>
            </w:r>
          </w:p>
        </w:tc>
        <w:tc>
          <w:tcPr>
            <w:tcW w:w="180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18,922,009</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44,178,776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42,573,405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800" w:type="dxa"/>
            <w:vAlign w:val="bottom"/>
          </w:tcPr>
          <w:p>
            <w:pPr>
              <w:jc w:val="right"/>
              <w:spacing w:after="0"/>
              <w:rPr>
                <w:sz w:val="20"/>
                <w:szCs w:val="20"/>
                <w:color w:val="auto"/>
              </w:rPr>
            </w:pPr>
            <w:r>
              <w:rPr>
                <w:rFonts w:ascii="Arial" w:cs="Arial" w:eastAsia="Arial" w:hAnsi="Arial"/>
                <w:sz w:val="18"/>
                <w:szCs w:val="18"/>
                <w:color w:val="auto"/>
              </w:rPr>
              <w:t>21,387,592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14,238,738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8,235,170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5,817,203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706,065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Employee stock purchase plan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614,659</w:t>
            </w:r>
          </w:p>
        </w:tc>
        <w:tc>
          <w:tcPr>
            <w:tcW w:w="1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7,182,478</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122,115,971</w:t>
            </w: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46,741,463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58,767,514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180,813,089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Segments and Geographical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Year ended June 30,</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2020</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1,304,304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506,212</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Canada</w:t>
            </w:r>
          </w:p>
        </w:tc>
        <w:tc>
          <w:tcPr>
            <w:tcW w:w="1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1,349,292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870,464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509,528</w:t>
            </w:r>
          </w:p>
        </w:tc>
      </w:tr>
      <w:tr>
        <w:trPr>
          <w:trHeight w:val="21"/>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jc w:val="both"/>
        <w:ind w:right="80" w:firstLine="648"/>
        <w:spacing w:after="0" w:line="274" w:lineRule="auto"/>
        <w:rPr>
          <w:sz w:val="20"/>
          <w:szCs w:val="20"/>
          <w:color w:val="auto"/>
        </w:rPr>
      </w:pPr>
      <w:r>
        <w:rPr>
          <w:rFonts w:ascii="Arial" w:cs="Arial" w:eastAsia="Arial" w:hAnsi="Arial"/>
          <w:sz w:val="18"/>
          <w:szCs w:val="18"/>
          <w:color w:val="auto"/>
        </w:rPr>
        <w:t>The following table sets forth our long-lived assets, consisting of property, equipment and software, net and operating lease right-of-use assets, by geographic area (in thousands):</w:t>
      </w: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Year ended June 30,</w:t>
            </w:r>
          </w:p>
        </w:tc>
        <w:tc>
          <w:tcPr>
            <w:tcW w:w="120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2021</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217,532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Canada</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222,153</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120,327</w:t>
            </w:r>
          </w:p>
        </w:tc>
      </w:tr>
      <w:tr>
        <w:trPr>
          <w:trHeight w:val="21"/>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management, with the participation of our Chief Executive Officer (“CEO”) and our Chief Financial Officer (“CFO”), has evaluated the effectiveness of our disclosure controls and procedures (as defined in Rules 13a-15(e) under the Exchange Act) as of the end of the period covered by this Annual Report on Form 10-K. In designing and evaluating our disclosure controls and procedures, our management recognizes that any controls and procedures, no matter how well designed and operated, can provide only reasonable assurance, not absolute assurance, of achieving the desired control objectives, and is required to apply judgment in evaluating the cost-benefit relationship of possible controls and procedures.</w:t>
      </w:r>
    </w:p>
    <w:p>
      <w:pPr>
        <w:spacing w:after="0" w:line="20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Based on this evaluation, our CEO and our CFO concluded that our disclosure controls and procedures were effective as of June 30, 2022, were designed and functioned effectively to provide reasonable assurance that the information required to be disclosed in our reports filed under the Exchange Act is (i) recorded, processed, summarized, and reported within the time periods specified in the SEC’s rules and forms, and (ii) accumulated and communicated to management, including our principal executive and principal financial officers, as appropriate, to allow timely decisions regarding required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3"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under the Exchange Act) for the Company. In order to evaluate the effectiveness of internal control over financial reporting, as required by Section 404 of the Sarbanes-Oxley Act of 2002, management has conducted an assessment, including testing, of the Company’s internal control over financial reporting as of June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16"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Internal control over financial reporting refers to the process, designed under the supervision and with the participation of management, including our CEO and our CFO, and effected by the Company’s Board of Directors, to provide reasonable, but not absolute, assurance regarding the reliability of financial reporting and the preparation of financial statements for external purposes in accordance with accounting principles generally accepted in the United States of America (“GAAP”), and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740" w:firstLine="648"/>
        <w:spacing w:after="0" w:line="238"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June 30, 2022. Based on that assessment, management has concluded that the Company’s internal control over financial reporting was effective as of June 30, 2022 to provide reasonable assurance regarding the reliability of financial reporting and the preparation of financial statements for external reporting purposes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Deloitte &amp; Touche LLP, an independent registered public accounting firm,, has audited the effectiveness of the Company’s internal control over financial reporting as of June 30, 2022, and its report in included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under the Exchange Act)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Affirm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Affirm Holdings, Inc. and subsidiaries (the “Company”) as of June 30,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June 30, 2022, based on criteria established in Internal Control — Integrated Framework (2013) issued by COSO.</w:t>
      </w:r>
    </w:p>
    <w:p>
      <w:pPr>
        <w:spacing w:after="0" w:line="19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related consolidated financial statements as of and for the year ended June 30, 2022, of the Company and our report dated August 29, 2022,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“Board of Directors and Corporate Governance”, “Executive Officers” and “Other Matters” of our Proxy Statement for the 2022 Annual Meeting of Stockholders to be filed with the SEC within 120 days of the fiscal year ended June 30, 2022.</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board of directors has adopted a Code of Ethics and Business Conduct applicable to all officers, directors and employees, including our principal executive, principal financial and principal accounting officers, which is available on our website (investors.affirm.com) under “Corporate Governance.” We intend to satisfy the disclosure requirement under Item 5.05 of Form 8-K regarding amendment to, or waiver from, a provision of our Code of Conduct granted to executive officers and directors by posting such information on the website address and location specified above within four business days following the date of the amendment or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 titled “Executive Compensation” of our Proxy Statement for the 2022 Annual Meeting of Stockholders to be filed with the SEC within 120 days of the fiscal year ended June 30, 2022.</w:t>
      </w:r>
    </w:p>
    <w:p>
      <w:pPr>
        <w:spacing w:after="0" w:line="19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“Equity Compensation Plan Information” and “Security Ownership of Certain Beneficial Owners and Management” of our Proxy Statement for the 2022 Annual Meeting of Stockholders to be filed with the SEC within 120 days of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titled “Board of Directors and Corporate Governance” and “Certain Relationships and Related-Party Transactions” and our Proxy Statement for the 2022 Annual Meeting of Stockholders to be filed with the SEC within 120 days of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 titled “Proposal No. 2: Ratification of Appointment of Independent Registered Public Accounting Firm” of our Proxy Statement for the 2022 Annual Meeting of Stockholders to be filed with the SEC within 120 days of the fiscal year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schedules have been omitted because the required information is not present or not present in amounts sufficient to require submission of the schedules, or because the information required is included in Part II, Item 8, of this Annual Report.</w:t>
      </w:r>
    </w:p>
    <w:p>
      <w:pPr>
        <w:sectPr>
          <w:pgSz w:w="11900" w:h="16838" w:orient="portrait"/>
          <w:cols w:equalWidth="0" w:num="1">
            <w:col w:w="11060"/>
          </w:cols>
          <w:pgMar w:left="320" w:top="125" w:right="51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40" w:type="dxa"/>
            <w:vAlign w:val="bottom"/>
            <w:gridSpan w:val="3"/>
          </w:tcPr>
          <w:p>
            <w:pPr>
              <w:ind w:left="720"/>
              <w:spacing w:after="0"/>
              <w:rPr>
                <w:sz w:val="20"/>
                <w:szCs w:val="20"/>
                <w:color w:val="auto"/>
              </w:rPr>
            </w:pPr>
            <w:r>
              <w:rPr>
                <w:rFonts w:ascii="Arial" w:cs="Arial" w:eastAsia="Arial" w:hAnsi="Arial"/>
                <w:sz w:val="14"/>
                <w:szCs w:val="14"/>
                <w:b w:val="1"/>
                <w:bCs w:val="1"/>
                <w:color w:val="auto"/>
              </w:rPr>
              <w:t>Incorporated by Reference</w:t>
            </w:r>
          </w:p>
        </w:tc>
      </w:tr>
      <w:tr>
        <w:trPr>
          <w:trHeight w:val="192"/>
        </w:trPr>
        <w:tc>
          <w:tcPr>
            <w:tcW w:w="780" w:type="dxa"/>
            <w:vAlign w:val="bottom"/>
          </w:tcPr>
          <w:p>
            <w:pPr>
              <w:jc w:val="center"/>
              <w:ind w:right="208"/>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0"/>
        </w:trPr>
        <w:tc>
          <w:tcPr>
            <w:tcW w:w="78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4"/>
          </w:tcPr>
          <w:p>
            <w:pPr>
              <w:ind w:left="140"/>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Filing Date</w:t>
            </w:r>
          </w:p>
        </w:tc>
      </w:tr>
      <w:tr>
        <w:trPr>
          <w:trHeight w:val="187"/>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3.1</w:t>
            </w:r>
          </w:p>
        </w:tc>
        <w:tc>
          <w:tcPr>
            <w:tcW w:w="4680" w:type="dxa"/>
            <w:vAlign w:val="bottom"/>
            <w:gridSpan w:val="7"/>
          </w:tcPr>
          <w:p>
            <w:pPr>
              <w:spacing w:after="0"/>
              <w:rPr>
                <w:rFonts w:ascii="Arial" w:cs="Arial" w:eastAsia="Arial" w:hAnsi="Arial"/>
                <w:sz w:val="14"/>
                <w:szCs w:val="14"/>
                <w:color w:val="0000FF"/>
              </w:rPr>
            </w:pPr>
            <w:hyperlink r:id="rId210">
              <w:r>
                <w:rPr>
                  <w:rFonts w:ascii="Arial" w:cs="Arial" w:eastAsia="Arial" w:hAnsi="Arial"/>
                  <w:sz w:val="14"/>
                  <w:szCs w:val="14"/>
                  <w:color w:val="0000FF"/>
                </w:rPr>
                <w:t>Amended and Restated Certificate of Incorporation</w:t>
              </w:r>
            </w:hyperlink>
          </w:p>
        </w:tc>
        <w:tc>
          <w:tcPr>
            <w:tcW w:w="780" w:type="dxa"/>
            <w:vAlign w:val="bottom"/>
          </w:tcPr>
          <w:p>
            <w:pPr>
              <w:jc w:val="center"/>
              <w:ind w:right="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3.1</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0"/>
              </w:rPr>
              <w:t>January 15, 2021</w:t>
            </w: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3.2</w:t>
            </w:r>
          </w:p>
        </w:tc>
        <w:tc>
          <w:tcPr>
            <w:tcW w:w="180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1"/>
              </w:rPr>
            </w:pPr>
            <w:hyperlink r:id="rId211">
              <w:r>
                <w:rPr>
                  <w:rFonts w:ascii="Arial" w:cs="Arial" w:eastAsia="Arial" w:hAnsi="Arial"/>
                  <w:sz w:val="14"/>
                  <w:szCs w:val="14"/>
                  <w:color w:val="0000FF"/>
                  <w:w w:val="91"/>
                </w:rPr>
                <w:t>Amended and Restated Bylaws</w:t>
              </w:r>
            </w:hyperlink>
          </w:p>
        </w:tc>
        <w:tc>
          <w:tcPr>
            <w:tcW w:w="1140" w:type="dxa"/>
            <w:vAlign w:val="bottom"/>
            <w:tcBorders>
              <w:top w:val="single" w:sz="8" w:color="0000FF"/>
            </w:tcBorders>
          </w:tcPr>
          <w:p>
            <w:pPr>
              <w:spacing w:after="0"/>
              <w:rPr>
                <w:sz w:val="17"/>
                <w:szCs w:val="17"/>
                <w:color w:val="auto"/>
              </w:rPr>
            </w:pPr>
          </w:p>
        </w:tc>
        <w:tc>
          <w:tcPr>
            <w:tcW w:w="1740" w:type="dxa"/>
            <w:vAlign w:val="bottom"/>
            <w:gridSpan w:val="3"/>
          </w:tcPr>
          <w:p>
            <w:pPr>
              <w:spacing w:after="0"/>
              <w:rPr>
                <w:sz w:val="17"/>
                <w:szCs w:val="17"/>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3.2</w:t>
            </w:r>
          </w:p>
        </w:tc>
        <w:tc>
          <w:tcPr>
            <w:tcW w:w="1360" w:type="dxa"/>
            <w:vAlign w:val="bottom"/>
          </w:tcPr>
          <w:p>
            <w:pPr>
              <w:jc w:val="center"/>
              <w:ind w:left="128"/>
              <w:spacing w:after="0"/>
              <w:rPr>
                <w:sz w:val="20"/>
                <w:szCs w:val="20"/>
                <w:color w:val="auto"/>
              </w:rPr>
            </w:pPr>
            <w:r>
              <w:rPr>
                <w:rFonts w:ascii="Arial" w:cs="Arial" w:eastAsia="Arial" w:hAnsi="Arial"/>
                <w:sz w:val="14"/>
                <w:szCs w:val="14"/>
                <w:color w:val="auto"/>
                <w:w w:val="90"/>
              </w:rPr>
              <w:t>September 8, 2021</w:t>
            </w: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4.1</w:t>
            </w:r>
          </w:p>
        </w:tc>
        <w:tc>
          <w:tcPr>
            <w:tcW w:w="1640" w:type="dxa"/>
            <w:vAlign w:val="bottom"/>
            <w:tcBorders>
              <w:bottom w:val="single" w:sz="8" w:color="0000FF"/>
            </w:tcBorders>
            <w:gridSpan w:val="2"/>
          </w:tcPr>
          <w:p>
            <w:pPr>
              <w:spacing w:after="0"/>
              <w:rPr>
                <w:rFonts w:ascii="Arial" w:cs="Arial" w:eastAsia="Arial" w:hAnsi="Arial"/>
                <w:sz w:val="14"/>
                <w:szCs w:val="14"/>
                <w:color w:val="0000FF"/>
                <w:w w:val="94"/>
              </w:rPr>
            </w:pPr>
            <w:hyperlink r:id="rId212">
              <w:r>
                <w:rPr>
                  <w:rFonts w:ascii="Arial" w:cs="Arial" w:eastAsia="Arial" w:hAnsi="Arial"/>
                  <w:sz w:val="14"/>
                  <w:szCs w:val="14"/>
                  <w:color w:val="0000FF"/>
                  <w:w w:val="94"/>
                </w:rPr>
                <w:t>Description of Capital Stock</w:t>
              </w:r>
            </w:hyperlink>
          </w:p>
        </w:tc>
        <w:tc>
          <w:tcPr>
            <w:tcW w:w="3040" w:type="dxa"/>
            <w:vAlign w:val="bottom"/>
            <w:gridSpan w:val="5"/>
          </w:tcPr>
          <w:p>
            <w:pPr>
              <w:spacing w:after="0"/>
              <w:rPr>
                <w:sz w:val="17"/>
                <w:szCs w:val="17"/>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color w:val="auto"/>
              </w:rPr>
              <w:t>10-K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4.1</w:t>
            </w:r>
          </w:p>
        </w:tc>
        <w:tc>
          <w:tcPr>
            <w:tcW w:w="1360" w:type="dxa"/>
            <w:vAlign w:val="bottom"/>
          </w:tcPr>
          <w:p>
            <w:pPr>
              <w:jc w:val="center"/>
              <w:ind w:left="128"/>
              <w:spacing w:after="0"/>
              <w:rPr>
                <w:sz w:val="20"/>
                <w:szCs w:val="20"/>
                <w:color w:val="auto"/>
              </w:rPr>
            </w:pPr>
            <w:r>
              <w:rPr>
                <w:rFonts w:ascii="Arial" w:cs="Arial" w:eastAsia="Arial" w:hAnsi="Arial"/>
                <w:sz w:val="14"/>
                <w:szCs w:val="14"/>
                <w:color w:val="auto"/>
                <w:w w:val="91"/>
              </w:rPr>
              <w:t>September 17, 2021</w:t>
            </w: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4.2</w:t>
            </w:r>
          </w:p>
        </w:tc>
        <w:tc>
          <w:tcPr>
            <w:tcW w:w="4680" w:type="dxa"/>
            <w:vAlign w:val="bottom"/>
            <w:gridSpan w:val="7"/>
          </w:tcPr>
          <w:p>
            <w:pPr>
              <w:spacing w:after="0"/>
              <w:rPr>
                <w:rFonts w:ascii="Arial" w:cs="Arial" w:eastAsia="Arial" w:hAnsi="Arial"/>
                <w:sz w:val="14"/>
                <w:szCs w:val="14"/>
                <w:color w:val="0000FF"/>
                <w:w w:val="98"/>
              </w:rPr>
            </w:pPr>
            <w:hyperlink r:id="rId213">
              <w:r>
                <w:rPr>
                  <w:rFonts w:ascii="Arial" w:cs="Arial" w:eastAsia="Arial" w:hAnsi="Arial"/>
                  <w:sz w:val="14"/>
                  <w:szCs w:val="14"/>
                  <w:color w:val="0000FF"/>
                  <w:w w:val="98"/>
                </w:rPr>
                <w:t>Warrant to Purchase Class A Common Stock of Affirm Holdings, Inc., by and</w:t>
              </w:r>
            </w:hyperlink>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42"/>
        </w:trPr>
        <w:tc>
          <w:tcPr>
            <w:tcW w:w="780" w:type="dxa"/>
            <w:vAlign w:val="bottom"/>
          </w:tcPr>
          <w:p>
            <w:pPr>
              <w:spacing w:after="0"/>
              <w:rPr>
                <w:sz w:val="12"/>
                <w:szCs w:val="12"/>
                <w:color w:val="auto"/>
              </w:rPr>
            </w:pPr>
          </w:p>
        </w:tc>
        <w:tc>
          <w:tcPr>
            <w:tcW w:w="4480" w:type="dxa"/>
            <w:vAlign w:val="bottom"/>
            <w:tcBorders>
              <w:top w:val="single" w:sz="8" w:color="0000FF"/>
            </w:tcBorders>
            <w:gridSpan w:val="6"/>
          </w:tcPr>
          <w:p>
            <w:pPr>
              <w:spacing w:after="0" w:line="142" w:lineRule="exact"/>
              <w:rPr>
                <w:rFonts w:ascii="Arial" w:cs="Arial" w:eastAsia="Arial" w:hAnsi="Arial"/>
                <w:sz w:val="14"/>
                <w:szCs w:val="14"/>
                <w:color w:val="0000FF"/>
                <w:w w:val="97"/>
              </w:rPr>
            </w:pPr>
            <w:hyperlink r:id="rId213">
              <w:r>
                <w:rPr>
                  <w:rFonts w:ascii="Arial" w:cs="Arial" w:eastAsia="Arial" w:hAnsi="Arial"/>
                  <w:sz w:val="14"/>
                  <w:szCs w:val="14"/>
                  <w:color w:val="0000FF"/>
                  <w:w w:val="97"/>
                </w:rPr>
                <w:t>between Affirm Holdings, Inc. and Amazon.com Services LLC, dated as of</w:t>
              </w:r>
            </w:hyperlink>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6"/>
        </w:trPr>
        <w:tc>
          <w:tcPr>
            <w:tcW w:w="78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3"/>
              </w:rPr>
            </w:pPr>
            <w:hyperlink r:id="rId213">
              <w:r>
                <w:rPr>
                  <w:rFonts w:ascii="Arial" w:cs="Arial" w:eastAsia="Arial" w:hAnsi="Arial"/>
                  <w:sz w:val="14"/>
                  <w:szCs w:val="14"/>
                  <w:color w:val="0000FF"/>
                  <w:w w:val="93"/>
                </w:rPr>
                <w:t>November 10, 2021*</w:t>
              </w:r>
            </w:hyperlink>
          </w:p>
        </w:tc>
        <w:tc>
          <w:tcPr>
            <w:tcW w:w="3120" w:type="dxa"/>
            <w:vAlign w:val="bottom"/>
            <w:tcBorders>
              <w:top w:val="single" w:sz="8" w:color="0000FF"/>
            </w:tcBorders>
            <w:gridSpan w:val="4"/>
          </w:tcPr>
          <w:p>
            <w:pPr>
              <w:spacing w:after="0"/>
              <w:rPr>
                <w:sz w:val="13"/>
                <w:szCs w:val="13"/>
                <w:color w:val="auto"/>
              </w:rPr>
            </w:pPr>
          </w:p>
        </w:tc>
        <w:tc>
          <w:tcPr>
            <w:tcW w:w="340" w:type="dxa"/>
            <w:vAlign w:val="bottom"/>
            <w:gridSpan w:val="2"/>
          </w:tcPr>
          <w:p>
            <w:pPr>
              <w:spacing w:after="0"/>
              <w:rPr>
                <w:sz w:val="13"/>
                <w:szCs w:val="13"/>
                <w:color w:val="auto"/>
              </w:rPr>
            </w:pPr>
          </w:p>
        </w:tc>
        <w:tc>
          <w:tcPr>
            <w:tcW w:w="780" w:type="dxa"/>
            <w:vAlign w:val="bottom"/>
          </w:tcPr>
          <w:p>
            <w:pPr>
              <w:jc w:val="center"/>
              <w:ind w:right="8"/>
              <w:spacing w:after="0" w:line="155" w:lineRule="exact"/>
              <w:rPr>
                <w:sz w:val="20"/>
                <w:szCs w:val="20"/>
                <w:color w:val="auto"/>
              </w:rPr>
            </w:pPr>
            <w:r>
              <w:rPr>
                <w:rFonts w:ascii="Arial" w:cs="Arial" w:eastAsia="Arial" w:hAnsi="Arial"/>
                <w:sz w:val="14"/>
                <w:szCs w:val="14"/>
                <w:color w:val="auto"/>
              </w:rPr>
              <w:t>8-K</w:t>
            </w:r>
          </w:p>
        </w:tc>
        <w:tc>
          <w:tcPr>
            <w:tcW w:w="1160" w:type="dxa"/>
            <w:vAlign w:val="bottom"/>
          </w:tcPr>
          <w:p>
            <w:pPr>
              <w:jc w:val="center"/>
              <w:spacing w:after="0" w:line="155" w:lineRule="exact"/>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line="155" w:lineRule="exact"/>
              <w:rPr>
                <w:sz w:val="20"/>
                <w:szCs w:val="20"/>
                <w:color w:val="auto"/>
              </w:rPr>
            </w:pPr>
            <w:r>
              <w:rPr>
                <w:rFonts w:ascii="Arial" w:cs="Arial" w:eastAsia="Arial" w:hAnsi="Arial"/>
                <w:sz w:val="14"/>
                <w:szCs w:val="14"/>
                <w:color w:val="auto"/>
                <w:w w:val="92"/>
              </w:rPr>
              <w:t>4.1</w:t>
            </w:r>
          </w:p>
        </w:tc>
        <w:tc>
          <w:tcPr>
            <w:tcW w:w="1360" w:type="dxa"/>
            <w:vAlign w:val="bottom"/>
          </w:tcPr>
          <w:p>
            <w:pPr>
              <w:jc w:val="center"/>
              <w:ind w:left="108"/>
              <w:spacing w:after="0" w:line="155" w:lineRule="exact"/>
              <w:rPr>
                <w:sz w:val="20"/>
                <w:szCs w:val="20"/>
                <w:color w:val="auto"/>
              </w:rPr>
            </w:pPr>
            <w:r>
              <w:rPr>
                <w:rFonts w:ascii="Arial" w:cs="Arial" w:eastAsia="Arial" w:hAnsi="Arial"/>
                <w:sz w:val="14"/>
                <w:szCs w:val="14"/>
                <w:color w:val="auto"/>
                <w:w w:val="92"/>
              </w:rPr>
              <w:t>November 10, 2021</w:t>
            </w:r>
          </w:p>
        </w:tc>
      </w:tr>
      <w:tr>
        <w:trPr>
          <w:trHeight w:val="196"/>
        </w:trPr>
        <w:tc>
          <w:tcPr>
            <w:tcW w:w="780" w:type="dxa"/>
            <w:vAlign w:val="bottom"/>
          </w:tcPr>
          <w:p>
            <w:pPr>
              <w:jc w:val="center"/>
              <w:ind w:right="208"/>
              <w:spacing w:after="0"/>
              <w:rPr>
                <w:sz w:val="20"/>
                <w:szCs w:val="20"/>
                <w:color w:val="auto"/>
              </w:rPr>
            </w:pPr>
            <w:r>
              <w:rPr>
                <w:rFonts w:ascii="Arial" w:cs="Arial" w:eastAsia="Arial" w:hAnsi="Arial"/>
                <w:sz w:val="14"/>
                <w:szCs w:val="14"/>
                <w:color w:val="auto"/>
                <w:w w:val="92"/>
              </w:rPr>
              <w:t>4.3</w:t>
            </w:r>
          </w:p>
        </w:tc>
        <w:tc>
          <w:tcPr>
            <w:tcW w:w="4680" w:type="dxa"/>
            <w:vAlign w:val="bottom"/>
            <w:gridSpan w:val="7"/>
          </w:tcPr>
          <w:p>
            <w:pPr>
              <w:spacing w:after="0"/>
              <w:rPr>
                <w:rFonts w:ascii="Arial" w:cs="Arial" w:eastAsia="Arial" w:hAnsi="Arial"/>
                <w:sz w:val="14"/>
                <w:szCs w:val="14"/>
                <w:color w:val="0000FF"/>
                <w:w w:val="98"/>
              </w:rPr>
            </w:pPr>
            <w:hyperlink r:id="rId214">
              <w:r>
                <w:rPr>
                  <w:rFonts w:ascii="Arial" w:cs="Arial" w:eastAsia="Arial" w:hAnsi="Arial"/>
                  <w:sz w:val="14"/>
                  <w:szCs w:val="14"/>
                  <w:color w:val="0000FF"/>
                  <w:w w:val="98"/>
                </w:rPr>
                <w:t>Warrant to Purchase Class A Common Stock of Affirm Holdings, Inc., by and</w:t>
              </w:r>
            </w:hyperlink>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42"/>
        </w:trPr>
        <w:tc>
          <w:tcPr>
            <w:tcW w:w="780" w:type="dxa"/>
            <w:vAlign w:val="bottom"/>
          </w:tcPr>
          <w:p>
            <w:pPr>
              <w:spacing w:after="0"/>
              <w:rPr>
                <w:sz w:val="12"/>
                <w:szCs w:val="12"/>
                <w:color w:val="auto"/>
              </w:rPr>
            </w:pPr>
          </w:p>
        </w:tc>
        <w:tc>
          <w:tcPr>
            <w:tcW w:w="4480" w:type="dxa"/>
            <w:vAlign w:val="bottom"/>
            <w:tcBorders>
              <w:top w:val="single" w:sz="8" w:color="0000FF"/>
            </w:tcBorders>
            <w:gridSpan w:val="6"/>
          </w:tcPr>
          <w:p>
            <w:pPr>
              <w:spacing w:after="0" w:line="142" w:lineRule="exact"/>
              <w:rPr>
                <w:rFonts w:ascii="Arial" w:cs="Arial" w:eastAsia="Arial" w:hAnsi="Arial"/>
                <w:sz w:val="14"/>
                <w:szCs w:val="14"/>
                <w:color w:val="0000FF"/>
                <w:w w:val="97"/>
              </w:rPr>
            </w:pPr>
            <w:hyperlink r:id="rId214">
              <w:r>
                <w:rPr>
                  <w:rFonts w:ascii="Arial" w:cs="Arial" w:eastAsia="Arial" w:hAnsi="Arial"/>
                  <w:sz w:val="14"/>
                  <w:szCs w:val="14"/>
                  <w:color w:val="0000FF"/>
                  <w:w w:val="97"/>
                </w:rPr>
                <w:t>between Affirm Holdings, Inc. and Amazon.com Services LLC, dated as of</w:t>
              </w:r>
            </w:hyperlink>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-1225550</wp:posOffset>
            </wp:positionV>
            <wp:extent cx="3231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1606" w:lineRule="exact"/>
        <w:rPr>
          <w:sz w:val="20"/>
          <w:szCs w:val="20"/>
          <w:color w:val="auto"/>
        </w:rPr>
      </w:pPr>
    </w:p>
    <w:p>
      <w:pPr>
        <w:sectPr>
          <w:pgSz w:w="11900" w:h="16838" w:orient="portrait"/>
          <w:cols w:equalWidth="0" w:num="2">
            <w:col w:w="9860" w:space="620"/>
            <w:col w:w="580"/>
          </w:cols>
          <w:pgMar w:left="320" w:top="125" w:right="519" w:bottom="1440" w:gutter="0" w:footer="0" w:header="0"/>
          <w:type w:val="continuous"/>
        </w:sectPr>
      </w:pPr>
    </w:p>
    <w:p>
      <w:pPr>
        <w:ind w:left="960"/>
        <w:spacing w:after="0"/>
        <w:rPr>
          <w:rFonts w:ascii="Arial" w:cs="Arial" w:eastAsia="Arial" w:hAnsi="Arial"/>
          <w:sz w:val="14"/>
          <w:szCs w:val="14"/>
          <w:u w:val="single" w:color="auto"/>
          <w:color w:val="0000FF"/>
        </w:rPr>
      </w:pPr>
      <w:hyperlink r:id="rId214">
        <w:r>
          <w:rPr>
            <w:rFonts w:ascii="Arial" w:cs="Arial" w:eastAsia="Arial" w:hAnsi="Arial"/>
            <w:sz w:val="14"/>
            <w:szCs w:val="14"/>
            <w:u w:val="single" w:color="auto"/>
            <w:color w:val="0000FF"/>
          </w:rPr>
          <w:t>November 10, 2021*</w:t>
        </w:r>
      </w:hyperlink>
    </w:p>
    <w:p>
      <w:pPr>
        <w:spacing w:after="0" w:line="55" w:lineRule="exact"/>
        <w:rPr>
          <w:sz w:val="20"/>
          <w:szCs w:val="20"/>
          <w:color w:val="auto"/>
        </w:rPr>
      </w:pPr>
    </w:p>
    <w:p>
      <w:pPr>
        <w:ind w:left="960" w:right="380" w:hanging="620"/>
        <w:spacing w:after="0" w:line="273"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4.4</w:t>
      </w:r>
      <w:r>
        <w:rPr>
          <w:sz w:val="20"/>
          <w:szCs w:val="20"/>
          <w:color w:val="auto"/>
        </w:rPr>
        <w:tab/>
      </w:r>
      <w:hyperlink r:id="rId216">
        <w:r>
          <w:rPr>
            <w:rFonts w:ascii="Arial" w:cs="Arial" w:eastAsia="Arial" w:hAnsi="Arial"/>
            <w:sz w:val="14"/>
            <w:szCs w:val="14"/>
            <w:u w:val="single" w:color="auto"/>
            <w:color w:val="0000FF"/>
          </w:rPr>
          <w:t>Indenture, dated November 23, 2021, between Affirm Holdings, Inc. and</w:t>
        </w:r>
      </w:hyperlink>
      <w:r>
        <w:rPr>
          <w:rFonts w:ascii="Arial" w:cs="Arial" w:eastAsia="Arial" w:hAnsi="Arial"/>
          <w:sz w:val="14"/>
          <w:szCs w:val="14"/>
          <w:u w:val="single" w:color="auto"/>
          <w:color w:val="0000FF"/>
        </w:rPr>
        <w:t xml:space="preserve"> </w:t>
      </w:r>
      <w:hyperlink r:id="rId216">
        <w:r>
          <w:rPr>
            <w:rFonts w:ascii="Arial" w:cs="Arial" w:eastAsia="Arial" w:hAnsi="Arial"/>
            <w:sz w:val="14"/>
            <w:szCs w:val="14"/>
            <w:u w:val="single" w:color="auto"/>
            <w:color w:val="0000FF"/>
          </w:rPr>
          <w:t>Wilmington Trust, National Association, as trustee</w:t>
        </w:r>
      </w:hyperlink>
    </w:p>
    <w:p>
      <w:pPr>
        <w:spacing w:after="0" w:line="12" w:lineRule="exact"/>
        <w:rPr>
          <w:sz w:val="20"/>
          <w:szCs w:val="20"/>
          <w:color w:val="auto"/>
        </w:rPr>
      </w:pPr>
    </w:p>
    <w:p>
      <w:pPr>
        <w:ind w:left="340"/>
        <w:spacing w:after="0"/>
        <w:tabs>
          <w:tab w:leader="none" w:pos="94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216">
        <w:r>
          <w:rPr>
            <w:rFonts w:ascii="Arial" w:cs="Arial" w:eastAsia="Arial" w:hAnsi="Arial"/>
            <w:sz w:val="13"/>
            <w:szCs w:val="13"/>
            <w:u w:val="single" w:color="auto"/>
            <w:color w:val="0000FF"/>
          </w:rPr>
          <w:t>Form of 0% Convertible Senior Note due 2026 (included in Exhibit 4.4)</w:t>
        </w:r>
      </w:hyperlink>
    </w:p>
    <w:p>
      <w:pPr>
        <w:spacing w:after="0" w:line="55" w:lineRule="exact"/>
        <w:rPr>
          <w:sz w:val="20"/>
          <w:szCs w:val="20"/>
          <w:color w:val="auto"/>
        </w:rPr>
      </w:pPr>
    </w:p>
    <w:p>
      <w:pPr>
        <w:ind w:left="960" w:hanging="696"/>
        <w:spacing w:after="0" w:line="273" w:lineRule="auto"/>
        <w:tabs>
          <w:tab w:leader="none" w:pos="9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u w:val="single" w:color="auto"/>
          <w:color w:val="0000FF"/>
        </w:rPr>
        <w:t>Transition Agreement, dated as of May 31, 2022, by and between the Company and Silvija Martincevic</w:t>
      </w:r>
    </w:p>
    <w:p>
      <w:pPr>
        <w:spacing w:after="0" w:line="25" w:lineRule="exact"/>
        <w:rPr>
          <w:sz w:val="20"/>
          <w:szCs w:val="20"/>
          <w:color w:val="auto"/>
        </w:rPr>
      </w:pPr>
    </w:p>
    <w:p>
      <w:pPr>
        <w:ind w:left="960" w:right="200" w:hanging="656"/>
        <w:spacing w:after="0" w:line="273"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10.2</w:t>
      </w:r>
      <w:r>
        <w:rPr>
          <w:sz w:val="20"/>
          <w:szCs w:val="20"/>
          <w:color w:val="auto"/>
        </w:rPr>
        <w:tab/>
      </w:r>
      <w:hyperlink r:id="rId217">
        <w:r>
          <w:rPr>
            <w:rFonts w:ascii="Arial" w:cs="Arial" w:eastAsia="Arial" w:hAnsi="Arial"/>
            <w:sz w:val="14"/>
            <w:szCs w:val="14"/>
            <w:u w:val="single" w:color="auto"/>
            <w:color w:val="0000FF"/>
          </w:rPr>
          <w:t>Form of Indemnification Agreement between the Company and its directors</w:t>
        </w:r>
      </w:hyperlink>
      <w:r>
        <w:rPr>
          <w:rFonts w:ascii="Arial" w:cs="Arial" w:eastAsia="Arial" w:hAnsi="Arial"/>
          <w:sz w:val="14"/>
          <w:szCs w:val="14"/>
          <w:u w:val="single" w:color="auto"/>
          <w:color w:val="0000FF"/>
        </w:rPr>
        <w:t xml:space="preserve"> </w:t>
      </w:r>
      <w:hyperlink r:id="rId217">
        <w:r>
          <w:rPr>
            <w:rFonts w:ascii="Arial" w:cs="Arial" w:eastAsia="Arial" w:hAnsi="Arial"/>
            <w:sz w:val="14"/>
            <w:szCs w:val="14"/>
            <w:u w:val="single" w:color="auto"/>
            <w:color w:val="0000FF"/>
          </w:rPr>
          <w:t>and officers</w:t>
        </w:r>
      </w:hyperlink>
    </w:p>
    <w:p>
      <w:pPr>
        <w:spacing w:after="0" w:line="25" w:lineRule="exact"/>
        <w:rPr>
          <w:sz w:val="20"/>
          <w:szCs w:val="20"/>
          <w:color w:val="auto"/>
        </w:rPr>
      </w:pPr>
    </w:p>
    <w:p>
      <w:pPr>
        <w:jc w:val="both"/>
        <w:ind w:left="960" w:right="260" w:hanging="656"/>
        <w:spacing w:after="0" w:line="267"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218">
        <w:r>
          <w:rPr>
            <w:rFonts w:ascii="Arial" w:cs="Arial" w:eastAsia="Arial" w:hAnsi="Arial"/>
            <w:sz w:val="14"/>
            <w:szCs w:val="14"/>
            <w:u w:val="single" w:color="auto"/>
            <w:color w:val="0000FF"/>
          </w:rPr>
          <w:t>Revolving Credit Agreement, dated as of February 4, 2022, among Affirm,</w:t>
        </w:r>
      </w:hyperlink>
      <w:r>
        <w:rPr>
          <w:rFonts w:ascii="Arial" w:cs="Arial" w:eastAsia="Arial" w:hAnsi="Arial"/>
          <w:sz w:val="14"/>
          <w:szCs w:val="14"/>
          <w:u w:val="single" w:color="auto"/>
          <w:color w:val="0000FF"/>
        </w:rPr>
        <w:t xml:space="preserve"> </w:t>
      </w:r>
      <w:hyperlink r:id="rId218">
        <w:r>
          <w:rPr>
            <w:rFonts w:ascii="Arial" w:cs="Arial" w:eastAsia="Arial" w:hAnsi="Arial"/>
            <w:sz w:val="14"/>
            <w:szCs w:val="14"/>
            <w:u w:val="single" w:color="auto"/>
            <w:color w:val="0000FF"/>
          </w:rPr>
          <w:t>Inc., Affirm Holdings, Inc., certain lenders identified therein, and Barclays</w:t>
        </w:r>
      </w:hyperlink>
      <w:r>
        <w:rPr>
          <w:rFonts w:ascii="Arial" w:cs="Arial" w:eastAsia="Arial" w:hAnsi="Arial"/>
          <w:sz w:val="14"/>
          <w:szCs w:val="14"/>
          <w:u w:val="single" w:color="auto"/>
          <w:color w:val="0000FF"/>
        </w:rPr>
        <w:t xml:space="preserve"> </w:t>
      </w:r>
      <w:hyperlink r:id="rId218">
        <w:r>
          <w:rPr>
            <w:rFonts w:ascii="Arial" w:cs="Arial" w:eastAsia="Arial" w:hAnsi="Arial"/>
            <w:sz w:val="14"/>
            <w:szCs w:val="14"/>
            <w:u w:val="single" w:color="auto"/>
            <w:color w:val="0000FF"/>
          </w:rPr>
          <w:t>Bank PLC</w:t>
        </w:r>
      </w:hyperlink>
    </w:p>
    <w:p>
      <w:pPr>
        <w:spacing w:after="0" w:line="3" w:lineRule="exact"/>
        <w:rPr>
          <w:rFonts w:ascii="Arial" w:cs="Arial" w:eastAsia="Arial" w:hAnsi="Arial"/>
          <w:sz w:val="14"/>
          <w:szCs w:val="14"/>
          <w:u w:val="single" w:color="auto"/>
          <w:color w:val="0000FF"/>
        </w:rPr>
      </w:pPr>
    </w:p>
    <w:p>
      <w:pPr>
        <w:ind w:left="960" w:right="500" w:hanging="656"/>
        <w:spacing w:after="0" w:line="293" w:lineRule="auto"/>
        <w:tabs>
          <w:tab w:leader="none" w:pos="940" w:val="left"/>
        </w:tabs>
        <w:rPr>
          <w:rFonts w:ascii="Arial" w:cs="Arial" w:eastAsia="Arial" w:hAnsi="Arial"/>
          <w:sz w:val="12"/>
          <w:szCs w:val="12"/>
          <w:u w:val="single" w:color="auto"/>
          <w:color w:val="0000FF"/>
        </w:rPr>
      </w:pPr>
      <w:r>
        <w:rPr>
          <w:rFonts w:ascii="Arial" w:cs="Arial" w:eastAsia="Arial" w:hAnsi="Arial"/>
          <w:sz w:val="14"/>
          <w:szCs w:val="14"/>
          <w:color w:val="auto"/>
        </w:rPr>
        <w:t>10.4</w:t>
      </w:r>
      <w:r>
        <w:rPr>
          <w:sz w:val="20"/>
          <w:szCs w:val="20"/>
          <w:color w:val="auto"/>
        </w:rPr>
        <w:tab/>
      </w:r>
      <w:hyperlink r:id="rId219">
        <w:r>
          <w:rPr>
            <w:rFonts w:ascii="Arial" w:cs="Arial" w:eastAsia="Arial" w:hAnsi="Arial"/>
            <w:sz w:val="12"/>
            <w:szCs w:val="12"/>
            <w:u w:val="single" w:color="auto"/>
            <w:color w:val="0000FF"/>
          </w:rPr>
          <w:t>Second Amended and Restated Loan Program Agreement, dated as of</w:t>
        </w:r>
      </w:hyperlink>
      <w:r>
        <w:rPr>
          <w:rFonts w:ascii="Arial" w:cs="Arial" w:eastAsia="Arial" w:hAnsi="Arial"/>
          <w:sz w:val="12"/>
          <w:szCs w:val="12"/>
          <w:u w:val="single" w:color="auto"/>
          <w:color w:val="0000FF"/>
        </w:rPr>
        <w:t xml:space="preserve"> </w:t>
      </w:r>
      <w:hyperlink r:id="rId219">
        <w:r>
          <w:rPr>
            <w:rFonts w:ascii="Arial" w:cs="Arial" w:eastAsia="Arial" w:hAnsi="Arial"/>
            <w:sz w:val="12"/>
            <w:szCs w:val="12"/>
            <w:u w:val="single" w:color="auto"/>
            <w:color w:val="0000FF"/>
          </w:rPr>
          <w:t>November 1, 2020, by and between Affirm, Inc. and Cross River Bank</w:t>
        </w:r>
      </w:hyperlink>
    </w:p>
    <w:p>
      <w:pPr>
        <w:ind w:left="300"/>
        <w:spacing w:after="0"/>
        <w:tabs>
          <w:tab w:leader="none" w:pos="940" w:val="left"/>
        </w:tabs>
        <w:rPr>
          <w:rFonts w:ascii="Arial" w:cs="Arial" w:eastAsia="Arial" w:hAnsi="Arial"/>
          <w:sz w:val="12"/>
          <w:szCs w:val="12"/>
          <w:u w:val="single" w:color="auto"/>
          <w:color w:val="0000FF"/>
        </w:rPr>
      </w:pPr>
      <w:r>
        <w:rPr>
          <w:rFonts w:ascii="Arial" w:cs="Arial" w:eastAsia="Arial" w:hAnsi="Arial"/>
          <w:sz w:val="14"/>
          <w:szCs w:val="14"/>
          <w:color w:val="auto"/>
        </w:rPr>
        <w:t>10.5</w:t>
      </w:r>
      <w:r>
        <w:rPr>
          <w:sz w:val="20"/>
          <w:szCs w:val="20"/>
          <w:color w:val="auto"/>
        </w:rPr>
        <w:tab/>
      </w:r>
      <w:hyperlink r:id="rId220">
        <w:r>
          <w:rPr>
            <w:rFonts w:ascii="Arial" w:cs="Arial" w:eastAsia="Arial" w:hAnsi="Arial"/>
            <w:sz w:val="12"/>
            <w:szCs w:val="12"/>
            <w:u w:val="single" w:color="auto"/>
            <w:color w:val="0000FF"/>
          </w:rPr>
          <w:t>Second Amended and Restated Loan Sale Agreement, dated as of November 1,</w:t>
        </w:r>
      </w:hyperlink>
    </w:p>
    <w:p>
      <w:pPr>
        <w:spacing w:after="0" w:line="14" w:lineRule="exact"/>
        <w:rPr>
          <w:sz w:val="20"/>
          <w:szCs w:val="20"/>
          <w:color w:val="auto"/>
        </w:rPr>
      </w:pPr>
    </w:p>
    <w:p>
      <w:pPr>
        <w:ind w:left="960"/>
        <w:spacing w:after="0"/>
        <w:rPr>
          <w:rFonts w:ascii="Arial" w:cs="Arial" w:eastAsia="Arial" w:hAnsi="Arial"/>
          <w:sz w:val="14"/>
          <w:szCs w:val="14"/>
          <w:u w:val="single" w:color="auto"/>
          <w:color w:val="0000FF"/>
        </w:rPr>
      </w:pPr>
      <w:hyperlink r:id="rId220">
        <w:r>
          <w:rPr>
            <w:rFonts w:ascii="Arial" w:cs="Arial" w:eastAsia="Arial" w:hAnsi="Arial"/>
            <w:sz w:val="14"/>
            <w:szCs w:val="14"/>
            <w:u w:val="single" w:color="auto"/>
            <w:color w:val="0000FF"/>
          </w:rPr>
          <w:t>2020, by and between Affirm, Inc. and Cross River Bank</w:t>
        </w:r>
      </w:hyperlink>
    </w:p>
    <w:p>
      <w:pPr>
        <w:spacing w:after="0" w:line="16" w:lineRule="exact"/>
        <w:rPr>
          <w:sz w:val="20"/>
          <w:szCs w:val="20"/>
          <w:color w:val="auto"/>
        </w:rPr>
      </w:pPr>
    </w:p>
    <w:p>
      <w:pPr>
        <w:ind w:left="960" w:right="160" w:hanging="656"/>
        <w:spacing w:after="0" w:line="251"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221">
        <w:r>
          <w:rPr>
            <w:rFonts w:ascii="Arial" w:cs="Arial" w:eastAsia="Arial" w:hAnsi="Arial"/>
            <w:sz w:val="14"/>
            <w:szCs w:val="14"/>
            <w:u w:val="single" w:color="auto"/>
            <w:color w:val="0000FF"/>
          </w:rPr>
          <w:t>Customer Installment Program Agreement, dated as of July 16, 2020, by and</w:t>
        </w:r>
      </w:hyperlink>
      <w:r>
        <w:rPr>
          <w:rFonts w:ascii="Arial" w:cs="Arial" w:eastAsia="Arial" w:hAnsi="Arial"/>
          <w:sz w:val="14"/>
          <w:szCs w:val="14"/>
          <w:u w:val="single" w:color="auto"/>
          <w:color w:val="0000FF"/>
        </w:rPr>
        <w:t xml:space="preserve"> </w:t>
      </w:r>
      <w:hyperlink r:id="rId221">
        <w:r>
          <w:rPr>
            <w:rFonts w:ascii="Arial" w:cs="Arial" w:eastAsia="Arial" w:hAnsi="Arial"/>
            <w:sz w:val="14"/>
            <w:szCs w:val="14"/>
            <w:u w:val="single" w:color="auto"/>
            <w:color w:val="0000FF"/>
          </w:rPr>
          <w:t>between Shopify Inc. and Affirm, Inc.</w:t>
        </w:r>
      </w:hyperlink>
    </w:p>
    <w:p>
      <w:pPr>
        <w:spacing w:after="0" w:line="1" w:lineRule="exact"/>
        <w:rPr>
          <w:sz w:val="20"/>
          <w:szCs w:val="20"/>
          <w:color w:val="auto"/>
        </w:rPr>
      </w:pPr>
    </w:p>
    <w:p>
      <w:pPr>
        <w:ind w:left="960" w:hanging="656"/>
        <w:spacing w:after="0" w:line="253" w:lineRule="auto"/>
        <w:tabs>
          <w:tab w:leader="none" w:pos="940" w:val="left"/>
        </w:tabs>
        <w:rPr>
          <w:rFonts w:ascii="Arial" w:cs="Arial" w:eastAsia="Arial" w:hAnsi="Arial"/>
          <w:sz w:val="14"/>
          <w:szCs w:val="14"/>
          <w:color w:val="0000FF"/>
        </w:rPr>
      </w:pPr>
      <w:r>
        <w:rPr>
          <w:rFonts w:ascii="Arial" w:cs="Arial" w:eastAsia="Arial" w:hAnsi="Arial"/>
          <w:sz w:val="14"/>
          <w:szCs w:val="14"/>
          <w:color w:val="auto"/>
        </w:rPr>
        <w:t>10.7</w:t>
      </w:r>
      <w:r>
        <w:rPr>
          <w:sz w:val="20"/>
          <w:szCs w:val="20"/>
          <w:color w:val="auto"/>
        </w:rPr>
        <w:tab/>
      </w:r>
      <w:hyperlink r:id="rId222">
        <w:r>
          <w:rPr>
            <w:rFonts w:ascii="Arial" w:cs="Arial" w:eastAsia="Arial" w:hAnsi="Arial"/>
            <w:sz w:val="14"/>
            <w:szCs w:val="14"/>
            <w:u w:val="single" w:color="auto"/>
            <w:color w:val="0000FF"/>
          </w:rPr>
          <w:t>Amendment No. 1 to Customer Installment Program Agreement, effective as of</w:t>
        </w:r>
      </w:hyperlink>
      <w:r>
        <w:rPr>
          <w:rFonts w:ascii="Arial" w:cs="Arial" w:eastAsia="Arial" w:hAnsi="Arial"/>
          <w:sz w:val="14"/>
          <w:szCs w:val="14"/>
          <w:u w:val="single" w:color="auto"/>
          <w:color w:val="0000FF"/>
        </w:rPr>
        <w:t xml:space="preserve"> </w:t>
      </w:r>
      <w:hyperlink r:id="rId222">
        <w:r>
          <w:rPr>
            <w:rFonts w:ascii="Arial" w:cs="Arial" w:eastAsia="Arial" w:hAnsi="Arial"/>
            <w:sz w:val="14"/>
            <w:szCs w:val="14"/>
            <w:u w:val="single" w:color="auto"/>
            <w:color w:val="0000FF"/>
          </w:rPr>
          <w:t>February 26, 2021, between Shopify Inc. and Affirm, Inc.</w:t>
        </w:r>
        <w:r>
          <w:rPr>
            <w:rFonts w:ascii="Arial" w:cs="Arial" w:eastAsia="Arial" w:hAnsi="Arial"/>
            <w:sz w:val="14"/>
            <w:szCs w:val="14"/>
            <w:color w:val="000000"/>
          </w:rPr>
          <w:t>*</w:t>
        </w:r>
      </w:hyperlink>
    </w:p>
    <w:p>
      <w:pPr>
        <w:spacing w:after="0" w:line="12" w:lineRule="exact"/>
        <w:rPr>
          <w:sz w:val="20"/>
          <w:szCs w:val="20"/>
          <w:color w:val="auto"/>
        </w:rPr>
      </w:pPr>
    </w:p>
    <w:p>
      <w:pPr>
        <w:ind w:left="960" w:hanging="656"/>
        <w:spacing w:after="0" w:line="267" w:lineRule="auto"/>
        <w:tabs>
          <w:tab w:leader="none" w:pos="940" w:val="left"/>
        </w:tabs>
        <w:rPr>
          <w:rFonts w:ascii="Arial" w:cs="Arial" w:eastAsia="Arial" w:hAnsi="Arial"/>
          <w:sz w:val="14"/>
          <w:szCs w:val="14"/>
          <w:color w:val="0000FF"/>
        </w:rPr>
      </w:pPr>
      <w:r>
        <w:rPr>
          <w:rFonts w:ascii="Arial" w:cs="Arial" w:eastAsia="Arial" w:hAnsi="Arial"/>
          <w:sz w:val="14"/>
          <w:szCs w:val="14"/>
          <w:color w:val="auto"/>
        </w:rPr>
        <w:t>10.8</w:t>
      </w:r>
      <w:r>
        <w:rPr>
          <w:sz w:val="20"/>
          <w:szCs w:val="20"/>
          <w:color w:val="auto"/>
        </w:rPr>
        <w:tab/>
      </w:r>
      <w:hyperlink r:id="rId223">
        <w:r>
          <w:rPr>
            <w:rFonts w:ascii="Arial" w:cs="Arial" w:eastAsia="Arial" w:hAnsi="Arial"/>
            <w:sz w:val="14"/>
            <w:szCs w:val="14"/>
            <w:u w:val="single" w:color="auto"/>
            <w:color w:val="0000FF"/>
          </w:rPr>
          <w:t>Amended and Restated Amendment No. 2 to Customer Installment Program</w:t>
        </w:r>
      </w:hyperlink>
      <w:r>
        <w:rPr>
          <w:rFonts w:ascii="Arial" w:cs="Arial" w:eastAsia="Arial" w:hAnsi="Arial"/>
          <w:sz w:val="14"/>
          <w:szCs w:val="14"/>
          <w:u w:val="single" w:color="auto"/>
          <w:color w:val="0000FF"/>
        </w:rPr>
        <w:t xml:space="preserve"> </w:t>
      </w:r>
      <w:hyperlink r:id="rId223">
        <w:r>
          <w:rPr>
            <w:rFonts w:ascii="Arial" w:cs="Arial" w:eastAsia="Arial" w:hAnsi="Arial"/>
            <w:sz w:val="14"/>
            <w:szCs w:val="14"/>
            <w:u w:val="single" w:color="auto"/>
            <w:color w:val="0000FF"/>
          </w:rPr>
          <w:t>Agreement, dated as of July 27, 2021, by and between Shopify Inc. and Affirm,</w:t>
        </w:r>
      </w:hyperlink>
      <w:r>
        <w:rPr>
          <w:rFonts w:ascii="Arial" w:cs="Arial" w:eastAsia="Arial" w:hAnsi="Arial"/>
          <w:sz w:val="14"/>
          <w:szCs w:val="14"/>
          <w:u w:val="single" w:color="auto"/>
          <w:color w:val="0000FF"/>
        </w:rPr>
        <w:t xml:space="preserve"> </w:t>
      </w:r>
      <w:hyperlink r:id="rId223">
        <w:r>
          <w:rPr>
            <w:rFonts w:ascii="Arial" w:cs="Arial" w:eastAsia="Arial" w:hAnsi="Arial"/>
            <w:sz w:val="14"/>
            <w:szCs w:val="14"/>
            <w:u w:val="single" w:color="auto"/>
            <w:color w:val="0000FF"/>
          </w:rPr>
          <w:t>Inc.</w:t>
        </w:r>
        <w:r>
          <w:rPr>
            <w:rFonts w:ascii="Arial" w:cs="Arial" w:eastAsia="Arial" w:hAnsi="Arial"/>
            <w:sz w:val="14"/>
            <w:szCs w:val="14"/>
            <w:color w:val="000000"/>
          </w:rPr>
          <w:t>*</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4.2</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10, 2021</w:t>
            </w:r>
          </w:p>
        </w:tc>
      </w:tr>
      <w:tr>
        <w:trPr>
          <w:trHeight w:val="378"/>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4.1</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23, 2021</w:t>
            </w:r>
          </w:p>
        </w:tc>
      </w:tr>
      <w:tr>
        <w:trPr>
          <w:trHeight w:val="216"/>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4.2</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23, 2021</w:t>
            </w:r>
          </w:p>
        </w:tc>
      </w:tr>
      <w:tr>
        <w:trPr>
          <w:trHeight w:val="783"/>
        </w:trPr>
        <w:tc>
          <w:tcPr>
            <w:tcW w:w="580" w:type="dxa"/>
            <w:vAlign w:val="bottom"/>
          </w:tcPr>
          <w:p>
            <w:pPr>
              <w:jc w:val="center"/>
              <w:ind w:right="148"/>
              <w:spacing w:after="0"/>
              <w:rPr>
                <w:sz w:val="20"/>
                <w:szCs w:val="20"/>
                <w:color w:val="auto"/>
              </w:rPr>
            </w:pPr>
            <w:r>
              <w:rPr>
                <w:rFonts w:ascii="Arial" w:cs="Arial" w:eastAsia="Arial" w:hAnsi="Arial"/>
                <w:sz w:val="14"/>
                <w:szCs w:val="14"/>
                <w:color w:val="auto"/>
                <w:w w:val="91"/>
              </w:rPr>
              <w:t>S-1</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0"/>
              </w:rPr>
              <w:t>333-250184</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18, 2020</w:t>
            </w:r>
          </w:p>
        </w:tc>
      </w:tr>
      <w:tr>
        <w:trPr>
          <w:trHeight w:val="553"/>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February 10, 2022</w:t>
            </w:r>
          </w:p>
        </w:tc>
      </w:tr>
      <w:tr>
        <w:trPr>
          <w:trHeight w:val="338"/>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0"/>
              </w:rPr>
              <w:t>333-250184</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December 22, 2020</w:t>
            </w:r>
          </w:p>
        </w:tc>
      </w:tr>
      <w:tr>
        <w:trPr>
          <w:trHeight w:val="338"/>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0"/>
              </w:rPr>
              <w:t>333-250184</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20, 2020</w:t>
            </w:r>
          </w:p>
        </w:tc>
      </w:tr>
      <w:tr>
        <w:trPr>
          <w:trHeight w:val="338"/>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0"/>
              </w:rPr>
              <w:t>333-250184</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1400" w:type="dxa"/>
            <w:vAlign w:val="bottom"/>
          </w:tcPr>
          <w:p>
            <w:pPr>
              <w:jc w:val="center"/>
              <w:ind w:left="148"/>
              <w:spacing w:after="0"/>
              <w:rPr>
                <w:sz w:val="20"/>
                <w:szCs w:val="20"/>
                <w:color w:val="auto"/>
              </w:rPr>
            </w:pPr>
            <w:r>
              <w:rPr>
                <w:rFonts w:ascii="Arial" w:cs="Arial" w:eastAsia="Arial" w:hAnsi="Arial"/>
                <w:sz w:val="14"/>
                <w:szCs w:val="14"/>
                <w:color w:val="auto"/>
                <w:w w:val="92"/>
              </w:rPr>
              <w:t>November 20, 2020</w:t>
            </w:r>
          </w:p>
        </w:tc>
      </w:tr>
      <w:tr>
        <w:trPr>
          <w:trHeight w:val="338"/>
        </w:trPr>
        <w:tc>
          <w:tcPr>
            <w:tcW w:w="580" w:type="dxa"/>
            <w:vAlign w:val="bottom"/>
          </w:tcPr>
          <w:p>
            <w:pPr>
              <w:jc w:val="center"/>
              <w:ind w:right="168"/>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4"/>
              </w:rPr>
              <w:t>May 17, 2021</w:t>
            </w:r>
          </w:p>
        </w:tc>
      </w:tr>
      <w:tr>
        <w:trPr>
          <w:trHeight w:val="553"/>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10-K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400" w:type="dxa"/>
            <w:vAlign w:val="bottom"/>
          </w:tcPr>
          <w:p>
            <w:pPr>
              <w:jc w:val="center"/>
              <w:ind w:left="168"/>
              <w:spacing w:after="0"/>
              <w:rPr>
                <w:sz w:val="20"/>
                <w:szCs w:val="20"/>
                <w:color w:val="auto"/>
              </w:rPr>
            </w:pPr>
            <w:r>
              <w:rPr>
                <w:rFonts w:ascii="Arial" w:cs="Arial" w:eastAsia="Arial" w:hAnsi="Arial"/>
                <w:sz w:val="14"/>
                <w:szCs w:val="14"/>
                <w:color w:val="auto"/>
                <w:w w:val="91"/>
              </w:rPr>
              <w:t>September 17, 2021</w:t>
            </w:r>
          </w:p>
        </w:tc>
      </w:tr>
    </w:tbl>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390"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X</w:t>
      </w:r>
    </w:p>
    <w:p>
      <w:pPr>
        <w:spacing w:after="0" w:line="3078" w:lineRule="exact"/>
        <w:rPr>
          <w:rFonts w:ascii="Arial" w:cs="Arial" w:eastAsia="Arial" w:hAnsi="Arial"/>
          <w:sz w:val="14"/>
          <w:szCs w:val="14"/>
          <w:u w:val="single" w:color="auto"/>
          <w:color w:val="0000FF"/>
        </w:rPr>
      </w:pPr>
    </w:p>
    <w:p>
      <w:pPr>
        <w:sectPr>
          <w:pgSz w:w="11900" w:h="16838" w:orient="portrait"/>
          <w:cols w:equalWidth="0" w:num="3">
            <w:col w:w="5540" w:space="280"/>
            <w:col w:w="4180" w:space="720"/>
            <w:col w:w="340"/>
          </w:cols>
          <w:pgMar w:left="320" w:top="125" w:right="519" w:bottom="1440" w:gutter="0" w:footer="0" w:header="0"/>
          <w:type w:val="continuous"/>
        </w:sectPr>
      </w:pPr>
    </w:p>
    <w:p>
      <w:pPr>
        <w:ind w:left="300"/>
        <w:spacing w:after="0"/>
        <w:tabs>
          <w:tab w:leader="none" w:pos="94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3"/>
          <w:szCs w:val="13"/>
          <w:u w:val="single" w:color="auto"/>
          <w:color w:val="0000FF"/>
        </w:rPr>
        <w:t>Amendment No. 3 to Customer Installment Program Agreement, dated as of</w:t>
      </w:r>
    </w:p>
    <w:p>
      <w:pPr>
        <w:spacing w:after="0" w:line="13" w:lineRule="exact"/>
        <w:rPr>
          <w:rFonts w:ascii="Arial" w:cs="Arial" w:eastAsia="Arial" w:hAnsi="Arial"/>
          <w:sz w:val="14"/>
          <w:szCs w:val="14"/>
          <w:u w:val="single" w:color="auto"/>
          <w:color w:val="0000FF"/>
        </w:rPr>
      </w:pPr>
    </w:p>
    <w:p>
      <w:pPr>
        <w:ind w:left="960"/>
        <w:spacing w:after="0"/>
        <w:rPr>
          <w:sz w:val="20"/>
          <w:szCs w:val="20"/>
          <w:color w:val="auto"/>
        </w:rPr>
      </w:pPr>
      <w:r>
        <w:rPr>
          <w:rFonts w:ascii="Arial" w:cs="Arial" w:eastAsia="Arial" w:hAnsi="Arial"/>
          <w:sz w:val="14"/>
          <w:szCs w:val="14"/>
          <w:u w:val="single" w:color="auto"/>
          <w:color w:val="0000FF"/>
        </w:rPr>
        <w:t>May 6, 2022, by and between Shopify Inc. and Affirm, Inc.*</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rPr>
          <w:sz w:val="20"/>
          <w:szCs w:val="20"/>
          <w:color w:val="auto"/>
        </w:rPr>
      </w:pPr>
      <w:r>
        <w:rPr>
          <w:rFonts w:ascii="Arial" w:cs="Arial" w:eastAsia="Arial" w:hAnsi="Arial"/>
          <w:sz w:val="14"/>
          <w:szCs w:val="14"/>
          <w:color w:val="auto"/>
        </w:rPr>
        <w:t>X</w:t>
      </w:r>
    </w:p>
    <w:p>
      <w:pPr>
        <w:spacing w:after="0" w:line="373" w:lineRule="exact"/>
        <w:rPr>
          <w:rFonts w:ascii="Arial" w:cs="Arial" w:eastAsia="Arial" w:hAnsi="Arial"/>
          <w:sz w:val="14"/>
          <w:szCs w:val="14"/>
          <w:u w:val="single" w:color="auto"/>
          <w:color w:val="0000FF"/>
        </w:rPr>
      </w:pPr>
    </w:p>
    <w:p>
      <w:pPr>
        <w:sectPr>
          <w:pgSz w:w="11900" w:h="16838" w:orient="portrait"/>
          <w:cols w:equalWidth="0" w:num="2">
            <w:col w:w="10000" w:space="720"/>
            <w:col w:w="340"/>
          </w:cols>
          <w:pgMar w:left="320" w:top="125" w:right="519" w:bottom="1440" w:gutter="0" w:footer="0" w:header="0"/>
          <w:type w:val="continuous"/>
        </w:sect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22" w:lineRule="exact"/>
        <w:rPr>
          <w:rFonts w:ascii="Arial" w:cs="Arial" w:eastAsia="Arial" w:hAnsi="Arial"/>
          <w:sz w:val="14"/>
          <w:szCs w:val="14"/>
          <w:u w:val="single" w:color="auto"/>
          <w:color w:val="0000FF"/>
        </w:rPr>
      </w:pPr>
    </w:p>
    <w:p>
      <w:pPr>
        <w:ind w:left="5820"/>
        <w:spacing w:after="0"/>
        <w:rPr>
          <w:sz w:val="20"/>
          <w:szCs w:val="20"/>
          <w:color w:val="auto"/>
        </w:rPr>
      </w:pPr>
      <w:r>
        <w:rPr>
          <w:rFonts w:ascii="Arial" w:cs="Arial" w:eastAsia="Arial" w:hAnsi="Arial"/>
          <w:sz w:val="15"/>
          <w:szCs w:val="15"/>
          <w:color w:val="auto"/>
        </w:rPr>
        <w:t>166</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1"/>
              </w:rPr>
              <w:t>10.10</w:t>
            </w:r>
          </w:p>
        </w:tc>
        <w:tc>
          <w:tcPr>
            <w:tcW w:w="4720" w:type="dxa"/>
            <w:vAlign w:val="bottom"/>
            <w:gridSpan w:val="21"/>
          </w:tcPr>
          <w:p>
            <w:pPr>
              <w:spacing w:after="0"/>
              <w:rPr>
                <w:rFonts w:ascii="Arial" w:cs="Arial" w:eastAsia="Arial" w:hAnsi="Arial"/>
                <w:sz w:val="14"/>
                <w:szCs w:val="14"/>
                <w:color w:val="0000FF"/>
                <w:w w:val="95"/>
              </w:rPr>
            </w:pPr>
            <w:hyperlink r:id="rId225">
              <w:r>
                <w:rPr>
                  <w:rFonts w:ascii="Arial" w:cs="Arial" w:eastAsia="Arial" w:hAnsi="Arial"/>
                  <w:sz w:val="14"/>
                  <w:szCs w:val="14"/>
                  <w:color w:val="0000FF"/>
                  <w:w w:val="95"/>
                </w:rPr>
                <w:t>Amended and Restated Installment Financing Services Agreement, dated as of</w:t>
              </w:r>
            </w:hyperlink>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454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225">
              <w:r>
                <w:rPr>
                  <w:rFonts w:ascii="Arial" w:cs="Arial" w:eastAsia="Arial" w:hAnsi="Arial"/>
                  <w:sz w:val="14"/>
                  <w:szCs w:val="14"/>
                  <w:color w:val="0000FF"/>
                </w:rPr>
                <w:t>November 10, 2021, by and among Affirm Holdings, Inc., Amazon.com</w:t>
              </w:r>
            </w:hyperlink>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5" w:lineRule="exact"/>
              <w:rPr>
                <w:rFonts w:ascii="Arial" w:cs="Arial" w:eastAsia="Arial" w:hAnsi="Arial"/>
                <w:sz w:val="14"/>
                <w:szCs w:val="14"/>
                <w:color w:val="0000FF"/>
              </w:rPr>
            </w:pPr>
            <w:hyperlink r:id="rId225">
              <w:r>
                <w:rPr>
                  <w:rFonts w:ascii="Arial" w:cs="Arial" w:eastAsia="Arial" w:hAnsi="Arial"/>
                  <w:sz w:val="14"/>
                  <w:szCs w:val="14"/>
                  <w:color w:val="0000FF"/>
                </w:rPr>
                <w:t>Services LLC and Amazon Payments, Inc.</w:t>
              </w:r>
              <w:r>
                <w:rPr>
                  <w:rFonts w:ascii="Arial" w:cs="Arial" w:eastAsia="Arial" w:hAnsi="Arial"/>
                  <w:sz w:val="14"/>
                  <w:szCs w:val="14"/>
                  <w:color w:val="000000"/>
                </w:rPr>
                <w:t>*</w:t>
              </w:r>
            </w:hyperlink>
          </w:p>
        </w:tc>
        <w:tc>
          <w:tcPr>
            <w:tcW w:w="560" w:type="dxa"/>
            <w:vAlign w:val="bottom"/>
            <w:gridSpan w:val="10"/>
          </w:tcPr>
          <w:p>
            <w:pPr>
              <w:spacing w:after="0"/>
              <w:rPr>
                <w:sz w:val="13"/>
                <w:szCs w:val="13"/>
                <w:color w:val="auto"/>
              </w:rPr>
            </w:pPr>
          </w:p>
        </w:tc>
        <w:tc>
          <w:tcPr>
            <w:tcW w:w="720" w:type="dxa"/>
            <w:vAlign w:val="bottom"/>
          </w:tcPr>
          <w:p>
            <w:pPr>
              <w:jc w:val="center"/>
              <w:ind w:right="28"/>
              <w:spacing w:after="0" w:line="155" w:lineRule="exact"/>
              <w:rPr>
                <w:sz w:val="20"/>
                <w:szCs w:val="20"/>
                <w:color w:val="auto"/>
              </w:rPr>
            </w:pPr>
            <w:r>
              <w:rPr>
                <w:rFonts w:ascii="Arial" w:cs="Arial" w:eastAsia="Arial" w:hAnsi="Arial"/>
                <w:sz w:val="14"/>
                <w:szCs w:val="14"/>
                <w:color w:val="auto"/>
              </w:rPr>
              <w:t>8-K</w:t>
            </w:r>
          </w:p>
        </w:tc>
        <w:tc>
          <w:tcPr>
            <w:tcW w:w="12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10.1</w:t>
            </w:r>
          </w:p>
        </w:tc>
        <w:tc>
          <w:tcPr>
            <w:tcW w:w="2360" w:type="dxa"/>
            <w:vAlign w:val="bottom"/>
          </w:tcPr>
          <w:p>
            <w:pPr>
              <w:jc w:val="center"/>
              <w:ind w:right="668"/>
              <w:spacing w:after="0" w:line="155" w:lineRule="exact"/>
              <w:rPr>
                <w:sz w:val="20"/>
                <w:szCs w:val="20"/>
                <w:color w:val="auto"/>
              </w:rPr>
            </w:pPr>
            <w:r>
              <w:rPr>
                <w:rFonts w:ascii="Arial" w:cs="Arial" w:eastAsia="Arial" w:hAnsi="Arial"/>
                <w:sz w:val="14"/>
                <w:szCs w:val="14"/>
                <w:color w:val="auto"/>
                <w:w w:val="92"/>
              </w:rPr>
              <w:t>November 10, 2021</w:t>
            </w: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1"/>
              </w:rPr>
              <w:t>10.11</w:t>
            </w:r>
          </w:p>
        </w:tc>
        <w:tc>
          <w:tcPr>
            <w:tcW w:w="4720" w:type="dxa"/>
            <w:vAlign w:val="bottom"/>
            <w:gridSpan w:val="21"/>
          </w:tcPr>
          <w:p>
            <w:pPr>
              <w:spacing w:after="0"/>
              <w:rPr>
                <w:rFonts w:ascii="Arial" w:cs="Arial" w:eastAsia="Arial" w:hAnsi="Arial"/>
                <w:sz w:val="14"/>
                <w:szCs w:val="14"/>
                <w:color w:val="0000FF"/>
              </w:rPr>
            </w:pPr>
            <w:hyperlink r:id="rId226">
              <w:r>
                <w:rPr>
                  <w:rFonts w:ascii="Arial" w:cs="Arial" w:eastAsia="Arial" w:hAnsi="Arial"/>
                  <w:sz w:val="14"/>
                  <w:szCs w:val="14"/>
                  <w:color w:val="0000FF"/>
                </w:rPr>
                <w:t>Transaction Agreement, dated as of November 10, 2021, by and between</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6"/>
              </w:rPr>
            </w:pPr>
            <w:hyperlink r:id="rId226">
              <w:r>
                <w:rPr>
                  <w:rFonts w:ascii="Arial" w:cs="Arial" w:eastAsia="Arial" w:hAnsi="Arial"/>
                  <w:sz w:val="14"/>
                  <w:szCs w:val="14"/>
                  <w:color w:val="0000FF"/>
                  <w:w w:val="96"/>
                </w:rPr>
                <w:t>Affirm Holdings, Inc. and Amazon.com Services LLC*</w:t>
              </w:r>
            </w:hyperlink>
          </w:p>
        </w:tc>
        <w:tc>
          <w:tcPr>
            <w:tcW w:w="9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28"/>
              <w:spacing w:after="0" w:line="142" w:lineRule="exact"/>
              <w:rPr>
                <w:sz w:val="20"/>
                <w:szCs w:val="20"/>
                <w:color w:val="auto"/>
              </w:rPr>
            </w:pPr>
            <w:r>
              <w:rPr>
                <w:rFonts w:ascii="Arial" w:cs="Arial" w:eastAsia="Arial" w:hAnsi="Arial"/>
                <w:sz w:val="14"/>
                <w:szCs w:val="14"/>
                <w:color w:val="auto"/>
              </w:rPr>
              <w:t>8-K</w:t>
            </w:r>
          </w:p>
        </w:tc>
        <w:tc>
          <w:tcPr>
            <w:tcW w:w="1240" w:type="dxa"/>
            <w:vAlign w:val="bottom"/>
          </w:tcPr>
          <w:p>
            <w:pPr>
              <w:jc w:val="center"/>
              <w:ind w:right="8"/>
              <w:spacing w:after="0" w:line="142" w:lineRule="exact"/>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10.2</w:t>
            </w:r>
          </w:p>
        </w:tc>
        <w:tc>
          <w:tcPr>
            <w:tcW w:w="2360" w:type="dxa"/>
            <w:vAlign w:val="bottom"/>
          </w:tcPr>
          <w:p>
            <w:pPr>
              <w:jc w:val="center"/>
              <w:ind w:right="668"/>
              <w:spacing w:after="0" w:line="142" w:lineRule="exact"/>
              <w:rPr>
                <w:sz w:val="20"/>
                <w:szCs w:val="20"/>
                <w:color w:val="auto"/>
              </w:rPr>
            </w:pPr>
            <w:r>
              <w:rPr>
                <w:rFonts w:ascii="Arial" w:cs="Arial" w:eastAsia="Arial" w:hAnsi="Arial"/>
                <w:sz w:val="14"/>
                <w:szCs w:val="14"/>
                <w:color w:val="auto"/>
                <w:w w:val="92"/>
              </w:rPr>
              <w:t>November 10, 2021</w:t>
            </w:r>
          </w:p>
        </w:tc>
      </w:tr>
      <w:tr>
        <w:trPr>
          <w:trHeight w:val="210"/>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10.12+</w:t>
            </w:r>
          </w:p>
        </w:tc>
        <w:tc>
          <w:tcPr>
            <w:tcW w:w="2320" w:type="dxa"/>
            <w:vAlign w:val="bottom"/>
            <w:tcBorders>
              <w:bottom w:val="single" w:sz="8" w:color="0000FF"/>
            </w:tcBorders>
            <w:gridSpan w:val="6"/>
          </w:tcPr>
          <w:p>
            <w:pPr>
              <w:spacing w:after="0"/>
              <w:rPr>
                <w:rFonts w:ascii="Arial" w:cs="Arial" w:eastAsia="Arial" w:hAnsi="Arial"/>
                <w:sz w:val="14"/>
                <w:szCs w:val="14"/>
                <w:color w:val="0000FF"/>
                <w:w w:val="90"/>
              </w:rPr>
            </w:pPr>
            <w:hyperlink r:id="rId227">
              <w:r>
                <w:rPr>
                  <w:rFonts w:ascii="Arial" w:cs="Arial" w:eastAsia="Arial" w:hAnsi="Arial"/>
                  <w:sz w:val="14"/>
                  <w:szCs w:val="14"/>
                  <w:color w:val="0000FF"/>
                  <w:w w:val="90"/>
                </w:rPr>
                <w:t>Amended and Restated 2012 Stock Plan</w:t>
              </w:r>
            </w:hyperlink>
          </w:p>
        </w:tc>
        <w:tc>
          <w:tcPr>
            <w:tcW w:w="2400" w:type="dxa"/>
            <w:vAlign w:val="bottom"/>
            <w:gridSpan w:val="15"/>
          </w:tcPr>
          <w:p>
            <w:pPr>
              <w:spacing w:after="0"/>
              <w:rPr>
                <w:sz w:val="18"/>
                <w:szCs w:val="18"/>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10.7</w:t>
            </w:r>
          </w:p>
        </w:tc>
        <w:tc>
          <w:tcPr>
            <w:tcW w:w="2360" w:type="dxa"/>
            <w:vAlign w:val="bottom"/>
          </w:tcPr>
          <w:p>
            <w:pPr>
              <w:jc w:val="center"/>
              <w:ind w:right="648"/>
              <w:spacing w:after="0"/>
              <w:rPr>
                <w:sz w:val="20"/>
                <w:szCs w:val="20"/>
                <w:color w:val="auto"/>
              </w:rPr>
            </w:pPr>
            <w:r>
              <w:rPr>
                <w:rFonts w:ascii="Arial" w:cs="Arial" w:eastAsia="Arial" w:hAnsi="Arial"/>
                <w:sz w:val="14"/>
                <w:szCs w:val="14"/>
                <w:color w:val="auto"/>
                <w:w w:val="91"/>
              </w:rPr>
              <w:t>September 17, 2021</w:t>
            </w:r>
          </w:p>
        </w:tc>
      </w:tr>
      <w:tr>
        <w:trPr>
          <w:trHeight w:val="19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10.13+</w:t>
            </w:r>
          </w:p>
        </w:tc>
        <w:tc>
          <w:tcPr>
            <w:tcW w:w="4720" w:type="dxa"/>
            <w:vAlign w:val="bottom"/>
            <w:gridSpan w:val="21"/>
          </w:tcPr>
          <w:p>
            <w:pPr>
              <w:spacing w:after="0"/>
              <w:rPr>
                <w:rFonts w:ascii="Arial" w:cs="Arial" w:eastAsia="Arial" w:hAnsi="Arial"/>
                <w:sz w:val="14"/>
                <w:szCs w:val="14"/>
                <w:color w:val="0000FF"/>
              </w:rPr>
            </w:pPr>
            <w:hyperlink r:id="rId228">
              <w:r>
                <w:rPr>
                  <w:rFonts w:ascii="Arial" w:cs="Arial" w:eastAsia="Arial" w:hAnsi="Arial"/>
                  <w:sz w:val="14"/>
                  <w:szCs w:val="14"/>
                  <w:color w:val="0000FF"/>
                </w:rPr>
                <w:t>Form of Stock Option Agreement pursuant to the Affirm Holdings, Inc.</w:t>
              </w:r>
            </w:hyperlink>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0"/>
              </w:rPr>
            </w:pPr>
            <w:hyperlink r:id="rId228">
              <w:r>
                <w:rPr>
                  <w:rFonts w:ascii="Arial" w:cs="Arial" w:eastAsia="Arial" w:hAnsi="Arial"/>
                  <w:sz w:val="14"/>
                  <w:szCs w:val="14"/>
                  <w:color w:val="0000FF"/>
                  <w:w w:val="90"/>
                </w:rPr>
                <w:t>Amended and Restated 2012 Stock Plan</w:t>
              </w:r>
            </w:hyperlink>
          </w:p>
        </w:tc>
        <w:tc>
          <w:tcPr>
            <w:tcW w:w="1800" w:type="dxa"/>
            <w:vAlign w:val="bottom"/>
            <w:tcBorders>
              <w:top w:val="single" w:sz="8" w:color="0000FF"/>
            </w:tcBorders>
            <w:gridSpan w:val="4"/>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6"/>
              </w:rPr>
              <w:t>10-Q</w:t>
            </w:r>
          </w:p>
        </w:tc>
        <w:tc>
          <w:tcPr>
            <w:tcW w:w="12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line="129" w:lineRule="exact"/>
              <w:rPr>
                <w:sz w:val="20"/>
                <w:szCs w:val="20"/>
                <w:color w:val="auto"/>
              </w:rPr>
            </w:pPr>
            <w:r>
              <w:rPr>
                <w:rFonts w:ascii="Arial" w:cs="Arial" w:eastAsia="Arial" w:hAnsi="Arial"/>
                <w:sz w:val="14"/>
                <w:szCs w:val="14"/>
                <w:color w:val="auto"/>
              </w:rPr>
              <w:t>10.4</w:t>
            </w:r>
          </w:p>
        </w:tc>
        <w:tc>
          <w:tcPr>
            <w:tcW w:w="2360" w:type="dxa"/>
            <w:vAlign w:val="bottom"/>
          </w:tcPr>
          <w:p>
            <w:pPr>
              <w:jc w:val="center"/>
              <w:ind w:right="668"/>
              <w:spacing w:after="0" w:line="129" w:lineRule="exact"/>
              <w:rPr>
                <w:sz w:val="20"/>
                <w:szCs w:val="20"/>
                <w:color w:val="auto"/>
              </w:rPr>
            </w:pPr>
            <w:r>
              <w:rPr>
                <w:rFonts w:ascii="Arial" w:cs="Arial" w:eastAsia="Arial" w:hAnsi="Arial"/>
                <w:sz w:val="14"/>
                <w:szCs w:val="14"/>
                <w:color w:val="auto"/>
                <w:w w:val="92"/>
              </w:rPr>
              <w:t>February 14, 2022</w:t>
            </w:r>
          </w:p>
        </w:tc>
      </w:tr>
      <w:tr>
        <w:trPr>
          <w:trHeight w:val="209"/>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10.14+</w:t>
            </w:r>
          </w:p>
        </w:tc>
        <w:tc>
          <w:tcPr>
            <w:tcW w:w="4720" w:type="dxa"/>
            <w:vAlign w:val="bottom"/>
            <w:gridSpan w:val="21"/>
          </w:tcPr>
          <w:p>
            <w:pPr>
              <w:spacing w:after="0"/>
              <w:rPr>
                <w:rFonts w:ascii="Arial" w:cs="Arial" w:eastAsia="Arial" w:hAnsi="Arial"/>
                <w:sz w:val="14"/>
                <w:szCs w:val="14"/>
                <w:color w:val="0000FF"/>
                <w:w w:val="99"/>
              </w:rPr>
            </w:pPr>
            <w:hyperlink r:id="rId229">
              <w:r>
                <w:rPr>
                  <w:rFonts w:ascii="Arial" w:cs="Arial" w:eastAsia="Arial" w:hAnsi="Arial"/>
                  <w:sz w:val="14"/>
                  <w:szCs w:val="14"/>
                  <w:color w:val="0000FF"/>
                  <w:w w:val="99"/>
                </w:rPr>
                <w:t>Form of RSU Agreement pursuant to the Affirm Holdings, Inc. Amended and</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42"/>
        </w:trPr>
        <w:tc>
          <w:tcPr>
            <w:tcW w:w="80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0"/>
              </w:rPr>
            </w:pPr>
            <w:hyperlink r:id="rId229">
              <w:r>
                <w:rPr>
                  <w:rFonts w:ascii="Arial" w:cs="Arial" w:eastAsia="Arial" w:hAnsi="Arial"/>
                  <w:sz w:val="14"/>
                  <w:szCs w:val="14"/>
                  <w:color w:val="0000FF"/>
                  <w:w w:val="90"/>
                </w:rPr>
                <w:t>Restated 2012 Stock Plan</w:t>
              </w:r>
            </w:hyperlink>
          </w:p>
        </w:tc>
        <w:tc>
          <w:tcPr>
            <w:tcW w:w="30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28"/>
              <w:spacing w:after="0" w:line="129" w:lineRule="exact"/>
              <w:rPr>
                <w:sz w:val="20"/>
                <w:szCs w:val="20"/>
                <w:color w:val="auto"/>
              </w:rPr>
            </w:pPr>
            <w:r>
              <w:rPr>
                <w:rFonts w:ascii="Arial" w:cs="Arial" w:eastAsia="Arial" w:hAnsi="Arial"/>
                <w:sz w:val="14"/>
                <w:szCs w:val="14"/>
                <w:color w:val="auto"/>
                <w:w w:val="96"/>
              </w:rPr>
              <w:t>10-Q</w:t>
            </w:r>
          </w:p>
        </w:tc>
        <w:tc>
          <w:tcPr>
            <w:tcW w:w="124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line="129" w:lineRule="exact"/>
              <w:rPr>
                <w:sz w:val="20"/>
                <w:szCs w:val="20"/>
                <w:color w:val="auto"/>
              </w:rPr>
            </w:pPr>
            <w:r>
              <w:rPr>
                <w:rFonts w:ascii="Arial" w:cs="Arial" w:eastAsia="Arial" w:hAnsi="Arial"/>
                <w:sz w:val="14"/>
                <w:szCs w:val="14"/>
                <w:color w:val="auto"/>
              </w:rPr>
              <w:t>10.5</w:t>
            </w:r>
          </w:p>
        </w:tc>
        <w:tc>
          <w:tcPr>
            <w:tcW w:w="2360" w:type="dxa"/>
            <w:vAlign w:val="bottom"/>
          </w:tcPr>
          <w:p>
            <w:pPr>
              <w:jc w:val="center"/>
              <w:ind w:right="668"/>
              <w:spacing w:after="0" w:line="129" w:lineRule="exact"/>
              <w:rPr>
                <w:sz w:val="20"/>
                <w:szCs w:val="20"/>
                <w:color w:val="auto"/>
              </w:rPr>
            </w:pPr>
            <w:r>
              <w:rPr>
                <w:rFonts w:ascii="Arial" w:cs="Arial" w:eastAsia="Arial" w:hAnsi="Arial"/>
                <w:sz w:val="14"/>
                <w:szCs w:val="14"/>
                <w:color w:val="auto"/>
                <w:w w:val="92"/>
              </w:rPr>
              <w:t>February 14, 2022</w:t>
            </w:r>
          </w:p>
        </w:tc>
      </w:tr>
      <w:tr>
        <w:trPr>
          <w:trHeight w:val="209"/>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10.15+</w:t>
            </w:r>
          </w:p>
        </w:tc>
        <w:tc>
          <w:tcPr>
            <w:tcW w:w="2120" w:type="dxa"/>
            <w:vAlign w:val="bottom"/>
            <w:tcBorders>
              <w:bottom w:val="single" w:sz="8" w:color="0000FF"/>
            </w:tcBorders>
            <w:gridSpan w:val="5"/>
          </w:tcPr>
          <w:p>
            <w:pPr>
              <w:spacing w:after="0"/>
              <w:rPr>
                <w:rFonts w:ascii="Arial" w:cs="Arial" w:eastAsia="Arial" w:hAnsi="Arial"/>
                <w:sz w:val="14"/>
                <w:szCs w:val="14"/>
                <w:color w:val="0000FF"/>
                <w:w w:val="90"/>
              </w:rPr>
            </w:pPr>
            <w:hyperlink r:id="rId230">
              <w:r>
                <w:rPr>
                  <w:rFonts w:ascii="Arial" w:cs="Arial" w:eastAsia="Arial" w:hAnsi="Arial"/>
                  <w:sz w:val="14"/>
                  <w:szCs w:val="14"/>
                  <w:color w:val="0000FF"/>
                  <w:w w:val="90"/>
                </w:rPr>
                <w:t>2020 Employee Stock Purchase Plan</w:t>
              </w:r>
            </w:hyperlink>
          </w:p>
        </w:tc>
        <w:tc>
          <w:tcPr>
            <w:tcW w:w="2600" w:type="dxa"/>
            <w:vAlign w:val="bottom"/>
            <w:gridSpan w:val="16"/>
          </w:tcPr>
          <w:p>
            <w:pPr>
              <w:spacing w:after="0"/>
              <w:rPr>
                <w:sz w:val="18"/>
                <w:szCs w:val="18"/>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0"/>
              </w:rPr>
              <w:t>333-250184</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10.3</w:t>
            </w:r>
          </w:p>
        </w:tc>
        <w:tc>
          <w:tcPr>
            <w:tcW w:w="2360" w:type="dxa"/>
            <w:vAlign w:val="bottom"/>
          </w:tcPr>
          <w:p>
            <w:pPr>
              <w:jc w:val="center"/>
              <w:ind w:right="668"/>
              <w:spacing w:after="0"/>
              <w:rPr>
                <w:sz w:val="20"/>
                <w:szCs w:val="20"/>
                <w:color w:val="auto"/>
              </w:rPr>
            </w:pPr>
            <w:r>
              <w:rPr>
                <w:rFonts w:ascii="Arial" w:cs="Arial" w:eastAsia="Arial" w:hAnsi="Arial"/>
                <w:sz w:val="14"/>
                <w:szCs w:val="14"/>
                <w:color w:val="auto"/>
                <w:w w:val="92"/>
              </w:rPr>
              <w:t>November 20, 2020</w:t>
            </w:r>
          </w:p>
        </w:tc>
      </w:tr>
      <w:tr>
        <w:trPr>
          <w:trHeight w:val="19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10.16+</w:t>
            </w:r>
          </w:p>
        </w:tc>
        <w:tc>
          <w:tcPr>
            <w:tcW w:w="4720" w:type="dxa"/>
            <w:vAlign w:val="bottom"/>
            <w:gridSpan w:val="21"/>
          </w:tcPr>
          <w:p>
            <w:pPr>
              <w:spacing w:after="0"/>
              <w:rPr>
                <w:rFonts w:ascii="Arial" w:cs="Arial" w:eastAsia="Arial" w:hAnsi="Arial"/>
                <w:sz w:val="14"/>
                <w:szCs w:val="14"/>
                <w:color w:val="0000FF"/>
              </w:rPr>
            </w:pPr>
            <w:hyperlink r:id="rId231">
              <w:r>
                <w:rPr>
                  <w:rFonts w:ascii="Arial" w:cs="Arial" w:eastAsia="Arial" w:hAnsi="Arial"/>
                  <w:sz w:val="14"/>
                  <w:szCs w:val="14"/>
                  <w:color w:val="0000FF"/>
                </w:rPr>
                <w:t>Cash Incentive Plan</w:t>
              </w:r>
            </w:hyperlink>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w w:val="95"/>
              </w:rPr>
              <w:t>001-39888</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10.4</w:t>
            </w:r>
          </w:p>
        </w:tc>
        <w:tc>
          <w:tcPr>
            <w:tcW w:w="2360" w:type="dxa"/>
            <w:vAlign w:val="bottom"/>
          </w:tcPr>
          <w:p>
            <w:pPr>
              <w:jc w:val="center"/>
              <w:ind w:right="648"/>
              <w:spacing w:after="0"/>
              <w:rPr>
                <w:sz w:val="20"/>
                <w:szCs w:val="20"/>
                <w:color w:val="auto"/>
              </w:rPr>
            </w:pPr>
            <w:r>
              <w:rPr>
                <w:rFonts w:ascii="Arial" w:cs="Arial" w:eastAsia="Arial" w:hAnsi="Arial"/>
                <w:sz w:val="14"/>
                <w:szCs w:val="14"/>
                <w:color w:val="auto"/>
                <w:w w:val="94"/>
              </w:rPr>
              <w:t>May 17, 2021</w:t>
            </w: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10.17+</w:t>
            </w:r>
          </w:p>
        </w:tc>
        <w:tc>
          <w:tcPr>
            <w:tcW w:w="4720" w:type="dxa"/>
            <w:vAlign w:val="bottom"/>
            <w:gridSpan w:val="21"/>
          </w:tcPr>
          <w:p>
            <w:pPr>
              <w:spacing w:after="0"/>
              <w:rPr>
                <w:sz w:val="20"/>
                <w:szCs w:val="20"/>
                <w:color w:val="auto"/>
              </w:rPr>
            </w:pPr>
            <w:r>
              <w:rPr>
                <w:rFonts w:ascii="Arial" w:cs="Arial" w:eastAsia="Arial" w:hAnsi="Arial"/>
                <w:sz w:val="14"/>
                <w:szCs w:val="14"/>
                <w:color w:val="0000FF"/>
              </w:rPr>
              <w:t>Officer Severance Plan</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0"/>
        </w:trPr>
        <w:tc>
          <w:tcPr>
            <w:tcW w:w="8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21.1</w:t>
            </w:r>
          </w:p>
        </w:tc>
        <w:tc>
          <w:tcPr>
            <w:tcW w:w="4720" w:type="dxa"/>
            <w:vAlign w:val="bottom"/>
            <w:gridSpan w:val="21"/>
          </w:tcPr>
          <w:p>
            <w:pPr>
              <w:spacing w:after="0"/>
              <w:rPr>
                <w:sz w:val="20"/>
                <w:szCs w:val="20"/>
                <w:color w:val="auto"/>
              </w:rPr>
            </w:pPr>
            <w:r>
              <w:rPr>
                <w:rFonts w:ascii="Arial" w:cs="Arial" w:eastAsia="Arial" w:hAnsi="Arial"/>
                <w:sz w:val="14"/>
                <w:szCs w:val="14"/>
                <w:color w:val="0000FF"/>
              </w:rPr>
              <w:t>Subsidiaries of the Company</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0"/>
        </w:trPr>
        <w:tc>
          <w:tcPr>
            <w:tcW w:w="800" w:type="dxa"/>
            <w:vAlign w:val="bottom"/>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23.1</w:t>
            </w:r>
          </w:p>
        </w:tc>
        <w:tc>
          <w:tcPr>
            <w:tcW w:w="452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3"/>
              </w:rPr>
              <w:t>Consent of Deloitte &amp; Touche LLP, independent registered public accountants</w:t>
            </w:r>
          </w:p>
        </w:tc>
        <w:tc>
          <w:tcPr>
            <w:tcW w:w="2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25"/>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24.1</w:t>
            </w:r>
          </w:p>
        </w:tc>
        <w:tc>
          <w:tcPr>
            <w:tcW w:w="4720" w:type="dxa"/>
            <w:vAlign w:val="bottom"/>
            <w:gridSpan w:val="21"/>
          </w:tcPr>
          <w:p>
            <w:pPr>
              <w:spacing w:after="0"/>
              <w:rPr>
                <w:sz w:val="20"/>
                <w:szCs w:val="20"/>
                <w:color w:val="auto"/>
              </w:rPr>
            </w:pPr>
            <w:r>
              <w:rPr>
                <w:rFonts w:ascii="Arial" w:cs="Arial" w:eastAsia="Arial" w:hAnsi="Arial"/>
                <w:sz w:val="14"/>
                <w:szCs w:val="14"/>
                <w:color w:val="auto"/>
              </w:rPr>
              <w:t>Power of Attorney (see signature page hereto)</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87"/>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31.1</w:t>
            </w:r>
          </w:p>
        </w:tc>
        <w:tc>
          <w:tcPr>
            <w:tcW w:w="4720" w:type="dxa"/>
            <w:vAlign w:val="bottom"/>
            <w:gridSpan w:val="21"/>
          </w:tcPr>
          <w:p>
            <w:pPr>
              <w:spacing w:after="0"/>
              <w:rPr>
                <w:sz w:val="20"/>
                <w:szCs w:val="20"/>
                <w:color w:val="auto"/>
              </w:rPr>
            </w:pPr>
            <w:r>
              <w:rPr>
                <w:rFonts w:ascii="Arial" w:cs="Arial" w:eastAsia="Arial" w:hAnsi="Arial"/>
                <w:sz w:val="14"/>
                <w:szCs w:val="14"/>
                <w:color w:val="0000FF"/>
              </w:rPr>
              <w:t>Certification of Principal Executive Officer Pursuant to Rules 13a-14(a) and</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0"/>
        </w:trPr>
        <w:tc>
          <w:tcPr>
            <w:tcW w:w="800" w:type="dxa"/>
            <w:vAlign w:val="bottom"/>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4500" w:type="dxa"/>
            <w:vAlign w:val="bottom"/>
            <w:tcBorders>
              <w:bottom w:val="single" w:sz="8" w:color="0000FF"/>
            </w:tcBorders>
            <w:gridSpan w:val="17"/>
          </w:tcPr>
          <w:p>
            <w:pPr>
              <w:spacing w:after="0" w:line="142" w:lineRule="exact"/>
              <w:rPr>
                <w:sz w:val="20"/>
                <w:szCs w:val="20"/>
                <w:color w:val="auto"/>
              </w:rPr>
            </w:pPr>
            <w:r>
              <w:rPr>
                <w:rFonts w:ascii="Arial" w:cs="Arial" w:eastAsia="Arial" w:hAnsi="Arial"/>
                <w:sz w:val="14"/>
                <w:szCs w:val="14"/>
                <w:color w:val="0000FF"/>
                <w:w w:val="92"/>
              </w:rPr>
              <w:t>15d-14(a) under the Exchange Act, as Adopted Pursuant to Section 302 of the</w:t>
            </w:r>
          </w:p>
        </w:tc>
        <w:tc>
          <w:tcPr>
            <w:tcW w:w="22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166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w w:val="92"/>
              </w:rPr>
              <w:t>Sarbanes-Oxley Act of 2002</w:t>
            </w:r>
          </w:p>
        </w:tc>
        <w:tc>
          <w:tcPr>
            <w:tcW w:w="3060" w:type="dxa"/>
            <w:vAlign w:val="bottom"/>
            <w:gridSpan w:val="1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31.2</w:t>
            </w:r>
          </w:p>
        </w:tc>
        <w:tc>
          <w:tcPr>
            <w:tcW w:w="4720" w:type="dxa"/>
            <w:vAlign w:val="bottom"/>
            <w:gridSpan w:val="21"/>
          </w:tcPr>
          <w:p>
            <w:pPr>
              <w:spacing w:after="0"/>
              <w:rPr>
                <w:sz w:val="20"/>
                <w:szCs w:val="20"/>
                <w:color w:val="auto"/>
              </w:rPr>
            </w:pPr>
            <w:r>
              <w:rPr>
                <w:rFonts w:ascii="Arial" w:cs="Arial" w:eastAsia="Arial" w:hAnsi="Arial"/>
                <w:sz w:val="14"/>
                <w:szCs w:val="14"/>
                <w:color w:val="0000FF"/>
              </w:rPr>
              <w:t>Certification of Principal Financial Officer Pursuant to Rules 13a-14(a) and</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42"/>
        </w:trPr>
        <w:tc>
          <w:tcPr>
            <w:tcW w:w="80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14"/>
          </w:tcPr>
          <w:p>
            <w:pPr>
              <w:spacing w:after="0" w:line="142" w:lineRule="exact"/>
              <w:rPr>
                <w:sz w:val="20"/>
                <w:szCs w:val="20"/>
                <w:color w:val="auto"/>
              </w:rPr>
            </w:pPr>
            <w:r>
              <w:rPr>
                <w:rFonts w:ascii="Arial" w:cs="Arial" w:eastAsia="Arial" w:hAnsi="Arial"/>
                <w:sz w:val="14"/>
                <w:szCs w:val="14"/>
                <w:color w:val="0000FF"/>
                <w:w w:val="94"/>
              </w:rPr>
              <w:t>15d-14(a) under the Exchange Act, as Adopted Pursuant to Section 302 of</w:t>
            </w:r>
          </w:p>
        </w:tc>
        <w:tc>
          <w:tcPr>
            <w:tcW w:w="120" w:type="dxa"/>
            <w:vAlign w:val="bottom"/>
            <w:tcBorders>
              <w:bottom w:val="single" w:sz="8" w:color="0000FF"/>
            </w:tcBorders>
            <w:gridSpan w:val="3"/>
          </w:tcPr>
          <w:p>
            <w:pPr>
              <w:spacing w:after="0"/>
              <w:rPr>
                <w:sz w:val="20"/>
                <w:szCs w:val="20"/>
                <w:color w:val="auto"/>
              </w:rPr>
            </w:pPr>
            <w:r>
              <w:rPr>
                <w:rFonts w:ascii="Arial" w:cs="Arial" w:eastAsia="Arial" w:hAnsi="Arial"/>
                <w:sz w:val="10"/>
                <w:szCs w:val="10"/>
                <w:color w:val="0000FF"/>
                <w:w w:val="71"/>
              </w:rPr>
              <w:t>the</w:t>
            </w:r>
          </w:p>
        </w:tc>
        <w:tc>
          <w:tcPr>
            <w:tcW w:w="22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166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w w:val="92"/>
              </w:rPr>
              <w:t>Sarbanes-Oxley Act of 2002</w:t>
            </w:r>
          </w:p>
        </w:tc>
        <w:tc>
          <w:tcPr>
            <w:tcW w:w="3060" w:type="dxa"/>
            <w:vAlign w:val="bottom"/>
            <w:gridSpan w:val="1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9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1"/>
              </w:rPr>
              <w:t>32.1†</w:t>
            </w:r>
          </w:p>
        </w:tc>
        <w:tc>
          <w:tcPr>
            <w:tcW w:w="42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4"/>
              </w:rPr>
              <w:t>Certification of Principal Executive Officer Pursuant to 18 U.S.C. Section</w:t>
            </w:r>
          </w:p>
        </w:tc>
        <w:tc>
          <w:tcPr>
            <w:tcW w:w="46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42"/>
        </w:trPr>
        <w:tc>
          <w:tcPr>
            <w:tcW w:w="800" w:type="dxa"/>
            <w:vAlign w:val="bottom"/>
          </w:tcPr>
          <w:p>
            <w:pPr>
              <w:spacing w:after="0"/>
              <w:rPr>
                <w:sz w:val="12"/>
                <w:szCs w:val="12"/>
                <w:color w:val="auto"/>
              </w:rPr>
            </w:pPr>
          </w:p>
        </w:tc>
        <w:tc>
          <w:tcPr>
            <w:tcW w:w="4720" w:type="dxa"/>
            <w:vAlign w:val="bottom"/>
            <w:gridSpan w:val="21"/>
          </w:tcPr>
          <w:p>
            <w:pPr>
              <w:spacing w:after="0" w:line="142" w:lineRule="exact"/>
              <w:rPr>
                <w:sz w:val="20"/>
                <w:szCs w:val="20"/>
                <w:color w:val="auto"/>
              </w:rPr>
            </w:pPr>
            <w:r>
              <w:rPr>
                <w:rFonts w:ascii="Arial" w:cs="Arial" w:eastAsia="Arial" w:hAnsi="Arial"/>
                <w:sz w:val="14"/>
                <w:szCs w:val="14"/>
                <w:color w:val="0000FF"/>
                <w:w w:val="97"/>
              </w:rPr>
              <w:t>1350, as Adopted Pursuant to Section 906 of the Sarbanes-Oxley Act of 2002</w:t>
            </w: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9"/>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1"/>
              </w:rPr>
              <w:t>32.2†</w:t>
            </w:r>
          </w:p>
        </w:tc>
        <w:tc>
          <w:tcPr>
            <w:tcW w:w="4720" w:type="dxa"/>
            <w:vAlign w:val="bottom"/>
            <w:gridSpan w:val="21"/>
          </w:tcPr>
          <w:p>
            <w:pPr>
              <w:spacing w:after="0"/>
              <w:rPr>
                <w:sz w:val="20"/>
                <w:szCs w:val="20"/>
                <w:color w:val="auto"/>
              </w:rPr>
            </w:pPr>
            <w:r>
              <w:rPr>
                <w:rFonts w:ascii="Arial" w:cs="Arial" w:eastAsia="Arial" w:hAnsi="Arial"/>
                <w:sz w:val="14"/>
                <w:szCs w:val="14"/>
                <w:color w:val="0000FF"/>
                <w:w w:val="97"/>
              </w:rPr>
              <w:t>Certification of Principal Financial Officer Pursuant to 18 U.S.C. Section 1350,</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42"/>
        </w:trPr>
        <w:tc>
          <w:tcPr>
            <w:tcW w:w="800" w:type="dxa"/>
            <w:vAlign w:val="bottom"/>
          </w:tcPr>
          <w:p>
            <w:pPr>
              <w:spacing w:after="0"/>
              <w:rPr>
                <w:sz w:val="12"/>
                <w:szCs w:val="12"/>
                <w:color w:val="auto"/>
              </w:rPr>
            </w:pPr>
          </w:p>
        </w:tc>
        <w:tc>
          <w:tcPr>
            <w:tcW w:w="458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4"/>
                <w:szCs w:val="14"/>
                <w:color w:val="0000FF"/>
              </w:rPr>
              <w:t>as Adopted Pursuant to Section 906 of the Sarbanes-Oxley Act of 2002</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9"/>
            <w:shd w:val="clear" w:color="auto" w:fill="0000FF"/>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8"/>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101.INS</w:t>
            </w:r>
          </w:p>
        </w:tc>
        <w:tc>
          <w:tcPr>
            <w:tcW w:w="4720" w:type="dxa"/>
            <w:vAlign w:val="bottom"/>
            <w:gridSpan w:val="21"/>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75"/>
        </w:trPr>
        <w:tc>
          <w:tcPr>
            <w:tcW w:w="800" w:type="dxa"/>
            <w:vAlign w:val="bottom"/>
          </w:tcPr>
          <w:p>
            <w:pPr>
              <w:spacing w:after="0"/>
              <w:rPr>
                <w:sz w:val="15"/>
                <w:szCs w:val="15"/>
                <w:color w:val="auto"/>
              </w:rPr>
            </w:pPr>
          </w:p>
        </w:tc>
        <w:tc>
          <w:tcPr>
            <w:tcW w:w="4720" w:type="dxa"/>
            <w:vAlign w:val="bottom"/>
            <w:gridSpan w:val="21"/>
          </w:tcPr>
          <w:p>
            <w:pPr>
              <w:spacing w:after="0"/>
              <w:rPr>
                <w:sz w:val="20"/>
                <w:szCs w:val="20"/>
                <w:color w:val="auto"/>
              </w:rPr>
            </w:pPr>
            <w:r>
              <w:rPr>
                <w:rFonts w:ascii="Arial" w:cs="Arial" w:eastAsia="Arial" w:hAnsi="Arial"/>
                <w:sz w:val="14"/>
                <w:szCs w:val="14"/>
                <w:color w:val="auto"/>
              </w:rPr>
              <w:t>Interactive Data File because its XBRL tags are embedded within the Inline</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4720" w:type="dxa"/>
            <w:vAlign w:val="bottom"/>
            <w:gridSpan w:val="21"/>
          </w:tcPr>
          <w:p>
            <w:pPr>
              <w:spacing w:after="0"/>
              <w:rPr>
                <w:sz w:val="20"/>
                <w:szCs w:val="20"/>
                <w:color w:val="auto"/>
              </w:rPr>
            </w:pPr>
            <w:r>
              <w:rPr>
                <w:rFonts w:ascii="Arial" w:cs="Arial" w:eastAsia="Arial" w:hAnsi="Arial"/>
                <w:sz w:val="14"/>
                <w:szCs w:val="14"/>
                <w:color w:val="auto"/>
              </w:rPr>
              <w:t>XBRL document</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4"/>
              </w:rPr>
              <w:t>101.SCH</w:t>
            </w:r>
          </w:p>
        </w:tc>
        <w:tc>
          <w:tcPr>
            <w:tcW w:w="4720" w:type="dxa"/>
            <w:vAlign w:val="bottom"/>
            <w:gridSpan w:val="21"/>
          </w:tcPr>
          <w:p>
            <w:pPr>
              <w:spacing w:after="0"/>
              <w:rPr>
                <w:sz w:val="20"/>
                <w:szCs w:val="20"/>
                <w:color w:val="auto"/>
              </w:rPr>
            </w:pPr>
            <w:r>
              <w:rPr>
                <w:rFonts w:ascii="Arial" w:cs="Arial" w:eastAsia="Arial" w:hAnsi="Arial"/>
                <w:sz w:val="14"/>
                <w:szCs w:val="14"/>
                <w:color w:val="auto"/>
              </w:rPr>
              <w:t>Inline XBRL Taxonomy Extension Schema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9"/>
              </w:rPr>
              <w:t>101.CAL</w:t>
            </w:r>
          </w:p>
        </w:tc>
        <w:tc>
          <w:tcPr>
            <w:tcW w:w="4720" w:type="dxa"/>
            <w:vAlign w:val="bottom"/>
            <w:gridSpan w:val="2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101.DEF</w:t>
            </w:r>
          </w:p>
        </w:tc>
        <w:tc>
          <w:tcPr>
            <w:tcW w:w="4720" w:type="dxa"/>
            <w:vAlign w:val="bottom"/>
            <w:gridSpan w:val="2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rPr>
              <w:t>101.LAB</w:t>
            </w:r>
          </w:p>
        </w:tc>
        <w:tc>
          <w:tcPr>
            <w:tcW w:w="4720" w:type="dxa"/>
            <w:vAlign w:val="bottom"/>
            <w:gridSpan w:val="2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101.PRE</w:t>
            </w:r>
          </w:p>
        </w:tc>
        <w:tc>
          <w:tcPr>
            <w:tcW w:w="4720" w:type="dxa"/>
            <w:vAlign w:val="bottom"/>
            <w:gridSpan w:val="2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4"/>
              </w:rPr>
              <w:t>104</w:t>
            </w:r>
          </w:p>
        </w:tc>
        <w:tc>
          <w:tcPr>
            <w:tcW w:w="4720" w:type="dxa"/>
            <w:vAlign w:val="bottom"/>
            <w:gridSpan w:val="21"/>
          </w:tcPr>
          <w:p>
            <w:pPr>
              <w:spacing w:after="0"/>
              <w:rPr>
                <w:sz w:val="20"/>
                <w:szCs w:val="20"/>
                <w:color w:val="auto"/>
              </w:rPr>
            </w:pPr>
            <w:r>
              <w:rPr>
                <w:rFonts w:ascii="Arial" w:cs="Arial" w:eastAsia="Arial" w:hAnsi="Arial"/>
                <w:sz w:val="14"/>
                <w:szCs w:val="14"/>
                <w:color w:val="auto"/>
                <w:w w:val="99"/>
              </w:rPr>
              <w:t>Cover Page Interactive Data File (formatted as inline XBRL and contained in</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ind w:left="2260"/>
              <w:spacing w:after="0"/>
              <w:rPr>
                <w:sz w:val="20"/>
                <w:szCs w:val="20"/>
                <w:color w:val="auto"/>
              </w:rPr>
            </w:pPr>
            <w:r>
              <w:rPr>
                <w:rFonts w:ascii="Arial" w:cs="Arial" w:eastAsia="Arial" w:hAnsi="Arial"/>
                <w:sz w:val="14"/>
                <w:szCs w:val="14"/>
                <w:color w:val="auto"/>
                <w:w w:val="85"/>
              </w:rPr>
              <w:t>X</w:t>
            </w:r>
          </w:p>
        </w:tc>
      </w:tr>
      <w:tr>
        <w:trPr>
          <w:trHeight w:val="182"/>
        </w:trPr>
        <w:tc>
          <w:tcPr>
            <w:tcW w:w="800" w:type="dxa"/>
            <w:vAlign w:val="bottom"/>
          </w:tcPr>
          <w:p>
            <w:pPr>
              <w:spacing w:after="0"/>
              <w:rPr>
                <w:sz w:val="15"/>
                <w:szCs w:val="15"/>
                <w:color w:val="auto"/>
              </w:rPr>
            </w:pPr>
          </w:p>
        </w:tc>
        <w:tc>
          <w:tcPr>
            <w:tcW w:w="4720" w:type="dxa"/>
            <w:vAlign w:val="bottom"/>
            <w:gridSpan w:val="21"/>
          </w:tcPr>
          <w:p>
            <w:pPr>
              <w:spacing w:after="0"/>
              <w:rPr>
                <w:sz w:val="20"/>
                <w:szCs w:val="20"/>
                <w:color w:val="auto"/>
              </w:rPr>
            </w:pPr>
            <w:r>
              <w:rPr>
                <w:rFonts w:ascii="Arial" w:cs="Arial" w:eastAsia="Arial" w:hAnsi="Arial"/>
                <w:sz w:val="14"/>
                <w:szCs w:val="14"/>
                <w:color w:val="auto"/>
              </w:rPr>
              <w:t>Exhibit 101)</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60" w:type="dxa"/>
            <w:vAlign w:val="bottom"/>
          </w:tcPr>
          <w:p>
            <w:pPr>
              <w:spacing w:after="0"/>
              <w:rPr>
                <w:sz w:val="15"/>
                <w:szCs w:val="15"/>
                <w:color w:val="auto"/>
              </w:rPr>
            </w:pPr>
          </w:p>
        </w:tc>
      </w:tr>
    </w:tbl>
    <w:p>
      <w:pPr>
        <w:spacing w:after="0" w:line="47" w:lineRule="exact"/>
        <w:rPr>
          <w:sz w:val="20"/>
          <w:szCs w:val="20"/>
          <w:color w:val="auto"/>
        </w:rPr>
      </w:pPr>
    </w:p>
    <w:p>
      <w:pPr>
        <w:ind w:left="960" w:hanging="570"/>
        <w:spacing w:after="0"/>
        <w:tabs>
          <w:tab w:leader="none" w:pos="9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sz w:val="20"/>
          <w:szCs w:val="20"/>
          <w:color w:val="auto"/>
        </w:rPr>
      </w:pPr>
    </w:p>
    <w:p>
      <w:pPr>
        <w:ind w:left="960" w:hanging="574"/>
        <w:spacing w:after="0"/>
        <w:tabs>
          <w:tab w:leader="none" w:pos="9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Denotes management contract or compensatory plan or arrangement</w:t>
      </w:r>
    </w:p>
    <w:p>
      <w:pPr>
        <w:spacing w:after="0" w:line="55" w:lineRule="exact"/>
        <w:rPr>
          <w:sz w:val="20"/>
          <w:szCs w:val="20"/>
          <w:color w:val="auto"/>
        </w:rPr>
      </w:pPr>
    </w:p>
    <w:p>
      <w:pPr>
        <w:ind w:left="960" w:hanging="570"/>
        <w:spacing w:after="0" w:line="273" w:lineRule="auto"/>
        <w:tabs>
          <w:tab w:leader="none" w:pos="9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Portions of the exhibit have been omitted as the Company has determined that: (i) the omitted information is not material; and (ii) the omitted information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20"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AFFIRM HOLDINGS, INC.</w:t>
      </w:r>
    </w:p>
    <w:p>
      <w:pPr>
        <w:spacing w:after="0" w:line="337" w:lineRule="exact"/>
        <w:rPr>
          <w:sz w:val="20"/>
          <w:szCs w:val="20"/>
          <w:color w:val="auto"/>
        </w:rPr>
      </w:pPr>
    </w:p>
    <w:p>
      <w:pPr>
        <w:ind w:left="1440"/>
        <w:spacing w:after="0"/>
        <w:tabs>
          <w:tab w:leader="none" w:pos="5820" w:val="left"/>
          <w:tab w:leader="none" w:pos="6420" w:val="left"/>
        </w:tabs>
        <w:rPr>
          <w:sz w:val="20"/>
          <w:szCs w:val="20"/>
          <w:color w:val="auto"/>
        </w:rPr>
      </w:pPr>
      <w:r>
        <w:rPr>
          <w:rFonts w:ascii="Arial" w:cs="Arial" w:eastAsia="Arial" w:hAnsi="Arial"/>
          <w:sz w:val="18"/>
          <w:szCs w:val="18"/>
          <w:color w:val="auto"/>
        </w:rPr>
        <w:t>Date: August 29,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2168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Max Levchin, Michael Linford and Katherine Adkins,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0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6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9"/>
              </w:rPr>
              <w:t>Name</w:t>
            </w:r>
          </w:p>
        </w:tc>
        <w:tc>
          <w:tcPr>
            <w:tcW w:w="1920" w:type="dxa"/>
            <w:vAlign w:val="bottom"/>
          </w:tcPr>
          <w:p>
            <w:pPr>
              <w:spacing w:after="0"/>
              <w:rPr>
                <w:sz w:val="17"/>
                <w:szCs w:val="17"/>
                <w:color w:val="auto"/>
              </w:rPr>
            </w:pPr>
          </w:p>
        </w:tc>
        <w:tc>
          <w:tcPr>
            <w:tcW w:w="252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97"/>
              </w:rPr>
              <w:t>Title</w:t>
            </w:r>
          </w:p>
        </w:tc>
        <w:tc>
          <w:tcPr>
            <w:tcW w:w="700" w:type="dxa"/>
            <w:vAlign w:val="bottom"/>
          </w:tcPr>
          <w:p>
            <w:pPr>
              <w:spacing w:after="0"/>
              <w:rPr>
                <w:sz w:val="17"/>
                <w:szCs w:val="17"/>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4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2"/>
              </w:rPr>
              <w:t>Chairman of the Board of Directors and Chief Executive</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4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Max Levchin</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Officer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4"/>
              </w:rPr>
              <w:t>Max Levchin</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93"/>
              </w:rPr>
              <w:t>(principal executive officer)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Michael Linford</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6"/>
              </w:rPr>
              <w:t>Michael Linford</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96"/>
              </w:rPr>
              <w:t>(principal financial officer)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Siphelele Jiyane</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VP, Controller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Siphelele Jiyane</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94"/>
              </w:rPr>
              <w:t>(principal accounting officer)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Jeremy Liew</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3"/>
              </w:rPr>
              <w:t>Jeremy Liew</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Libor Michalek</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ind w:left="1860"/>
              <w:spacing w:after="0"/>
              <w:rPr>
                <w:sz w:val="20"/>
                <w:szCs w:val="20"/>
                <w:color w:val="auto"/>
              </w:rPr>
            </w:pPr>
            <w:r>
              <w:rPr>
                <w:rFonts w:ascii="Arial" w:cs="Arial" w:eastAsia="Arial" w:hAnsi="Arial"/>
                <w:sz w:val="18"/>
                <w:szCs w:val="18"/>
                <w:color w:val="auto"/>
              </w:rPr>
              <w:t>Libor Michalek</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Jenny J. Ming</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1"/>
              </w:rPr>
              <w:t>Jenny J. Ming</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Christa S. Quarles</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Christa S. Quarles</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Keith Rabois</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Keith Rabois</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Jacqueline D. Reses</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7"/>
              </w:rPr>
              <w:t>Jacqueline D. Reses</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83"/>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James D. White</w:t>
            </w:r>
          </w:p>
        </w:tc>
        <w:tc>
          <w:tcPr>
            <w:tcW w:w="44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4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August 29, 2022</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89"/>
              </w:rPr>
              <w:t>James D. White</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720"/>
          </w:cols>
          <w:pgMar w:left="320" w:top="125" w:right="859" w:bottom="1440" w:gutter="0" w:footer="0" w:header="0"/>
        </w:sectPr>
      </w:pPr>
    </w:p>
    <w:bookmarkStart w:id="171" w:name="page172"/>
    <w:bookmarkEnd w:id="17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AGREEMENT AND RELEASE</w:t>
      </w:r>
    </w:p>
    <w:p>
      <w:pPr>
        <w:spacing w:after="0" w:line="212"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This Transition Agreement and Release (“Agreement”) is made by and between Silvija Martincevic (“Employee”) and Affirm, Inc. (the “Company”) (collectively referred to as the “Parties” or individually referred to as a “Party”).</w:t>
      </w:r>
    </w:p>
    <w:p>
      <w:pPr>
        <w:spacing w:after="0" w:line="17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Employee is employed by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Employee signed an offer letter with the Company on March 12, 2019 (the “Offer Letter”);</w:t>
      </w:r>
    </w:p>
    <w:p>
      <w:pPr>
        <w:spacing w:after="0" w:line="20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Employee signed a Confidentiality and Inventions Assignment Agreement with the Company on April 28, 2019 (the “Confidentiality Agreement”);</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Employee signed an Arbitration Agreement with the Company on April 28, 2019 (the “Arbitration Agreement”);</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WHEREAS, the Company and Employee have entered into certain equity agreements, as more fully detailed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including Stock Option Agreements granting Employee the options to purchase shares of the Company’s common stock (“Options”), and Restricted Stock Unit Agreements granting Employee the right to receive shares of Company common stock upon satisfying certain vesting requirements (“RSUs”, collectively with the Options, the “Equity Awards”), subject to the terms and conditions of the Company’s Amended and Restated 2012 Stock Plan (the “Plan”) and the Option and RSU award agreements (the Equity Award Agreements, and together with the Plan, the “Equity Documents”);</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WHEREAS, Employee and the Company mutually agree that Employee’s employment with the Company will terminate, and Employee will cease serving as Chief Commercial Officer of the Company, on June 30, 2022 (the “Termination Date”);</w:t>
      </w:r>
    </w:p>
    <w:p>
      <w:pPr>
        <w:spacing w:after="0" w:line="13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WHEREAS, Employee and the Company mutually agree that Employee will become a non-employee advisor for the Company upon the terms and conditions set forth in this Agreement (such period the “Advising Period”) during the period commencing on July 1, 2022 and ending on December 31, 2022 (such date the “Service Separation Date”); and</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Parties wish to resolve any and all disputes, claims, complaints, grievances, charges, actions, petitions, and demands that Employee may have against the Company and any of the Releasees (as defined below), including, but not limited to, any and all claims arising out of or in any way related to Employee’s employment with or separation from the Company.</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mutual promises made herein, the Company and Employee hereby agree as follows:</w:t>
      </w:r>
    </w:p>
    <w:p>
      <w:pPr>
        <w:spacing w:after="0" w:line="200" w:lineRule="exact"/>
        <w:rPr>
          <w:sz w:val="20"/>
          <w:szCs w:val="20"/>
          <w:color w:val="auto"/>
        </w:rPr>
      </w:pPr>
    </w:p>
    <w:p>
      <w:pPr>
        <w:spacing w:after="0" w:line="202" w:lineRule="exact"/>
        <w:rPr>
          <w:sz w:val="20"/>
          <w:szCs w:val="20"/>
          <w:color w:val="auto"/>
        </w:rPr>
      </w:pPr>
    </w:p>
    <w:p>
      <w:pPr>
        <w:jc w:val="both"/>
        <w:ind w:firstLine="656"/>
        <w:spacing w:after="0" w:line="214" w:lineRule="auto"/>
        <w:tabs>
          <w:tab w:leader="none" w:pos="129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Termination Date</w:t>
      </w:r>
      <w:r>
        <w:rPr>
          <w:rFonts w:ascii="Arial" w:cs="Arial" w:eastAsia="Arial" w:hAnsi="Arial"/>
          <w:sz w:val="22"/>
          <w:szCs w:val="22"/>
          <w:i w:val="1"/>
          <w:iCs w:val="1"/>
          <w:color w:val="auto"/>
        </w:rPr>
        <w:t>.</w:t>
      </w:r>
      <w:r>
        <w:rPr>
          <w:rFonts w:ascii="Arial" w:cs="Arial" w:eastAsia="Arial" w:hAnsi="Arial"/>
          <w:sz w:val="22"/>
          <w:szCs w:val="22"/>
          <w:color w:val="auto"/>
        </w:rPr>
        <w:t xml:space="preserve"> Employee’s last day of employment with the Company will be the Termination Date, and Employee will cease serving as Chief Commercial Officer of the Company as of the Termination Date. Through the Termination Date, Employee will continue to be eligible to receive all salary, bonus, equity and benefits in effect as of the date of this Agreement, in accordance with the terms of the applicable plans and programs. For the avoidance of doubt, Employee will continue to be eligible to participate in the Company’s fiscal 2022 Cash Incentive Plan and receive a bonus payment, in an amount to be determined by the Company in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8"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Company’s sole discretion, which bonus payment will be made in or around September 2022. Notwithstanding the above, in no event shall this bonus amount be lower than the bonus amount paid to similarly situated employees.</w:t>
      </w:r>
    </w:p>
    <w:p>
      <w:pPr>
        <w:spacing w:after="0" w:line="159" w:lineRule="exact"/>
        <w:rPr>
          <w:sz w:val="20"/>
          <w:szCs w:val="20"/>
          <w:color w:val="auto"/>
        </w:rPr>
      </w:pPr>
    </w:p>
    <w:p>
      <w:pPr>
        <w:jc w:val="both"/>
        <w:ind w:firstLine="656"/>
        <w:spacing w:after="0" w:line="212"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Advisory Services</w:t>
      </w:r>
      <w:r>
        <w:rPr>
          <w:rFonts w:ascii="Arial" w:cs="Arial" w:eastAsia="Arial" w:hAnsi="Arial"/>
          <w:sz w:val="22"/>
          <w:szCs w:val="22"/>
          <w:color w:val="auto"/>
        </w:rPr>
        <w:t>. Upon the terms and conditions set forth in this Agreement, during the Advising Period (as defined in the above Recitals), Employee will provide the Company with post-termination advisor services, as a former employee of the Company, to assist with various matters as may be agreed upon by the Parties (the “Advisory Services”). Employee understands and agrees that during the Advising Period, Employee will serve as an independent contractor, not as an employee or agent of the Company, and will not be entitled to participate in any employee benefit plans during the Advising Period (other than continued vesting of Employee’s Options and RSUs during the Advising Period in accordance with the Equity Documents as set forth below).</w:t>
      </w:r>
    </w:p>
    <w:p>
      <w:pPr>
        <w:spacing w:after="0" w:line="163"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 Consideration</w:t>
      </w:r>
      <w:r>
        <w:rPr>
          <w:rFonts w:ascii="Arial" w:cs="Arial" w:eastAsia="Arial" w:hAnsi="Arial"/>
          <w:sz w:val="22"/>
          <w:szCs w:val="22"/>
          <w:color w:val="auto"/>
        </w:rPr>
        <w:t>. As consideration for employee executing this Agreement and performing the Advisory Services, the Company agrees to pay Employee a total of Two-Hundred Thirty-Seven Thousand Five Hundred Dollars ($237,500), less applicable withholdings and deductions, within thirty (30) days after the Effective Date (the “Termination Consideration”).</w:t>
      </w:r>
    </w:p>
    <w:p>
      <w:pPr>
        <w:spacing w:after="0" w:line="160" w:lineRule="exact"/>
        <w:rPr>
          <w:rFonts w:ascii="Arial" w:cs="Arial" w:eastAsia="Arial" w:hAnsi="Arial"/>
          <w:sz w:val="22"/>
          <w:szCs w:val="22"/>
          <w:color w:val="auto"/>
        </w:rPr>
      </w:pPr>
    </w:p>
    <w:p>
      <w:pPr>
        <w:jc w:val="both"/>
        <w:ind w:firstLine="656"/>
        <w:spacing w:after="0" w:line="214"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xml:space="preserve">. Employee acknowledges and agrees that a true and correct summary of the terms of all Equity Awards granted to Employee under the Plan is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summary reflects the extent to which the Equity Awards are scheduled to vest as of each of the Termination Date and the Service Separation Date. The Parties agree that during the Advising Period the Equity Awards will continue vesting in accordance with their respective schedules as set forth in the respective Equity Award Agreements and that the Equity Documents will continue to govern the terms and conditions of the Equity Awards.</w:t>
      </w:r>
    </w:p>
    <w:p>
      <w:pPr>
        <w:spacing w:after="0" w:line="158" w:lineRule="exact"/>
        <w:rPr>
          <w:rFonts w:ascii="Arial" w:cs="Arial" w:eastAsia="Arial" w:hAnsi="Arial"/>
          <w:sz w:val="22"/>
          <w:szCs w:val="22"/>
          <w:color w:val="auto"/>
        </w:rPr>
      </w:pPr>
    </w:p>
    <w:p>
      <w:pPr>
        <w:jc w:val="both"/>
        <w:ind w:firstLine="656"/>
        <w:spacing w:after="0" w:line="226"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Employee’s health insurance benefits shall cease on June 30, 2022 (the “Benefits Termination Date”), subject to Employee’s right to continue Employee’s health insurance under COBRA (as defined below). Employee’s participation in all employee benefit plans, including, but not limited to, the accrual of bonuses, vacation, and paid time off, if any, will cease as of the Termination Date (other than continued vesting of Employee’s Options and RSUs during the Advising Period in accordance with the Equity Documents as set forth above).</w:t>
      </w:r>
    </w:p>
    <w:p>
      <w:pPr>
        <w:spacing w:after="0" w:line="159" w:lineRule="exact"/>
        <w:rPr>
          <w:rFonts w:ascii="Arial" w:cs="Arial" w:eastAsia="Arial" w:hAnsi="Arial"/>
          <w:sz w:val="21"/>
          <w:szCs w:val="21"/>
          <w:color w:val="auto"/>
        </w:rPr>
      </w:pPr>
    </w:p>
    <w:p>
      <w:pPr>
        <w:jc w:val="both"/>
        <w:ind w:firstLine="656"/>
        <w:spacing w:after="0" w:line="234"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Separation Consideration</w:t>
      </w:r>
      <w:r>
        <w:rPr>
          <w:rFonts w:ascii="Arial" w:cs="Arial" w:eastAsia="Arial" w:hAnsi="Arial"/>
          <w:sz w:val="21"/>
          <w:szCs w:val="21"/>
          <w:color w:val="auto"/>
        </w:rPr>
        <w:t>. In consideration of Employee’s timely execution and delivery of the Supplemental Release (as defined below), and Employee’s fulfillment of its terms and conditions, and provided that Employee does not revoke the Supplemental Release, the Company agrees as follows (the “Separation Consideration”):</w:t>
      </w:r>
    </w:p>
    <w:p>
      <w:pPr>
        <w:spacing w:after="0" w:line="157" w:lineRule="exact"/>
        <w:rPr>
          <w:rFonts w:ascii="Arial" w:cs="Arial" w:eastAsia="Arial" w:hAnsi="Arial"/>
          <w:sz w:val="21"/>
          <w:szCs w:val="21"/>
          <w:color w:val="auto"/>
        </w:rPr>
      </w:pPr>
    </w:p>
    <w:p>
      <w:pPr>
        <w:ind w:firstLine="1304"/>
        <w:spacing w:after="0" w:line="232" w:lineRule="auto"/>
        <w:tabs>
          <w:tab w:leader="none" w:pos="1941" w:val="left"/>
        </w:tabs>
        <w:numPr>
          <w:ilvl w:val="1"/>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Six Month’s Salary. </w:t>
      </w:r>
      <w:r>
        <w:rPr>
          <w:rFonts w:ascii="Arial" w:cs="Arial" w:eastAsia="Arial" w:hAnsi="Arial"/>
          <w:sz w:val="22"/>
          <w:szCs w:val="22"/>
          <w:color w:val="auto"/>
        </w:rPr>
        <w:t>The Company shall pay a lump sum amount equal to six (6) months of Employee’s</w:t>
      </w:r>
      <w:r>
        <w:rPr>
          <w:rFonts w:ascii="Arial" w:cs="Arial" w:eastAsia="Arial" w:hAnsi="Arial"/>
          <w:sz w:val="22"/>
          <w:szCs w:val="22"/>
          <w:i w:val="1"/>
          <w:iCs w:val="1"/>
          <w:color w:val="auto"/>
        </w:rPr>
        <w:t xml:space="preserve"> </w:t>
      </w:r>
      <w:r>
        <w:rPr>
          <w:rFonts w:ascii="Arial" w:cs="Arial" w:eastAsia="Arial" w:hAnsi="Arial"/>
          <w:sz w:val="22"/>
          <w:szCs w:val="22"/>
          <w:color w:val="auto"/>
        </w:rPr>
        <w:t>salary within fifteen (15) days following the Service Separation Date.</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939" w:val="left"/>
        </w:tabs>
        <w:numPr>
          <w:ilvl w:val="1"/>
          <w:numId w:val="55"/>
        </w:numPr>
        <w:rPr>
          <w:rFonts w:ascii="Arial" w:cs="Arial" w:eastAsia="Arial" w:hAnsi="Arial"/>
          <w:sz w:val="19"/>
          <w:szCs w:val="19"/>
          <w:color w:val="auto"/>
        </w:rPr>
      </w:pPr>
      <w:r>
        <w:rPr>
          <w:rFonts w:ascii="Arial" w:cs="Arial" w:eastAsia="Arial" w:hAnsi="Arial"/>
          <w:sz w:val="19"/>
          <w:szCs w:val="19"/>
          <w:i w:val="1"/>
          <w:iCs w:val="1"/>
          <w:color w:val="auto"/>
        </w:rPr>
        <w:t>COBRA</w:t>
      </w:r>
      <w:r>
        <w:rPr>
          <w:rFonts w:ascii="Arial" w:cs="Arial" w:eastAsia="Arial" w:hAnsi="Arial"/>
          <w:sz w:val="19"/>
          <w:szCs w:val="19"/>
          <w:color w:val="auto"/>
        </w:rPr>
        <w:t>. If the Employee timely elects to continue receiving group medical insurance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continuation coverage rules of the Consolidated Omnibus Budget Reconciliation Act of 1986 (“COBRA”), the Company shall pay an amount equal, net of taxes, to the monthly employer contribution to the applicable medical benefits, as in effect on the Benefits Termination Date (as defined below), for a period of twelve (12) months following the Benefits Termination Date, or until Employee has secured health insurance coverage through another employer, whichever occurs first.</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941" w:val="left"/>
        </w:tabs>
        <w:numPr>
          <w:ilvl w:val="1"/>
          <w:numId w:val="55"/>
        </w:numPr>
        <w:rPr>
          <w:rFonts w:ascii="Arial" w:cs="Arial" w:eastAsia="Arial" w:hAnsi="Arial"/>
          <w:sz w:val="22"/>
          <w:szCs w:val="22"/>
          <w:color w:val="auto"/>
        </w:rPr>
      </w:pPr>
      <w:r>
        <w:rPr>
          <w:rFonts w:ascii="Arial" w:cs="Arial" w:eastAsia="Arial" w:hAnsi="Arial"/>
          <w:sz w:val="22"/>
          <w:szCs w:val="22"/>
          <w:i w:val="1"/>
          <w:iCs w:val="1"/>
          <w:color w:val="auto"/>
        </w:rPr>
        <w:t>Equity Award Acceleration</w:t>
      </w:r>
      <w:r>
        <w:rPr>
          <w:rFonts w:ascii="Arial" w:cs="Arial" w:eastAsia="Arial" w:hAnsi="Arial"/>
          <w:sz w:val="22"/>
          <w:szCs w:val="22"/>
          <w:color w:val="auto"/>
        </w:rPr>
        <w:t>. Effective on the Service Separation Date, the Equity Awards will become</w:t>
      </w:r>
      <w:r>
        <w:rPr>
          <w:rFonts w:ascii="Arial" w:cs="Arial" w:eastAsia="Arial" w:hAnsi="Arial"/>
          <w:sz w:val="22"/>
          <w:szCs w:val="22"/>
          <w:i w:val="1"/>
          <w:iCs w:val="1"/>
          <w:color w:val="auto"/>
        </w:rPr>
        <w:t xml:space="preserve"> </w:t>
      </w:r>
      <w:r>
        <w:rPr>
          <w:rFonts w:ascii="Arial" w:cs="Arial" w:eastAsia="Arial" w:hAnsi="Arial"/>
          <w:sz w:val="22"/>
          <w:szCs w:val="22"/>
          <w:color w:val="auto"/>
        </w:rPr>
        <w:t>vested as to the portion of the Equity Awards that were otherwise scheduled to vest during the period commencing on January 1, 2023 through and including June 30,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2023. Any portion of the Equity Awards that is not vested following application of this paragraph is terminated effective as of the Service Separation Date. In all other respects, the Equity Awards will remain subject to the terms and conditions of the Equity Documents.</w:t>
      </w:r>
    </w:p>
    <w:p>
      <w:pPr>
        <w:spacing w:after="0" w:line="159" w:lineRule="exact"/>
        <w:rPr>
          <w:sz w:val="20"/>
          <w:szCs w:val="20"/>
          <w:color w:val="auto"/>
        </w:rPr>
      </w:pPr>
    </w:p>
    <w:p>
      <w:pPr>
        <w:jc w:val="both"/>
        <w:ind w:firstLine="656"/>
        <w:spacing w:after="0" w:line="252" w:lineRule="auto"/>
        <w:tabs>
          <w:tab w:leader="none" w:pos="1296"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Supplemental Release</w:t>
      </w:r>
      <w:r>
        <w:rPr>
          <w:rFonts w:ascii="Arial" w:cs="Arial" w:eastAsia="Arial" w:hAnsi="Arial"/>
          <w:sz w:val="19"/>
          <w:szCs w:val="19"/>
          <w:color w:val="auto"/>
        </w:rPr>
        <w:t xml:space="preserve">. In exchange for the Separation Consideration, Employee agrees to execute, within ten (10) calendar days after the Service Separation Date, the Supplemental Release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“Supplemental Release”); </w:t>
      </w:r>
      <w:r>
        <w:rPr>
          <w:rFonts w:ascii="Arial" w:cs="Arial" w:eastAsia="Arial" w:hAnsi="Arial"/>
          <w:sz w:val="19"/>
          <w:szCs w:val="19"/>
          <w:i w:val="1"/>
          <w:iCs w:val="1"/>
          <w:color w:val="auto"/>
        </w:rPr>
        <w:t>provided, however</w:t>
      </w:r>
      <w:r>
        <w:rPr>
          <w:rFonts w:ascii="Arial" w:cs="Arial" w:eastAsia="Arial" w:hAnsi="Arial"/>
          <w:sz w:val="19"/>
          <w:szCs w:val="19"/>
          <w:color w:val="auto"/>
        </w:rPr>
        <w:t>, the Parties agree to modify the Supplemental Release to comply with any new laws that become applicable prior to the end of the Advising Period. Employee understands and agrees that Employee will only be entitled to the Separation Consideration if Employee timely executes and delivers, and does not revoke, the Supplemental Release.</w:t>
      </w:r>
    </w:p>
    <w:p>
      <w:pPr>
        <w:spacing w:after="0" w:line="148" w:lineRule="exact"/>
        <w:rPr>
          <w:rFonts w:ascii="Arial" w:cs="Arial" w:eastAsia="Arial" w:hAnsi="Arial"/>
          <w:sz w:val="19"/>
          <w:szCs w:val="19"/>
          <w:color w:val="auto"/>
        </w:rPr>
      </w:pPr>
    </w:p>
    <w:p>
      <w:pPr>
        <w:jc w:val="both"/>
        <w:ind w:firstLine="656"/>
        <w:spacing w:after="0" w:line="222" w:lineRule="auto"/>
        <w:tabs>
          <w:tab w:leader="none" w:pos="1296"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Acknowledgement</w:t>
      </w:r>
      <w:r>
        <w:rPr>
          <w:rFonts w:ascii="Arial" w:cs="Arial" w:eastAsia="Arial" w:hAnsi="Arial"/>
          <w:sz w:val="21"/>
          <w:szCs w:val="21"/>
          <w:color w:val="auto"/>
        </w:rPr>
        <w:t>. Employee acknowledges and agrees that: (i) Employee will not receive any compensation, benefits or other consideration in connection with the termination of Employee’s Employment with the Company, Employee providing the Advisory Services, or the execution of this Agreement or the Supplemental Release other than the Termination Consideration and the Separation Consideration; and (ii) that the Termination Consideration and the Separation Consideration shall satisfy all compensation, benefits or other consideration to which Employee may have otherwise been entitled in connection therewith, including, without limitation, any severance or other benefits to which Employee may be eligible to receive under the Company’s Officer Severance Plan.</w:t>
      </w:r>
    </w:p>
    <w:p>
      <w:pPr>
        <w:spacing w:after="0" w:line="164" w:lineRule="exact"/>
        <w:rPr>
          <w:rFonts w:ascii="Arial" w:cs="Arial" w:eastAsia="Arial" w:hAnsi="Arial"/>
          <w:sz w:val="21"/>
          <w:szCs w:val="21"/>
          <w:color w:val="auto"/>
        </w:rPr>
      </w:pPr>
    </w:p>
    <w:p>
      <w:pPr>
        <w:jc w:val="both"/>
        <w:ind w:firstLine="656"/>
        <w:spacing w:after="0" w:line="257" w:lineRule="auto"/>
        <w:tabs>
          <w:tab w:leader="none" w:pos="1296"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Receipt of All Compensation and Benefits</w:t>
      </w:r>
      <w:r>
        <w:rPr>
          <w:rFonts w:ascii="Arial" w:cs="Arial" w:eastAsia="Arial" w:hAnsi="Arial"/>
          <w:sz w:val="19"/>
          <w:szCs w:val="19"/>
          <w:color w:val="auto"/>
        </w:rPr>
        <w:t>. Employee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Employee.</w:t>
      </w:r>
    </w:p>
    <w:p>
      <w:pPr>
        <w:spacing w:after="0" w:line="144" w:lineRule="exact"/>
        <w:rPr>
          <w:rFonts w:ascii="Arial" w:cs="Arial" w:eastAsia="Arial" w:hAnsi="Arial"/>
          <w:sz w:val="19"/>
          <w:szCs w:val="19"/>
          <w:color w:val="auto"/>
        </w:rPr>
      </w:pPr>
    </w:p>
    <w:p>
      <w:pPr>
        <w:jc w:val="both"/>
        <w:ind w:firstLine="656"/>
        <w:spacing w:after="0" w:line="219" w:lineRule="auto"/>
        <w:tabs>
          <w:tab w:leader="none" w:pos="1296"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In exchange for the Termination Consideration, Employee agrees that: (i) the promises and benefits provided for under this Agreement represents settlement in full of all outstanding obligations owed to Employee by the Company and its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and (ii)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195" w:lineRule="exact"/>
        <w:rPr>
          <w:rFonts w:ascii="Arial" w:cs="Arial" w:eastAsia="Arial" w:hAnsi="Arial"/>
          <w:sz w:val="21"/>
          <w:szCs w:val="21"/>
          <w:color w:val="auto"/>
        </w:rPr>
      </w:pPr>
    </w:p>
    <w:p>
      <w:pPr>
        <w:ind w:firstLine="1304"/>
        <w:spacing w:after="0" w:line="232" w:lineRule="auto"/>
        <w:tabs>
          <w:tab w:leader="none" w:pos="1681" w:val="left"/>
        </w:tabs>
        <w:numPr>
          <w:ilvl w:val="2"/>
          <w:numId w:val="56"/>
        </w:numPr>
        <w:rPr>
          <w:rFonts w:ascii="Arial" w:cs="Arial" w:eastAsia="Arial" w:hAnsi="Arial"/>
          <w:sz w:val="22"/>
          <w:szCs w:val="22"/>
          <w:color w:val="auto"/>
        </w:rPr>
      </w:pPr>
      <w:r>
        <w:rPr>
          <w:rFonts w:ascii="Arial" w:cs="Arial" w:eastAsia="Arial" w:hAnsi="Arial"/>
          <w:sz w:val="22"/>
          <w:szCs w:val="22"/>
          <w:color w:val="auto"/>
        </w:rPr>
        <w:t>any and all claims relating to or arising from Employee’s employment relationship with the Company and the termination of that relationship;</w:t>
      </w:r>
    </w:p>
    <w:p>
      <w:pPr>
        <w:spacing w:after="0" w:line="185" w:lineRule="exact"/>
        <w:rPr>
          <w:rFonts w:ascii="Arial" w:cs="Arial" w:eastAsia="Arial" w:hAnsi="Arial"/>
          <w:sz w:val="22"/>
          <w:szCs w:val="22"/>
          <w:color w:val="auto"/>
        </w:rPr>
      </w:pPr>
    </w:p>
    <w:p>
      <w:pPr>
        <w:jc w:val="both"/>
        <w:ind w:firstLine="460"/>
        <w:spacing w:after="0" w:line="223" w:lineRule="auto"/>
        <w:tabs>
          <w:tab w:leader="none" w:pos="839"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5" w:lineRule="exact"/>
        <w:rPr>
          <w:rFonts w:ascii="Arial" w:cs="Arial" w:eastAsia="Arial" w:hAnsi="Arial"/>
          <w:sz w:val="22"/>
          <w:szCs w:val="22"/>
          <w:color w:val="auto"/>
        </w:rPr>
      </w:pPr>
    </w:p>
    <w:p>
      <w:pPr>
        <w:ind w:right="20" w:firstLine="1304"/>
        <w:spacing w:after="0" w:line="232" w:lineRule="auto"/>
        <w:tabs>
          <w:tab w:leader="none" w:pos="1881" w:val="left"/>
        </w:tabs>
        <w:numPr>
          <w:ilvl w:val="2"/>
          <w:numId w:val="57"/>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1" w:lineRule="exact"/>
        <w:rPr>
          <w:sz w:val="20"/>
          <w:szCs w:val="20"/>
          <w:color w:val="auto"/>
        </w:rPr>
      </w:pPr>
    </w:p>
    <w:p>
      <w:pPr>
        <w:jc w:val="both"/>
        <w:ind w:firstLine="1304"/>
        <w:spacing w:after="0" w:line="222" w:lineRule="auto"/>
        <w:tabs>
          <w:tab w:leader="none" w:pos="1808"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National Labor Relations Act, the California Family Rights Act, the California Labor Code, the California Workers’ Compensation Act, and the California Fair Employment and Housing Act;</w:t>
      </w:r>
    </w:p>
    <w:p>
      <w:pPr>
        <w:spacing w:after="0" w:line="191" w:lineRule="exact"/>
        <w:rPr>
          <w:rFonts w:ascii="Arial" w:cs="Arial" w:eastAsia="Arial" w:hAnsi="Arial"/>
          <w:sz w:val="21"/>
          <w:szCs w:val="21"/>
          <w:color w:val="auto"/>
        </w:rPr>
      </w:pPr>
    </w:p>
    <w:p>
      <w:pPr>
        <w:ind w:left="1680" w:hanging="376"/>
        <w:spacing w:after="0"/>
        <w:tabs>
          <w:tab w:leader="none" w:pos="16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and all claims arising out of any other laws and regulations relating to employment or employment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discrimination;</w:t>
      </w:r>
    </w:p>
    <w:p>
      <w:pPr>
        <w:spacing w:after="0" w:line="188" w:lineRule="exact"/>
        <w:rPr>
          <w:rFonts w:ascii="Arial" w:cs="Arial" w:eastAsia="Arial" w:hAnsi="Arial"/>
          <w:sz w:val="19"/>
          <w:szCs w:val="19"/>
          <w:color w:val="auto"/>
        </w:rPr>
      </w:pPr>
    </w:p>
    <w:p>
      <w:pPr>
        <w:ind w:right="20" w:firstLine="1304"/>
        <w:spacing w:after="0" w:line="232" w:lineRule="auto"/>
        <w:tabs>
          <w:tab w:leader="none" w:pos="1699"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Employee as a result of this Agreement; and</w:t>
      </w:r>
    </w:p>
    <w:p>
      <w:pPr>
        <w:spacing w:after="0" w:line="185" w:lineRule="exact"/>
        <w:rPr>
          <w:rFonts w:ascii="Arial" w:cs="Arial" w:eastAsia="Arial" w:hAnsi="Arial"/>
          <w:sz w:val="22"/>
          <w:szCs w:val="22"/>
          <w:color w:val="auto"/>
        </w:rPr>
      </w:pPr>
    </w:p>
    <w:p>
      <w:pPr>
        <w:ind w:left="1680" w:hanging="376"/>
        <w:spacing w:after="0"/>
        <w:tabs>
          <w:tab w:leader="none" w:pos="16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Notwithstanding anything herein to the contrary, the general release of claims does not extend to claims by Employee for: (1) the Equity Awards to the extent vested as of the Service Separation Date (taking into account the acceleration of vesting provided for under paragraph 6(c) above); or (2) any right to indemnification by the Company (a) that Employee is entitled to pursuant to California Labor Code §2802, or (b) that Employee is entitled to pursuant to the terms of any written agreement with the Company. Any and all disputed wage claims that are released herein shall be subject to binding arbitration in accordance with this Agreement, except as required by applicable law. This release does not extend to any right Employee may have to unemployment compensation benefits.</w:t>
      </w:r>
    </w:p>
    <w:p>
      <w:pPr>
        <w:spacing w:after="0" w:line="161" w:lineRule="exact"/>
        <w:rPr>
          <w:sz w:val="20"/>
          <w:szCs w:val="20"/>
          <w:color w:val="auto"/>
        </w:rPr>
      </w:pPr>
    </w:p>
    <w:p>
      <w:pPr>
        <w:jc w:val="both"/>
        <w:ind w:firstLine="656"/>
        <w:spacing w:after="0" w:line="244" w:lineRule="auto"/>
        <w:tabs>
          <w:tab w:leader="none" w:pos="1288"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xml:space="preserve"> Employee acknowledges that Employee is waiving and releasing any rights Employee may have under the Age Discrimination in Employment Act of 1967 ("ADEA"), and that this waiver and release is knowing and voluntary. Employee agrees that this waiver and release does not apply to any rights or claims that may arise under the ADEA after the date Employee signs this Agreement. Employee acknowledges that the consideration given for this waiver and release is in addition to anything of value to which Employee was already entitled. </w:t>
      </w:r>
      <w:r>
        <w:rPr>
          <w:rFonts w:ascii="Arial" w:cs="Arial" w:eastAsia="Arial" w:hAnsi="Arial"/>
          <w:sz w:val="19"/>
          <w:szCs w:val="19"/>
          <w:b w:val="1"/>
          <w:bCs w:val="1"/>
          <w:color w:val="auto"/>
        </w:rPr>
        <w:t>Employee further</w:t>
      </w:r>
      <w:r>
        <w:rPr>
          <w:rFonts w:ascii="Arial" w:cs="Arial" w:eastAsia="Arial" w:hAnsi="Arial"/>
          <w:sz w:val="19"/>
          <w:szCs w:val="19"/>
          <w:color w:val="auto"/>
        </w:rPr>
        <w:t xml:space="preserve"> </w:t>
      </w:r>
      <w:r>
        <w:rPr>
          <w:rFonts w:ascii="Arial" w:cs="Arial" w:eastAsia="Arial" w:hAnsi="Arial"/>
          <w:sz w:val="19"/>
          <w:szCs w:val="19"/>
          <w:b w:val="1"/>
          <w:bCs w:val="1"/>
          <w:color w:val="auto"/>
        </w:rPr>
        <w:t>acknowledges that Employee has been advised by this writing that: (a) Employee should consult with an attorney prior to executing this Agreement; (b) Employee has twenty-one (21) days within which to consider this Agreement; (c) Employee has seven (7) days following Employee’s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13" w:lineRule="auto"/>
        <w:rPr>
          <w:sz w:val="20"/>
          <w:szCs w:val="20"/>
          <w:color w:val="auto"/>
        </w:rPr>
      </w:pPr>
      <w:r>
        <w:rPr>
          <w:rFonts w:ascii="Arial" w:cs="Arial" w:eastAsia="Arial" w:hAnsi="Arial"/>
          <w:sz w:val="22"/>
          <w:szCs w:val="22"/>
          <w:b w:val="1"/>
          <w:bCs w:val="1"/>
          <w:color w:val="auto"/>
        </w:rPr>
        <w:t xml:space="preserve">waiver under the ADEA, nor does it impose any condition precedent, penalties, or costs for doing so, unless specifically authorized by federal law. </w:t>
      </w:r>
      <w:r>
        <w:rPr>
          <w:rFonts w:ascii="Arial" w:cs="Arial" w:eastAsia="Arial" w:hAnsi="Arial"/>
          <w:sz w:val="22"/>
          <w:szCs w:val="22"/>
          <w:color w:val="auto"/>
        </w:rPr>
        <w:t>In the event Employee signs this Agreement and returns it to the Company in less than the 21-day</w:t>
      </w:r>
      <w:r>
        <w:rPr>
          <w:rFonts w:ascii="Arial" w:cs="Arial" w:eastAsia="Arial" w:hAnsi="Arial"/>
          <w:sz w:val="22"/>
          <w:szCs w:val="22"/>
          <w:b w:val="1"/>
          <w:bCs w:val="1"/>
          <w:color w:val="auto"/>
        </w:rPr>
        <w:t xml:space="preserve"> </w:t>
      </w:r>
      <w:r>
        <w:rPr>
          <w:rFonts w:ascii="Arial" w:cs="Arial" w:eastAsia="Arial" w:hAnsi="Arial"/>
          <w:sz w:val="22"/>
          <w:szCs w:val="22"/>
          <w:color w:val="auto"/>
        </w:rPr>
        <w:t>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(as defined below). The Parties agree that changes, whether material or immaterial, do not restart the running of the 21-day period.</w:t>
      </w:r>
    </w:p>
    <w:p>
      <w:pPr>
        <w:spacing w:after="0" w:line="162" w:lineRule="exact"/>
        <w:rPr>
          <w:sz w:val="20"/>
          <w:szCs w:val="20"/>
          <w:color w:val="auto"/>
        </w:rPr>
      </w:pPr>
    </w:p>
    <w:p>
      <w:pPr>
        <w:jc w:val="both"/>
        <w:ind w:firstLine="656"/>
        <w:spacing w:after="0" w:line="223" w:lineRule="auto"/>
        <w:tabs>
          <w:tab w:leader="none" w:pos="129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California Civil Code Section 1542</w:t>
      </w:r>
      <w:r>
        <w:rPr>
          <w:rFonts w:ascii="Arial" w:cs="Arial" w:eastAsia="Arial" w:hAnsi="Arial"/>
          <w:sz w:val="22"/>
          <w:szCs w:val="22"/>
          <w:color w:val="auto"/>
        </w:rPr>
        <w:t>. Employee acknowledges that Employee has been advised to consult with legal counsel and is familiar with the provisions of California Civil Code Section 1542, a statute that otherwise prohibits the release of unknown claims, which provides as follows:</w:t>
      </w:r>
    </w:p>
    <w:p>
      <w:pPr>
        <w:spacing w:after="0" w:line="186" w:lineRule="exact"/>
        <w:rPr>
          <w:sz w:val="20"/>
          <w:szCs w:val="20"/>
          <w:color w:val="auto"/>
        </w:rPr>
      </w:pPr>
    </w:p>
    <w:p>
      <w:pPr>
        <w:jc w:val="both"/>
        <w:ind w:left="780" w:right="780"/>
        <w:spacing w:after="0" w:line="229" w:lineRule="auto"/>
        <w:rPr>
          <w:sz w:val="20"/>
          <w:szCs w:val="20"/>
          <w:color w:val="auto"/>
        </w:rPr>
      </w:pPr>
      <w:r>
        <w:rPr>
          <w:rFonts w:ascii="Arial" w:cs="Arial" w:eastAsia="Arial" w:hAnsi="Arial"/>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Employee, being aware of said code section, agrees to expressly waive any rights Employee may have thereunder, as well as under any other statute or common law principles of similar effect.</w:t>
      </w:r>
    </w:p>
    <w:p>
      <w:pPr>
        <w:spacing w:after="0" w:line="159" w:lineRule="exact"/>
        <w:rPr>
          <w:sz w:val="20"/>
          <w:szCs w:val="20"/>
          <w:color w:val="auto"/>
        </w:rPr>
      </w:pPr>
    </w:p>
    <w:p>
      <w:pPr>
        <w:jc w:val="both"/>
        <w:ind w:firstLine="656"/>
        <w:spacing w:after="0" w:line="218"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 Pending or Future Lawsuits</w:t>
      </w:r>
      <w:r>
        <w:rPr>
          <w:rFonts w:ascii="Arial" w:cs="Arial" w:eastAsia="Arial" w:hAnsi="Arial"/>
          <w:sz w:val="22"/>
          <w:szCs w:val="22"/>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2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Rights to Future Employment</w:t>
      </w:r>
      <w:r>
        <w:rPr>
          <w:rFonts w:ascii="Arial" w:cs="Arial" w:eastAsia="Arial" w:hAnsi="Arial"/>
          <w:sz w:val="19"/>
          <w:szCs w:val="19"/>
          <w:color w:val="auto"/>
        </w:rPr>
        <w:t>. Employee understands and agrees that, as a condition of this Agreement, Employee shall not be entitled to any employment with the Company after the Termination Date, and Employee hereby waives any right, or alleged right, of employment or re-employment with the Company after the Termination Date.</w:t>
      </w:r>
    </w:p>
    <w:p>
      <w:pPr>
        <w:spacing w:after="0" w:line="132" w:lineRule="exact"/>
        <w:rPr>
          <w:rFonts w:ascii="Arial" w:cs="Arial" w:eastAsia="Arial" w:hAnsi="Arial"/>
          <w:sz w:val="19"/>
          <w:szCs w:val="19"/>
          <w:color w:val="auto"/>
        </w:rPr>
      </w:pPr>
    </w:p>
    <w:p>
      <w:pPr>
        <w:jc w:val="both"/>
        <w:ind w:firstLine="656"/>
        <w:spacing w:after="0" w:line="216"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Trade Secrets and Confidential Information</w:t>
      </w:r>
      <w:r>
        <w:rPr>
          <w:rFonts w:ascii="Arial" w:cs="Arial" w:eastAsia="Arial" w:hAnsi="Arial"/>
          <w:sz w:val="22"/>
          <w:szCs w:val="22"/>
          <w:color w:val="auto"/>
        </w:rPr>
        <w:t>. Employee acknowledges that, separate from this Agreement, Employee remains under continuing obligations to the Company under the Confidentiality Agreement, including the provisions therein regarding nondisclosure of the Company’s trade secrets and confidential and proprietary information. Employee remains bound by all other continuing obligations under the Confidentiality Agreement, including Employee’s confidentiality obligations thereof.</w:t>
      </w:r>
    </w:p>
    <w:p>
      <w:pPr>
        <w:spacing w:after="0" w:line="157" w:lineRule="exact"/>
        <w:rPr>
          <w:rFonts w:ascii="Arial" w:cs="Arial" w:eastAsia="Arial" w:hAnsi="Arial"/>
          <w:sz w:val="22"/>
          <w:szCs w:val="22"/>
          <w:color w:val="auto"/>
        </w:rPr>
      </w:pPr>
    </w:p>
    <w:p>
      <w:pPr>
        <w:jc w:val="both"/>
        <w:ind w:firstLine="656"/>
        <w:spacing w:after="0" w:line="221" w:lineRule="auto"/>
        <w:tabs>
          <w:tab w:leader="none" w:pos="1296"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Protected Activity Not Prohibited</w:t>
      </w:r>
      <w:r>
        <w:rPr>
          <w:rFonts w:ascii="Arial" w:cs="Arial" w:eastAsia="Arial" w:hAnsi="Arial"/>
          <w:sz w:val="21"/>
          <w:szCs w:val="21"/>
          <w:color w:val="auto"/>
        </w:rPr>
        <w:t>. Employee understands that nothing in this Agreement shall in any way limit or prohibit Employee from engaging in any Protected Activity. Protected Activity refers to: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providing truthful information in response to a subpoena or other legal process. However, Employee understands and agrees that, by entering into this Agreement, Employee is releasing any and all individual claims for relief and is waiving Employee’s right to recover any damages or other equitable or injunctive relief of any claim or suit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brought by or through any federal, state, or local government agency or other party. In addition, Employee understands that in connection with such Protected Activity, Employee is permitted to disclose documents or other information as permitted by law, without giving notice to, or receiving authorization from, the Company</w:t>
      </w:r>
      <w:r>
        <w:rPr>
          <w:rFonts w:ascii="Arial" w:cs="Arial" w:eastAsia="Arial" w:hAnsi="Arial"/>
          <w:sz w:val="17"/>
          <w:szCs w:val="17"/>
          <w:color w:val="0000FF"/>
        </w:rPr>
        <w:t>.</w:t>
      </w:r>
      <w:r>
        <w:rPr>
          <w:rFonts w:ascii="Arial" w:cs="Arial" w:eastAsia="Arial" w:hAnsi="Arial"/>
          <w:sz w:val="19"/>
          <w:szCs w:val="19"/>
          <w:color w:val="auto"/>
        </w:rPr>
        <w:t xml:space="preserve"> Notwithstanding the foregoing, Employee agrees to take all reasonable precautions to prevent any unauthorized use or disclosure of any Company trade secrets, proprietary information, or confidential information that does not involve unlawful acts in the workplace or the activity otherwise protected herein. Employee further understands that Protected Activity does not include the disclosure of any Company attorney-client privileged communications or attorney work product. Any language in the Confidentiality Agreement regarding Employee’s right to engage in Protected Activity that conflicts with, or is contrary to, this section is superseded by this Agreement.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9"/>
          <w:szCs w:val="19"/>
          <w:i w:val="1"/>
          <w:iCs w:val="1"/>
          <w:color w:val="auto"/>
        </w:rPr>
        <w:t>solely</w:t>
      </w:r>
      <w:r>
        <w:rPr>
          <w:rFonts w:ascii="Arial" w:cs="Arial" w:eastAsia="Arial" w:hAnsi="Arial"/>
          <w:sz w:val="19"/>
          <w:szCs w:val="19"/>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381" w:lineRule="exact"/>
        <w:rPr>
          <w:sz w:val="20"/>
          <w:szCs w:val="20"/>
          <w:color w:val="auto"/>
        </w:rPr>
      </w:pPr>
    </w:p>
    <w:p>
      <w:pPr>
        <w:jc w:val="both"/>
        <w:ind w:firstLine="656"/>
        <w:spacing w:after="0" w:line="242"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 Disparagement</w:t>
      </w:r>
      <w:r>
        <w:rPr>
          <w:rFonts w:ascii="Arial" w:cs="Arial" w:eastAsia="Arial" w:hAnsi="Arial"/>
          <w:sz w:val="19"/>
          <w:szCs w:val="19"/>
          <w:color w:val="auto"/>
        </w:rPr>
        <w:t xml:space="preserve">. Employee agrees not to publicly or privately disparage the Company or its products, services, directors, officers, shareholders, employees, vendors, affiliates, successors or assigns with any written, electronic, or oral statement. Nothing in this Section shall prohibit Employee from providing truthful information in response to a subpoena or other legal process provided that Employee has properly notified the Company of such subpoena or other legal process as set forth below. Employee also agrees not to interfere with the Company’s relationships with current or prospective employees, suppliers, customers, investors, or business partners known or disclosed to Employee during the course of Employee’s employment with the Company. Further, except for Protected Activity,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t>
      </w:r>
      <w:r>
        <w:rPr>
          <w:rFonts w:ascii="Arial" w:cs="Arial" w:eastAsia="Arial" w:hAnsi="Arial"/>
          <w:sz w:val="19"/>
          <w:szCs w:val="19"/>
          <w:color w:val="333333"/>
        </w:rPr>
        <w:t>written</w:t>
      </w:r>
      <w:r>
        <w:rPr>
          <w:rFonts w:ascii="Arial" w:cs="Arial" w:eastAsia="Arial" w:hAnsi="Arial"/>
          <w:sz w:val="19"/>
          <w:szCs w:val="19"/>
          <w:color w:val="auto"/>
        </w:rPr>
        <w:t xml:space="preserve"> </w:t>
      </w:r>
      <w:r>
        <w:rPr>
          <w:rFonts w:ascii="Arial" w:cs="Arial" w:eastAsia="Arial" w:hAnsi="Arial"/>
          <w:sz w:val="19"/>
          <w:szCs w:val="19"/>
          <w:color w:val="333333"/>
        </w:rPr>
        <w:t>request from an administrative agency or the legislature or other legal process with respect to which Employee has timely provided notice to the Company as set forth below</w:t>
      </w:r>
      <w:r>
        <w:rPr>
          <w:rFonts w:ascii="Arial" w:cs="Arial" w:eastAsia="Arial" w:hAnsi="Arial"/>
          <w:sz w:val="19"/>
          <w:szCs w:val="19"/>
          <w:color w:val="000000"/>
        </w:rPr>
        <w:t>. If approached by anyone for counsel or assistance in the presentation or</w:t>
      </w:r>
      <w:r>
        <w:rPr>
          <w:rFonts w:ascii="Arial" w:cs="Arial" w:eastAsia="Arial" w:hAnsi="Arial"/>
          <w:sz w:val="19"/>
          <w:szCs w:val="19"/>
          <w:color w:val="333333"/>
        </w:rPr>
        <w:t xml:space="preserve"> </w:t>
      </w:r>
      <w:r>
        <w:rPr>
          <w:rFonts w:ascii="Arial" w:cs="Arial" w:eastAsia="Arial" w:hAnsi="Arial"/>
          <w:sz w:val="19"/>
          <w:szCs w:val="19"/>
          <w:color w:val="000000"/>
        </w:rPr>
        <w:t>prosecution of any disputes, differences, grievances, claims, charges, or complaints against any of the Releasees, Employee shall state no more than that Employee cannot provide counsel or assistance.</w:t>
      </w:r>
    </w:p>
    <w:p>
      <w:pPr>
        <w:spacing w:after="0" w:line="160" w:lineRule="exact"/>
        <w:rPr>
          <w:rFonts w:ascii="Arial" w:cs="Arial" w:eastAsia="Arial" w:hAnsi="Arial"/>
          <w:sz w:val="19"/>
          <w:szCs w:val="19"/>
          <w:color w:val="auto"/>
        </w:rPr>
      </w:pPr>
    </w:p>
    <w:p>
      <w:pPr>
        <w:jc w:val="both"/>
        <w:ind w:firstLine="656"/>
        <w:spacing w:after="0" w:line="214" w:lineRule="auto"/>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Notification of Legal Process</w:t>
      </w:r>
      <w:r>
        <w:rPr>
          <w:rFonts w:ascii="Arial" w:cs="Arial" w:eastAsia="Arial" w:hAnsi="Arial"/>
          <w:sz w:val="22"/>
          <w:szCs w:val="22"/>
          <w:color w:val="auto"/>
        </w:rPr>
        <w:t xml:space="preserve">. If Employee receives a subpoena or court order or </w:t>
      </w:r>
      <w:r>
        <w:rPr>
          <w:rFonts w:ascii="Arial" w:cs="Arial" w:eastAsia="Arial" w:hAnsi="Arial"/>
          <w:sz w:val="22"/>
          <w:szCs w:val="22"/>
          <w:color w:val="333333"/>
        </w:rPr>
        <w:t>written request from an</w:t>
      </w:r>
      <w:r>
        <w:rPr>
          <w:rFonts w:ascii="Arial" w:cs="Arial" w:eastAsia="Arial" w:hAnsi="Arial"/>
          <w:sz w:val="22"/>
          <w:szCs w:val="22"/>
          <w:color w:val="auto"/>
        </w:rPr>
        <w:t xml:space="preserve"> </w:t>
      </w:r>
      <w:r>
        <w:rPr>
          <w:rFonts w:ascii="Arial" w:cs="Arial" w:eastAsia="Arial" w:hAnsi="Arial"/>
          <w:sz w:val="22"/>
          <w:szCs w:val="22"/>
          <w:color w:val="333333"/>
        </w:rPr>
        <w:t xml:space="preserve">administrative agency or the legislature </w:t>
      </w:r>
      <w:r>
        <w:rPr>
          <w:rFonts w:ascii="Arial" w:cs="Arial" w:eastAsia="Arial" w:hAnsi="Arial"/>
          <w:sz w:val="22"/>
          <w:szCs w:val="22"/>
          <w:color w:val="000000"/>
        </w:rPr>
        <w:t>or other legal process relating to Employee’s employment with the Company (including</w:t>
      </w:r>
      <w:r>
        <w:rPr>
          <w:rFonts w:ascii="Arial" w:cs="Arial" w:eastAsia="Arial" w:hAnsi="Arial"/>
          <w:sz w:val="22"/>
          <w:szCs w:val="22"/>
          <w:color w:val="333333"/>
        </w:rPr>
        <w:t xml:space="preserve"> </w:t>
      </w:r>
      <w:r>
        <w:rPr>
          <w:rFonts w:ascii="Arial" w:cs="Arial" w:eastAsia="Arial" w:hAnsi="Arial"/>
          <w:sz w:val="22"/>
          <w:szCs w:val="22"/>
          <w:color w:val="000000"/>
        </w:rPr>
        <w:t xml:space="preserve">Employee’s separation from the Company) or the services provided by Employee during the Advising Period, Employee agrees both to immediately notify the Company upon receipt of any such subpoena or court order or </w:t>
      </w:r>
      <w:r>
        <w:rPr>
          <w:rFonts w:ascii="Arial" w:cs="Arial" w:eastAsia="Arial" w:hAnsi="Arial"/>
          <w:sz w:val="22"/>
          <w:szCs w:val="22"/>
          <w:color w:val="333333"/>
        </w:rPr>
        <w:t>written request</w:t>
      </w:r>
      <w:r>
        <w:rPr>
          <w:rFonts w:ascii="Arial" w:cs="Arial" w:eastAsia="Arial" w:hAnsi="Arial"/>
          <w:sz w:val="22"/>
          <w:szCs w:val="22"/>
          <w:color w:val="000000"/>
        </w:rPr>
        <w:t xml:space="preserve">, and to furnish, within three (3) business days of its receipt, a copy of such subpoena or other court order or </w:t>
      </w:r>
      <w:r>
        <w:rPr>
          <w:rFonts w:ascii="Arial" w:cs="Arial" w:eastAsia="Arial" w:hAnsi="Arial"/>
          <w:sz w:val="22"/>
          <w:szCs w:val="22"/>
          <w:color w:val="333333"/>
        </w:rPr>
        <w:t>written request or other legal process</w:t>
      </w:r>
      <w:r>
        <w:rPr>
          <w:rFonts w:ascii="Arial" w:cs="Arial" w:eastAsia="Arial" w:hAnsi="Arial"/>
          <w:sz w:val="22"/>
          <w:szCs w:val="22"/>
          <w:color w:val="000000"/>
        </w:rPr>
        <w:t xml:space="preserve"> to:</w:t>
      </w:r>
    </w:p>
    <w:p>
      <w:pPr>
        <w:spacing w:after="0" w:line="167"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Affirm, Inc.</w:t>
      </w:r>
    </w:p>
    <w:p>
      <w:pPr>
        <w:ind w:left="1640"/>
        <w:spacing w:after="0" w:line="204" w:lineRule="auto"/>
        <w:rPr>
          <w:sz w:val="20"/>
          <w:szCs w:val="20"/>
          <w:color w:val="auto"/>
        </w:rPr>
      </w:pPr>
      <w:r>
        <w:rPr>
          <w:rFonts w:ascii="Arial" w:cs="Arial" w:eastAsia="Arial" w:hAnsi="Arial"/>
          <w:sz w:val="22"/>
          <w:szCs w:val="22"/>
          <w:color w:val="auto"/>
        </w:rPr>
        <w:t>Attention: Chief Legal Officer</w:t>
      </w:r>
    </w:p>
    <w:p>
      <w:pPr>
        <w:ind w:left="1640"/>
        <w:spacing w:after="0" w:line="205" w:lineRule="auto"/>
        <w:rPr>
          <w:sz w:val="20"/>
          <w:szCs w:val="20"/>
          <w:color w:val="auto"/>
        </w:rPr>
      </w:pPr>
      <w:r>
        <w:rPr>
          <w:rFonts w:ascii="Arial" w:cs="Arial" w:eastAsia="Arial" w:hAnsi="Arial"/>
          <w:sz w:val="22"/>
          <w:szCs w:val="22"/>
          <w:color w:val="auto"/>
        </w:rPr>
        <w:t>650 California Street, 12th Floor</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San Francisco, CA 94108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56"/>
        <w:spacing w:after="0" w:line="247" w:lineRule="auto"/>
        <w:tabs>
          <w:tab w:leader="none" w:pos="12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Employee agrees that, without additional compensation (other than reimbursement for reasonable out-of-pocket expenses), Employee will reasonably cooperate with and assist the Company (a) to transition Employee's job duties on an as-needed basis by responding to reasonable requests for information and answering questions, and (b) with any investigation, lawsuit, mediation, arbitration, or other proceeding to which the Company is subjected. Employee will make himself or herself available for preparation for, and attendance of, hearings, proceedings, mediations, arbitration or trial, including pre-trial or pre-arbitration discovery and trial, mediation or arbitration preparation. Employee further agrees to perform all reasonable acts and execute any documents that may be necessary to carry out the provisions of this paragraph.</w:t>
      </w:r>
    </w:p>
    <w:p>
      <w:pPr>
        <w:spacing w:after="0" w:line="153" w:lineRule="exact"/>
        <w:rPr>
          <w:rFonts w:ascii="Arial" w:cs="Arial" w:eastAsia="Arial" w:hAnsi="Arial"/>
          <w:sz w:val="19"/>
          <w:szCs w:val="19"/>
          <w:color w:val="auto"/>
        </w:rPr>
      </w:pPr>
    </w:p>
    <w:p>
      <w:pPr>
        <w:jc w:val="both"/>
        <w:ind w:firstLine="656"/>
        <w:spacing w:after="0" w:line="218"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Breach</w:t>
      </w:r>
      <w:r>
        <w:rPr>
          <w:rFonts w:ascii="Arial" w:cs="Arial" w:eastAsia="Arial" w:hAnsi="Arial"/>
          <w:sz w:val="22"/>
          <w:szCs w:val="22"/>
          <w:color w:val="auto"/>
        </w:rPr>
        <w:t>. In addition to the rights provided in the “Attorneys’ Fees” section below, Employee acknowledges and agrees that any material breach of this Agreement, or of any provision of the Confidentiality Agreement shall entitle the Company immediately to recover and/or cease providing the consideration provided to Employee under this Agreement and to obtain damages.</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2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No Admission of Liability</w:t>
      </w:r>
      <w:r>
        <w:rPr>
          <w:rFonts w:ascii="Arial" w:cs="Arial" w:eastAsia="Arial" w:hAnsi="Arial"/>
          <w:sz w:val="19"/>
          <w:szCs w:val="19"/>
          <w:color w:val="auto"/>
        </w:rPr>
        <w: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32" w:lineRule="exact"/>
        <w:rPr>
          <w:rFonts w:ascii="Arial" w:cs="Arial" w:eastAsia="Arial" w:hAnsi="Arial"/>
          <w:sz w:val="19"/>
          <w:szCs w:val="19"/>
          <w:color w:val="auto"/>
        </w:rPr>
      </w:pPr>
    </w:p>
    <w:p>
      <w:pPr>
        <w:ind w:firstLine="656"/>
        <w:spacing w:after="0" w:line="232"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The Parties shall each bear their own costs, attorneys’ fees, and other fees incurred in connection with the preparation of this Agreement.</w:t>
      </w:r>
    </w:p>
    <w:p>
      <w:pPr>
        <w:spacing w:after="0" w:line="158" w:lineRule="exact"/>
        <w:rPr>
          <w:rFonts w:ascii="Arial" w:cs="Arial" w:eastAsia="Arial" w:hAnsi="Arial"/>
          <w:sz w:val="22"/>
          <w:szCs w:val="22"/>
          <w:color w:val="auto"/>
        </w:rPr>
      </w:pPr>
    </w:p>
    <w:p>
      <w:pPr>
        <w:jc w:val="both"/>
        <w:ind w:firstLine="656"/>
        <w:spacing w:after="0" w:line="217" w:lineRule="auto"/>
        <w:tabs>
          <w:tab w:leader="none" w:pos="129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EXCEPT AS PROHIBITED BY LAW, THE PARTIES AGREE THAT ANY AND ALL DISPUTES ARISING OUT OF THE TERMS OF THIS AGREEMENT OR THE SUPPLEMENTAL RELEASE, THEIR INTERPRETATION, EMPLOYEE’S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 PROCEEDING ONLY IN EMPLOYEE’S INDIVIDUAL CAPACITY. ANY ARBITRATION WILL OCCUR IN MARIN COUNTY, CALIFORNIA,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ENFORCE THE ARBITRATION AWARD. THE COMPANY SHALL PAY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INCLUDING, BUT NOT LIMITED TO THE ARBITRATION AGREEMENT, THE PARTIES AGREE THAT THIS ARBITRATION AGREEMENT IN THIS SECTION SHALL GOVERN.</w:t>
      </w:r>
    </w:p>
    <w:p>
      <w:pPr>
        <w:spacing w:after="0" w:line="164" w:lineRule="exact"/>
        <w:rPr>
          <w:sz w:val="20"/>
          <w:szCs w:val="20"/>
          <w:color w:val="auto"/>
        </w:rPr>
      </w:pPr>
    </w:p>
    <w:p>
      <w:pPr>
        <w:jc w:val="both"/>
        <w:ind w:firstLine="656"/>
        <w:spacing w:after="0" w:line="244"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 The Parties agree and acknowledge that the payments made pursuant to this Agreement are not related to sexual harassment or sexual abuse and not intended to fall within the scope of 26 U.S.C. Section 162(q).</w:t>
      </w:r>
    </w:p>
    <w:p>
      <w:pPr>
        <w:spacing w:after="0" w:line="154"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Payments under Section 1 of this Agreement will be made no later than March 15, 2023.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reimburse Employee for any taxes that may be imposed on Employee as a result of Section 409A.</w:t>
      </w:r>
    </w:p>
    <w:p>
      <w:pPr>
        <w:spacing w:after="0" w:line="158" w:lineRule="exact"/>
        <w:rPr>
          <w:rFonts w:ascii="Arial" w:cs="Arial" w:eastAsia="Arial" w:hAnsi="Arial"/>
          <w:sz w:val="21"/>
          <w:szCs w:val="21"/>
          <w:color w:val="auto"/>
        </w:rPr>
      </w:pPr>
    </w:p>
    <w:p>
      <w:pPr>
        <w:jc w:val="both"/>
        <w:ind w:firstLine="656"/>
        <w:spacing w:after="0" w:line="214"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58" w:lineRule="exact"/>
        <w:rPr>
          <w:rFonts w:ascii="Arial" w:cs="Arial" w:eastAsia="Arial" w:hAnsi="Arial"/>
          <w:sz w:val="22"/>
          <w:szCs w:val="22"/>
          <w:color w:val="auto"/>
        </w:rPr>
      </w:pPr>
    </w:p>
    <w:p>
      <w:pPr>
        <w:ind w:firstLine="656"/>
        <w:spacing w:after="0" w:line="232"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in this Agreement, this Agreement, and the rights and obligations of the parties hereunder, will be binding upon and inure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to the benefit of their respective successors, assigns, heirs, executors, administrators and legal representatives. The Company may assign any of its rights and obligations under this Agreement. The Employee shall not assign, whether voluntarily or by operation of law, any of its rights and obligations under this Agreement, except with the prior written consent of the Company.</w:t>
      </w:r>
    </w:p>
    <w:p>
      <w:pPr>
        <w:spacing w:after="0" w:line="132" w:lineRule="exact"/>
        <w:rPr>
          <w:sz w:val="20"/>
          <w:szCs w:val="20"/>
          <w:color w:val="auto"/>
        </w:rPr>
      </w:pPr>
    </w:p>
    <w:p>
      <w:pPr>
        <w:jc w:val="both"/>
        <w:ind w:firstLine="656"/>
        <w:spacing w:after="0" w:line="268"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The Parties acknowledge and agree that each of the Releasees, including, but not limited to, Parent and each of its Affiliates, is an intended third-party beneficiary of this Agreement and has the right to enforce and benefit from any legal or equitable right, benefit, or remedy of any nature whatsoever under or by reason of this Agreement.</w:t>
      </w:r>
    </w:p>
    <w:p>
      <w:pPr>
        <w:spacing w:after="0" w:line="132" w:lineRule="exact"/>
        <w:rPr>
          <w:rFonts w:ascii="Arial" w:cs="Arial" w:eastAsia="Arial" w:hAnsi="Arial"/>
          <w:sz w:val="19"/>
          <w:szCs w:val="19"/>
          <w:color w:val="auto"/>
        </w:rPr>
      </w:pPr>
    </w:p>
    <w:p>
      <w:pPr>
        <w:jc w:val="both"/>
        <w:ind w:firstLine="656"/>
        <w:spacing w:after="0" w:line="234" w:lineRule="auto"/>
        <w:tabs>
          <w:tab w:leader="none" w:pos="129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57" w:lineRule="exact"/>
        <w:rPr>
          <w:rFonts w:ascii="Arial" w:cs="Arial" w:eastAsia="Arial" w:hAnsi="Arial"/>
          <w:sz w:val="21"/>
          <w:szCs w:val="21"/>
          <w:color w:val="auto"/>
        </w:rPr>
      </w:pPr>
    </w:p>
    <w:p>
      <w:pPr>
        <w:jc w:val="both"/>
        <w:ind w:firstLine="656"/>
        <w:spacing w:after="0" w:line="234" w:lineRule="auto"/>
        <w:tabs>
          <w:tab w:leader="none" w:pos="129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57" w:lineRule="exact"/>
        <w:rPr>
          <w:rFonts w:ascii="Arial" w:cs="Arial" w:eastAsia="Arial" w:hAnsi="Arial"/>
          <w:sz w:val="21"/>
          <w:szCs w:val="21"/>
          <w:color w:val="auto"/>
        </w:rPr>
      </w:pPr>
    </w:p>
    <w:p>
      <w:pPr>
        <w:jc w:val="both"/>
        <w:ind w:firstLine="656"/>
        <w:spacing w:after="0" w:line="252"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the Confidentiality Agreement, the Arbitration Agreement, and the Equity Agreements.</w:t>
      </w:r>
    </w:p>
    <w:p>
      <w:pPr>
        <w:spacing w:after="0" w:line="148" w:lineRule="exact"/>
        <w:rPr>
          <w:rFonts w:ascii="Arial" w:cs="Arial" w:eastAsia="Arial" w:hAnsi="Arial"/>
          <w:sz w:val="19"/>
          <w:szCs w:val="19"/>
          <w:color w:val="auto"/>
        </w:rPr>
      </w:pPr>
    </w:p>
    <w:p>
      <w:pPr>
        <w:ind w:firstLine="656"/>
        <w:spacing w:after="0" w:line="232"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Employee and the Company’s Chief Executive Officer.</w:t>
      </w:r>
    </w:p>
    <w:p>
      <w:pPr>
        <w:spacing w:after="0" w:line="158" w:lineRule="exact"/>
        <w:rPr>
          <w:rFonts w:ascii="Arial" w:cs="Arial" w:eastAsia="Arial" w:hAnsi="Arial"/>
          <w:sz w:val="22"/>
          <w:szCs w:val="22"/>
          <w:color w:val="auto"/>
        </w:rPr>
      </w:pPr>
    </w:p>
    <w:p>
      <w:pPr>
        <w:ind w:firstLine="656"/>
        <w:spacing w:after="0" w:line="232"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the laws of the State of California, without regard for choice-of-law provisions.</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Employee understands that this Agreement shall be null and void if not executed by Employee within twenty-one (21) days. Employee has seven (7) days after signing this Agreement to revoke it. This Agreement will become effective on the eighth (8th) day after Employee signed this Agreement, so long as it has been signed by the Parties and has not been revoked by either Party before that date (the “Effective Date”).</w:t>
      </w:r>
    </w:p>
    <w:p>
      <w:pPr>
        <w:spacing w:after="0" w:line="160" w:lineRule="exact"/>
        <w:rPr>
          <w:rFonts w:ascii="Arial" w:cs="Arial" w:eastAsia="Arial" w:hAnsi="Arial"/>
          <w:sz w:val="22"/>
          <w:szCs w:val="22"/>
          <w:color w:val="auto"/>
        </w:rPr>
      </w:pPr>
    </w:p>
    <w:p>
      <w:pPr>
        <w:jc w:val="both"/>
        <w:ind w:firstLine="656"/>
        <w:spacing w:after="0" w:line="229" w:lineRule="auto"/>
        <w:tabs>
          <w:tab w:leader="none" w:pos="129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158" w:lineRule="exact"/>
        <w:rPr>
          <w:rFonts w:ascii="Arial" w:cs="Arial" w:eastAsia="Arial" w:hAnsi="Arial"/>
          <w:sz w:val="21"/>
          <w:szCs w:val="21"/>
          <w:color w:val="auto"/>
        </w:rPr>
      </w:pPr>
    </w:p>
    <w:p>
      <w:pPr>
        <w:jc w:val="both"/>
        <w:ind w:firstLine="656"/>
        <w:spacing w:after="0" w:line="268"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w:t>
      </w:r>
    </w:p>
    <w:p>
      <w:pPr>
        <w:spacing w:after="0" w:line="159" w:lineRule="exact"/>
        <w:rPr>
          <w:rFonts w:ascii="Arial" w:cs="Arial" w:eastAsia="Arial" w:hAnsi="Arial"/>
          <w:sz w:val="19"/>
          <w:szCs w:val="19"/>
          <w:color w:val="auto"/>
        </w:rPr>
      </w:pPr>
    </w:p>
    <w:p>
      <w:pPr>
        <w:ind w:left="1760" w:hanging="456"/>
        <w:spacing w:after="0"/>
        <w:tabs>
          <w:tab w:leader="none" w:pos="17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Employee has read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261" w:lineRule="exact"/>
        <w:rPr>
          <w:sz w:val="20"/>
          <w:szCs w:val="20"/>
          <w:color w:val="auto"/>
        </w:rPr>
      </w:pPr>
    </w:p>
    <w:p>
      <w:pPr>
        <w:jc w:val="both"/>
        <w:ind w:left="-20" w:firstLine="1304"/>
        <w:spacing w:after="0" w:line="223" w:lineRule="auto"/>
        <w:tabs>
          <w:tab w:leader="none" w:pos="1855" w:val="left"/>
        </w:tabs>
        <w:numPr>
          <w:ilvl w:val="0"/>
          <w:numId w:val="66"/>
        </w:numPr>
        <w:rPr>
          <w:rFonts w:ascii="Arial" w:cs="Arial" w:eastAsia="Arial" w:hAnsi="Arial"/>
          <w:sz w:val="22"/>
          <w:szCs w:val="22"/>
          <w:color w:val="auto"/>
        </w:rPr>
      </w:pPr>
      <w:r>
        <w:rPr>
          <w:rFonts w:ascii="Arial" w:cs="Arial" w:eastAsia="Arial" w:hAnsi="Arial"/>
          <w:sz w:val="22"/>
          <w:szCs w:val="22"/>
          <w:color w:val="auto"/>
        </w:rPr>
        <w:t>Employee has a right to consult with counsel regarding this Agreement and has been represented in the preparation, negotiation, and execution of this Agreement by legal counsel of Employee’s own choice or has elected not to retain legal counsel;</w:t>
      </w:r>
    </w:p>
    <w:p>
      <w:pPr>
        <w:spacing w:after="0" w:line="185" w:lineRule="exact"/>
        <w:rPr>
          <w:rFonts w:ascii="Arial" w:cs="Arial" w:eastAsia="Arial" w:hAnsi="Arial"/>
          <w:sz w:val="22"/>
          <w:szCs w:val="22"/>
          <w:color w:val="auto"/>
        </w:rPr>
      </w:pPr>
    </w:p>
    <w:p>
      <w:pPr>
        <w:ind w:left="1740" w:hanging="456"/>
        <w:spacing w:after="0"/>
        <w:tabs>
          <w:tab w:leader="none" w:pos="17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Employee understands the terms and consequences of this Agreement and of the releases it contains;</w:t>
      </w:r>
    </w:p>
    <w:p>
      <w:pPr>
        <w:spacing w:after="0" w:line="240" w:lineRule="exact"/>
        <w:rPr>
          <w:rFonts w:ascii="Arial" w:cs="Arial" w:eastAsia="Arial" w:hAnsi="Arial"/>
          <w:sz w:val="19"/>
          <w:szCs w:val="19"/>
          <w:color w:val="auto"/>
        </w:rPr>
      </w:pPr>
    </w:p>
    <w:p>
      <w:pPr>
        <w:ind w:left="1760" w:hanging="476"/>
        <w:spacing w:after="0"/>
        <w:tabs>
          <w:tab w:leader="none" w:pos="1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Employee is fully aware of the legal and binding effect of this Agreement; and</w:t>
      </w:r>
    </w:p>
    <w:p>
      <w:pPr>
        <w:spacing w:after="0" w:line="206" w:lineRule="exact"/>
        <w:rPr>
          <w:rFonts w:ascii="Arial" w:cs="Arial" w:eastAsia="Arial" w:hAnsi="Arial"/>
          <w:sz w:val="22"/>
          <w:szCs w:val="22"/>
          <w:color w:val="auto"/>
        </w:rPr>
      </w:pPr>
    </w:p>
    <w:p>
      <w:pPr>
        <w:ind w:left="-20" w:firstLine="1304"/>
        <w:spacing w:after="0" w:line="232" w:lineRule="auto"/>
        <w:tabs>
          <w:tab w:leader="none" w:pos="1928" w:val="left"/>
        </w:tabs>
        <w:numPr>
          <w:ilvl w:val="0"/>
          <w:numId w:val="66"/>
        </w:numPr>
        <w:rPr>
          <w:rFonts w:ascii="Arial" w:cs="Arial" w:eastAsia="Arial" w:hAnsi="Arial"/>
          <w:sz w:val="22"/>
          <w:szCs w:val="22"/>
          <w:color w:val="auto"/>
        </w:rPr>
      </w:pPr>
      <w:r>
        <w:rPr>
          <w:rFonts w:ascii="Arial" w:cs="Arial" w:eastAsia="Arial" w:hAnsi="Arial"/>
          <w:sz w:val="22"/>
          <w:szCs w:val="22"/>
          <w:color w:val="auto"/>
        </w:rPr>
        <w:t>Employee has not relied upon any representations or statements made by the Company that are not specifically set forth in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40" w:top="1440" w:right="359" w:bottom="1440" w:gutter="0" w:footer="0" w:header="0"/>
        </w:sectPr>
      </w:pPr>
    </w:p>
    <w:bookmarkStart w:id="181" w:name="page182"/>
    <w:bookmarkEnd w:id="181"/>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SILVIJA MARTINCEVIC, AN INDIVIDUAL</w:t>
      </w:r>
    </w:p>
    <w:p>
      <w:pPr>
        <w:spacing w:after="0" w:line="200" w:lineRule="exact"/>
        <w:rPr>
          <w:sz w:val="20"/>
          <w:szCs w:val="20"/>
          <w:color w:val="auto"/>
        </w:rPr>
      </w:pPr>
    </w:p>
    <w:p>
      <w:pPr>
        <w:spacing w:after="0" w:line="20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Dated: June 6, 2022</w:t>
      </w:r>
      <w:r>
        <w:rPr>
          <w:sz w:val="20"/>
          <w:szCs w:val="20"/>
          <w:color w:val="auto"/>
        </w:rPr>
        <w:tab/>
      </w:r>
      <w:r>
        <w:rPr>
          <w:rFonts w:ascii="Arial" w:cs="Arial" w:eastAsia="Arial" w:hAnsi="Arial"/>
          <w:sz w:val="19"/>
          <w:szCs w:val="19"/>
          <w:color w:val="auto"/>
        </w:rPr>
        <w:t>/s/ Silvija Martincevic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-5715</wp:posOffset>
            </wp:positionV>
            <wp:extent cx="13563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Silvija Martincevic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AFFIRM, INC.</w:t>
      </w:r>
    </w:p>
    <w:p>
      <w:pPr>
        <w:spacing w:after="0" w:line="200" w:lineRule="exact"/>
        <w:rPr>
          <w:sz w:val="20"/>
          <w:szCs w:val="20"/>
          <w:color w:val="auto"/>
        </w:rPr>
      </w:pPr>
    </w:p>
    <w:p>
      <w:pPr>
        <w:spacing w:after="0" w:line="20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Dated: June 6, 2022</w:t>
      </w:r>
      <w:r>
        <w:rPr>
          <w:sz w:val="20"/>
          <w:szCs w:val="20"/>
          <w:color w:val="auto"/>
        </w:rPr>
        <w:tab/>
      </w:r>
      <w:r>
        <w:rPr>
          <w:rFonts w:ascii="Arial" w:cs="Arial" w:eastAsia="Arial" w:hAnsi="Arial"/>
          <w:sz w:val="19"/>
          <w:szCs w:val="19"/>
          <w:color w:val="auto"/>
        </w:rPr>
        <w:t>By /s/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-5715</wp:posOffset>
            </wp:positionV>
            <wp:extent cx="1036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Max Levchin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39"/>
          </w:cols>
          <w:pgMar w:left="320" w:top="1440" w:right="1440" w:bottom="1440" w:gutter="0" w:footer="0" w:header="0"/>
        </w:sectPr>
      </w:pPr>
    </w:p>
    <w:bookmarkStart w:id="182" w:name="page183"/>
    <w:bookmarkEnd w:id="182"/>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b w:val="1"/>
          <w:bCs w:val="1"/>
          <w:u w:val="single" w:color="auto"/>
          <w:color w:val="auto"/>
        </w:rPr>
        <w:t>EXHIBIT A OF TRANSITION AGREEMENT</w:t>
      </w:r>
    </w:p>
    <w:p>
      <w:pPr>
        <w:sectPr>
          <w:pgSz w:w="11900" w:h="16838" w:orient="portrait"/>
          <w:cols w:equalWidth="0" w:num="1">
            <w:col w:w="9019"/>
          </w:cols>
          <w:pgMar w:left="1440" w:top="1440" w:right="1440" w:bottom="1440" w:gutter="0" w:footer="0" w:header="0"/>
        </w:sectPr>
      </w:pPr>
    </w:p>
    <w:p>
      <w:pPr>
        <w:spacing w:after="0" w:line="206" w:lineRule="exact"/>
        <w:rPr>
          <w:sz w:val="20"/>
          <w:szCs w:val="20"/>
          <w:color w:val="auto"/>
        </w:rPr>
      </w:pPr>
    </w:p>
    <w:p>
      <w:pPr>
        <w:ind w:left="1320"/>
        <w:spacing w:after="0"/>
        <w:rPr>
          <w:sz w:val="20"/>
          <w:szCs w:val="20"/>
          <w:color w:val="auto"/>
        </w:rPr>
      </w:pPr>
      <w:r>
        <w:rPr>
          <w:rFonts w:ascii="Arial" w:cs="Arial" w:eastAsia="Arial" w:hAnsi="Arial"/>
          <w:sz w:val="21"/>
          <w:szCs w:val="21"/>
          <w:b w:val="1"/>
          <w:bCs w:val="1"/>
          <w:color w:val="auto"/>
        </w:rPr>
        <w:t>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318135</wp:posOffset>
            </wp:positionV>
            <wp:extent cx="5511800" cy="63265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5511800" cy="63265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440" w:right="1440" w:bottom="1440" w:gutter="0" w:footer="0" w:header="0"/>
          <w:type w:val="continuous"/>
        </w:sectPr>
      </w:pPr>
    </w:p>
    <w:bookmarkStart w:id="183" w:name="page184"/>
    <w:bookmarkEnd w:id="183"/>
    <w:p>
      <w:pPr>
        <w:spacing w:after="0" w:line="200" w:lineRule="exact"/>
        <w:rPr>
          <w:sz w:val="20"/>
          <w:szCs w:val="20"/>
          <w:color w:val="auto"/>
        </w:rPr>
      </w:pPr>
    </w:p>
    <w:p>
      <w:pPr>
        <w:spacing w:after="0" w:line="255" w:lineRule="exact"/>
        <w:rPr>
          <w:sz w:val="20"/>
          <w:szCs w:val="20"/>
          <w:color w:val="auto"/>
        </w:rPr>
      </w:pPr>
    </w:p>
    <w:p>
      <w:pPr>
        <w:jc w:val="center"/>
        <w:ind w:right="4540"/>
        <w:spacing w:after="0"/>
        <w:rPr>
          <w:sz w:val="20"/>
          <w:szCs w:val="20"/>
          <w:color w:val="auto"/>
        </w:rPr>
      </w:pPr>
      <w:r>
        <w:rPr>
          <w:rFonts w:ascii="Arial" w:cs="Arial" w:eastAsia="Arial" w:hAnsi="Arial"/>
          <w:sz w:val="22"/>
          <w:szCs w:val="22"/>
          <w:b w:val="1"/>
          <w:bCs w:val="1"/>
          <w:u w:val="single" w:color="auto"/>
          <w:color w:val="auto"/>
        </w:rPr>
        <w:t>EXHIBIT B OF TRANSITION AGREEMENT</w:t>
      </w:r>
    </w:p>
    <w:p>
      <w:pPr>
        <w:spacing w:after="0" w:line="206" w:lineRule="exact"/>
        <w:rPr>
          <w:sz w:val="20"/>
          <w:szCs w:val="20"/>
          <w:color w:val="auto"/>
        </w:rPr>
      </w:pPr>
    </w:p>
    <w:p>
      <w:pPr>
        <w:jc w:val="center"/>
        <w:ind w:right="4540"/>
        <w:spacing w:after="0"/>
        <w:rPr>
          <w:sz w:val="20"/>
          <w:szCs w:val="20"/>
          <w:color w:val="auto"/>
        </w:rPr>
      </w:pPr>
      <w:r>
        <w:rPr>
          <w:rFonts w:ascii="Arial" w:cs="Arial" w:eastAsia="Arial" w:hAnsi="Arial"/>
          <w:sz w:val="22"/>
          <w:szCs w:val="22"/>
          <w:b w:val="1"/>
          <w:bCs w:val="1"/>
          <w:color w:val="auto"/>
        </w:rPr>
        <w:t>SUPPLEMENTAL RELEASE</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Supplemental Release (the “Supplemental Release”) is made by and between Silvija Martincevic (“Advisor”) and Affirm, Inc. (the “Company”) (collectively referred to as the “Parties” or individually referred to as a “Party”). Terms not defined herein have the meaning ascribed to them in the Transition Agreement (as defined below).</w:t>
      </w:r>
    </w:p>
    <w:p>
      <w:pPr>
        <w:spacing w:after="0" w:line="185" w:lineRule="exact"/>
        <w:rPr>
          <w:sz w:val="20"/>
          <w:szCs w:val="20"/>
          <w:color w:val="auto"/>
        </w:rPr>
      </w:pPr>
    </w:p>
    <w:p>
      <w:pPr>
        <w:jc w:val="both"/>
        <w:ind w:firstLine="656"/>
        <w:spacing w:after="0" w:line="216"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 In consideration for the Company’s payment of the Separation Consideration set forth in Section 6 of the Transition Agreement and Release signed between Advisor and the Company in or around [Insert Date] (the “Transition Agreement”), Advisor hereby extends Advisor’s release and waiver of claims to any claims that have arisen between the Effective Date (as such term is defined in the Transition Agreement) and the Supplemental Release Effective Date, as defined below.</w:t>
      </w:r>
    </w:p>
    <w:p>
      <w:pPr>
        <w:spacing w:after="0" w:line="184"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Incorporation of Terms of Release Agreement</w:t>
      </w:r>
      <w:r>
        <w:rPr>
          <w:rFonts w:ascii="Arial" w:cs="Arial" w:eastAsia="Arial" w:hAnsi="Arial"/>
          <w:sz w:val="22"/>
          <w:szCs w:val="22"/>
          <w:color w:val="auto"/>
        </w:rPr>
        <w:t>. The Parties further acknowledge that the terms of the Transition Agreement shall apply to this Supplemental Release and are incorporated herein to the extent that they are not inconsistent with the express terms of this Supplemental Release.</w:t>
      </w:r>
    </w:p>
    <w:p>
      <w:pPr>
        <w:spacing w:after="0" w:line="185" w:lineRule="exact"/>
        <w:rPr>
          <w:rFonts w:ascii="Arial" w:cs="Arial" w:eastAsia="Arial" w:hAnsi="Arial"/>
          <w:sz w:val="22"/>
          <w:szCs w:val="22"/>
          <w:color w:val="auto"/>
        </w:rPr>
      </w:pPr>
    </w:p>
    <w:p>
      <w:pPr>
        <w:jc w:val="both"/>
        <w:ind w:firstLine="656"/>
        <w:spacing w:after="0" w:line="241"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xml:space="preserve">. Advisor acknowledges that Advisor is waiving and releasing any rights Advisor may have under the Age Discrimination in Employment Act of 1967 (“ADEA”), and that this waiver and release is knowing and voluntary. Advisor agrees that this waiver and release does not apply to any rights or claims that may arise under the ADEA after the Supplemental Release Effective Date. Advisor acknowledges that the consideration given for this waiver and release is in addition to anything of value to which Advisor was already entitled. </w:t>
      </w:r>
      <w:r>
        <w:rPr>
          <w:rFonts w:ascii="Arial" w:cs="Arial" w:eastAsia="Arial" w:hAnsi="Arial"/>
          <w:sz w:val="19"/>
          <w:szCs w:val="19"/>
          <w:b w:val="1"/>
          <w:bCs w:val="1"/>
          <w:color w:val="auto"/>
        </w:rPr>
        <w:t>Advisor further acknowledges that</w:t>
      </w:r>
    </w:p>
    <w:p>
      <w:pPr>
        <w:spacing w:after="0" w:line="1" w:lineRule="exact"/>
        <w:rPr>
          <w:rFonts w:ascii="Arial" w:cs="Arial" w:eastAsia="Arial" w:hAnsi="Arial"/>
          <w:sz w:val="19"/>
          <w:szCs w:val="19"/>
          <w:color w:val="auto"/>
        </w:rPr>
      </w:pPr>
    </w:p>
    <w:p>
      <w:pPr>
        <w:jc w:val="both"/>
        <w:spacing w:after="0" w:line="218" w:lineRule="auto"/>
        <w:rPr>
          <w:rFonts w:ascii="Arial" w:cs="Arial" w:eastAsia="Arial" w:hAnsi="Arial"/>
          <w:sz w:val="19"/>
          <w:szCs w:val="19"/>
          <w:color w:val="auto"/>
        </w:rPr>
      </w:pPr>
      <w:r>
        <w:rPr>
          <w:rFonts w:ascii="Arial" w:cs="Arial" w:eastAsia="Arial" w:hAnsi="Arial"/>
          <w:sz w:val="21"/>
          <w:szCs w:val="21"/>
          <w:b w:val="1"/>
          <w:bCs w:val="1"/>
          <w:color w:val="auto"/>
        </w:rPr>
        <w:t xml:space="preserve">Advisor has been advised by this writing that: (a) Advisor should consult with an attorney </w:t>
      </w:r>
      <w:r>
        <w:rPr>
          <w:rFonts w:ascii="Arial" w:cs="Arial" w:eastAsia="Arial" w:hAnsi="Arial"/>
          <w:sz w:val="21"/>
          <w:szCs w:val="21"/>
          <w:b w:val="1"/>
          <w:bCs w:val="1"/>
          <w:u w:val="single" w:color="auto"/>
          <w:color w:val="auto"/>
        </w:rPr>
        <w:t>prior</w:t>
      </w:r>
      <w:r>
        <w:rPr>
          <w:rFonts w:ascii="Arial" w:cs="Arial" w:eastAsia="Arial" w:hAnsi="Arial"/>
          <w:sz w:val="21"/>
          <w:szCs w:val="21"/>
          <w:b w:val="1"/>
          <w:bCs w:val="1"/>
          <w:color w:val="auto"/>
        </w:rPr>
        <w:t xml:space="preserve"> to executing this Supplemental Release; (b) Advisor has had twenty-one (21) days within which to consider this Supplemental Release; (c) Advisor has seven (7) days following Advisor’s execution of this Supplemental Release to revoke it; (d) this Supplemental Release shall not be effective until after the revocation period has expired; and (e) nothing in this Supplemental Release prevents or precludes Advisor from challenging or seeking a determination in good faith of the validity of this waiver under the ADEA, nor does it impose any condition precedent, penalties, or costs for doing so, unless specifically authorized by federal law. </w:t>
      </w:r>
      <w:r>
        <w:rPr>
          <w:rFonts w:ascii="Arial" w:cs="Arial" w:eastAsia="Arial" w:hAnsi="Arial"/>
          <w:sz w:val="21"/>
          <w:szCs w:val="21"/>
          <w:color w:val="auto"/>
        </w:rPr>
        <w:t>In the event Advisor signs this Supplemental Release and returns it to the Company in less than the</w:t>
      </w:r>
      <w:r>
        <w:rPr>
          <w:rFonts w:ascii="Arial" w:cs="Arial" w:eastAsia="Arial" w:hAnsi="Arial"/>
          <w:sz w:val="21"/>
          <w:szCs w:val="21"/>
          <w:b w:val="1"/>
          <w:bCs w:val="1"/>
          <w:color w:val="auto"/>
        </w:rPr>
        <w:t xml:space="preserve"> </w:t>
      </w:r>
      <w:r>
        <w:rPr>
          <w:rFonts w:ascii="Arial" w:cs="Arial" w:eastAsia="Arial" w:hAnsi="Arial"/>
          <w:sz w:val="21"/>
          <w:szCs w:val="21"/>
          <w:color w:val="auto"/>
        </w:rPr>
        <w:t>21-day period identified above, Advisor hereby acknowledges that Advisor has knowingly and voluntarily chosen to waive the time period allotted for considering this Supplemental Release. Advisor acknowledges and understands that revocation must be accomplished by a written notification to the undersigned Company representative that is received prior to the Supplemental Release Effective Date. The Parties agree that changes, whether material or immaterial, do not restart the running of the 21-day period.</w:t>
      </w:r>
    </w:p>
    <w:p>
      <w:pPr>
        <w:spacing w:after="0" w:line="157"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Advisor’s signature below constitutes Advisor’s certification under penalty of perjury that Advisor has returned all documents and other items provided to Advisor by the Company, developed or obtained by Advisor in connection with Advisor’s service with the Company, or otherwise belonging to the Company, including, but not limited to, any and all property, documents, and files, work product, including any documents (in any recorded media, such as papers, computer disks and other data storage devices, copies, photographs, and maps) that relate in any way to the Company or the Company’s business. Advisor agrees that, to the extent that Advisor possesses any files, data, work product, or information relating in any way to the Company or the Company’s business on any personal computer, device, or account, Advisor will return to the Company and then delete those files, data, or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will retain no copies in any form). Advisor also will return any tools, equipment, calling cards, credit cards, access cards or keys, any keys to any filing cabinets, vehicles, vehicle keys, and all other property in any form prior to the date Employee executes this Supplemental Release.</w:t>
      </w:r>
    </w:p>
    <w:p>
      <w:pPr>
        <w:spacing w:after="0" w:line="159" w:lineRule="exact"/>
        <w:rPr>
          <w:sz w:val="20"/>
          <w:szCs w:val="20"/>
          <w:color w:val="auto"/>
        </w:rPr>
      </w:pPr>
    </w:p>
    <w:p>
      <w:pPr>
        <w:jc w:val="both"/>
        <w:ind w:firstLine="737"/>
        <w:spacing w:after="0" w:line="247" w:lineRule="auto"/>
        <w:tabs>
          <w:tab w:leader="none" w:pos="1296"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Advisor understands that this Supplemental Release shall be null and void if not executed by Advisor, and returned to the Company, within ten (10) calendar days following the Service Separation Date. Advisor has seven</w:t>
      </w:r>
    </w:p>
    <w:p>
      <w:pPr>
        <w:jc w:val="both"/>
        <w:ind w:firstLine="8"/>
        <w:spacing w:after="0" w:line="214" w:lineRule="auto"/>
        <w:tabs>
          <w:tab w:leader="none" w:pos="313" w:val="left"/>
        </w:tabs>
        <w:numPr>
          <w:ilvl w:val="0"/>
          <w:numId w:val="69"/>
        </w:numPr>
        <w:rPr>
          <w:rFonts w:ascii="Arial" w:cs="Arial" w:eastAsia="Arial" w:hAnsi="Arial"/>
          <w:sz w:val="22"/>
          <w:szCs w:val="22"/>
          <w:color w:val="auto"/>
        </w:rPr>
      </w:pPr>
      <w:r>
        <w:rPr>
          <w:rFonts w:ascii="Arial" w:cs="Arial" w:eastAsia="Arial" w:hAnsi="Arial"/>
          <w:sz w:val="22"/>
          <w:szCs w:val="22"/>
          <w:color w:val="auto"/>
        </w:rPr>
        <w:t>days after signing this Supplemental Release to revoke it. Advisor acknowledges and agrees that Advisor cannot execute this Supplemental Release before the date that Advisor’s service with the Company terminates. This Supplemental Release will become effective on the eighth (8th) day after Advisor signs it, so long as it has been signed by the Parties and has not been revoked before that date (the “Supplemental Release Effective Date”).</w:t>
      </w:r>
    </w:p>
    <w:p>
      <w:pPr>
        <w:spacing w:after="0" w:line="159" w:lineRule="exact"/>
        <w:rPr>
          <w:rFonts w:ascii="Arial" w:cs="Arial" w:eastAsia="Arial" w:hAnsi="Arial"/>
          <w:sz w:val="22"/>
          <w:szCs w:val="22"/>
          <w:color w:val="auto"/>
        </w:rPr>
      </w:pPr>
    </w:p>
    <w:p>
      <w:pPr>
        <w:jc w:val="both"/>
        <w:ind w:firstLine="737"/>
        <w:spacing w:after="0" w:line="243" w:lineRule="auto"/>
        <w:tabs>
          <w:tab w:leader="none" w:pos="1296"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Advisor understands and agrees that Advisor executed this Supplemental Release voluntarily and without any duress or undue influence on the part or behalf of the Company or any third party, with the full intent of releasing all of Advisor’s claims against the Company and any of the other Releasees. Advisor acknowledges that:</w:t>
      </w:r>
    </w:p>
    <w:p>
      <w:pPr>
        <w:spacing w:after="0" w:line="2" w:lineRule="exact"/>
        <w:rPr>
          <w:rFonts w:ascii="Arial" w:cs="Arial" w:eastAsia="Arial" w:hAnsi="Arial"/>
          <w:sz w:val="19"/>
          <w:szCs w:val="19"/>
          <w:color w:val="auto"/>
        </w:rPr>
      </w:pPr>
    </w:p>
    <w:p>
      <w:pPr>
        <w:jc w:val="both"/>
        <w:spacing w:after="0" w:line="221" w:lineRule="auto"/>
        <w:rPr>
          <w:rFonts w:ascii="Arial" w:cs="Arial" w:eastAsia="Arial" w:hAnsi="Arial"/>
          <w:sz w:val="19"/>
          <w:szCs w:val="19"/>
          <w:color w:val="auto"/>
        </w:rPr>
      </w:pPr>
      <w:r>
        <w:rPr>
          <w:rFonts w:ascii="Arial" w:cs="Arial" w:eastAsia="Arial" w:hAnsi="Arial"/>
          <w:sz w:val="21"/>
          <w:szCs w:val="21"/>
          <w:color w:val="auto"/>
        </w:rPr>
        <w:t>(a) Advisor has read this Supplemental Release; (b) Advisor has a right to consult with an attorney regarding this Supplemental Release and has been represented in the preparation, negotiation, and execution of this Supplemental Release by legal counsel of Advisor’s own choice or has elected not to retain legal counsel; (c) Advisor understands the terms and consequences of this Supplemental Release and of the releases it contains; (d) Advisor is fully aware of the legal and binding effect of this Supplemental Release; and (e) Advisor has not relied upon any representations or statements made by the Company that are not specifically set forth in this Supplemental Release.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SILVIJA MARTINCEVIC, AN INDIVIDUAL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1982470</wp:posOffset>
            </wp:positionH>
            <wp:positionV relativeFrom="paragraph">
              <wp:posOffset>-5715</wp:posOffset>
            </wp:positionV>
            <wp:extent cx="5486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Silvija Martincevic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AFFIRM, INC.</w:t>
      </w:r>
    </w:p>
    <w:p>
      <w:pPr>
        <w:spacing w:after="0" w:line="200" w:lineRule="exact"/>
        <w:rPr>
          <w:sz w:val="20"/>
          <w:szCs w:val="20"/>
          <w:color w:val="auto"/>
        </w:rPr>
      </w:pPr>
    </w:p>
    <w:p>
      <w:pPr>
        <w:spacing w:after="0" w:line="203"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Dated: ________________, 2023</w:t>
        <w:tab/>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-5715</wp:posOffset>
            </wp:positionV>
            <wp:extent cx="4114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Max Levchin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39"/>
          </w:cols>
          <w:pgMar w:left="320" w:top="1440"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w:t>
      </w:r>
    </w:p>
    <w:p>
      <w:pPr>
        <w:jc w:val="center"/>
        <w:spacing w:after="0"/>
        <w:rPr>
          <w:sz w:val="20"/>
          <w:szCs w:val="20"/>
          <w:color w:val="auto"/>
        </w:rPr>
      </w:pPr>
      <w:r>
        <w:rPr>
          <w:rFonts w:ascii="Arial" w:cs="Arial" w:eastAsia="Arial" w:hAnsi="Arial"/>
          <w:sz w:val="20"/>
          <w:szCs w:val="20"/>
          <w:b w:val="1"/>
          <w:bCs w:val="1"/>
          <w:color w:val="auto"/>
        </w:rPr>
        <w:t>CUSTOMER INSTALLMENT PROGRAM AGREEMENT</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AMENDMENT NO. 3 TO CUSTOMER INSTALLMENT PROGRAM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and made effective as of May 6, 2022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amends the Customer Installment Program Agreement, dated July 16,</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2020, as amended (together with any exhibits, schedules, amendments or addendums,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Shopify Inc., a Canadian corporation (“</w:t>
      </w:r>
      <w:r>
        <w:rPr>
          <w:rFonts w:ascii="Arial" w:cs="Arial" w:eastAsia="Arial" w:hAnsi="Arial"/>
          <w:sz w:val="18"/>
          <w:szCs w:val="18"/>
          <w:b w:val="1"/>
          <w:bCs w:val="1"/>
          <w:color w:val="auto"/>
        </w:rPr>
        <w:t>Shopify</w:t>
      </w:r>
      <w:r>
        <w:rPr>
          <w:rFonts w:ascii="Arial" w:cs="Arial" w:eastAsia="Arial" w:hAnsi="Arial"/>
          <w:sz w:val="18"/>
          <w:szCs w:val="18"/>
          <w:color w:val="auto"/>
        </w:rPr>
        <w:t>”), and Affirm, Inc., a Delaware corporation (“</w:t>
      </w:r>
      <w:r>
        <w:rPr>
          <w:rFonts w:ascii="Arial" w:cs="Arial" w:eastAsia="Arial" w:hAnsi="Arial"/>
          <w:sz w:val="18"/>
          <w:szCs w:val="18"/>
          <w:b w:val="1"/>
          <w:bCs w:val="1"/>
          <w:color w:val="auto"/>
        </w:rPr>
        <w:t>Affirm</w:t>
      </w:r>
      <w:r>
        <w:rPr>
          <w:rFonts w:ascii="Arial" w:cs="Arial" w:eastAsia="Arial" w:hAnsi="Arial"/>
          <w:sz w:val="18"/>
          <w:szCs w:val="18"/>
          <w:color w:val="auto"/>
        </w:rPr>
        <w:t>”). Capitalized terms used but not defined herein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have the same meaning as those in the Agreement.</w:t>
      </w:r>
    </w:p>
    <w:p>
      <w:pPr>
        <w:spacing w:after="0" w:line="200"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WHEREAS, Section 30 of the Agreement provides that no modification of the Agreement shall be effective unless made in writing and duly signed by the Parties referring specifically to the Agreement; and</w:t>
      </w:r>
    </w:p>
    <w:p>
      <w:pPr>
        <w:spacing w:after="0" w:line="20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WHEREAS, pursuant to Section 30 of the Agreement, Shopify and Affirm desire to amend the Agreement to the extent set forth in this Amendment.</w:t>
      </w:r>
    </w:p>
    <w:p>
      <w:pPr>
        <w:spacing w:after="0" w:line="20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NOW, THEREFORE, in consideration of the premises set forth above and other good and valuable consideration, the receipt and sufficiency of which are hereby acknowledged, the Parties hereby agree as follows:</w:t>
      </w:r>
    </w:p>
    <w:p>
      <w:pPr>
        <w:spacing w:after="0" w:line="209" w:lineRule="exact"/>
        <w:rPr>
          <w:sz w:val="20"/>
          <w:szCs w:val="20"/>
          <w:color w:val="auto"/>
        </w:rPr>
      </w:pPr>
    </w:p>
    <w:p>
      <w:pPr>
        <w:ind w:firstLine="8"/>
        <w:spacing w:after="0" w:line="229"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color w:val="auto"/>
        </w:rPr>
        <w:t>Effective as of the Amendment Effective Date, the Agreement shall be amended as set forth in the attached changed sections/items of the “Terms and Conditions” as set forth on Exhibit A.</w:t>
      </w:r>
    </w:p>
    <w:p>
      <w:pPr>
        <w:spacing w:after="0" w:line="168" w:lineRule="exact"/>
        <w:rPr>
          <w:rFonts w:ascii="Arial" w:cs="Arial" w:eastAsia="Arial" w:hAnsi="Arial"/>
          <w:sz w:val="20"/>
          <w:szCs w:val="20"/>
          <w:color w:val="auto"/>
        </w:rPr>
      </w:pPr>
    </w:p>
    <w:p>
      <w:pPr>
        <w:ind w:firstLine="8"/>
        <w:spacing w:after="0" w:line="236"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color w:val="auto"/>
        </w:rPr>
        <w:t>Effective as of the Amendment Effective Date, the Agreement shall be amended as set forth in the attached changed sections/items of the “Service Level Agreement (SLA) Standards” as set forth on Exhibit B</w:t>
      </w:r>
    </w:p>
    <w:p>
      <w:pPr>
        <w:spacing w:after="0" w:line="155" w:lineRule="exact"/>
        <w:rPr>
          <w:rFonts w:ascii="Arial" w:cs="Arial" w:eastAsia="Arial" w:hAnsi="Arial"/>
          <w:sz w:val="20"/>
          <w:szCs w:val="20"/>
          <w:color w:val="auto"/>
        </w:rPr>
      </w:pPr>
    </w:p>
    <w:p>
      <w:pPr>
        <w:ind w:firstLine="8"/>
        <w:spacing w:after="0" w:line="236"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color w:val="auto"/>
        </w:rPr>
        <w:t>Effective as of the Amendment Effective Date, the Agreement shall be amended as set forth in the attached changed sections/items of the “Program Outline” as set forth on Exhibit C.</w:t>
      </w:r>
    </w:p>
    <w:p>
      <w:pPr>
        <w:spacing w:after="0" w:line="155" w:lineRule="exact"/>
        <w:rPr>
          <w:rFonts w:ascii="Arial" w:cs="Arial" w:eastAsia="Arial" w:hAnsi="Arial"/>
          <w:sz w:val="20"/>
          <w:szCs w:val="20"/>
          <w:color w:val="auto"/>
        </w:rPr>
      </w:pPr>
    </w:p>
    <w:p>
      <w:pPr>
        <w:jc w:val="both"/>
        <w:ind w:firstLine="8"/>
        <w:spacing w:after="0" w:line="214"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Effect of Amendment</w:t>
      </w:r>
      <w:r>
        <w:rPr>
          <w:rFonts w:ascii="Arial" w:cs="Arial" w:eastAsia="Arial" w:hAnsi="Arial"/>
          <w:sz w:val="20"/>
          <w:szCs w:val="20"/>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provisions and agreements set forth herein shall not establish a custom or course of dealing or conduct among the Parties. The Agreement, as amended by this Amendment, is and shall continue to be in full force and effect and is in all respects ratified and confirmed hereby. In the event of any inconsistency, conflict or ambiguity as to the rights and obligations of the Parties under this Amendment, the terms of this Amendment shall control and supersede any such inconsistency, conflict or ambiguity.</w:t>
      </w:r>
    </w:p>
    <w:p>
      <w:pPr>
        <w:spacing w:after="0" w:line="211" w:lineRule="exact"/>
        <w:rPr>
          <w:rFonts w:ascii="Arial" w:cs="Arial" w:eastAsia="Arial" w:hAnsi="Arial"/>
          <w:sz w:val="20"/>
          <w:szCs w:val="20"/>
          <w:color w:val="auto"/>
        </w:rPr>
      </w:pPr>
    </w:p>
    <w:p>
      <w:pPr>
        <w:jc w:val="both"/>
        <w:ind w:firstLine="8"/>
        <w:spacing w:after="0" w:line="220"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Reference to the Agreement</w:t>
      </w:r>
      <w:r>
        <w:rPr>
          <w:rFonts w:ascii="Arial" w:cs="Arial" w:eastAsia="Arial" w:hAnsi="Arial"/>
          <w:sz w:val="20"/>
          <w:szCs w:val="20"/>
          <w:color w:val="auto"/>
        </w:rPr>
        <w:t xml:space="preserve">. After giving effect to this Amendment, unless the context otherwise requires, each reference in the Agreement to “this Agreement”, “hereof”, “hereunder”, “herein” or words of like import referring to the Agreement shall refer to the Agreement as amended by this Amendment;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references in the Agreement to “as of the date hereof” or “as of the date of this Agreement” or words of like import shall continue to refer to July 16, 2020.</w:t>
      </w:r>
    </w:p>
    <w:p>
      <w:pPr>
        <w:spacing w:after="0" w:line="196" w:lineRule="exact"/>
        <w:rPr>
          <w:rFonts w:ascii="Arial" w:cs="Arial" w:eastAsia="Arial" w:hAnsi="Arial"/>
          <w:sz w:val="20"/>
          <w:szCs w:val="20"/>
          <w:color w:val="auto"/>
        </w:rPr>
      </w:pPr>
    </w:p>
    <w:p>
      <w:pPr>
        <w:ind w:firstLine="8"/>
        <w:spacing w:after="0" w:line="236" w:lineRule="auto"/>
        <w:tabs>
          <w:tab w:leader="none" w:pos="64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The provisions of Sections 23 (Notices), and Sections 28-31, and 33 of the Agreement shall apply to this Amendment </w:t>
      </w:r>
      <w:r>
        <w:rPr>
          <w:rFonts w:ascii="Arial" w:cs="Arial" w:eastAsia="Arial" w:hAnsi="Arial"/>
          <w:sz w:val="20"/>
          <w:szCs w:val="20"/>
          <w:i w:val="1"/>
          <w:iCs w:val="1"/>
          <w:color w:val="auto"/>
        </w:rPr>
        <w:t xml:space="preserve">mutatis mutandis </w:t>
      </w:r>
      <w:r>
        <w:rPr>
          <w:rFonts w:ascii="Arial" w:cs="Arial" w:eastAsia="Arial" w:hAnsi="Arial"/>
          <w:sz w:val="20"/>
          <w:szCs w:val="20"/>
          <w:color w:val="auto"/>
        </w:rPr>
        <w:t>as if set forth herein to the extent applicable.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ectPr>
          <w:pgSz w:w="11900" w:h="16838" w:orient="portrait"/>
          <w:cols w:equalWidth="0" w:num="1">
            <w:col w:w="11240"/>
          </w:cols>
          <w:pgMar w:left="320" w:top="346" w:right="339" w:bottom="1440" w:gutter="0" w:footer="0" w:header="0"/>
        </w:sectPr>
      </w:pPr>
    </w:p>
    <w:bookmarkStart w:id="187" w:name="page188"/>
    <w:bookmarkEnd w:id="187"/>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Amendment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492760</wp:posOffset>
            </wp:positionV>
            <wp:extent cx="7072630" cy="28803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07263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55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b w:val="1"/>
                <w:bCs w:val="1"/>
                <w:color w:val="auto"/>
              </w:rPr>
              <w:t>Shopify Inc.</w:t>
            </w:r>
          </w:p>
        </w:tc>
        <w:tc>
          <w:tcPr>
            <w:tcW w:w="55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20"/>
                <w:szCs w:val="20"/>
                <w:b w:val="1"/>
                <w:bCs w:val="1"/>
                <w:color w:val="auto"/>
              </w:rPr>
              <w:t>Affirm, Inc.</w:t>
            </w:r>
          </w:p>
        </w:tc>
      </w:tr>
      <w:tr>
        <w:trPr>
          <w:trHeight w:val="677"/>
        </w:trPr>
        <w:tc>
          <w:tcPr>
            <w:tcW w:w="55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w:t>
            </w:r>
          </w:p>
        </w:tc>
      </w:tr>
      <w:tr>
        <w:trPr>
          <w:trHeight w:val="345"/>
        </w:trPr>
        <w:tc>
          <w:tcPr>
            <w:tcW w:w="55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 Amy Shapero</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 Silvija Martincevic</w:t>
            </w:r>
          </w:p>
        </w:tc>
      </w:tr>
      <w:tr>
        <w:trPr>
          <w:trHeight w:val="344"/>
        </w:trPr>
        <w:tc>
          <w:tcPr>
            <w:tcW w:w="55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 Chief Financial Officer</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 Chief Commercial Officer</w:t>
            </w:r>
          </w:p>
        </w:tc>
      </w:tr>
      <w:tr>
        <w:trPr>
          <w:trHeight w:val="349"/>
        </w:trPr>
        <w:tc>
          <w:tcPr>
            <w:tcW w:w="55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May 6, 2022</w:t>
            </w:r>
          </w:p>
        </w:tc>
        <w:tc>
          <w:tcPr>
            <w:tcW w:w="5560" w:type="dxa"/>
            <w:vAlign w:val="bottom"/>
            <w:tcBorders>
              <w:bottom w:val="single" w:sz="8" w:color="auto"/>
            </w:tcBorders>
          </w:tcPr>
          <w:p>
            <w:pPr>
              <w:ind w:left="240"/>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May 6, 2022</w:t>
            </w:r>
          </w:p>
        </w:tc>
      </w:tr>
    </w:tbl>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Notices required under this Agreement shall be delivered pursuant to Section 23 (Notice), and addressed as set forth below:</w:t>
      </w:r>
    </w:p>
    <w:p>
      <w:pPr>
        <w:spacing w:after="0" w:line="200" w:lineRule="exact"/>
        <w:rPr>
          <w:sz w:val="20"/>
          <w:szCs w:val="20"/>
          <w:color w:val="auto"/>
        </w:rPr>
      </w:pPr>
    </w:p>
    <w:p>
      <w:pPr>
        <w:spacing w:after="0" w:line="301" w:lineRule="exact"/>
        <w:rPr>
          <w:sz w:val="20"/>
          <w:szCs w:val="20"/>
          <w:color w:val="auto"/>
        </w:rPr>
      </w:pPr>
    </w:p>
    <w:p>
      <w:pPr>
        <w:ind w:left="360"/>
        <w:spacing w:after="0"/>
        <w:tabs>
          <w:tab w:leader="none" w:pos="1620" w:val="left"/>
        </w:tabs>
        <w:rPr>
          <w:sz w:val="20"/>
          <w:szCs w:val="20"/>
          <w:color w:val="auto"/>
        </w:rPr>
      </w:pPr>
      <w:r>
        <w:rPr>
          <w:rFonts w:ascii="Arial" w:cs="Arial" w:eastAsia="Arial" w:hAnsi="Arial"/>
          <w:sz w:val="20"/>
          <w:szCs w:val="20"/>
          <w:u w:val="single" w:color="auto"/>
          <w:color w:val="auto"/>
        </w:rPr>
        <w:t>If to Shopify</w:t>
      </w:r>
      <w:r>
        <w:rPr>
          <w:rFonts w:ascii="Arial" w:cs="Arial" w:eastAsia="Arial" w:hAnsi="Arial"/>
          <w:sz w:val="20"/>
          <w:szCs w:val="20"/>
          <w:color w:val="auto"/>
        </w:rPr>
        <w:t>:</w:t>
      </w:r>
      <w:r>
        <w:rPr>
          <w:sz w:val="20"/>
          <w:szCs w:val="20"/>
          <w:color w:val="auto"/>
        </w:rPr>
        <w:tab/>
      </w:r>
      <w:r>
        <w:rPr>
          <w:rFonts w:ascii="Arial" w:cs="Arial" w:eastAsia="Arial" w:hAnsi="Arial"/>
          <w:sz w:val="20"/>
          <w:szCs w:val="20"/>
          <w:u w:val="single" w:color="auto"/>
          <w:color w:val="auto"/>
        </w:rPr>
        <w:t>If to Affirm</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20"/>
          <w:szCs w:val="20"/>
          <w:color w:val="auto"/>
        </w:rPr>
        <w:t>Shopify Inc.</w:t>
      </w:r>
      <w:r>
        <w:rPr>
          <w:sz w:val="20"/>
          <w:szCs w:val="20"/>
          <w:color w:val="auto"/>
        </w:rPr>
        <w:tab/>
      </w:r>
      <w:r>
        <w:rPr>
          <w:rFonts w:ascii="Arial" w:cs="Arial" w:eastAsia="Arial" w:hAnsi="Arial"/>
          <w:sz w:val="19"/>
          <w:szCs w:val="19"/>
          <w:color w:val="auto"/>
        </w:rPr>
        <w:t>Affirm, Inc.</w:t>
      </w:r>
    </w:p>
    <w:p>
      <w:pPr>
        <w:ind w:left="380"/>
        <w:spacing w:after="0"/>
        <w:tabs>
          <w:tab w:leader="none" w:pos="3400" w:val="left"/>
          <w:tab w:leader="none" w:pos="7120" w:val="left"/>
        </w:tabs>
        <w:rPr>
          <w:sz w:val="20"/>
          <w:szCs w:val="20"/>
          <w:color w:val="auto"/>
        </w:rPr>
      </w:pPr>
      <w:r>
        <w:rPr>
          <w:rFonts w:ascii="Arial" w:cs="Arial" w:eastAsia="Arial" w:hAnsi="Arial"/>
          <w:sz w:val="20"/>
          <w:szCs w:val="20"/>
          <w:color w:val="auto"/>
        </w:rPr>
        <w:t>150 O’Connor Street, Ground Floor</w:t>
      </w:r>
      <w:r>
        <w:rPr>
          <w:sz w:val="20"/>
          <w:szCs w:val="20"/>
          <w:color w:val="auto"/>
        </w:rPr>
        <w:tab/>
      </w:r>
      <w:r>
        <w:rPr>
          <w:rFonts w:ascii="Arial" w:cs="Arial" w:eastAsia="Arial" w:hAnsi="Arial"/>
          <w:sz w:val="19"/>
          <w:szCs w:val="19"/>
          <w:color w:val="auto"/>
        </w:rPr>
        <w:t>650 California Street, 12</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Ottawa, ON</w:t>
      </w:r>
      <w:r>
        <w:rPr>
          <w:sz w:val="20"/>
          <w:szCs w:val="20"/>
          <w:color w:val="auto"/>
        </w:rPr>
        <w:tab/>
      </w:r>
      <w:r>
        <w:rPr>
          <w:rFonts w:ascii="Arial" w:cs="Arial" w:eastAsia="Arial" w:hAnsi="Arial"/>
          <w:sz w:val="16"/>
          <w:szCs w:val="16"/>
          <w:color w:val="auto"/>
        </w:rPr>
        <w:t>San Francisco, CA 94108</w:t>
      </w:r>
    </w:p>
    <w:p>
      <w:pPr>
        <w:ind w:left="380"/>
        <w:spacing w:after="0" w:line="219" w:lineRule="auto"/>
        <w:tabs>
          <w:tab w:leader="none" w:pos="1260" w:val="left"/>
        </w:tabs>
        <w:rPr>
          <w:sz w:val="20"/>
          <w:szCs w:val="20"/>
          <w:color w:val="auto"/>
        </w:rPr>
      </w:pPr>
      <w:r>
        <w:rPr>
          <w:rFonts w:ascii="Arial" w:cs="Arial" w:eastAsia="Arial" w:hAnsi="Arial"/>
          <w:sz w:val="20"/>
          <w:szCs w:val="20"/>
          <w:color w:val="auto"/>
        </w:rPr>
        <w:t>K2P 2L8</w:t>
      </w:r>
      <w:r>
        <w:rPr>
          <w:sz w:val="20"/>
          <w:szCs w:val="20"/>
          <w:color w:val="auto"/>
        </w:rPr>
        <w:tab/>
      </w:r>
      <w:r>
        <w:rPr>
          <w:rFonts w:ascii="Arial" w:cs="Arial" w:eastAsia="Arial" w:hAnsi="Arial"/>
          <w:sz w:val="18"/>
          <w:szCs w:val="18"/>
          <w:color w:val="auto"/>
        </w:rPr>
        <w:t>Attention: Chief Legal Officer</w:t>
      </w:r>
    </w:p>
    <w:p>
      <w:pPr>
        <w:ind w:left="380"/>
        <w:spacing w:after="0" w:line="211" w:lineRule="auto"/>
        <w:tabs>
          <w:tab w:leader="none" w:pos="1140" w:val="left"/>
        </w:tabs>
        <w:rPr>
          <w:sz w:val="20"/>
          <w:szCs w:val="20"/>
          <w:color w:val="auto"/>
        </w:rPr>
      </w:pPr>
      <w:r>
        <w:rPr>
          <w:rFonts w:ascii="Arial" w:cs="Arial" w:eastAsia="Arial" w:hAnsi="Arial"/>
          <w:sz w:val="20"/>
          <w:szCs w:val="20"/>
          <w:color w:val="auto"/>
        </w:rPr>
        <w:t>Canada</w:t>
        <w:tab/>
        <w: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AMENDED TERMS AND CONDITIONS</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following terms and conditions are intended to be added to the Terms and Conditions of the Agreement, and, where such terms conflict with an existing section in the Agreement, entirely replace such sections of the Agreement.</w:t>
      </w:r>
    </w:p>
    <w:p>
      <w:pPr>
        <w:spacing w:after="0" w:line="19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amended sections below shall entirely replace those same sections in the Agreement. All other sections that are not amended or replaced herein shall remain unmodified as expressly stated in the Agreement.</w:t>
      </w:r>
    </w:p>
    <w:p>
      <w:pPr>
        <w:spacing w:after="0" w:line="19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definition of “Program Outline” in Section 2 is hereby replaced in its entirety as follows:</w:t>
      </w:r>
    </w:p>
    <w:p>
      <w:pPr>
        <w:spacing w:after="0" w:line="169" w:lineRule="exact"/>
        <w:rPr>
          <w:rFonts w:ascii="Arial" w:cs="Arial" w:eastAsia="Arial" w:hAnsi="Arial"/>
          <w:sz w:val="20"/>
          <w:szCs w:val="20"/>
          <w:color w:val="auto"/>
        </w:rPr>
      </w:pPr>
    </w:p>
    <w:p>
      <w:pPr>
        <w:ind w:left="660" w:right="660"/>
        <w:spacing w:after="0" w:line="264" w:lineRule="auto"/>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Program Outline</w:t>
      </w:r>
      <w:r>
        <w:rPr>
          <w:rFonts w:ascii="Arial" w:cs="Arial" w:eastAsia="Arial" w:hAnsi="Arial"/>
          <w:sz w:val="19"/>
          <w:szCs w:val="19"/>
          <w:color w:val="auto"/>
        </w:rPr>
        <w:t>” means, collectively, the program outlines agreed to by the Parties outlining each component of the Program. The Program Outline is fully described and set forth in Exhibit A-1, A-2 and any subsequent exhibits.</w:t>
      </w:r>
    </w:p>
    <w:p>
      <w:pPr>
        <w:spacing w:after="0" w:line="146" w:lineRule="exact"/>
        <w:rPr>
          <w:rFonts w:ascii="Arial" w:cs="Arial" w:eastAsia="Arial" w:hAnsi="Arial"/>
          <w:sz w:val="20"/>
          <w:szCs w:val="20"/>
          <w:color w:val="auto"/>
        </w:rPr>
      </w:pPr>
    </w:p>
    <w:p>
      <w:pPr>
        <w:ind w:left="660" w:right="3960" w:hanging="328"/>
        <w:spacing w:after="0" w:line="429"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Section 11 of the Terms and Conditions is hereby replaced in its entirety as follows: 11. </w:t>
      </w:r>
      <w:r>
        <w:rPr>
          <w:rFonts w:ascii="Arial" w:cs="Arial" w:eastAsia="Arial" w:hAnsi="Arial"/>
          <w:sz w:val="20"/>
          <w:szCs w:val="20"/>
          <w:b w:val="1"/>
          <w:bCs w:val="1"/>
          <w:color w:val="auto"/>
        </w:rPr>
        <w:t>Term and Termination</w:t>
      </w:r>
      <w:r>
        <w:rPr>
          <w:rFonts w:ascii="Arial" w:cs="Arial" w:eastAsia="Arial" w:hAnsi="Arial"/>
          <w:sz w:val="20"/>
          <w:szCs w:val="20"/>
          <w:color w:val="auto"/>
        </w:rPr>
        <w:t>.</w:t>
      </w:r>
    </w:p>
    <w:p>
      <w:pPr>
        <w:jc w:val="center"/>
        <w:ind w:right="-19"/>
        <w:spacing w:after="0" w:line="229" w:lineRule="auto"/>
        <w:rPr>
          <w:sz w:val="20"/>
          <w:szCs w:val="20"/>
          <w:color w:val="auto"/>
        </w:rPr>
      </w:pPr>
      <w:r>
        <w:rPr>
          <w:rFonts w:ascii="Arial" w:cs="Arial" w:eastAsia="Arial" w:hAnsi="Arial"/>
          <w:sz w:val="20"/>
          <w:szCs w:val="20"/>
          <w:color w:val="auto"/>
        </w:rPr>
        <w:t>11.1 The term of this Agreement begins on the Effective Date and will remain in effect for an initial term ending on June 8,</w:t>
      </w:r>
    </w:p>
    <w:p>
      <w:pPr>
        <w:ind w:left="660" w:right="660"/>
        <w:spacing w:after="0" w:line="226" w:lineRule="auto"/>
        <w:rPr>
          <w:sz w:val="20"/>
          <w:szCs w:val="20"/>
          <w:color w:val="auto"/>
        </w:rPr>
      </w:pPr>
      <w:r>
        <w:rPr>
          <w:rFonts w:ascii="Arial" w:cs="Arial" w:eastAsia="Arial" w:hAnsi="Arial"/>
          <w:sz w:val="18"/>
          <w:szCs w:val="18"/>
          <w:color w:val="auto"/>
        </w:rPr>
        <w:t>2025 (“</w:t>
      </w:r>
      <w:r>
        <w:rPr>
          <w:rFonts w:ascii="Arial" w:cs="Arial" w:eastAsia="Arial" w:hAnsi="Arial"/>
          <w:sz w:val="18"/>
          <w:szCs w:val="18"/>
          <w:b w:val="1"/>
          <w:bCs w:val="1"/>
          <w:color w:val="auto"/>
        </w:rPr>
        <w:t>Initial Term</w:t>
      </w:r>
      <w:r>
        <w:rPr>
          <w:rFonts w:ascii="Arial" w:cs="Arial" w:eastAsia="Arial" w:hAnsi="Arial"/>
          <w:sz w:val="18"/>
          <w:szCs w:val="18"/>
          <w:color w:val="auto"/>
        </w:rPr>
        <w:t>”), unless otherwise terminated as permitted herein. After the Initial Term, this Agreement shall automatically renew for successive 1-year periods (each, a “</w:t>
      </w:r>
      <w:r>
        <w:rPr>
          <w:rFonts w:ascii="Arial" w:cs="Arial" w:eastAsia="Arial" w:hAnsi="Arial"/>
          <w:sz w:val="18"/>
          <w:szCs w:val="18"/>
          <w:b w:val="1"/>
          <w:bCs w:val="1"/>
          <w:color w:val="auto"/>
        </w:rPr>
        <w:t>Renewal Term</w:t>
      </w:r>
      <w:r>
        <w:rPr>
          <w:rFonts w:ascii="Arial" w:cs="Arial" w:eastAsia="Arial" w:hAnsi="Arial"/>
          <w:sz w:val="18"/>
          <w:szCs w:val="18"/>
          <w:color w:val="auto"/>
        </w:rPr>
        <w:t>”) unless a Party provides the other Party with</w:t>
      </w:r>
    </w:p>
    <w:p>
      <w:pPr>
        <w:jc w:val="center"/>
        <w:ind w:right="-19"/>
        <w:spacing w:after="0" w:line="213" w:lineRule="auto"/>
        <w:rPr>
          <w:sz w:val="20"/>
          <w:szCs w:val="20"/>
          <w:color w:val="auto"/>
        </w:rPr>
      </w:pPr>
      <w:r>
        <w:rPr>
          <w:rFonts w:ascii="Arial" w:cs="Arial" w:eastAsia="Arial" w:hAnsi="Arial"/>
          <w:sz w:val="20"/>
          <w:szCs w:val="20"/>
          <w:color w:val="auto"/>
        </w:rPr>
        <w:t>written notice of its election to terminate this Agreement at least 180 days prior to the expiration of the Initial Term or the</w:t>
      </w:r>
    </w:p>
    <w:p>
      <w:pPr>
        <w:ind w:left="660" w:right="660"/>
        <w:spacing w:after="0" w:line="226" w:lineRule="auto"/>
        <w:rPr>
          <w:sz w:val="20"/>
          <w:szCs w:val="20"/>
          <w:color w:val="auto"/>
        </w:rPr>
      </w:pPr>
      <w:r>
        <w:rPr>
          <w:rFonts w:ascii="Arial" w:cs="Arial" w:eastAsia="Arial" w:hAnsi="Arial"/>
          <w:sz w:val="18"/>
          <w:szCs w:val="18"/>
          <w:color w:val="auto"/>
        </w:rPr>
        <w:t>then- current Renewal Term as applicable. The Initial Term together with all Renewal Terms and any wind-down or transition period shall be collectively referred to herein as the “</w:t>
      </w:r>
      <w:r>
        <w:rPr>
          <w:rFonts w:ascii="Arial" w:cs="Arial" w:eastAsia="Arial" w:hAnsi="Arial"/>
          <w:sz w:val="18"/>
          <w:szCs w:val="18"/>
          <w:b w:val="1"/>
          <w:bCs w:val="1"/>
          <w:color w:val="auto"/>
        </w:rPr>
        <w:t>Term</w:t>
      </w:r>
      <w:r>
        <w:rPr>
          <w:rFonts w:ascii="Arial" w:cs="Arial" w:eastAsia="Arial" w:hAnsi="Arial"/>
          <w:sz w:val="18"/>
          <w:szCs w:val="18"/>
          <w:color w:val="auto"/>
        </w:rPr>
        <w:t>.” Any Program Outline(s) still in effect will terminate</w:t>
      </w:r>
    </w:p>
    <w:p>
      <w:pPr>
        <w:spacing w:after="0" w:line="2" w:lineRule="exact"/>
        <w:rPr>
          <w:sz w:val="20"/>
          <w:szCs w:val="20"/>
          <w:color w:val="auto"/>
        </w:rPr>
      </w:pPr>
    </w:p>
    <w:p>
      <w:pPr>
        <w:ind w:left="660" w:right="660"/>
        <w:spacing w:after="0" w:line="220" w:lineRule="auto"/>
        <w:rPr>
          <w:sz w:val="20"/>
          <w:szCs w:val="20"/>
          <w:color w:val="auto"/>
        </w:rPr>
      </w:pPr>
      <w:r>
        <w:rPr>
          <w:rFonts w:ascii="Arial" w:cs="Arial" w:eastAsia="Arial" w:hAnsi="Arial"/>
          <w:sz w:val="20"/>
          <w:szCs w:val="20"/>
          <w:color w:val="auto"/>
        </w:rPr>
        <w:t>on the date that termination of the Agreement takes effect, subject in each case to Affirm’s obligations in Section 11.6 (Orderly Transition).</w:t>
      </w:r>
    </w:p>
    <w:p>
      <w:pPr>
        <w:spacing w:after="0" w:line="17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The Program Outline attached as Exhibit A to the Agreement shall be attached as Exhibit A-1.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THE PROGRAM OUTLINE</w:t>
      </w:r>
    </w:p>
    <w:p>
      <w:pPr>
        <w:spacing w:after="0" w:line="22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following terms and conditions are intended to be added to the Program Outline attached to the Agreement, and, where such terms conflict with an existing section in the Program Outline, entirely replace such sections of the Program Outline.</w:t>
      </w:r>
    </w:p>
    <w:p>
      <w:pPr>
        <w:spacing w:after="0" w:line="209"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The amended sections below shall entirely replace those same sections in the Agreement. All other sections that are not amended or replaced herein shall remain unmodified as expressly stated in the Agreement.</w:t>
      </w:r>
    </w:p>
    <w:p>
      <w:pPr>
        <w:spacing w:after="0" w:line="209" w:lineRule="exact"/>
        <w:rPr>
          <w:sz w:val="20"/>
          <w:szCs w:val="20"/>
          <w:color w:val="auto"/>
        </w:rPr>
      </w:pPr>
    </w:p>
    <w:p>
      <w:pPr>
        <w:jc w:val="both"/>
        <w:ind w:left="340" w:hanging="332"/>
        <w:spacing w:after="0" w:line="220" w:lineRule="auto"/>
        <w:tabs>
          <w:tab w:leader="none" w:pos="340"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Shopify and Affirm agree to [***]. Starting on May 1, 2022, and ending on June 30, 2022, each Shopify Fee set forth in Y1 of Addendum A-2 to Exhibit A (now known as Exhibit A-1) of the Agreement will be [***]. Starting on July 1, 2022, and ending on March 31, 2023, each Shopify Fee set forth in Y2&amp;Y3 of Addendum A-2 to Exhibit A of the Agreement (now known as Exhibit A-1) will be [***].</w:t>
      </w:r>
    </w:p>
    <w:p>
      <w:pPr>
        <w:spacing w:after="0" w:line="128" w:lineRule="exact"/>
        <w:rPr>
          <w:rFonts w:ascii="Arial" w:cs="Arial" w:eastAsia="Arial" w:hAnsi="Arial"/>
          <w:sz w:val="20"/>
          <w:szCs w:val="20"/>
          <w:b w:val="1"/>
          <w:bCs w:val="1"/>
          <w:color w:val="auto"/>
        </w:rPr>
      </w:pPr>
    </w:p>
    <w:p>
      <w:pPr>
        <w:ind w:left="340" w:hanging="332"/>
        <w:spacing w:after="0"/>
        <w:tabs>
          <w:tab w:leader="none" w:pos="340"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190" w:name="page191"/>
    <w:bookmarkEnd w:id="190"/>
    <w:p>
      <w:pPr>
        <w:jc w:val="center"/>
        <w:ind w:right="20"/>
        <w:spacing w:after="0"/>
        <w:rPr>
          <w:sz w:val="20"/>
          <w:szCs w:val="20"/>
          <w:color w:val="auto"/>
        </w:rPr>
      </w:pPr>
      <w:r>
        <w:rPr>
          <w:rFonts w:ascii="Arial" w:cs="Arial" w:eastAsia="Arial" w:hAnsi="Arial"/>
          <w:sz w:val="20"/>
          <w:szCs w:val="20"/>
          <w:b w:val="1"/>
          <w:bCs w:val="1"/>
          <w:color w:val="auto"/>
        </w:rPr>
        <w:t>Exhibit A-2</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SECOND PROGRAM OUTLINE</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This Second Program Outline entered into and effective on the Effective Date noted in the below signature block (the “</w:t>
      </w:r>
      <w:r>
        <w:rPr>
          <w:rFonts w:ascii="Arial" w:cs="Arial" w:eastAsia="Arial" w:hAnsi="Arial"/>
          <w:sz w:val="18"/>
          <w:szCs w:val="18"/>
          <w:b w:val="1"/>
          <w:bCs w:val="1"/>
          <w:color w:val="auto"/>
        </w:rPr>
        <w:t>Second Program</w:t>
      </w:r>
      <w:r>
        <w:rPr>
          <w:rFonts w:ascii="Arial" w:cs="Arial" w:eastAsia="Arial" w:hAnsi="Arial"/>
          <w:sz w:val="18"/>
          <w:szCs w:val="18"/>
          <w:color w:val="auto"/>
        </w:rPr>
        <w:t xml:space="preserve"> </w:t>
      </w:r>
      <w:r>
        <w:rPr>
          <w:rFonts w:ascii="Arial" w:cs="Arial" w:eastAsia="Arial" w:hAnsi="Arial"/>
          <w:sz w:val="18"/>
          <w:szCs w:val="18"/>
          <w:b w:val="1"/>
          <w:bCs w:val="1"/>
          <w:color w:val="auto"/>
        </w:rPr>
        <w:t>Effective Date</w:t>
      </w:r>
      <w:r>
        <w:rPr>
          <w:rFonts w:ascii="Arial" w:cs="Arial" w:eastAsia="Arial" w:hAnsi="Arial"/>
          <w:sz w:val="18"/>
          <w:szCs w:val="18"/>
          <w:color w:val="auto"/>
        </w:rPr>
        <w:t>”), is made pursuant to, and is a part of, that certain Customer Installment Program Agreement between Shopify Inc., a</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Canadian corporation (“</w:t>
      </w:r>
      <w:r>
        <w:rPr>
          <w:rFonts w:ascii="Arial" w:cs="Arial" w:eastAsia="Arial" w:hAnsi="Arial"/>
          <w:sz w:val="18"/>
          <w:szCs w:val="18"/>
          <w:b w:val="1"/>
          <w:bCs w:val="1"/>
          <w:color w:val="auto"/>
        </w:rPr>
        <w:t>Shopify</w:t>
      </w:r>
      <w:r>
        <w:rPr>
          <w:rFonts w:ascii="Arial" w:cs="Arial" w:eastAsia="Arial" w:hAnsi="Arial"/>
          <w:sz w:val="18"/>
          <w:szCs w:val="18"/>
          <w:color w:val="auto"/>
        </w:rPr>
        <w:t>”) and Affirm, Inc., a Delaware corporation (“</w:t>
      </w:r>
      <w:r>
        <w:rPr>
          <w:rFonts w:ascii="Arial" w:cs="Arial" w:eastAsia="Arial" w:hAnsi="Arial"/>
          <w:sz w:val="18"/>
          <w:szCs w:val="18"/>
          <w:b w:val="1"/>
          <w:bCs w:val="1"/>
          <w:color w:val="auto"/>
        </w:rPr>
        <w:t>Affirm</w:t>
      </w:r>
      <w:r>
        <w:rPr>
          <w:rFonts w:ascii="Arial" w:cs="Arial" w:eastAsia="Arial" w:hAnsi="Arial"/>
          <w:sz w:val="18"/>
          <w:szCs w:val="18"/>
          <w:color w:val="auto"/>
        </w:rPr>
        <w:t>”) with an effective date of July 16, 2020, as amended (the “</w:t>
      </w:r>
      <w:r>
        <w:rPr>
          <w:rFonts w:ascii="Arial" w:cs="Arial" w:eastAsia="Arial" w:hAnsi="Arial"/>
          <w:sz w:val="18"/>
          <w:szCs w:val="18"/>
          <w:b w:val="1"/>
          <w:bCs w:val="1"/>
          <w:color w:val="auto"/>
        </w:rPr>
        <w:t>Agreement</w:t>
      </w:r>
      <w:r>
        <w:rPr>
          <w:rFonts w:ascii="Arial" w:cs="Arial" w:eastAsia="Arial" w:hAnsi="Arial"/>
          <w:sz w:val="18"/>
          <w:szCs w:val="18"/>
          <w:color w:val="auto"/>
        </w:rPr>
        <w:t>”). To the extent applicable and not otherwise expressly contradicted herein, the terms of the Agreement shall apply mutatis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mutandis to the Customer Installment Program (as described below). All capitalized terms not defined in this Program Outline shall take their respective meanings as set forth in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This Second Program Outline describes the Customer Installment Program to be incorporated into the Agreement.</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Second Program Outline to be duly executed by their authorized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below.</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Affirm, Inc.</w:t>
            </w:r>
          </w:p>
        </w:tc>
        <w:tc>
          <w:tcPr>
            <w:tcW w:w="5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Shopify Inc.</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 /s/ Silvija Martincevic</w:t>
            </w: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 /s/ Amy Shapero</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Printed Name</w:t>
            </w:r>
            <w:r>
              <w:rPr>
                <w:rFonts w:ascii="Arial" w:cs="Arial" w:eastAsia="Arial" w:hAnsi="Arial"/>
                <w:sz w:val="20"/>
                <w:szCs w:val="20"/>
                <w:color w:val="auto"/>
              </w:rPr>
              <w:t>: Silvija Martincevic</w:t>
            </w: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Printed Name</w:t>
            </w:r>
            <w:r>
              <w:rPr>
                <w:rFonts w:ascii="Arial" w:cs="Arial" w:eastAsia="Arial" w:hAnsi="Arial"/>
                <w:sz w:val="20"/>
                <w:szCs w:val="20"/>
                <w:color w:val="auto"/>
              </w:rPr>
              <w:t>: Amy Shapero</w:t>
            </w:r>
          </w:p>
        </w:tc>
        <w:tc>
          <w:tcPr>
            <w:tcW w:w="0" w:type="dxa"/>
            <w:vAlign w:val="bottom"/>
          </w:tcPr>
          <w:p>
            <w:pPr>
              <w:spacing w:after="0"/>
              <w:rPr>
                <w:sz w:val="1"/>
                <w:szCs w:val="1"/>
                <w:color w:val="auto"/>
              </w:rPr>
            </w:pPr>
          </w:p>
        </w:tc>
      </w:tr>
      <w:tr>
        <w:trPr>
          <w:trHeight w:val="211"/>
        </w:trPr>
        <w:tc>
          <w:tcPr>
            <w:tcW w:w="56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 Chief Commercial Officer</w:t>
            </w: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 Chief Financial Officer</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Date</w:t>
            </w:r>
            <w:r>
              <w:rPr>
                <w:rFonts w:ascii="Arial" w:cs="Arial" w:eastAsia="Arial" w:hAnsi="Arial"/>
                <w:sz w:val="20"/>
                <w:szCs w:val="20"/>
                <w:color w:val="auto"/>
              </w:rPr>
              <w:t>: May 6, 2022</w:t>
            </w:r>
          </w:p>
        </w:tc>
        <w:tc>
          <w:tcPr>
            <w:tcW w:w="562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Date</w:t>
            </w:r>
            <w:r>
              <w:rPr>
                <w:rFonts w:ascii="Arial" w:cs="Arial" w:eastAsia="Arial" w:hAnsi="Arial"/>
                <w:sz w:val="20"/>
                <w:szCs w:val="20"/>
                <w:color w:val="auto"/>
              </w:rPr>
              <w:t>: May 6, 2022</w:t>
            </w:r>
          </w:p>
        </w:tc>
        <w:tc>
          <w:tcPr>
            <w:tcW w:w="0" w:type="dxa"/>
            <w:vAlign w:val="bottom"/>
          </w:tcPr>
          <w:p>
            <w:pPr>
              <w:spacing w:after="0"/>
              <w:rPr>
                <w:sz w:val="1"/>
                <w:szCs w:val="1"/>
                <w:color w:val="auto"/>
              </w:rPr>
            </w:pPr>
          </w:p>
        </w:tc>
      </w:tr>
      <w:tr>
        <w:trPr>
          <w:trHeight w:val="211"/>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right="20" w:hanging="652"/>
        <w:spacing w:after="0" w:line="233" w:lineRule="auto"/>
        <w:tabs>
          <w:tab w:leader="none" w:pos="651" w:val="left"/>
        </w:tabs>
        <w:numPr>
          <w:ilvl w:val="0"/>
          <w:numId w:val="73"/>
        </w:numPr>
        <w:rPr>
          <w:rFonts w:ascii="Arial" w:cs="Arial" w:eastAsia="Arial" w:hAnsi="Arial"/>
          <w:sz w:val="19"/>
          <w:szCs w:val="19"/>
          <w:color w:val="auto"/>
        </w:rPr>
      </w:pPr>
      <w:r>
        <w:rPr>
          <w:rFonts w:ascii="Arial" w:cs="Arial" w:eastAsia="Arial" w:hAnsi="Arial"/>
          <w:sz w:val="18"/>
          <w:szCs w:val="18"/>
          <w:b w:val="1"/>
          <w:bCs w:val="1"/>
          <w:color w:val="auto"/>
        </w:rPr>
        <w:t xml:space="preserve">Program Description. </w:t>
      </w:r>
      <w:r>
        <w:rPr>
          <w:rFonts w:ascii="Arial" w:cs="Arial" w:eastAsia="Arial" w:hAnsi="Arial"/>
          <w:sz w:val="18"/>
          <w:szCs w:val="18"/>
          <w:color w:val="auto"/>
        </w:rPr>
        <w:t>The Program will be offered only in the United States, and (at the option of Affirm with Shopify consent) its</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territories. The Financial Product associated with the Program (“</w:t>
      </w:r>
      <w:r>
        <w:rPr>
          <w:rFonts w:ascii="Arial" w:cs="Arial" w:eastAsia="Arial" w:hAnsi="Arial"/>
          <w:sz w:val="18"/>
          <w:szCs w:val="18"/>
          <w:b w:val="1"/>
          <w:bCs w:val="1"/>
          <w:color w:val="auto"/>
        </w:rPr>
        <w:t>High-AOV Product</w:t>
      </w:r>
      <w:r>
        <w:rPr>
          <w:rFonts w:ascii="Arial" w:cs="Arial" w:eastAsia="Arial" w:hAnsi="Arial"/>
          <w:sz w:val="18"/>
          <w:szCs w:val="18"/>
          <w:color w:val="auto"/>
        </w:rPr>
        <w:t>”) shall be a closed-end installment loan product that will bear a [***]% or [***]% APR, will have no late fees, and will have a repayment term of [***], or as otherwise mutually agreed upon by the Parties. The High-AOV Product may be utilized only for orders that are not less than $[***] USD and not greater than $[***] USD, unless otherwise mutually agreed upon by the Parties. Customers may be dynamically offered personalized payment options for each transaction, which may include [***] First Product payments every two weeks, [***] High-AOV Product payments, or both. Affirm will use one or more state-chartered banks or other FDIC-insured institutions (each, a “</w:t>
      </w:r>
      <w:r>
        <w:rPr>
          <w:rFonts w:ascii="Arial" w:cs="Arial" w:eastAsia="Arial" w:hAnsi="Arial"/>
          <w:sz w:val="18"/>
          <w:szCs w:val="18"/>
          <w:b w:val="1"/>
          <w:bCs w:val="1"/>
          <w:color w:val="auto"/>
        </w:rPr>
        <w:t>Bank</w:t>
      </w:r>
      <w:r>
        <w:rPr>
          <w:rFonts w:ascii="Arial" w:cs="Arial" w:eastAsia="Arial" w:hAnsi="Arial"/>
          <w:sz w:val="18"/>
          <w:szCs w:val="18"/>
          <w:color w:val="auto"/>
        </w:rPr>
        <w:t>”) to originate the High-AOV Product for Customers except in Iowa. Solely with respect to Customers in Iowa, Affirm Loan Services, LLC will be the creditor at origination for any Successful Transaction resulting from a Customer’s use of the High-AOV Product, and Affirm Loan Services, LLC will cause payment to be made directly to Eligible Merchant. Notwithstanding Section 5.1 of the Agreement, for purposes of this Second Program Outline, Affirm or its bank partner(s) is responsible for determining and modifying underwriting criteria in its sole discretion in compliance with Applicable Laws.</w:t>
      </w:r>
    </w:p>
    <w:p>
      <w:pPr>
        <w:sectPr>
          <w:pgSz w:w="11900" w:h="16838" w:orient="portrait"/>
          <w:cols w:equalWidth="0" w:num="1">
            <w:col w:w="11260"/>
          </w:cols>
          <w:pgMar w:left="320" w:top="1399" w:right="319" w:bottom="1440" w:gutter="0" w:footer="0" w:header="0"/>
        </w:sectPr>
      </w:pPr>
    </w:p>
    <w:bookmarkStart w:id="191" w:name="page192"/>
    <w:bookmarkEnd w:id="191"/>
    <w:p>
      <w:pPr>
        <w:ind w:left="652" w:hanging="652"/>
        <w:spacing w:after="0" w:line="228" w:lineRule="auto"/>
        <w:tabs>
          <w:tab w:leader="none" w:pos="643" w:val="left"/>
        </w:tabs>
        <w:numPr>
          <w:ilvl w:val="0"/>
          <w:numId w:val="74"/>
        </w:numPr>
        <w:rPr>
          <w:rFonts w:ascii="Arial" w:cs="Arial" w:eastAsia="Arial" w:hAnsi="Arial"/>
          <w:sz w:val="22"/>
          <w:szCs w:val="22"/>
          <w:color w:val="auto"/>
        </w:rPr>
      </w:pPr>
      <w:r>
        <w:rPr>
          <w:rFonts w:ascii="Arial" w:cs="Arial" w:eastAsia="Arial" w:hAnsi="Arial"/>
          <w:sz w:val="20"/>
          <w:szCs w:val="20"/>
          <w:b w:val="1"/>
          <w:bCs w:val="1"/>
          <w:color w:val="auto"/>
        </w:rPr>
        <w:t xml:space="preserve">Product Construct. </w:t>
      </w:r>
      <w:r>
        <w:rPr>
          <w:rFonts w:ascii="Arial" w:cs="Arial" w:eastAsia="Arial" w:hAnsi="Arial"/>
          <w:sz w:val="20"/>
          <w:szCs w:val="20"/>
          <w:color w:val="auto"/>
        </w:rPr>
        <w:t>For purposes of the High-AOV Product only, and regardless of any provisions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have agreed to the following “Product Construct”:</w:t>
      </w:r>
    </w:p>
    <w:p>
      <w:pPr>
        <w:spacing w:after="0" w:line="168" w:lineRule="exact"/>
        <w:rPr>
          <w:rFonts w:ascii="Arial" w:cs="Arial" w:eastAsia="Arial" w:hAnsi="Arial"/>
          <w:sz w:val="22"/>
          <w:szCs w:val="22"/>
          <w:color w:val="auto"/>
        </w:rPr>
      </w:pPr>
    </w:p>
    <w:p>
      <w:pPr>
        <w:ind w:left="1292" w:hanging="644"/>
        <w:spacing w:after="0" w:line="235" w:lineRule="auto"/>
        <w:tabs>
          <w:tab w:leader="none" w:pos="1058" w:val="left"/>
        </w:tabs>
        <w:numPr>
          <w:ilvl w:val="1"/>
          <w:numId w:val="74"/>
        </w:numPr>
        <w:rPr>
          <w:rFonts w:ascii="Arial" w:cs="Arial" w:eastAsia="Arial" w:hAnsi="Arial"/>
          <w:sz w:val="18"/>
          <w:szCs w:val="18"/>
          <w:color w:val="auto"/>
        </w:rPr>
      </w:pPr>
      <w:r>
        <w:rPr>
          <w:rFonts w:ascii="Arial" w:cs="Arial" w:eastAsia="Arial" w:hAnsi="Arial"/>
          <w:sz w:val="18"/>
          <w:szCs w:val="18"/>
          <w:color w:val="auto"/>
        </w:rPr>
        <w:t>Once Affirm has finalized Customer Agreements in consultation with Shopify in accordance with Section 5.1 of the Agreement (provided, that Affirm will have sole control and discretion related to any Customer Agreements), Shopify shall generate a final digital product of such Customer Agreements and render as a payment option for Customers within Shop Pay at checkout on the Platform. In the event a Customer selects the Program option to pay for goods or services, it shall be directed to payment details and underwriting, as agreed upon by both parties. Shopify is responsible to render the Customer Agreements as directed by Affirm and to provide Affirm [***] reports to validate that each Customer viewed the required Customer Agreements. Failure by Shopify to meet its obligation as to the Customer Agreements will subject it to penalties as agreed by the Parties. In addition, Affirm shall have the right to refuse to provide the Program to Customers in the event Shopify does not render the Customer Agreements as directed by Affirm.</w:t>
      </w:r>
    </w:p>
    <w:p>
      <w:pPr>
        <w:spacing w:after="0" w:line="173" w:lineRule="exact"/>
        <w:rPr>
          <w:rFonts w:ascii="Arial" w:cs="Arial" w:eastAsia="Arial" w:hAnsi="Arial"/>
          <w:sz w:val="18"/>
          <w:szCs w:val="18"/>
          <w:color w:val="auto"/>
        </w:rPr>
      </w:pPr>
    </w:p>
    <w:p>
      <w:pPr>
        <w:jc w:val="right"/>
        <w:ind w:left="1292" w:hanging="644"/>
        <w:spacing w:after="0" w:line="238" w:lineRule="auto"/>
        <w:tabs>
          <w:tab w:leader="none" w:pos="1153" w:val="left"/>
        </w:tabs>
        <w:numPr>
          <w:ilvl w:val="1"/>
          <w:numId w:val="74"/>
        </w:numPr>
        <w:rPr>
          <w:rFonts w:ascii="Arial" w:cs="Arial" w:eastAsia="Arial" w:hAnsi="Arial"/>
          <w:sz w:val="18"/>
          <w:szCs w:val="18"/>
          <w:color w:val="auto"/>
        </w:rPr>
      </w:pPr>
      <w:r>
        <w:rPr>
          <w:rFonts w:ascii="Arial" w:cs="Arial" w:eastAsia="Arial" w:hAnsi="Arial"/>
          <w:sz w:val="18"/>
          <w:szCs w:val="18"/>
          <w:color w:val="auto"/>
        </w:rPr>
        <w:t>With respect to data collection at checkout, Bank and Affirm may use the Customer Information provided to it by Shopify through the SHOP App for purposes of providing or underwriting the High-AOV Product to Customers. To the extent additional GLBA NPI is needed by Affirm from the Customer to provide the High-AOV Product, Affirm shall direct Shopify to render and collect the GLBA NPI and ensure its proper use and storage. Shopify is responsible to render the GLBA NPI request and store/use it as directed by Affirm. Upon request, Shopify will provide Affirm with a report to validate its compliance with Affirm’s directions, such compliance to be subject to validation by Affirm through reporting or audit rights.</w:t>
      </w:r>
    </w:p>
    <w:p>
      <w:pPr>
        <w:spacing w:after="0" w:line="172" w:lineRule="exact"/>
        <w:rPr>
          <w:rFonts w:ascii="Arial" w:cs="Arial" w:eastAsia="Arial" w:hAnsi="Arial"/>
          <w:sz w:val="18"/>
          <w:szCs w:val="18"/>
          <w:color w:val="auto"/>
        </w:rPr>
      </w:pPr>
    </w:p>
    <w:p>
      <w:pPr>
        <w:ind w:left="1292" w:hanging="644"/>
        <w:spacing w:after="0" w:line="223" w:lineRule="auto"/>
        <w:tabs>
          <w:tab w:leader="none" w:pos="1137" w:val="left"/>
        </w:tabs>
        <w:numPr>
          <w:ilvl w:val="1"/>
          <w:numId w:val="74"/>
        </w:numPr>
        <w:rPr>
          <w:rFonts w:ascii="Arial" w:cs="Arial" w:eastAsia="Arial" w:hAnsi="Arial"/>
          <w:sz w:val="19"/>
          <w:szCs w:val="19"/>
          <w:color w:val="auto"/>
        </w:rPr>
      </w:pPr>
      <w:r>
        <w:rPr>
          <w:rFonts w:ascii="Arial" w:cs="Arial" w:eastAsia="Arial" w:hAnsi="Arial"/>
          <w:sz w:val="19"/>
          <w:szCs w:val="19"/>
          <w:color w:val="auto"/>
        </w:rPr>
        <w:t>Any Customer electronic mail (“email”) and SMS text communications regarding the terms or repayments of the Financial Product shall be sent by Affirm with mutually agreed upon Shop Pay branding with a link out to the Shop mobile app and from the “[***]” email address with “[***]” as the sender. As to all other communications to Customers, including but not limited to, (i) welcome messages, (ii) general Program information, (iii) general account creation, (iv) general Shop Pay information (check account, update information, etc.), Shopify is permitted to send such communications itself in consultation with Affirm. For purposes of clarity, SMS messaging will be used by Affirm solely for the purposes of recovery efforts and upcoming payment reminders, unless mutually agreed to by the Parties.</w:t>
      </w:r>
    </w:p>
    <w:p>
      <w:pPr>
        <w:spacing w:after="0" w:line="171" w:lineRule="exact"/>
        <w:rPr>
          <w:rFonts w:ascii="Arial" w:cs="Arial" w:eastAsia="Arial" w:hAnsi="Arial"/>
          <w:sz w:val="19"/>
          <w:szCs w:val="19"/>
          <w:color w:val="auto"/>
        </w:rPr>
      </w:pPr>
    </w:p>
    <w:p>
      <w:pPr>
        <w:ind w:left="1292" w:hanging="644"/>
        <w:spacing w:after="0" w:line="238" w:lineRule="auto"/>
        <w:tabs>
          <w:tab w:leader="none" w:pos="1069" w:val="left"/>
        </w:tabs>
        <w:numPr>
          <w:ilvl w:val="1"/>
          <w:numId w:val="74"/>
        </w:numPr>
        <w:rPr>
          <w:rFonts w:ascii="Arial" w:cs="Arial" w:eastAsia="Arial" w:hAnsi="Arial"/>
          <w:sz w:val="18"/>
          <w:szCs w:val="18"/>
          <w:color w:val="auto"/>
        </w:rPr>
      </w:pPr>
      <w:r>
        <w:rPr>
          <w:rFonts w:ascii="Arial" w:cs="Arial" w:eastAsia="Arial" w:hAnsi="Arial"/>
          <w:sz w:val="18"/>
          <w:szCs w:val="18"/>
          <w:color w:val="auto"/>
        </w:rPr>
        <w:t>With respect to the post-purchase user/Customer portal, the Parties agree to have (i) an Affirm embedded link within the SHOP App directing a user to the Affirm user portal and (ii) for users that do not have the SHOP APP, an Affirm hosted webview that shall have the look and feel of the SHOP App user portal. Shopify is responsible for ensuring Affirm’s ability to display the Affirm embedded link within the SHOP App and the Affirm hosted webview on Shopify’s Platform. The Parties agree to work in good faith to move to a fully-hosted API experience (as instructed by Affirm for servicing purposes) to enable the Parties to optimize the Customer’s user experience for the Financial Product as set forth in Section 14 of the Agreement.</w:t>
      </w:r>
    </w:p>
    <w:p>
      <w:pPr>
        <w:spacing w:after="0" w:line="179" w:lineRule="exact"/>
        <w:rPr>
          <w:rFonts w:ascii="Arial" w:cs="Arial" w:eastAsia="Arial" w:hAnsi="Arial"/>
          <w:sz w:val="18"/>
          <w:szCs w:val="18"/>
          <w:color w:val="auto"/>
        </w:rPr>
      </w:pPr>
    </w:p>
    <w:p>
      <w:pPr>
        <w:jc w:val="both"/>
        <w:ind w:left="652" w:hanging="652"/>
        <w:spacing w:after="0"/>
        <w:tabs>
          <w:tab w:leader="none" w:pos="643" w:val="left"/>
        </w:tabs>
        <w:numPr>
          <w:ilvl w:val="0"/>
          <w:numId w:val="74"/>
        </w:numPr>
        <w:rPr>
          <w:rFonts w:ascii="Arial" w:cs="Arial" w:eastAsia="Arial" w:hAnsi="Arial"/>
          <w:sz w:val="19"/>
          <w:szCs w:val="19"/>
          <w:color w:val="auto"/>
        </w:rPr>
      </w:pPr>
      <w:r>
        <w:rPr>
          <w:rFonts w:ascii="Arial" w:cs="Arial" w:eastAsia="Arial" w:hAnsi="Arial"/>
          <w:sz w:val="18"/>
          <w:szCs w:val="18"/>
          <w:b w:val="1"/>
          <w:bCs w:val="1"/>
          <w:color w:val="auto"/>
        </w:rPr>
        <w:t>Launch</w:t>
      </w:r>
      <w:r>
        <w:rPr>
          <w:rFonts w:ascii="Arial" w:cs="Arial" w:eastAsia="Arial" w:hAnsi="Arial"/>
          <w:sz w:val="18"/>
          <w:szCs w:val="18"/>
          <w:color w:val="auto"/>
        </w:rPr>
        <w:t>. The Parties will launch the High-AOV Product on the Platform in two (2 ) phases: (1) Alpha Phase: with a certain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Eligible Merchants to be mutually agreed upon by the Parties (“</w:t>
      </w:r>
      <w:r>
        <w:rPr>
          <w:rFonts w:ascii="Arial" w:cs="Arial" w:eastAsia="Arial" w:hAnsi="Arial"/>
          <w:sz w:val="18"/>
          <w:szCs w:val="18"/>
          <w:b w:val="1"/>
          <w:bCs w:val="1"/>
          <w:color w:val="auto"/>
        </w:rPr>
        <w:t>Alpha Phase</w:t>
      </w:r>
      <w:r>
        <w:rPr>
          <w:rFonts w:ascii="Arial" w:cs="Arial" w:eastAsia="Arial" w:hAnsi="Arial"/>
          <w:sz w:val="18"/>
          <w:szCs w:val="18"/>
          <w:color w:val="auto"/>
        </w:rPr>
        <w:t>”) and launched by the Launch Date, or such other mutually agreed to date; and (2) GA Phase: promptly following the Alpha Phase, (the “</w:t>
      </w:r>
      <w:r>
        <w:rPr>
          <w:rFonts w:ascii="Arial" w:cs="Arial" w:eastAsia="Arial" w:hAnsi="Arial"/>
          <w:sz w:val="18"/>
          <w:szCs w:val="18"/>
          <w:b w:val="1"/>
          <w:bCs w:val="1"/>
          <w:color w:val="auto"/>
        </w:rPr>
        <w:t>GA Phase</w:t>
      </w:r>
      <w:r>
        <w:rPr>
          <w:rFonts w:ascii="Arial" w:cs="Arial" w:eastAsia="Arial" w:hAnsi="Arial"/>
          <w:sz w:val="18"/>
          <w:szCs w:val="18"/>
          <w:color w:val="auto"/>
        </w:rPr>
        <w:t>”). Prior to the launch of the High-AOV Product with each potential Eligible Merchant, Shopify shall cause such Merchant to enter into a Merchant Agreement, or amendment to the existent Eligible Merchant has already entered into a Merchant Agreement with Affirm, which Merchant Agreement shall be substantially in the form attached as Exhibit E to the Agreement, between Affirm and such</w:t>
      </w:r>
    </w:p>
    <w:p>
      <w:pPr>
        <w:sectPr>
          <w:pgSz w:w="11900" w:h="16838" w:orient="portrait"/>
          <w:cols w:equalWidth="0" w:num="1">
            <w:col w:w="11232"/>
          </w:cols>
          <w:pgMar w:left="328" w:top="1413" w:right="339" w:bottom="1440" w:gutter="0" w:footer="0" w:header="0"/>
        </w:sectPr>
      </w:pPr>
    </w:p>
    <w:bookmarkStart w:id="192" w:name="page193"/>
    <w:bookmarkEnd w:id="192"/>
    <w:p>
      <w:pPr>
        <w:ind w:left="652"/>
        <w:spacing w:after="0"/>
        <w:rPr>
          <w:sz w:val="20"/>
          <w:szCs w:val="20"/>
          <w:color w:val="auto"/>
        </w:rPr>
      </w:pPr>
      <w:r>
        <w:rPr>
          <w:rFonts w:ascii="Arial" w:cs="Arial" w:eastAsia="Arial" w:hAnsi="Arial"/>
          <w:sz w:val="18"/>
          <w:szCs w:val="18"/>
          <w:color w:val="auto"/>
        </w:rPr>
        <w:t>Merchant (each, a “</w:t>
      </w:r>
      <w:r>
        <w:rPr>
          <w:rFonts w:ascii="Arial" w:cs="Arial" w:eastAsia="Arial" w:hAnsi="Arial"/>
          <w:sz w:val="18"/>
          <w:szCs w:val="18"/>
          <w:b w:val="1"/>
          <w:bCs w:val="1"/>
          <w:color w:val="auto"/>
        </w:rPr>
        <w:t>Merchant Agreement</w:t>
      </w:r>
      <w:r>
        <w:rPr>
          <w:rFonts w:ascii="Arial" w:cs="Arial" w:eastAsia="Arial" w:hAnsi="Arial"/>
          <w:sz w:val="18"/>
          <w:szCs w:val="18"/>
          <w:color w:val="auto"/>
        </w:rPr>
        <w:t>”). After the GA Phase, (A) Shopify agrees to make the High-AOV Product the default</w:t>
      </w:r>
    </w:p>
    <w:p>
      <w:pPr>
        <w:spacing w:after="0" w:line="18" w:lineRule="exact"/>
        <w:rPr>
          <w:sz w:val="20"/>
          <w:szCs w:val="20"/>
          <w:color w:val="auto"/>
        </w:rPr>
      </w:pPr>
    </w:p>
    <w:p>
      <w:pPr>
        <w:ind w:left="652" w:right="20"/>
        <w:spacing w:after="0" w:line="220" w:lineRule="auto"/>
        <w:rPr>
          <w:sz w:val="20"/>
          <w:szCs w:val="20"/>
          <w:color w:val="auto"/>
        </w:rPr>
      </w:pPr>
      <w:r>
        <w:rPr>
          <w:rFonts w:ascii="Arial" w:cs="Arial" w:eastAsia="Arial" w:hAnsi="Arial"/>
          <w:sz w:val="20"/>
          <w:szCs w:val="20"/>
          <w:color w:val="auto"/>
        </w:rPr>
        <w:t>Financial Product for all net-new Eligible Merchants and (B) Shopify and Affirm will use commercially reasonable efforts to offer the High-AOV Product as the default Financial Product for all existing Eligible Merchants.</w:t>
      </w:r>
    </w:p>
    <w:p>
      <w:pPr>
        <w:spacing w:after="0" w:line="177" w:lineRule="exact"/>
        <w:rPr>
          <w:sz w:val="20"/>
          <w:szCs w:val="20"/>
          <w:color w:val="auto"/>
        </w:rPr>
      </w:pPr>
    </w:p>
    <w:p>
      <w:pPr>
        <w:ind w:left="632" w:hanging="632"/>
        <w:spacing w:after="0"/>
        <w:tabs>
          <w:tab w:leader="none" w:pos="632" w:val="left"/>
        </w:tabs>
        <w:numPr>
          <w:ilvl w:val="0"/>
          <w:numId w:val="75"/>
        </w:numPr>
        <w:rPr>
          <w:rFonts w:ascii="Arial" w:cs="Arial" w:eastAsia="Arial" w:hAnsi="Arial"/>
          <w:sz w:val="22"/>
          <w:szCs w:val="22"/>
          <w:color w:val="auto"/>
        </w:rPr>
      </w:pPr>
      <w:r>
        <w:rPr>
          <w:rFonts w:ascii="Arial" w:cs="Arial" w:eastAsia="Arial" w:hAnsi="Arial"/>
          <w:sz w:val="20"/>
          <w:szCs w:val="20"/>
          <w:b w:val="1"/>
          <w:bCs w:val="1"/>
          <w:color w:val="auto"/>
        </w:rPr>
        <w:t>Merchant Engagement, Marketing and Migration</w:t>
      </w:r>
      <w:r>
        <w:rPr>
          <w:rFonts w:ascii="Arial" w:cs="Arial" w:eastAsia="Arial" w:hAnsi="Arial"/>
          <w:sz w:val="20"/>
          <w:szCs w:val="20"/>
          <w:color w:val="auto"/>
        </w:rPr>
        <w:t>.</w:t>
      </w:r>
    </w:p>
    <w:p>
      <w:pPr>
        <w:spacing w:after="0" w:line="185" w:lineRule="exact"/>
        <w:rPr>
          <w:rFonts w:ascii="Arial" w:cs="Arial" w:eastAsia="Arial" w:hAnsi="Arial"/>
          <w:sz w:val="22"/>
          <w:szCs w:val="22"/>
          <w:color w:val="auto"/>
        </w:rPr>
      </w:pPr>
    </w:p>
    <w:p>
      <w:pPr>
        <w:jc w:val="both"/>
        <w:ind w:left="1292" w:hanging="644"/>
        <w:spacing w:after="0" w:line="213" w:lineRule="auto"/>
        <w:tabs>
          <w:tab w:leader="none" w:pos="1284" w:val="left"/>
        </w:tabs>
        <w:numPr>
          <w:ilvl w:val="1"/>
          <w:numId w:val="75"/>
        </w:numPr>
        <w:rPr>
          <w:rFonts w:ascii="Arial" w:cs="Arial" w:eastAsia="Arial" w:hAnsi="Arial"/>
          <w:sz w:val="22"/>
          <w:szCs w:val="22"/>
          <w:color w:val="auto"/>
        </w:rPr>
      </w:pPr>
      <w:r>
        <w:rPr>
          <w:rFonts w:ascii="Arial" w:cs="Arial" w:eastAsia="Arial" w:hAnsi="Arial"/>
          <w:sz w:val="20"/>
          <w:szCs w:val="20"/>
          <w:color w:val="auto"/>
        </w:rPr>
        <w:t>With respect to Merchant engagement and marketing, Shopify agrees to: (i) consult with Affirm on its plan for engagement with potential Eligible Merchants; (ii) to use commercially reasonable efforts to launch the High-AOV Product with all potential Eligible Merchants on the Platform during the GA Phase; (iii) to use commercially reasonable efforts to configure the Platform such that all Eligible Merchants will have the option, by default, to offer the Financial Product to Customers; (iv) work with Affirm in good faith to develop a marketing plan for the Program; and (v) work with Affirm in good faith to drive repeat purchases for the program.</w:t>
      </w:r>
    </w:p>
    <w:p>
      <w:pPr>
        <w:spacing w:after="0" w:line="172" w:lineRule="exact"/>
        <w:rPr>
          <w:rFonts w:ascii="Arial" w:cs="Arial" w:eastAsia="Arial" w:hAnsi="Arial"/>
          <w:sz w:val="22"/>
          <w:szCs w:val="22"/>
          <w:color w:val="auto"/>
        </w:rPr>
      </w:pPr>
    </w:p>
    <w:p>
      <w:pPr>
        <w:jc w:val="both"/>
        <w:ind w:left="1292" w:hanging="644"/>
        <w:spacing w:after="0" w:line="219" w:lineRule="auto"/>
        <w:tabs>
          <w:tab w:leader="none" w:pos="1283" w:val="left"/>
        </w:tabs>
        <w:numPr>
          <w:ilvl w:val="1"/>
          <w:numId w:val="75"/>
        </w:numPr>
        <w:rPr>
          <w:rFonts w:ascii="Arial" w:cs="Arial" w:eastAsia="Arial" w:hAnsi="Arial"/>
          <w:sz w:val="21"/>
          <w:szCs w:val="21"/>
          <w:color w:val="auto"/>
        </w:rPr>
      </w:pPr>
      <w:r>
        <w:rPr>
          <w:rFonts w:ascii="Arial" w:cs="Arial" w:eastAsia="Arial" w:hAnsi="Arial"/>
          <w:sz w:val="19"/>
          <w:szCs w:val="19"/>
          <w:color w:val="auto"/>
        </w:rPr>
        <w:t>At such time prior to the Target Migration Date, Affirm will use commercially reasonable efforts to migrate to the High AOV Product any High-AOV Migration Eligible Merchant (the “</w:t>
      </w:r>
      <w:r>
        <w:rPr>
          <w:rFonts w:ascii="Arial" w:cs="Arial" w:eastAsia="Arial" w:hAnsi="Arial"/>
          <w:sz w:val="19"/>
          <w:szCs w:val="19"/>
          <w:b w:val="1"/>
          <w:bCs w:val="1"/>
          <w:color w:val="auto"/>
        </w:rPr>
        <w:t>Migration</w:t>
      </w:r>
      <w:r>
        <w:rPr>
          <w:rFonts w:ascii="Arial" w:cs="Arial" w:eastAsia="Arial" w:hAnsi="Arial"/>
          <w:sz w:val="19"/>
          <w:szCs w:val="19"/>
          <w:color w:val="auto"/>
        </w:rPr>
        <w:t>”); provided, that Shopify will maintain existing merchant fees and Financing Programs that a Merchant currently has on a Direct Affirm Integration (“</w:t>
      </w:r>
      <w:r>
        <w:rPr>
          <w:rFonts w:ascii="Arial" w:cs="Arial" w:eastAsia="Arial" w:hAnsi="Arial"/>
          <w:sz w:val="19"/>
          <w:szCs w:val="19"/>
          <w:b w:val="1"/>
          <w:bCs w:val="1"/>
          <w:color w:val="auto"/>
        </w:rPr>
        <w:t>Existing Merchant</w:t>
      </w:r>
      <w:r>
        <w:rPr>
          <w:rFonts w:ascii="Arial" w:cs="Arial" w:eastAsia="Arial" w:hAnsi="Arial"/>
          <w:sz w:val="19"/>
          <w:szCs w:val="19"/>
          <w:color w:val="auto"/>
        </w:rPr>
        <w:t xml:space="preserve"> </w:t>
      </w:r>
      <w:r>
        <w:rPr>
          <w:rFonts w:ascii="Arial" w:cs="Arial" w:eastAsia="Arial" w:hAnsi="Arial"/>
          <w:sz w:val="19"/>
          <w:szCs w:val="19"/>
          <w:b w:val="1"/>
          <w:bCs w:val="1"/>
          <w:color w:val="auto"/>
        </w:rPr>
        <w:t>Fees</w:t>
      </w:r>
      <w:r>
        <w:rPr>
          <w:rFonts w:ascii="Arial" w:cs="Arial" w:eastAsia="Arial" w:hAnsi="Arial"/>
          <w:sz w:val="19"/>
          <w:szCs w:val="19"/>
          <w:color w:val="auto"/>
        </w:rPr>
        <w:t>”), unless otherwise agreed to by the Parties. As it pertains to managing the complexities of merchant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programs, Affirm will use commercially reasonable efforts to build a programmatic way of sharing merchant financing programs with Shopify. The parties will work in good faith to determine the most optimized way to allow Shopify to receive the necessary merchant financing program information in an automated fashion and to provide all operational support required to implement mutually agreed upon merchant pricing customizations by [***]. Further, Shopify and Affirm will collaborate and work in good faith to maintain or increase the value each Merchant currently receives with the High-AOV Product versus a Direct Affirm Integration. Shopify acknowledges that Affirm’s ability and responsibility to migrate such Merchants is subject to existing contractual restrictions between such Merchants and Affirm, but Affirm agrees to take all reasonable steps to notify and migrate Merchants to Shopify; provided, that Shopify and Affirm will work in good faith to prevent termination of the Program by Migrated Merchants. Once complete for each Migrated Merchant, Shopify's associated revenue share will be determined by Section 2 “Migrated Merchants” of Addendum A-1 to Exhibit A-2 attached hereto for each Migrated Merchant that signs up for the High AOV Product, subject to the Migrated Merchant Transition Volume described therein. “</w:t>
      </w:r>
      <w:r>
        <w:rPr>
          <w:rFonts w:ascii="Arial" w:cs="Arial" w:eastAsia="Arial" w:hAnsi="Arial"/>
          <w:sz w:val="19"/>
          <w:szCs w:val="19"/>
          <w:b w:val="1"/>
          <w:bCs w:val="1"/>
          <w:color w:val="auto"/>
        </w:rPr>
        <w:t>High-AOV Migration Eligible Merchant</w:t>
      </w:r>
      <w:r>
        <w:rPr>
          <w:rFonts w:ascii="Arial" w:cs="Arial" w:eastAsia="Arial" w:hAnsi="Arial"/>
          <w:sz w:val="19"/>
          <w:szCs w:val="19"/>
          <w:color w:val="auto"/>
        </w:rPr>
        <w:t>” means any Eligible Merchant that, as of a mutually agreed upon date that is prior to the Target Migration Date (not to be less than [***] days before the Target Migration Date), is: (i) on the Shopify platform, (ii) has enabled Shopify Payments and Shop Pay, (iii) utilizing an Affirm product substantially similar to the High AOV Product (the “</w:t>
      </w:r>
      <w:r>
        <w:rPr>
          <w:rFonts w:ascii="Arial" w:cs="Arial" w:eastAsia="Arial" w:hAnsi="Arial"/>
          <w:sz w:val="19"/>
          <w:szCs w:val="19"/>
          <w:b w:val="1"/>
          <w:bCs w:val="1"/>
          <w:color w:val="auto"/>
        </w:rPr>
        <w:t>Direct Affirm Integration</w:t>
      </w:r>
      <w:r>
        <w:rPr>
          <w:rFonts w:ascii="Arial" w:cs="Arial" w:eastAsia="Arial" w:hAnsi="Arial"/>
          <w:sz w:val="19"/>
          <w:szCs w:val="19"/>
          <w:color w:val="auto"/>
        </w:rPr>
        <w:t>”). “</w:t>
      </w:r>
      <w:r>
        <w:rPr>
          <w:rFonts w:ascii="Arial" w:cs="Arial" w:eastAsia="Arial" w:hAnsi="Arial"/>
          <w:sz w:val="19"/>
          <w:szCs w:val="19"/>
          <w:b w:val="1"/>
          <w:bCs w:val="1"/>
          <w:color w:val="auto"/>
        </w:rPr>
        <w:t>Target Migration Date</w:t>
      </w:r>
      <w:r>
        <w:rPr>
          <w:rFonts w:ascii="Arial" w:cs="Arial" w:eastAsia="Arial" w:hAnsi="Arial"/>
          <w:sz w:val="19"/>
          <w:szCs w:val="19"/>
          <w:color w:val="auto"/>
        </w:rPr>
        <w:t>” means [***]; provided that Affirm may extend such date for up to [***]. “</w:t>
      </w:r>
      <w:r>
        <w:rPr>
          <w:rFonts w:ascii="Arial" w:cs="Arial" w:eastAsia="Arial" w:hAnsi="Arial"/>
          <w:sz w:val="19"/>
          <w:szCs w:val="19"/>
          <w:b w:val="1"/>
          <w:bCs w:val="1"/>
          <w:color w:val="auto"/>
        </w:rPr>
        <w:t>Financing Programs</w:t>
      </w:r>
      <w:r>
        <w:rPr>
          <w:rFonts w:ascii="Arial" w:cs="Arial" w:eastAsia="Arial" w:hAnsi="Arial"/>
          <w:sz w:val="19"/>
          <w:szCs w:val="19"/>
          <w:color w:val="auto"/>
        </w:rPr>
        <w:t>” means cart ceilings, cart floors, loan term lengths and Customer APR terms.</w:t>
      </w:r>
    </w:p>
    <w:p>
      <w:pPr>
        <w:spacing w:after="0" w:line="179" w:lineRule="exact"/>
        <w:rPr>
          <w:rFonts w:ascii="Arial" w:cs="Arial" w:eastAsia="Arial" w:hAnsi="Arial"/>
          <w:sz w:val="21"/>
          <w:szCs w:val="21"/>
          <w:color w:val="auto"/>
        </w:rPr>
      </w:pPr>
    </w:p>
    <w:p>
      <w:pPr>
        <w:ind w:left="1292" w:hanging="644"/>
        <w:spacing w:after="0" w:line="271" w:lineRule="auto"/>
        <w:tabs>
          <w:tab w:leader="none" w:pos="1284" w:val="left"/>
        </w:tabs>
        <w:numPr>
          <w:ilvl w:val="1"/>
          <w:numId w:val="75"/>
        </w:numPr>
        <w:rPr>
          <w:rFonts w:ascii="Arial" w:cs="Arial" w:eastAsia="Arial" w:hAnsi="Arial"/>
          <w:sz w:val="19"/>
          <w:szCs w:val="19"/>
          <w:color w:val="auto"/>
        </w:rPr>
      </w:pPr>
      <w:r>
        <w:rPr>
          <w:rFonts w:ascii="Arial" w:cs="Arial" w:eastAsia="Arial" w:hAnsi="Arial"/>
          <w:sz w:val="18"/>
          <w:szCs w:val="18"/>
          <w:color w:val="auto"/>
        </w:rPr>
        <w:t>The Parties will work in good faith and take commercially reasonable efforts to achieve the launch timeline as indicated in the Alpha Phase, the GA Phase and the migration of Merchants as referenced in 4(b) above to the High AOV Product.</w:t>
      </w:r>
    </w:p>
    <w:p>
      <w:pPr>
        <w:spacing w:after="0" w:line="148" w:lineRule="exact"/>
        <w:rPr>
          <w:rFonts w:ascii="Arial" w:cs="Arial" w:eastAsia="Arial" w:hAnsi="Arial"/>
          <w:sz w:val="19"/>
          <w:szCs w:val="19"/>
          <w:color w:val="auto"/>
        </w:rPr>
      </w:pPr>
    </w:p>
    <w:p>
      <w:pPr>
        <w:jc w:val="both"/>
        <w:ind w:left="652" w:hanging="652"/>
        <w:spacing w:after="0" w:line="222" w:lineRule="auto"/>
        <w:tabs>
          <w:tab w:leader="none" w:pos="643" w:val="left"/>
        </w:tabs>
        <w:numPr>
          <w:ilvl w:val="0"/>
          <w:numId w:val="75"/>
        </w:numPr>
        <w:rPr>
          <w:rFonts w:ascii="Arial" w:cs="Arial" w:eastAsia="Arial" w:hAnsi="Arial"/>
          <w:sz w:val="22"/>
          <w:szCs w:val="22"/>
          <w:color w:val="auto"/>
        </w:rPr>
      </w:pPr>
      <w:r>
        <w:rPr>
          <w:rFonts w:ascii="Arial" w:cs="Arial" w:eastAsia="Arial" w:hAnsi="Arial"/>
          <w:sz w:val="20"/>
          <w:szCs w:val="20"/>
          <w:b w:val="1"/>
          <w:bCs w:val="1"/>
          <w:color w:val="auto"/>
        </w:rPr>
        <w:t>High-AOV Product Placement</w:t>
      </w:r>
      <w:r>
        <w:rPr>
          <w:rFonts w:ascii="Arial" w:cs="Arial" w:eastAsia="Arial" w:hAnsi="Arial"/>
          <w:sz w:val="20"/>
          <w:szCs w:val="20"/>
          <w:color w:val="auto"/>
        </w:rPr>
        <w:t>. Shopify agrees to consult with Affirm on best practices for product placement of the High-AOV</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and to suggest, if applicable, product placement to Eligible Merchants on home page, product page, cart page, and checkout. Notwithstanding the</w:t>
      </w:r>
    </w:p>
    <w:p>
      <w:pPr>
        <w:sectPr>
          <w:pgSz w:w="11900" w:h="16838" w:orient="portrait"/>
          <w:cols w:equalWidth="0" w:num="1">
            <w:col w:w="11232"/>
          </w:cols>
          <w:pgMar w:left="328" w:top="1399" w:right="339" w:bottom="1440" w:gutter="0" w:footer="0" w:header="0"/>
        </w:sectPr>
      </w:pPr>
    </w:p>
    <w:bookmarkStart w:id="193" w:name="page194"/>
    <w:bookmarkEnd w:id="193"/>
    <w:p>
      <w:pPr>
        <w:ind w:left="652"/>
        <w:spacing w:after="0"/>
        <w:rPr>
          <w:sz w:val="20"/>
          <w:szCs w:val="20"/>
          <w:color w:val="auto"/>
        </w:rPr>
      </w:pPr>
      <w:r>
        <w:rPr>
          <w:rFonts w:ascii="Arial" w:cs="Arial" w:eastAsia="Arial" w:hAnsi="Arial"/>
          <w:sz w:val="20"/>
          <w:szCs w:val="20"/>
          <w:color w:val="auto"/>
        </w:rPr>
        <w:t>preceding sentence, product placement shall ultimately be determined in Shopify’s and its Merchants’ discretion.</w:t>
      </w:r>
    </w:p>
    <w:p>
      <w:pPr>
        <w:spacing w:after="0" w:line="196" w:lineRule="exact"/>
        <w:rPr>
          <w:sz w:val="20"/>
          <w:szCs w:val="20"/>
          <w:color w:val="auto"/>
        </w:rPr>
      </w:pPr>
    </w:p>
    <w:p>
      <w:pPr>
        <w:ind w:left="632" w:hanging="632"/>
        <w:spacing w:after="0"/>
        <w:tabs>
          <w:tab w:leader="none" w:pos="632" w:val="left"/>
        </w:tabs>
        <w:numPr>
          <w:ilvl w:val="0"/>
          <w:numId w:val="76"/>
        </w:numPr>
        <w:rPr>
          <w:rFonts w:ascii="Arial" w:cs="Arial" w:eastAsia="Arial" w:hAnsi="Arial"/>
          <w:sz w:val="22"/>
          <w:szCs w:val="22"/>
          <w:color w:val="auto"/>
        </w:rPr>
      </w:pPr>
      <w:r>
        <w:rPr>
          <w:rFonts w:ascii="Arial" w:cs="Arial" w:eastAsia="Arial" w:hAnsi="Arial"/>
          <w:sz w:val="20"/>
          <w:szCs w:val="20"/>
          <w:b w:val="1"/>
          <w:bCs w:val="1"/>
          <w:color w:val="auto"/>
        </w:rPr>
        <w:t>Merchant Fees and Payout.</w:t>
      </w:r>
    </w:p>
    <w:p>
      <w:pPr>
        <w:spacing w:after="0" w:line="171" w:lineRule="exact"/>
        <w:rPr>
          <w:rFonts w:ascii="Arial" w:cs="Arial" w:eastAsia="Arial" w:hAnsi="Arial"/>
          <w:sz w:val="22"/>
          <w:szCs w:val="22"/>
          <w:color w:val="auto"/>
        </w:rPr>
      </w:pPr>
    </w:p>
    <w:p>
      <w:pPr>
        <w:jc w:val="both"/>
        <w:ind w:left="1292" w:hanging="644"/>
        <w:spacing w:after="0" w:line="238" w:lineRule="auto"/>
        <w:tabs>
          <w:tab w:leader="none" w:pos="128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Merchant Fees</w:t>
      </w:r>
      <w:r>
        <w:rPr>
          <w:rFonts w:ascii="Arial" w:cs="Arial" w:eastAsia="Arial" w:hAnsi="Arial"/>
          <w:sz w:val="18"/>
          <w:szCs w:val="18"/>
          <w:color w:val="auto"/>
        </w:rPr>
        <w:t>. Each Eligible Merchant that makes the High-AOV Product available to its customers shall pay fees to Affirm as set forth in the applicable Merchant Agreement and as determined by Shopify. Generally, fees to be paid by an Eligible Merchant to Affirm (“</w:t>
      </w:r>
      <w:r>
        <w:rPr>
          <w:rFonts w:ascii="Arial" w:cs="Arial" w:eastAsia="Arial" w:hAnsi="Arial"/>
          <w:sz w:val="18"/>
          <w:szCs w:val="18"/>
          <w:b w:val="1"/>
          <w:bCs w:val="1"/>
          <w:color w:val="auto"/>
        </w:rPr>
        <w:t>Merchant Fees</w:t>
      </w:r>
      <w:r>
        <w:rPr>
          <w:rFonts w:ascii="Arial" w:cs="Arial" w:eastAsia="Arial" w:hAnsi="Arial"/>
          <w:sz w:val="18"/>
          <w:szCs w:val="18"/>
          <w:color w:val="auto"/>
        </w:rPr>
        <w:t>”) shall equal the sum of a percentage of the [***] amount (including any [***] made by a Customer at the time of purchase) of each sale approved by Affirm and captured by an Eligible Merchant (each, a “</w:t>
      </w:r>
      <w:r>
        <w:rPr>
          <w:rFonts w:ascii="Arial" w:cs="Arial" w:eastAsia="Arial" w:hAnsi="Arial"/>
          <w:sz w:val="18"/>
          <w:szCs w:val="18"/>
          <w:b w:val="1"/>
          <w:bCs w:val="1"/>
          <w:color w:val="auto"/>
        </w:rPr>
        <w:t>Successful Transaction</w:t>
      </w:r>
      <w:r>
        <w:rPr>
          <w:rFonts w:ascii="Arial" w:cs="Arial" w:eastAsia="Arial" w:hAnsi="Arial"/>
          <w:sz w:val="18"/>
          <w:szCs w:val="18"/>
          <w:color w:val="auto"/>
        </w:rPr>
        <w:t>”), in each case, in accordance with the applicable Merchant Agreement. The tiers of Merchant Fees that may be offered to a Merchant are set forth in the tables on Addendum A-1 to Exhibit A- 2.</w:t>
      </w:r>
    </w:p>
    <w:p>
      <w:pPr>
        <w:spacing w:after="0" w:line="185" w:lineRule="exact"/>
        <w:rPr>
          <w:rFonts w:ascii="Arial" w:cs="Arial" w:eastAsia="Arial" w:hAnsi="Arial"/>
          <w:sz w:val="18"/>
          <w:szCs w:val="18"/>
          <w:color w:val="auto"/>
        </w:rPr>
      </w:pPr>
    </w:p>
    <w:p>
      <w:pPr>
        <w:jc w:val="both"/>
        <w:ind w:left="1292" w:hanging="644"/>
        <w:spacing w:after="0" w:line="231" w:lineRule="auto"/>
        <w:tabs>
          <w:tab w:leader="none" w:pos="1283" w:val="left"/>
        </w:tabs>
        <w:numPr>
          <w:ilvl w:val="1"/>
          <w:numId w:val="76"/>
        </w:numPr>
        <w:rPr>
          <w:rFonts w:ascii="Arial" w:cs="Arial" w:eastAsia="Arial" w:hAnsi="Arial"/>
          <w:sz w:val="19"/>
          <w:szCs w:val="19"/>
          <w:color w:val="auto"/>
        </w:rPr>
      </w:pPr>
      <w:r>
        <w:rPr>
          <w:rFonts w:ascii="Arial" w:cs="Arial" w:eastAsia="Arial" w:hAnsi="Arial"/>
          <w:sz w:val="18"/>
          <w:szCs w:val="18"/>
          <w:u w:val="single" w:color="auto"/>
          <w:color w:val="auto"/>
        </w:rPr>
        <w:t>Payouts to Eligible Merchants</w:t>
      </w:r>
      <w:r>
        <w:rPr>
          <w:rFonts w:ascii="Arial" w:cs="Arial" w:eastAsia="Arial" w:hAnsi="Arial"/>
          <w:sz w:val="18"/>
          <w:szCs w:val="18"/>
          <w:color w:val="auto"/>
        </w:rPr>
        <w:t>. Affirm and/or its Affiliates shall disburse funds in connection with the Program to each Eligible Merchant in accordance with this Section 6(b) and as stated in the applicable Merchant Agreement. Each Eligible Merchant shall establish and maintain a U.S. depository account in good standing (each, a “</w:t>
      </w:r>
      <w:r>
        <w:rPr>
          <w:rFonts w:ascii="Arial" w:cs="Arial" w:eastAsia="Arial" w:hAnsi="Arial"/>
          <w:sz w:val="18"/>
          <w:szCs w:val="18"/>
          <w:b w:val="1"/>
          <w:bCs w:val="1"/>
          <w:color w:val="auto"/>
        </w:rPr>
        <w:t>Bank Account</w:t>
      </w:r>
      <w:r>
        <w:rPr>
          <w:rFonts w:ascii="Arial" w:cs="Arial" w:eastAsia="Arial" w:hAnsi="Arial"/>
          <w:sz w:val="18"/>
          <w:szCs w:val="18"/>
          <w:color w:val="auto"/>
        </w:rPr>
        <w:t>”) in accordance with the Merchant Agreement. Subject to Affirm’s Risk Approval Process (as applicable), within [***] business days following a Successful Transaction, Affirm shall provide to the Eligible Merchant a report setting forth all Successful Transactions, and shall also initiate a transfer of Settlement Funds (which shall include the gross amount of the Successful Transaction, less Merchant Fees as applicable, refunds and any items held in suspense as dispute items, as further defined in each Merchant Agreement) for all Successful Transactions to the Eligible Merchant’s Bank Account in accordance with the Merchant Agreement (each, a “</w:t>
      </w:r>
      <w:r>
        <w:rPr>
          <w:rFonts w:ascii="Arial" w:cs="Arial" w:eastAsia="Arial" w:hAnsi="Arial"/>
          <w:sz w:val="18"/>
          <w:szCs w:val="18"/>
          <w:b w:val="1"/>
          <w:bCs w:val="1"/>
          <w:color w:val="auto"/>
        </w:rPr>
        <w:t>Payout</w:t>
      </w:r>
      <w:r>
        <w:rPr>
          <w:rFonts w:ascii="Arial" w:cs="Arial" w:eastAsia="Arial" w:hAnsi="Arial"/>
          <w:sz w:val="18"/>
          <w:szCs w:val="18"/>
          <w:color w:val="auto"/>
        </w:rPr>
        <w:t xml:space="preserve">”). Eligible Merchants shall receive daily settlements (aggregated to the extent possible) from Affirm and its Affiliates with respect to all Successful Transactions occurring on each business day. Any amounts due from Merchants to Affirm in accordance with the Merchant Agreements shall be deducted by Affirm from Payouts to the Eligible Merchant’s Bank Account. In the event that a Payout results in a negative balance, then Affirm shall debit the Bank Account for the negative amounts owed. If the debit of the Bank Account for the amounts owed fails, Affirm agrees to work with Shopify on agreed-upon logic as to the number of debit attempts and time frame, after which Affirm may then deduct the negative balance amount owed from Shopify Fees and payouts that are more than [***] past due at the end of the applicable month. If Affirm terminates the Merchant Agreement as a result of an Eligible Merchant’s failure to meet the eligibility criteria in </w:t>
      </w:r>
      <w:r>
        <w:rPr>
          <w:rFonts w:ascii="Arial" w:cs="Arial" w:eastAsia="Arial" w:hAnsi="Arial"/>
          <w:sz w:val="18"/>
          <w:szCs w:val="18"/>
          <w:b w:val="1"/>
          <w:bCs w:val="1"/>
          <w:color w:val="auto"/>
        </w:rPr>
        <w:t>Affirm’s Risk Review Process</w:t>
      </w:r>
      <w:r>
        <w:rPr>
          <w:rFonts w:ascii="Arial" w:cs="Arial" w:eastAsia="Arial" w:hAnsi="Arial"/>
          <w:sz w:val="18"/>
          <w:szCs w:val="18"/>
          <w:color w:val="auto"/>
        </w:rPr>
        <w:t xml:space="preserve"> (which means the process by which Affirm reviews, assesses, and analyzes an Eligible Merchant’s risk compared to Affirm’s eligibility criteria, including, without limitation, confirmation that the applicable Eligible Merchant does not violate Affirm’s Prohibited Business Policy) prior to a Payout, Affirm will not be liable for the Eligible Merchant’s loss relating to the sale of its goods or services in violation of the Prohibited Business Policy, provided that Affirm has notified Shopify as soon as practicable but no later than [***] Business Days following the Eligible Merchant’s acceptance of the Merchant Agreement that the Eligible Merchant fails to meet the Affirm Risk Review Process. The Parties agree to work together in good faith to mitigate both Merchant and Customer losses relating to the sale of its goods or services in violation of the Prohibited Business Policy.</w:t>
      </w:r>
    </w:p>
    <w:p>
      <w:pPr>
        <w:spacing w:after="0" w:line="183" w:lineRule="exact"/>
        <w:rPr>
          <w:rFonts w:ascii="Arial" w:cs="Arial" w:eastAsia="Arial" w:hAnsi="Arial"/>
          <w:sz w:val="19"/>
          <w:szCs w:val="19"/>
          <w:color w:val="auto"/>
        </w:rPr>
      </w:pPr>
    </w:p>
    <w:p>
      <w:pPr>
        <w:ind w:left="632" w:hanging="632"/>
        <w:spacing w:after="0"/>
        <w:tabs>
          <w:tab w:leader="none" w:pos="632" w:val="left"/>
        </w:tabs>
        <w:numPr>
          <w:ilvl w:val="0"/>
          <w:numId w:val="76"/>
        </w:numPr>
        <w:rPr>
          <w:rFonts w:ascii="Arial" w:cs="Arial" w:eastAsia="Arial" w:hAnsi="Arial"/>
          <w:sz w:val="22"/>
          <w:szCs w:val="22"/>
          <w:color w:val="auto"/>
        </w:rPr>
      </w:pPr>
      <w:r>
        <w:rPr>
          <w:rFonts w:ascii="Arial" w:cs="Arial" w:eastAsia="Arial" w:hAnsi="Arial"/>
          <w:sz w:val="20"/>
          <w:szCs w:val="20"/>
          <w:b w:val="1"/>
          <w:bCs w:val="1"/>
          <w:color w:val="auto"/>
        </w:rPr>
        <w:t>Shopify Fees and Payout.</w:t>
      </w:r>
    </w:p>
    <w:p>
      <w:pPr>
        <w:spacing w:after="0" w:line="179" w:lineRule="exact"/>
        <w:rPr>
          <w:rFonts w:ascii="Arial" w:cs="Arial" w:eastAsia="Arial" w:hAnsi="Arial"/>
          <w:sz w:val="22"/>
          <w:szCs w:val="22"/>
          <w:color w:val="auto"/>
        </w:rPr>
      </w:pPr>
    </w:p>
    <w:p>
      <w:pPr>
        <w:ind w:left="1292" w:hanging="644"/>
        <w:spacing w:after="0" w:line="228" w:lineRule="auto"/>
        <w:tabs>
          <w:tab w:leader="none" w:pos="1284" w:val="left"/>
        </w:tabs>
        <w:numPr>
          <w:ilvl w:val="1"/>
          <w:numId w:val="76"/>
        </w:numPr>
        <w:rPr>
          <w:rFonts w:ascii="Arial" w:cs="Arial" w:eastAsia="Arial" w:hAnsi="Arial"/>
          <w:sz w:val="22"/>
          <w:szCs w:val="22"/>
          <w:color w:val="auto"/>
        </w:rPr>
      </w:pPr>
      <w:r>
        <w:rPr>
          <w:rFonts w:ascii="Arial" w:cs="Arial" w:eastAsia="Arial" w:hAnsi="Arial"/>
          <w:sz w:val="20"/>
          <w:szCs w:val="20"/>
          <w:u w:val="single" w:color="auto"/>
          <w:color w:val="auto"/>
        </w:rPr>
        <w:t>Shopify Fees</w:t>
      </w:r>
      <w:r>
        <w:rPr>
          <w:rFonts w:ascii="Arial" w:cs="Arial" w:eastAsia="Arial" w:hAnsi="Arial"/>
          <w:sz w:val="20"/>
          <w:szCs w:val="20"/>
          <w:color w:val="auto"/>
        </w:rPr>
        <w:t>. With respect to each Successful Transaction, Affirm shall pay to Shopify a fee (“</w:t>
      </w:r>
      <w:r>
        <w:rPr>
          <w:rFonts w:ascii="Arial" w:cs="Arial" w:eastAsia="Arial" w:hAnsi="Arial"/>
          <w:sz w:val="20"/>
          <w:szCs w:val="20"/>
          <w:b w:val="1"/>
          <w:bCs w:val="1"/>
          <w:color w:val="auto"/>
        </w:rPr>
        <w:t>Shopify Fee</w:t>
      </w:r>
      <w:r>
        <w:rPr>
          <w:rFonts w:ascii="Arial" w:cs="Arial" w:eastAsia="Arial" w:hAnsi="Arial"/>
          <w:sz w:val="20"/>
          <w:szCs w:val="20"/>
          <w:color w:val="auto"/>
        </w:rPr>
        <w:t>”) equal to (i) the [***] amount of such Successful Transaction</w:t>
      </w:r>
    </w:p>
    <w:p>
      <w:pPr>
        <w:sectPr>
          <w:pgSz w:w="11900" w:h="16838" w:orient="portrait"/>
          <w:cols w:equalWidth="0" w:num="1">
            <w:col w:w="11232"/>
          </w:cols>
          <w:pgMar w:left="328" w:top="1405" w:right="339" w:bottom="1440" w:gutter="0" w:footer="0" w:header="0"/>
        </w:sectPr>
      </w:pPr>
    </w:p>
    <w:bookmarkStart w:id="194" w:name="page195"/>
    <w:bookmarkEnd w:id="194"/>
    <w:p>
      <w:pPr>
        <w:ind w:left="1292"/>
        <w:spacing w:after="0"/>
        <w:rPr>
          <w:sz w:val="20"/>
          <w:szCs w:val="20"/>
          <w:color w:val="auto"/>
        </w:rPr>
      </w:pPr>
      <w:r>
        <w:rPr>
          <w:rFonts w:ascii="Arial" w:cs="Arial" w:eastAsia="Arial" w:hAnsi="Arial"/>
          <w:sz w:val="18"/>
          <w:szCs w:val="18"/>
          <w:color w:val="auto"/>
        </w:rPr>
        <w:t>multiplied by (ii) the applicable [***] set forth in Addendum A-1 to Exhibit A-2. With respect to each Merchant, the Shopify</w:t>
      </w:r>
    </w:p>
    <w:p>
      <w:pPr>
        <w:spacing w:after="0" w:line="12" w:lineRule="exact"/>
        <w:rPr>
          <w:sz w:val="20"/>
          <w:szCs w:val="20"/>
          <w:color w:val="auto"/>
        </w:rPr>
      </w:pPr>
    </w:p>
    <w:p>
      <w:pPr>
        <w:ind w:left="1292"/>
        <w:spacing w:after="0" w:line="220" w:lineRule="auto"/>
        <w:rPr>
          <w:sz w:val="20"/>
          <w:szCs w:val="20"/>
          <w:color w:val="auto"/>
        </w:rPr>
      </w:pPr>
      <w:r>
        <w:rPr>
          <w:rFonts w:ascii="Arial" w:cs="Arial" w:eastAsia="Arial" w:hAnsi="Arial"/>
          <w:sz w:val="20"/>
          <w:szCs w:val="20"/>
          <w:color w:val="auto"/>
        </w:rPr>
        <w:t>Fee shall not be duplicative of any commissions, revenue sharing or other fees due from Affirm to Shopify under any other agreements.</w:t>
      </w:r>
    </w:p>
    <w:p>
      <w:pPr>
        <w:spacing w:after="0" w:line="183" w:lineRule="exact"/>
        <w:rPr>
          <w:sz w:val="20"/>
          <w:szCs w:val="20"/>
          <w:color w:val="auto"/>
        </w:rPr>
      </w:pPr>
    </w:p>
    <w:p>
      <w:pPr>
        <w:jc w:val="both"/>
        <w:ind w:left="1292" w:hanging="644"/>
        <w:spacing w:after="0" w:line="236" w:lineRule="auto"/>
        <w:tabs>
          <w:tab w:leader="none" w:pos="1283" w:val="left"/>
        </w:tabs>
        <w:numPr>
          <w:ilvl w:val="1"/>
          <w:numId w:val="77"/>
        </w:numPr>
        <w:rPr>
          <w:rFonts w:ascii="Arial" w:cs="Arial" w:eastAsia="Arial" w:hAnsi="Arial"/>
          <w:sz w:val="19"/>
          <w:szCs w:val="19"/>
          <w:color w:val="auto"/>
        </w:rPr>
      </w:pPr>
      <w:r>
        <w:rPr>
          <w:rFonts w:ascii="Arial" w:cs="Arial" w:eastAsia="Arial" w:hAnsi="Arial"/>
          <w:sz w:val="18"/>
          <w:szCs w:val="18"/>
          <w:u w:val="single" w:color="auto"/>
          <w:color w:val="auto"/>
        </w:rPr>
        <w:t>Payouts to Shopify</w:t>
      </w:r>
      <w:r>
        <w:rPr>
          <w:rFonts w:ascii="Arial" w:cs="Arial" w:eastAsia="Arial" w:hAnsi="Arial"/>
          <w:sz w:val="18"/>
          <w:szCs w:val="18"/>
          <w:color w:val="auto"/>
        </w:rPr>
        <w:t>. No later than [***] business days following the end of each [***], Affirm shall transfer, in U.S. dollars via wire transfer or ACH, to Shopify’s U.S. bank account (the “</w:t>
      </w:r>
      <w:r>
        <w:rPr>
          <w:rFonts w:ascii="Arial" w:cs="Arial" w:eastAsia="Arial" w:hAnsi="Arial"/>
          <w:sz w:val="18"/>
          <w:szCs w:val="18"/>
          <w:b w:val="1"/>
          <w:bCs w:val="1"/>
          <w:color w:val="auto"/>
        </w:rPr>
        <w:t>Shopify Account</w:t>
      </w:r>
      <w:r>
        <w:rPr>
          <w:rFonts w:ascii="Arial" w:cs="Arial" w:eastAsia="Arial" w:hAnsi="Arial"/>
          <w:sz w:val="18"/>
          <w:szCs w:val="18"/>
          <w:color w:val="auto"/>
        </w:rPr>
        <w:t>”) the aggregate amount of Shopify Fees due for such calendar month. Affirm may deduct from the Shopify Fees any fees or other amounts owed by Shopify to Affirm under the Agreement. In the event there are insufficient funds in the Shopify Account to net out amounts owed to Affirm by Shopify, Affirm shall invoice Shopify for such amounts and, following receipt, Shopify shall promptly pay such amounts to Affirm. Affirm shall also provide Shopify with a statement accompanying each payment, detailing the amount of the Shopify Fees due to Shopify for the applicable month, and deductions made from such payment of Shopify Fees, if any as to be mutually agreed by Parties, in sufficient detail to permit Shopify to validate the amount of such payment. To validate revenue earned by Shopify on a monthly basis, payouts to Shopify shall be accompanied by a report that contains [***].</w:t>
      </w:r>
    </w:p>
    <w:p>
      <w:pPr>
        <w:spacing w:after="0" w:line="168" w:lineRule="exact"/>
        <w:rPr>
          <w:rFonts w:ascii="Arial" w:cs="Arial" w:eastAsia="Arial" w:hAnsi="Arial"/>
          <w:sz w:val="19"/>
          <w:szCs w:val="19"/>
          <w:color w:val="auto"/>
        </w:rPr>
      </w:pPr>
    </w:p>
    <w:p>
      <w:pPr>
        <w:jc w:val="both"/>
        <w:ind w:left="1292" w:hanging="644"/>
        <w:spacing w:after="0" w:line="220" w:lineRule="auto"/>
        <w:tabs>
          <w:tab w:leader="none" w:pos="1284" w:val="left"/>
        </w:tabs>
        <w:numPr>
          <w:ilvl w:val="1"/>
          <w:numId w:val="77"/>
        </w:numPr>
        <w:rPr>
          <w:rFonts w:ascii="Arial" w:cs="Arial" w:eastAsia="Arial" w:hAnsi="Arial"/>
          <w:sz w:val="22"/>
          <w:szCs w:val="22"/>
          <w:color w:val="auto"/>
        </w:rPr>
      </w:pPr>
      <w:r>
        <w:rPr>
          <w:rFonts w:ascii="Arial" w:cs="Arial" w:eastAsia="Arial" w:hAnsi="Arial"/>
          <w:sz w:val="20"/>
          <w:szCs w:val="20"/>
          <w:u w:val="single" w:color="auto"/>
          <w:color w:val="auto"/>
        </w:rPr>
        <w:t>Payment Processing</w:t>
      </w:r>
      <w:r>
        <w:rPr>
          <w:rFonts w:ascii="Arial" w:cs="Arial" w:eastAsia="Arial" w:hAnsi="Arial"/>
          <w:sz w:val="20"/>
          <w:szCs w:val="20"/>
          <w:color w:val="auto"/>
        </w:rPr>
        <w:t xml:space="preserve">: Beginning [***], Shopify shall pay for Program payments processing in excess of [***]% up to [***]% for the High AOV Product. Shopify and Affirm to work in good faith and partner to optimize repayment methods (debit </w:t>
      </w:r>
      <w:r>
        <w:rPr>
          <w:rFonts w:ascii="Arial" w:cs="Arial" w:eastAsia="Arial" w:hAnsi="Arial"/>
          <w:sz w:val="20"/>
          <w:szCs w:val="20"/>
          <w:i w:val="1"/>
          <w:iCs w:val="1"/>
          <w:color w:val="auto"/>
        </w:rPr>
        <w:t xml:space="preserve">versus </w:t>
      </w:r>
      <w:r>
        <w:rPr>
          <w:rFonts w:ascii="Arial" w:cs="Arial" w:eastAsia="Arial" w:hAnsi="Arial"/>
          <w:sz w:val="20"/>
          <w:szCs w:val="20"/>
          <w:color w:val="auto"/>
        </w:rPr>
        <w:t>credit and the introduction of ACH).</w:t>
      </w:r>
    </w:p>
    <w:p>
      <w:pPr>
        <w:spacing w:after="0" w:line="177" w:lineRule="exact"/>
        <w:rPr>
          <w:rFonts w:ascii="Arial" w:cs="Arial" w:eastAsia="Arial" w:hAnsi="Arial"/>
          <w:sz w:val="22"/>
          <w:szCs w:val="22"/>
          <w:color w:val="auto"/>
        </w:rPr>
      </w:pPr>
    </w:p>
    <w:p>
      <w:pPr>
        <w:ind w:left="652" w:hanging="652"/>
        <w:spacing w:after="0" w:line="228" w:lineRule="auto"/>
        <w:tabs>
          <w:tab w:leader="none" w:pos="643" w:val="left"/>
        </w:tabs>
        <w:numPr>
          <w:ilvl w:val="0"/>
          <w:numId w:val="78"/>
        </w:numPr>
        <w:rPr>
          <w:rFonts w:ascii="Arial" w:cs="Arial" w:eastAsia="Arial" w:hAnsi="Arial"/>
          <w:sz w:val="22"/>
          <w:szCs w:val="22"/>
          <w:color w:val="auto"/>
        </w:rPr>
      </w:pPr>
      <w:r>
        <w:rPr>
          <w:rFonts w:ascii="Arial" w:cs="Arial" w:eastAsia="Arial" w:hAnsi="Arial"/>
          <w:sz w:val="20"/>
          <w:szCs w:val="20"/>
          <w:b w:val="1"/>
          <w:bCs w:val="1"/>
          <w:color w:val="auto"/>
        </w:rPr>
        <w:t>Customer Installment Program Delay</w:t>
      </w:r>
      <w:r>
        <w:rPr>
          <w:rFonts w:ascii="Arial" w:cs="Arial" w:eastAsia="Arial" w:hAnsi="Arial"/>
          <w:sz w:val="20"/>
          <w:szCs w:val="20"/>
          <w:color w:val="auto"/>
        </w:rPr>
        <w:t>. The Parties will use reasonable efforts to launch the Alpha Phase of the High-AOV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no later than a date mutually agreed to by the Parties (the “</w:t>
      </w:r>
      <w:r>
        <w:rPr>
          <w:rFonts w:ascii="Arial" w:cs="Arial" w:eastAsia="Arial" w:hAnsi="Arial"/>
          <w:sz w:val="20"/>
          <w:szCs w:val="20"/>
          <w:b w:val="1"/>
          <w:bCs w:val="1"/>
          <w:color w:val="auto"/>
        </w:rPr>
        <w:t>Launch Date</w:t>
      </w:r>
      <w:r>
        <w:rPr>
          <w:rFonts w:ascii="Arial" w:cs="Arial" w:eastAsia="Arial" w:hAnsi="Arial"/>
          <w:sz w:val="20"/>
          <w:szCs w:val="20"/>
          <w:color w:val="auto"/>
        </w:rPr>
        <w:t>”).</w:t>
      </w:r>
    </w:p>
    <w:p>
      <w:pPr>
        <w:spacing w:after="0" w:line="162" w:lineRule="exact"/>
        <w:rPr>
          <w:rFonts w:ascii="Arial" w:cs="Arial" w:eastAsia="Arial" w:hAnsi="Arial"/>
          <w:sz w:val="22"/>
          <w:szCs w:val="22"/>
          <w:color w:val="auto"/>
        </w:rPr>
      </w:pPr>
    </w:p>
    <w:p>
      <w:pPr>
        <w:jc w:val="both"/>
        <w:ind w:left="652" w:hanging="652"/>
        <w:spacing w:after="0" w:line="232" w:lineRule="auto"/>
        <w:tabs>
          <w:tab w:leader="none" w:pos="643" w:val="left"/>
        </w:tabs>
        <w:numPr>
          <w:ilvl w:val="0"/>
          <w:numId w:val="78"/>
        </w:numPr>
        <w:rPr>
          <w:rFonts w:ascii="Arial" w:cs="Arial" w:eastAsia="Arial" w:hAnsi="Arial"/>
          <w:sz w:val="19"/>
          <w:szCs w:val="19"/>
          <w:color w:val="auto"/>
        </w:rPr>
      </w:pPr>
      <w:r>
        <w:rPr>
          <w:rFonts w:ascii="Arial" w:cs="Arial" w:eastAsia="Arial" w:hAnsi="Arial"/>
          <w:sz w:val="18"/>
          <w:szCs w:val="18"/>
          <w:b w:val="1"/>
          <w:bCs w:val="1"/>
          <w:color w:val="auto"/>
        </w:rPr>
        <w:t>Merchant Underwriting and AML/OFAC Screening</w:t>
      </w:r>
      <w:r>
        <w:rPr>
          <w:rFonts w:ascii="Arial" w:cs="Arial" w:eastAsia="Arial" w:hAnsi="Arial"/>
          <w:sz w:val="18"/>
          <w:szCs w:val="18"/>
          <w:color w:val="auto"/>
        </w:rPr>
        <w:t>. Upon the Alpha Phase launch date, Affirm shall be responsible, with</w:t>
      </w:r>
      <w:r>
        <w:rPr>
          <w:rFonts w:ascii="Arial" w:cs="Arial" w:eastAsia="Arial" w:hAnsi="Arial"/>
          <w:sz w:val="18"/>
          <w:szCs w:val="18"/>
          <w:b w:val="1"/>
          <w:bCs w:val="1"/>
          <w:color w:val="auto"/>
        </w:rPr>
        <w:t xml:space="preserve"> </w:t>
      </w:r>
      <w:r>
        <w:rPr>
          <w:rFonts w:ascii="Arial" w:cs="Arial" w:eastAsia="Arial" w:hAnsi="Arial"/>
          <w:sz w:val="18"/>
          <w:szCs w:val="18"/>
          <w:color w:val="auto"/>
        </w:rPr>
        <w:t>Shopify support, for underwriting Merchants. Additionally, while each Party retains independent OFAC screening compliance obligations, upon Alpha Phase launch, Affirm shall be responsible for administering and maintaining an AML and OFAC compliance program to screen Merchants (“</w:t>
      </w:r>
      <w:r>
        <w:rPr>
          <w:rFonts w:ascii="Arial" w:cs="Arial" w:eastAsia="Arial" w:hAnsi="Arial"/>
          <w:sz w:val="18"/>
          <w:szCs w:val="18"/>
          <w:b w:val="1"/>
          <w:bCs w:val="1"/>
          <w:color w:val="auto"/>
        </w:rPr>
        <w:t>Affirm’s AML/OFAC Screen</w:t>
      </w:r>
      <w:r>
        <w:rPr>
          <w:rFonts w:ascii="Arial" w:cs="Arial" w:eastAsia="Arial" w:hAnsi="Arial"/>
          <w:sz w:val="18"/>
          <w:szCs w:val="18"/>
          <w:color w:val="auto"/>
        </w:rPr>
        <w:t>”). On a date to be mutually agreed upon by the Parties, Shopify will develop, implement and be responsible for its own Merchant underwriting processes and AML compliance, which shall include, without limitation, OFAC, BSA and KYC screening, to determine a Merchant’s eligibility to participate in the Program (“</w:t>
      </w:r>
      <w:r>
        <w:rPr>
          <w:rFonts w:ascii="Arial" w:cs="Arial" w:eastAsia="Arial" w:hAnsi="Arial"/>
          <w:sz w:val="18"/>
          <w:szCs w:val="18"/>
          <w:b w:val="1"/>
          <w:bCs w:val="1"/>
          <w:color w:val="auto"/>
        </w:rPr>
        <w:t>Shopify</w:t>
      </w:r>
      <w:r>
        <w:rPr>
          <w:rFonts w:ascii="Arial" w:cs="Arial" w:eastAsia="Arial" w:hAnsi="Arial"/>
          <w:sz w:val="18"/>
          <w:szCs w:val="18"/>
          <w:color w:val="auto"/>
        </w:rPr>
        <w:t xml:space="preserve"> </w:t>
      </w:r>
      <w:r>
        <w:rPr>
          <w:rFonts w:ascii="Arial" w:cs="Arial" w:eastAsia="Arial" w:hAnsi="Arial"/>
          <w:sz w:val="18"/>
          <w:szCs w:val="18"/>
          <w:b w:val="1"/>
          <w:bCs w:val="1"/>
          <w:color w:val="auto"/>
        </w:rPr>
        <w:t>AML/OFAC Screen</w:t>
      </w:r>
      <w:r>
        <w:rPr>
          <w:rFonts w:ascii="Arial" w:cs="Arial" w:eastAsia="Arial" w:hAnsi="Arial"/>
          <w:sz w:val="18"/>
          <w:szCs w:val="18"/>
          <w:color w:val="auto"/>
        </w:rPr>
        <w:t>”), in addition to any other Affirm screening as required by Applicable Law, or mutually agreed to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Shopify AML/OFAC Screen may be performed by a third party on behalf of Shopify, and Shopify will be responsible for such third party’s performance. Affirm shall provide Shopify with guidance around existing workflows, processes and requirements; and Shopify shall perform the Shopify AML/OFC Screen for the Financial Product in accordance with the requirements communicated by Affirm and in accordance with Applicable Law. As applicable, each Party’s AML/OFAC Screen for the Financial Product shall at all times comply with Applicable Law, including, OFAC regulations and guidance. Shopify agrees in good faith to notify Affirm in advance of any material changes to the Shopify AML/OFAC Screen that could have an adverse impact to Customers or AML/OFAC compliance, and to consult with Affirm about such changes. Eligible Merchants are subject to Affirm’s Risk Approval Process until such time that Parties mutually agree otherwise. Eligible Merchants are subject to Affirm’s OFAC Screen and will remain subject to Affirm’s Risk Approval Process as described in the Program Outline. As long as the Parties agree that Affirm is responsible for Merchant AML/OFAC screening, or if certain screening by Affirm is required by Applicable Law, and, in addition to any other rights or remedies that Affirm may have, Affirm shall have the right to immediately suspend its services and/or terminate any agreement between Affirm and an Eligible Merchant in accordance with the terms of that agreement if such Eligible Merchant does not meet Affirm’s eligibility criteria set forth in Affirm’s Risk Approval Process.</w:t>
      </w:r>
    </w:p>
    <w:p>
      <w:pPr>
        <w:sectPr>
          <w:pgSz w:w="11900" w:h="16838" w:orient="portrait"/>
          <w:cols w:equalWidth="0" w:num="1">
            <w:col w:w="11232"/>
          </w:cols>
          <w:pgMar w:left="328" w:top="1405" w:right="339" w:bottom="1440" w:gutter="0" w:footer="0" w:header="0"/>
        </w:sectPr>
      </w:pPr>
    </w:p>
    <w:bookmarkStart w:id="195" w:name="page196"/>
    <w:bookmarkEnd w:id="195"/>
    <w:p>
      <w:pPr>
        <w:ind w:left="652"/>
        <w:spacing w:after="0"/>
        <w:rPr>
          <w:sz w:val="20"/>
          <w:szCs w:val="20"/>
          <w:color w:val="auto"/>
        </w:rPr>
      </w:pPr>
      <w:r>
        <w:rPr>
          <w:rFonts w:ascii="Arial" w:cs="Arial" w:eastAsia="Arial" w:hAnsi="Arial"/>
          <w:sz w:val="18"/>
          <w:szCs w:val="18"/>
          <w:color w:val="auto"/>
        </w:rPr>
        <w:t>If Affirm elects to terminate an agreement with an Eligible Merchant in accordance with the terms and conditions of such agreement</w:t>
      </w:r>
    </w:p>
    <w:p>
      <w:pPr>
        <w:spacing w:after="0" w:line="12" w:lineRule="exact"/>
        <w:rPr>
          <w:sz w:val="20"/>
          <w:szCs w:val="20"/>
          <w:color w:val="auto"/>
        </w:rPr>
      </w:pPr>
    </w:p>
    <w:p>
      <w:pPr>
        <w:ind w:left="652"/>
        <w:spacing w:after="0" w:line="226" w:lineRule="auto"/>
        <w:rPr>
          <w:sz w:val="20"/>
          <w:szCs w:val="20"/>
          <w:color w:val="auto"/>
        </w:rPr>
      </w:pPr>
      <w:r>
        <w:rPr>
          <w:rFonts w:ascii="Arial" w:cs="Arial" w:eastAsia="Arial" w:hAnsi="Arial"/>
          <w:sz w:val="18"/>
          <w:szCs w:val="18"/>
          <w:color w:val="auto"/>
        </w:rPr>
        <w:t>and notifies Shopify of such intent to terminate, Shopify will promptly (but no later than 24 hours following Affirm’s notification to terminate) notify the Eligible Merchant of such termination in writing (electronic notification acceptable). In addition, Affirm shall</w:t>
      </w:r>
    </w:p>
    <w:p>
      <w:pPr>
        <w:ind w:left="652"/>
        <w:spacing w:after="0" w:line="236" w:lineRule="auto"/>
        <w:rPr>
          <w:sz w:val="20"/>
          <w:szCs w:val="20"/>
          <w:color w:val="auto"/>
        </w:rPr>
      </w:pPr>
      <w:r>
        <w:rPr>
          <w:rFonts w:ascii="Arial" w:cs="Arial" w:eastAsia="Arial" w:hAnsi="Arial"/>
          <w:sz w:val="18"/>
          <w:szCs w:val="18"/>
          <w:color w:val="auto"/>
        </w:rPr>
        <w:t>have the right to request reporting and a reasonable review of Shopify’s performance of the Shopify AML/OFAC Screen. Upon</w:t>
      </w:r>
    </w:p>
    <w:p>
      <w:pPr>
        <w:spacing w:after="0" w:line="1" w:lineRule="exact"/>
        <w:rPr>
          <w:sz w:val="20"/>
          <w:szCs w:val="20"/>
          <w:color w:val="auto"/>
        </w:rPr>
      </w:pPr>
    </w:p>
    <w:p>
      <w:pPr>
        <w:jc w:val="both"/>
        <w:ind w:left="652"/>
        <w:spacing w:after="0" w:line="226" w:lineRule="auto"/>
        <w:rPr>
          <w:sz w:val="20"/>
          <w:szCs w:val="20"/>
          <w:color w:val="auto"/>
        </w:rPr>
      </w:pPr>
      <w:r>
        <w:rPr>
          <w:rFonts w:ascii="Arial" w:cs="Arial" w:eastAsia="Arial" w:hAnsi="Arial"/>
          <w:sz w:val="18"/>
          <w:szCs w:val="18"/>
          <w:color w:val="auto"/>
        </w:rPr>
        <w:t>identifying a material deficiency in the Shopify AML/OFAC Screen, Affirm shall have the right (but not the obligation), to immediately (i) suspend the Program with respect to any Merchants not yet onboarded to the Program as of the date of suspension;</w:t>
      </w:r>
    </w:p>
    <w:p>
      <w:pPr>
        <w:ind w:left="652"/>
        <w:spacing w:after="0" w:line="236" w:lineRule="auto"/>
        <w:rPr>
          <w:sz w:val="20"/>
          <w:szCs w:val="20"/>
          <w:color w:val="auto"/>
        </w:rPr>
      </w:pPr>
      <w:r>
        <w:rPr>
          <w:rFonts w:ascii="Arial" w:cs="Arial" w:eastAsia="Arial" w:hAnsi="Arial"/>
          <w:sz w:val="18"/>
          <w:szCs w:val="18"/>
          <w:color w:val="auto"/>
        </w:rPr>
        <w:t>and/or (ii) assume responsibility for Merchant underwriting or the Merchant AML/OFAC Program (with costs to be paid by Shopify)</w:t>
      </w:r>
    </w:p>
    <w:p>
      <w:pPr>
        <w:spacing w:after="0" w:line="1" w:lineRule="exact"/>
        <w:rPr>
          <w:sz w:val="20"/>
          <w:szCs w:val="20"/>
          <w:color w:val="auto"/>
        </w:rPr>
      </w:pPr>
    </w:p>
    <w:p>
      <w:pPr>
        <w:ind w:left="652"/>
        <w:spacing w:after="0" w:line="226" w:lineRule="auto"/>
        <w:rPr>
          <w:sz w:val="20"/>
          <w:szCs w:val="20"/>
          <w:color w:val="auto"/>
        </w:rPr>
      </w:pPr>
      <w:r>
        <w:rPr>
          <w:rFonts w:ascii="Arial" w:cs="Arial" w:eastAsia="Arial" w:hAnsi="Arial"/>
          <w:sz w:val="18"/>
          <w:szCs w:val="18"/>
          <w:color w:val="auto"/>
        </w:rPr>
        <w:t>if Affirm determines, in good faith and based on the advice of counsel, that Shopify’s actions or failure to act has resulted in (a) a violation of Applicable Law; or (b) material adverse impact to Customers. Shopify shall promptly remedy any material deficiency in</w:t>
      </w:r>
    </w:p>
    <w:p>
      <w:pPr>
        <w:ind w:left="652"/>
        <w:spacing w:after="0" w:line="236" w:lineRule="auto"/>
        <w:rPr>
          <w:sz w:val="20"/>
          <w:szCs w:val="20"/>
          <w:color w:val="auto"/>
        </w:rPr>
      </w:pPr>
      <w:r>
        <w:rPr>
          <w:rFonts w:ascii="Arial" w:cs="Arial" w:eastAsia="Arial" w:hAnsi="Arial"/>
          <w:sz w:val="18"/>
          <w:szCs w:val="18"/>
          <w:color w:val="auto"/>
        </w:rPr>
        <w:t>the Shopify AML/OFAC Screen. Shopify will in good faith provide Affirm with reasonable advance notice of any significant change</w:t>
      </w:r>
    </w:p>
    <w:p>
      <w:pPr>
        <w:spacing w:after="0" w:line="1" w:lineRule="exact"/>
        <w:rPr>
          <w:sz w:val="20"/>
          <w:szCs w:val="20"/>
          <w:color w:val="auto"/>
        </w:rPr>
      </w:pPr>
    </w:p>
    <w:p>
      <w:pPr>
        <w:ind w:left="652"/>
        <w:spacing w:after="0" w:line="220" w:lineRule="auto"/>
        <w:rPr>
          <w:sz w:val="20"/>
          <w:szCs w:val="20"/>
          <w:color w:val="auto"/>
        </w:rPr>
      </w:pPr>
      <w:r>
        <w:rPr>
          <w:rFonts w:ascii="Arial" w:cs="Arial" w:eastAsia="Arial" w:hAnsi="Arial"/>
          <w:sz w:val="20"/>
          <w:szCs w:val="20"/>
          <w:color w:val="auto"/>
        </w:rPr>
        <w:t>in merchant onboarding volume compared with the forecasts provided by Shopify to Affirm in accordance with Section 11 of the Program Outline.</w:t>
      </w:r>
    </w:p>
    <w:p>
      <w:pPr>
        <w:spacing w:after="0" w:line="204" w:lineRule="exact"/>
        <w:rPr>
          <w:sz w:val="20"/>
          <w:szCs w:val="20"/>
          <w:color w:val="auto"/>
        </w:rPr>
      </w:pPr>
    </w:p>
    <w:p>
      <w:pPr>
        <w:jc w:val="both"/>
        <w:ind w:left="652" w:hanging="652"/>
        <w:spacing w:after="0" w:line="226" w:lineRule="auto"/>
        <w:tabs>
          <w:tab w:leader="none" w:pos="643" w:val="left"/>
        </w:tabs>
        <w:numPr>
          <w:ilvl w:val="0"/>
          <w:numId w:val="79"/>
        </w:numPr>
        <w:rPr>
          <w:rFonts w:ascii="Arial" w:cs="Arial" w:eastAsia="Arial" w:hAnsi="Arial"/>
          <w:sz w:val="21"/>
          <w:szCs w:val="21"/>
          <w:color w:val="auto"/>
        </w:rPr>
      </w:pPr>
      <w:r>
        <w:rPr>
          <w:rFonts w:ascii="Arial" w:cs="Arial" w:eastAsia="Arial" w:hAnsi="Arial"/>
          <w:sz w:val="19"/>
          <w:szCs w:val="19"/>
          <w:b w:val="1"/>
          <w:bCs w:val="1"/>
          <w:color w:val="auto"/>
        </w:rPr>
        <w:t>Affirm Application Programming Interface (“Affirm API”)</w:t>
      </w:r>
      <w:r>
        <w:rPr>
          <w:rFonts w:ascii="Arial" w:cs="Arial" w:eastAsia="Arial" w:hAnsi="Arial"/>
          <w:sz w:val="19"/>
          <w:szCs w:val="19"/>
          <w:color w:val="auto"/>
        </w:rPr>
        <w:t>. No later than [***], Affirm shall develop software that allows the</w:t>
      </w:r>
      <w:r>
        <w:rPr>
          <w:rFonts w:ascii="Arial" w:cs="Arial" w:eastAsia="Arial" w:hAnsi="Arial"/>
          <w:sz w:val="19"/>
          <w:szCs w:val="19"/>
          <w:b w:val="1"/>
          <w:bCs w:val="1"/>
          <w:color w:val="auto"/>
        </w:rPr>
        <w:t xml:space="preserve"> </w:t>
      </w:r>
      <w:r>
        <w:rPr>
          <w:rFonts w:ascii="Arial" w:cs="Arial" w:eastAsia="Arial" w:hAnsi="Arial"/>
          <w:sz w:val="19"/>
          <w:szCs w:val="19"/>
          <w:color w:val="auto"/>
        </w:rPr>
        <w:t>Platform to communicate automatically via the Affirm APIs with the Platform for the purpose of initiating Applications and otherwise supporting the High-AOV Product, and Affirm will disclose the portion of the Affirm APIs to Shopify necessary for Shopify to allow its Platform to integrate with the Affirm API. The Affirm API and all modifications, enhancements and derivative works thereof, and all documentation and specifications related thereto, shall be deemed Affirm Pre-Existing IP.</w:t>
      </w:r>
    </w:p>
    <w:p>
      <w:pPr>
        <w:spacing w:after="0" w:line="164" w:lineRule="exact"/>
        <w:rPr>
          <w:rFonts w:ascii="Arial" w:cs="Arial" w:eastAsia="Arial" w:hAnsi="Arial"/>
          <w:sz w:val="21"/>
          <w:szCs w:val="21"/>
          <w:color w:val="auto"/>
        </w:rPr>
      </w:pPr>
    </w:p>
    <w:p>
      <w:pPr>
        <w:jc w:val="both"/>
        <w:ind w:left="652" w:hanging="652"/>
        <w:spacing w:after="0" w:line="218" w:lineRule="auto"/>
        <w:tabs>
          <w:tab w:leader="none" w:pos="638"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Reports</w:t>
      </w:r>
      <w:r>
        <w:rPr>
          <w:rFonts w:ascii="Arial" w:cs="Arial" w:eastAsia="Arial" w:hAnsi="Arial"/>
          <w:sz w:val="20"/>
          <w:szCs w:val="20"/>
          <w:color w:val="auto"/>
        </w:rPr>
        <w:t>. Affirm shall deliver to Shopify on a [***] basis, or on such basis as mutually agreed upon by the Parties, a [***]. [***].</w:t>
      </w:r>
      <w:r>
        <w:rPr>
          <w:rFonts w:ascii="Arial" w:cs="Arial" w:eastAsia="Arial" w:hAnsi="Arial"/>
          <w:sz w:val="20"/>
          <w:szCs w:val="20"/>
          <w:b w:val="1"/>
          <w:bCs w:val="1"/>
          <w:color w:val="auto"/>
        </w:rPr>
        <w:t xml:space="preserve"> </w:t>
      </w:r>
      <w:r>
        <w:rPr>
          <w:rFonts w:ascii="Arial" w:cs="Arial" w:eastAsia="Arial" w:hAnsi="Arial"/>
          <w:sz w:val="20"/>
          <w:szCs w:val="20"/>
          <w:color w:val="auto"/>
        </w:rPr>
        <w:t>Shopify shall deliver to Affirm on a [***] basis, or on such basis as mutually agreed upon by the Parties, a [***] report [***]. [***]. On at least a [***] basis, Shopify shall [***]. Shopify further agrees in good faith [***]. Any [***] failures [***] will be discussed by the Strategic Operating Committee.</w:t>
      </w:r>
    </w:p>
    <w:p>
      <w:pPr>
        <w:spacing w:after="0" w:line="176" w:lineRule="exact"/>
        <w:rPr>
          <w:rFonts w:ascii="Arial" w:cs="Arial" w:eastAsia="Arial" w:hAnsi="Arial"/>
          <w:sz w:val="20"/>
          <w:szCs w:val="20"/>
          <w:color w:val="auto"/>
        </w:rPr>
      </w:pPr>
    </w:p>
    <w:p>
      <w:pPr>
        <w:jc w:val="both"/>
        <w:ind w:left="652" w:hanging="652"/>
        <w:spacing w:after="0" w:line="216" w:lineRule="auto"/>
        <w:tabs>
          <w:tab w:leader="none" w:pos="643" w:val="left"/>
        </w:tabs>
        <w:numPr>
          <w:ilvl w:val="0"/>
          <w:numId w:val="79"/>
        </w:numPr>
        <w:rPr>
          <w:rFonts w:ascii="Arial" w:cs="Arial" w:eastAsia="Arial" w:hAnsi="Arial"/>
          <w:sz w:val="22"/>
          <w:szCs w:val="22"/>
          <w:color w:val="auto"/>
        </w:rPr>
      </w:pPr>
      <w:r>
        <w:rPr>
          <w:rFonts w:ascii="Arial" w:cs="Arial" w:eastAsia="Arial" w:hAnsi="Arial"/>
          <w:sz w:val="20"/>
          <w:szCs w:val="20"/>
          <w:b w:val="1"/>
          <w:bCs w:val="1"/>
          <w:color w:val="auto"/>
        </w:rPr>
        <w:t>Program Modifications</w:t>
      </w:r>
      <w:r>
        <w:rPr>
          <w:rFonts w:ascii="Arial" w:cs="Arial" w:eastAsia="Arial" w:hAnsi="Arial"/>
          <w:sz w:val="20"/>
          <w:szCs w:val="20"/>
          <w:color w:val="auto"/>
        </w:rPr>
        <w:t>. To the extent Shopify requests a modification of the High-AOV Product that requires development beyond</w:t>
      </w:r>
      <w:r>
        <w:rPr>
          <w:rFonts w:ascii="Arial" w:cs="Arial" w:eastAsia="Arial" w:hAnsi="Arial"/>
          <w:sz w:val="20"/>
          <w:szCs w:val="20"/>
          <w:b w:val="1"/>
          <w:bCs w:val="1"/>
          <w:color w:val="auto"/>
        </w:rPr>
        <w:t xml:space="preserve"> </w:t>
      </w:r>
      <w:r>
        <w:rPr>
          <w:rFonts w:ascii="Arial" w:cs="Arial" w:eastAsia="Arial" w:hAnsi="Arial"/>
          <w:sz w:val="20"/>
          <w:szCs w:val="20"/>
          <w:color w:val="auto"/>
        </w:rPr>
        <w:t>that 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spacing w:after="0" w:line="177" w:lineRule="exact"/>
        <w:rPr>
          <w:rFonts w:ascii="Arial" w:cs="Arial" w:eastAsia="Arial" w:hAnsi="Arial"/>
          <w:sz w:val="22"/>
          <w:szCs w:val="22"/>
          <w:color w:val="auto"/>
        </w:rPr>
      </w:pPr>
    </w:p>
    <w:p>
      <w:pPr>
        <w:jc w:val="both"/>
        <w:ind w:left="652" w:hanging="652"/>
        <w:spacing w:after="0" w:line="222" w:lineRule="auto"/>
        <w:tabs>
          <w:tab w:leader="none" w:pos="643" w:val="left"/>
        </w:tabs>
        <w:numPr>
          <w:ilvl w:val="0"/>
          <w:numId w:val="79"/>
        </w:numPr>
        <w:rPr>
          <w:rFonts w:ascii="Arial" w:cs="Arial" w:eastAsia="Arial" w:hAnsi="Arial"/>
          <w:sz w:val="22"/>
          <w:szCs w:val="22"/>
          <w:color w:val="auto"/>
        </w:rPr>
      </w:pPr>
      <w:r>
        <w:rPr>
          <w:rFonts w:ascii="Arial" w:cs="Arial" w:eastAsia="Arial" w:hAnsi="Arial"/>
          <w:sz w:val="20"/>
          <w:szCs w:val="20"/>
          <w:b w:val="1"/>
          <w:bCs w:val="1"/>
          <w:color w:val="auto"/>
        </w:rPr>
        <w:t>Service Levels</w:t>
      </w:r>
      <w:r>
        <w:rPr>
          <w:rFonts w:ascii="Arial" w:cs="Arial" w:eastAsia="Arial" w:hAnsi="Arial"/>
          <w:sz w:val="20"/>
          <w:szCs w:val="20"/>
          <w:color w:val="auto"/>
        </w:rPr>
        <w:t>. In addition to the SLAs set forth in the Agreement, Affirm shall provide its services in connection with the Program</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SLAs set forth on Addendum A-1 to Exhibit A and Shopify shall comply with the SLAs applicable to Shopify as set forth on Addendum A-1 to Exhibit A.</w:t>
      </w:r>
    </w:p>
    <w:p>
      <w:pPr>
        <w:sectPr>
          <w:pgSz w:w="11900" w:h="16838" w:orient="portrait"/>
          <w:cols w:equalWidth="0" w:num="1">
            <w:col w:w="11232"/>
          </w:cols>
          <w:pgMar w:left="328" w:top="1405"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 SEVERANCE PLAN</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The Affirm Holdings, Inc. Officer Severance Plan is established as of the Effective Date. The purpose of the Plan is to help retain qualified employees, maintain a stable work environment, and provide economic security to certain eligible employees of Affirm Holdings, Inc., including in the event of an actual or threatened Change in Control as described herein. Except with respect to individually negotiated employment contracts or agreements with the Company providing severance benefits that an Eligible Employee has not agreed to forgo, this Plan supersedes any severance plan, policy or practice with respect to Qualifying Terminations, whether formal or informal, written or unwritten, previously announced or maintained by the Company. This Plan document also is the Summary Plan Description for the Plan.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As hereinafter used:</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individual or entity, any other individual or entity who, directly or indirectly through one or more intermediaries, controls, is controlled by or is under common control with, such individual or entity.</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Base Salary</w:t>
      </w:r>
      <w:r>
        <w:rPr>
          <w:rFonts w:ascii="Arial" w:cs="Arial" w:eastAsia="Arial" w:hAnsi="Arial"/>
          <w:sz w:val="22"/>
          <w:szCs w:val="22"/>
          <w:color w:val="auto"/>
        </w:rPr>
        <w:t>” means base pay (excluding incentive pay, premium pay, commissions, overtime, bonuses and other forms of variable compensation) as in effect immediately prior to a Qualifying Termination and prior to any reduction that would give rise to an Eligible Employee’s right to resign for Good Reason.</w:t>
      </w:r>
    </w:p>
    <w:p>
      <w:pPr>
        <w:spacing w:after="0" w:line="159"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1.4 “</w:t>
      </w:r>
      <w:r>
        <w:rPr>
          <w:rFonts w:ascii="Arial" w:cs="Arial" w:eastAsia="Arial" w:hAnsi="Arial"/>
          <w:sz w:val="19"/>
          <w:szCs w:val="19"/>
          <w:u w:val="single" w:color="auto"/>
          <w:color w:val="auto"/>
        </w:rPr>
        <w:t>Cause</w:t>
      </w:r>
      <w:r>
        <w:rPr>
          <w:rFonts w:ascii="Arial" w:cs="Arial" w:eastAsia="Arial" w:hAnsi="Arial"/>
          <w:sz w:val="19"/>
          <w:szCs w:val="19"/>
          <w:color w:val="auto"/>
        </w:rPr>
        <w:t>” means, with respect to any Eligible Employee, the meaning ascribed to such term in any written agreement between such Eligible Employee and the Company defining such term, and, in the absence of such agreement, means with respect to such Eligible Employee, the occurrence of any one or more of the following events: (a) willful conduct by the Eligible Employee constituting a material act of misconduct in connection with the performance of the Eligible Employee’s duties, including, without limitation, misappropriation of funds or property of the Company or any of its subsidiaries or affiliates other than the occasional, customary and de minimis use of Company property for personal purposes; (b) the conviction of, or plea of guilty or no contest to, any felony or any crime involving moral turpitude, deceit, dishonesty or fraud, or any conduct by the Eligible Employee that would reasonably be expected to result in material injury or reputational harm to the Company or any of its subsidiaries and affiliates if the Eligible Employee were retained in the Eligible Employee’s position; (c) continued non-performance by the Eligible Employee of the Eligible Employee’s duties to the Company (other than by reason of the Eligible Employee’s physical or mental illness, incapacity or disability) which has continued for 30 days following written notice of such non-performance from the Company; (d) a breach by the Eligible Employee of any of the provisions contained in the Confidentiality and Inventions Assignment Agreement entered into between the Eligible Employee and the Company or any other confidentiality, invention assignment or similar agreement with the Company; (e) a material violation by the Eligible Employee of the Company’s written employment policies; or (f) the Eligible Employee’s failure to cooperate with a bona fide internal investigation or an investigation by regulatory or law enforcement authorities, after being instructed by the Company to cooperate, or Eligible Employee’s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3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CIC Benefits Schedule</w:t>
      </w:r>
      <w:r>
        <w:rPr>
          <w:rFonts w:ascii="Arial" w:cs="Arial" w:eastAsia="Arial" w:hAnsi="Arial"/>
          <w:sz w:val="19"/>
          <w:szCs w:val="19"/>
          <w:color w:val="auto"/>
        </w:rPr>
        <w:t>” has the meaning set forth in Section 2.3.</w:t>
      </w:r>
    </w:p>
    <w:p>
      <w:pPr>
        <w:sectPr>
          <w:pgSz w:w="11900" w:h="16838" w:orient="portrait"/>
          <w:cols w:equalWidth="0" w:num="1">
            <w:col w:w="11240"/>
          </w:cols>
          <w:pgMar w:left="320" w:top="108" w:right="339" w:bottom="1440" w:gutter="0" w:footer="0" w:header="0"/>
        </w:sectPr>
      </w:pPr>
    </w:p>
    <w:bookmarkStart w:id="197" w:name="page198"/>
    <w:bookmarkEnd w:id="197"/>
    <w:p>
      <w:pPr>
        <w:ind w:left="1300"/>
        <w:spacing w:after="0"/>
        <w:tabs>
          <w:tab w:leader="none" w:pos="19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CIC Severance Pay</w:t>
      </w:r>
      <w:r>
        <w:rPr>
          <w:rFonts w:ascii="Arial" w:cs="Arial" w:eastAsia="Arial" w:hAnsi="Arial"/>
          <w:sz w:val="19"/>
          <w:szCs w:val="19"/>
          <w:color w:val="auto"/>
        </w:rPr>
        <w:t>” has the meaning set forth in Section 2.3.</w:t>
      </w:r>
    </w:p>
    <w:p>
      <w:pPr>
        <w:spacing w:after="0" w:line="16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has the meaning ascribed to it in the Affirm Holdings, Inc. Amended and Restated</w:t>
      </w:r>
    </w:p>
    <w:p>
      <w:pPr>
        <w:spacing w:after="0"/>
        <w:rPr>
          <w:sz w:val="20"/>
          <w:szCs w:val="20"/>
          <w:color w:val="auto"/>
        </w:rPr>
      </w:pPr>
      <w:r>
        <w:rPr>
          <w:rFonts w:ascii="Arial" w:cs="Arial" w:eastAsia="Arial" w:hAnsi="Arial"/>
          <w:sz w:val="22"/>
          <w:szCs w:val="22"/>
          <w:color w:val="auto"/>
        </w:rPr>
        <w:t>2012 Stock Plan, as amended from time to time.</w:t>
      </w:r>
    </w:p>
    <w:p>
      <w:pPr>
        <w:spacing w:after="0" w:line="161"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Change in Control Protection Period</w:t>
      </w:r>
      <w:r>
        <w:rPr>
          <w:rFonts w:ascii="Arial" w:cs="Arial" w:eastAsia="Arial" w:hAnsi="Arial"/>
          <w:sz w:val="22"/>
          <w:szCs w:val="22"/>
          <w:color w:val="auto"/>
        </w:rPr>
        <w:t>” means the period commencing three (3) months prior to a Change in Control and ending twelve (12) months following the Change in Control.</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Board or a committee of the Board appointed by the Board to administer the Plan, which in each case is also referred to under the Plan as the “</w:t>
      </w:r>
      <w:r>
        <w:rPr>
          <w:rFonts w:ascii="Arial" w:cs="Arial" w:eastAsia="Arial" w:hAnsi="Arial"/>
          <w:sz w:val="22"/>
          <w:szCs w:val="22"/>
          <w:u w:val="single" w:color="auto"/>
          <w:color w:val="auto"/>
        </w:rPr>
        <w:t>Plan Administrator</w:t>
      </w:r>
      <w:r>
        <w:rPr>
          <w:rFonts w:ascii="Arial" w:cs="Arial" w:eastAsia="Arial" w:hAnsi="Arial"/>
          <w:sz w:val="22"/>
          <w:szCs w:val="22"/>
          <w:color w:val="auto"/>
        </w:rPr>
        <w:t>”.</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Affirm Holdings, Inc., a Delaware corporation, and any successors thereto.</w:t>
      </w:r>
    </w:p>
    <w:p>
      <w:pPr>
        <w:spacing w:after="0" w:line="17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Eligible Employee’s disability, by reason of any medically determinable physical or mental impairment that can be expected to result in death or can be expected to last for a continuous period of not less than twelve (12) months, as determined by the Plan Administrator. If the Plan Administrator determines in good faith that the Eligible Employee’s Disability has occurred, it may give the Eligible Employee a written notice of termination that states such a determination has been made (“</w:t>
      </w:r>
      <w:r>
        <w:rPr>
          <w:rFonts w:ascii="Arial" w:cs="Arial" w:eastAsia="Arial" w:hAnsi="Arial"/>
          <w:sz w:val="22"/>
          <w:szCs w:val="22"/>
          <w:u w:val="single" w:color="auto"/>
          <w:color w:val="auto"/>
        </w:rPr>
        <w:t>Termination Notice</w:t>
      </w:r>
      <w:r>
        <w:rPr>
          <w:rFonts w:ascii="Arial" w:cs="Arial" w:eastAsia="Arial" w:hAnsi="Arial"/>
          <w:sz w:val="22"/>
          <w:szCs w:val="22"/>
          <w:color w:val="auto"/>
        </w:rPr>
        <w:t>”). If within 30 days of the Termination Notice, the Eligible Employee does not return to full-time performance of the Eligible Employee’s responsibilities, the Eligible Employee’s employment will terminate. If the Eligible Employee does return to full-time performance in that 30-day period, the Termination Notice will be cancelled for all purposes of this Plan.</w:t>
      </w:r>
    </w:p>
    <w:p>
      <w:pPr>
        <w:spacing w:after="0" w:line="16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November 18, 2020.</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1.14 “</w:t>
      </w:r>
      <w:r>
        <w:rPr>
          <w:rFonts w:ascii="Arial" w:cs="Arial" w:eastAsia="Arial" w:hAnsi="Arial"/>
          <w:sz w:val="21"/>
          <w:szCs w:val="21"/>
          <w:u w:val="single" w:color="auto"/>
          <w:color w:val="auto"/>
        </w:rPr>
        <w:t>Eligible Employee</w:t>
      </w:r>
      <w:r>
        <w:rPr>
          <w:rFonts w:ascii="Arial" w:cs="Arial" w:eastAsia="Arial" w:hAnsi="Arial"/>
          <w:sz w:val="21"/>
          <w:szCs w:val="21"/>
          <w:color w:val="auto"/>
        </w:rPr>
        <w:t>” means an employee of the Company who (i) holds the title of VP or above, (ii) is designated by the Plan Administrator, in its sole discretion, to be eligible for severance benefits under this Plan, and (iii) if applicable, agrees to forgo severance benefits provided under an individually negotiated employment contract or agreement with the Company relating to severance or change in control benefits. The Plan Administrator shall make the determination of whether an employee is an Eligible Employee, and such determination shall be binding and conclusive on all persons. The Plan Administrator shall maintain a current schedule of Eligible Employees with the Chief Legal Officer of the Company or such other Company officer as may be designated by the Plan Administrator. Temporary employees and independent contractors are not eligible to participate in the Plan.</w:t>
      </w:r>
    </w:p>
    <w:p>
      <w:pPr>
        <w:spacing w:after="0" w:line="16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w:t>
      </w:r>
    </w:p>
    <w:p>
      <w:pPr>
        <w:spacing w:after="0" w:line="17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u w:val="single" w:color="auto"/>
          <w:color w:val="auto"/>
        </w:rPr>
        <w:t>Good Reason</w:t>
      </w:r>
      <w:r>
        <w:rPr>
          <w:rFonts w:ascii="Arial" w:cs="Arial" w:eastAsia="Arial" w:hAnsi="Arial"/>
          <w:sz w:val="19"/>
          <w:szCs w:val="19"/>
          <w:color w:val="auto"/>
        </w:rPr>
        <w:t>” means that the Eligible Employee complied with the “Good Reason Process” following the occurrence of any of the following events: (i) a material diminution in the Eligible Employee’s responsibilities, authority or duties; (ii) a material reduction in the Eligible Employee’s Base Salary except for across-the-board salary reductions similarly affecting all or substantially all management employees; (iii) the relocation of the Company office at which the Eligible Employee is principally employed to a location more than thirty-five (35) miles from such office; or (iv) the failure of any successor to the Company to assume and agree to be bound by the terms and conditions of the Plan. For purposes of (i),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98" w:name="page199"/>
    <w:bookmarkEnd w:id="198"/>
    <w:p>
      <w:pPr>
        <w:jc w:val="both"/>
        <w:spacing w:after="0" w:line="232" w:lineRule="auto"/>
        <w:rPr>
          <w:sz w:val="20"/>
          <w:szCs w:val="20"/>
          <w:color w:val="auto"/>
        </w:rPr>
      </w:pPr>
      <w:r>
        <w:rPr>
          <w:rFonts w:ascii="Arial" w:cs="Arial" w:eastAsia="Arial" w:hAnsi="Arial"/>
          <w:sz w:val="22"/>
          <w:szCs w:val="22"/>
          <w:color w:val="auto"/>
        </w:rPr>
        <w:t>change in the reporting relationship, or a change in a title will not, by itself, be sufficient to constitute a material diminution of responsibilities, authority or duty.</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1.17 “</w:t>
      </w:r>
      <w:r>
        <w:rPr>
          <w:rFonts w:ascii="Arial" w:cs="Arial" w:eastAsia="Arial" w:hAnsi="Arial"/>
          <w:sz w:val="21"/>
          <w:szCs w:val="21"/>
          <w:u w:val="single" w:color="auto"/>
          <w:color w:val="auto"/>
        </w:rPr>
        <w:t>Good Reason Process</w:t>
      </w:r>
      <w:r>
        <w:rPr>
          <w:rFonts w:ascii="Arial" w:cs="Arial" w:eastAsia="Arial" w:hAnsi="Arial"/>
          <w:sz w:val="21"/>
          <w:szCs w:val="21"/>
          <w:color w:val="auto"/>
        </w:rPr>
        <w:t>” means (i) the Eligible Employee reasonably determines in good faith that a “Good Reason” condition has occurred; (ii) the Eligible Employee notifies the Company in writing of the occurrence of the Good Reason condition within thirty (30) days of the occurrence of such condition; (iii) the Eligible Employee cooperates in good faith with the Company’s efforts, for a period of 30 days following such notice (the “</w:t>
      </w:r>
      <w:r>
        <w:rPr>
          <w:rFonts w:ascii="Arial" w:cs="Arial" w:eastAsia="Arial" w:hAnsi="Arial"/>
          <w:sz w:val="21"/>
          <w:szCs w:val="21"/>
          <w:u w:val="single" w:color="auto"/>
          <w:color w:val="auto"/>
        </w:rPr>
        <w:t>Cure Period</w:t>
      </w:r>
      <w:r>
        <w:rPr>
          <w:rFonts w:ascii="Arial" w:cs="Arial" w:eastAsia="Arial" w:hAnsi="Arial"/>
          <w:sz w:val="21"/>
          <w:szCs w:val="21"/>
          <w:color w:val="auto"/>
        </w:rPr>
        <w:t>”), to remedy the condition; (iv) notwithstanding such efforts, the Good Reason condition continues to exist following the Cure Period; and (v) the Eligible Employee terminates employment and provides the Company with a notice of termination with respect to such termination, each within thirty (30) days after the end of the Cure Period. If the Company cures the Good Reason condition during the Cure Period, Good Reason shall be deemed not to have occurred.</w:t>
      </w:r>
    </w:p>
    <w:p>
      <w:pPr>
        <w:spacing w:after="0" w:line="16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Non-CIC Benefits Schedule</w:t>
      </w:r>
      <w:r>
        <w:rPr>
          <w:rFonts w:ascii="Arial" w:cs="Arial" w:eastAsia="Arial" w:hAnsi="Arial"/>
          <w:sz w:val="19"/>
          <w:szCs w:val="19"/>
          <w:color w:val="auto"/>
        </w:rPr>
        <w:t>” has the meaning set forth in Section 2.3.</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Non-CIC Severance Pay</w:t>
      </w:r>
      <w:r>
        <w:rPr>
          <w:rFonts w:ascii="Arial" w:cs="Arial" w:eastAsia="Arial" w:hAnsi="Arial"/>
          <w:sz w:val="19"/>
          <w:szCs w:val="19"/>
          <w:color w:val="auto"/>
        </w:rPr>
        <w:t>” has the meaning set forth in Section 2.3.</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Parachute Amount</w:t>
      </w:r>
      <w:r>
        <w:rPr>
          <w:rFonts w:ascii="Arial" w:cs="Arial" w:eastAsia="Arial" w:hAnsi="Arial"/>
          <w:sz w:val="19"/>
          <w:szCs w:val="19"/>
          <w:color w:val="auto"/>
        </w:rPr>
        <w:t>” has the meaning set forth in Section 2.7.</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u w:val="single" w:color="auto"/>
          <w:color w:val="auto"/>
        </w:rPr>
        <w:t>Plan</w:t>
      </w:r>
      <w:r>
        <w:rPr>
          <w:rFonts w:ascii="Arial" w:cs="Arial" w:eastAsia="Arial" w:hAnsi="Arial"/>
          <w:sz w:val="22"/>
          <w:szCs w:val="22"/>
          <w:color w:val="auto"/>
        </w:rPr>
        <w:t>” means the Affirm Holdings, Inc. Officer Severance Plan and Summary Plan Description, as set forth herein, as it may be amended from time to time.</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Administrator</w:t>
      </w:r>
      <w:r>
        <w:rPr>
          <w:rFonts w:ascii="Arial" w:cs="Arial" w:eastAsia="Arial" w:hAnsi="Arial"/>
          <w:sz w:val="19"/>
          <w:szCs w:val="19"/>
          <w:color w:val="auto"/>
        </w:rPr>
        <w:t>” has the meaning set forth in Section 1.10.</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Reduced Amount</w:t>
      </w:r>
      <w:r>
        <w:rPr>
          <w:rFonts w:ascii="Arial" w:cs="Arial" w:eastAsia="Arial" w:hAnsi="Arial"/>
          <w:sz w:val="19"/>
          <w:szCs w:val="19"/>
          <w:color w:val="auto"/>
        </w:rPr>
        <w:t>” has the meaning set forth in Section 2.7.</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Release Effective Date</w:t>
      </w:r>
      <w:r>
        <w:rPr>
          <w:rFonts w:ascii="Arial" w:cs="Arial" w:eastAsia="Arial" w:hAnsi="Arial"/>
          <w:sz w:val="19"/>
          <w:szCs w:val="19"/>
          <w:color w:val="auto"/>
        </w:rPr>
        <w:t>” has the meaning set forth in Section 2.8.</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has the meaning set forth in Section 2.9.</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means (i) the termination of an Eligible Employee’s employment by the Company or any subsidiary thereof for any reason other than for Cause, death or Disability, (ii) the resignation of a Tier II Employee for Good Reason during the Change in Control Protection Period, or (iii) the resignation of a Tier I Employee for Good Reason. The transfer of an Eligible Employee’s employment following a Change of Control from the entity resulting from the Change in Control to an Affiliate thereof shall not, in and of itself, constitute a Qualifying Termination.</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means the date on which an Eligible Employee incurs a Qualifying Termination.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u w:val="single" w:color="auto"/>
          <w:color w:val="auto"/>
        </w:rPr>
        <w:t>Tier I Employee</w:t>
      </w:r>
      <w:r>
        <w:rPr>
          <w:rFonts w:ascii="Arial" w:cs="Arial" w:eastAsia="Arial" w:hAnsi="Arial"/>
          <w:sz w:val="22"/>
          <w:szCs w:val="22"/>
          <w:color w:val="auto"/>
        </w:rPr>
        <w:t>” means any Eligible Employee who prior to the Termination Date or Change in Control was identified by the Company as the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Tier II Employee</w:t>
      </w:r>
      <w:r>
        <w:rPr>
          <w:rFonts w:ascii="Arial" w:cs="Arial" w:eastAsia="Arial" w:hAnsi="Arial"/>
          <w:sz w:val="22"/>
          <w:szCs w:val="22"/>
          <w:color w:val="auto"/>
        </w:rPr>
        <w:t>” means any Eligible Employee who prior to the Termination Date or Change in Control was designated in writing by the Plan Administrator as a Tier II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SEVERANCE BENEFITS</w:t>
      </w:r>
    </w:p>
    <w:p>
      <w:pPr>
        <w:spacing w:after="0" w:line="206"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Generally</w:t>
      </w:r>
      <w:r>
        <w:rPr>
          <w:rFonts w:ascii="Arial" w:cs="Arial" w:eastAsia="Arial" w:hAnsi="Arial"/>
          <w:sz w:val="22"/>
          <w:szCs w:val="22"/>
          <w:color w:val="auto"/>
        </w:rPr>
        <w:t>. Subject to the terms of the Plan, each Eligible Employee shall be entitled to severance payments and/or benefits pursuant to applicable provisions of Section 2 of this Plan if the Eligible Employee incurs a Qualifying Termination and complies with the applicable requirements of the Plan.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Qualifying Termination effected by the Company following the Effective Date shall require ten (10) business days’ prior written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may, in its sole discretion, pay the Eligible Employee in lieu of all or part of such notice period.</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Severance Pay</w:t>
      </w:r>
      <w:r>
        <w:rPr>
          <w:rFonts w:ascii="Arial" w:cs="Arial" w:eastAsia="Arial" w:hAnsi="Arial"/>
          <w:sz w:val="19"/>
          <w:szCs w:val="19"/>
          <w:color w:val="auto"/>
        </w:rPr>
        <w:t>. Subject to the terms of the Plan, the Company shall provide “</w:t>
      </w:r>
      <w:r>
        <w:rPr>
          <w:rFonts w:ascii="Arial" w:cs="Arial" w:eastAsia="Arial" w:hAnsi="Arial"/>
          <w:sz w:val="19"/>
          <w:szCs w:val="19"/>
          <w:u w:val="single" w:color="auto"/>
          <w:color w:val="auto"/>
        </w:rPr>
        <w:t>CIC Severance Pay</w:t>
      </w:r>
      <w:r>
        <w:rPr>
          <w:rFonts w:ascii="Arial" w:cs="Arial" w:eastAsia="Arial" w:hAnsi="Arial"/>
          <w:sz w:val="19"/>
          <w:szCs w:val="19"/>
          <w:color w:val="auto"/>
        </w:rPr>
        <w:t xml:space="preserve">” to each Eligible Employee who incurs a Qualifying Termination during the Change in Control Protection Period equal to the amount listed in such Eligible Employee’s applicable tier level in the Schedule of Change in Control Severance Benefits as attached to hereto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CIC Benefits Schedule</w:t>
      </w:r>
      <w:r>
        <w:rPr>
          <w:rFonts w:ascii="Arial" w:cs="Arial" w:eastAsia="Arial" w:hAnsi="Arial"/>
          <w:sz w:val="19"/>
          <w:szCs w:val="19"/>
          <w:color w:val="auto"/>
        </w:rPr>
        <w:t>”) and the Company shall provide “</w:t>
      </w:r>
      <w:r>
        <w:rPr>
          <w:rFonts w:ascii="Arial" w:cs="Arial" w:eastAsia="Arial" w:hAnsi="Arial"/>
          <w:sz w:val="19"/>
          <w:szCs w:val="19"/>
          <w:u w:val="single" w:color="auto"/>
          <w:color w:val="auto"/>
        </w:rPr>
        <w:t>Non-CIC Severance Pay</w:t>
      </w:r>
      <w:r>
        <w:rPr>
          <w:rFonts w:ascii="Arial" w:cs="Arial" w:eastAsia="Arial" w:hAnsi="Arial"/>
          <w:sz w:val="19"/>
          <w:szCs w:val="19"/>
          <w:color w:val="auto"/>
        </w:rPr>
        <w:t xml:space="preserve">” to each Eligible Employee who incurs Qualifying Termination outside the Change in Control Protection Period equal to the amount listed in such Eligible Employee’s applicable tier level in the Schedule of Non-Change in Control Severance Benefits as attached to hereto as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Non-CIC Benefits Schedule</w:t>
      </w:r>
      <w:r>
        <w:rPr>
          <w:rFonts w:ascii="Arial" w:cs="Arial" w:eastAsia="Arial" w:hAnsi="Arial"/>
          <w:sz w:val="19"/>
          <w:szCs w:val="19"/>
          <w:color w:val="auto"/>
        </w:rPr>
        <w:t>”). CIC Severance Pay or Non-CIC Severance Pay, as applicable, shall be paid in a lump sum on the first regular payroll date of the Company that occurs after the Release Effective Date (a defined below).</w:t>
      </w:r>
    </w:p>
    <w:p>
      <w:pPr>
        <w:spacing w:after="0" w:line="15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Benefits Continuation</w:t>
      </w:r>
      <w:r>
        <w:rPr>
          <w:rFonts w:ascii="Arial" w:cs="Arial" w:eastAsia="Arial" w:hAnsi="Arial"/>
          <w:sz w:val="19"/>
          <w:szCs w:val="19"/>
          <w:color w:val="auto"/>
        </w:rPr>
        <w:t>. If the Eligible Employee is eligible for and timely elects to continue receiving group medical and/or dental insurance under the continuation coverage rules of the Consolidated Omnibus Budget Reconciliation Act of 1986 (“</w:t>
      </w:r>
      <w:r>
        <w:rPr>
          <w:rFonts w:ascii="Arial" w:cs="Arial" w:eastAsia="Arial" w:hAnsi="Arial"/>
          <w:sz w:val="19"/>
          <w:szCs w:val="19"/>
          <w:u w:val="single" w:color="auto"/>
          <w:color w:val="auto"/>
        </w:rPr>
        <w:t>COBRA</w:t>
      </w:r>
      <w:r>
        <w:rPr>
          <w:rFonts w:ascii="Arial" w:cs="Arial" w:eastAsia="Arial" w:hAnsi="Arial"/>
          <w:sz w:val="19"/>
          <w:szCs w:val="19"/>
          <w:color w:val="auto"/>
        </w:rPr>
        <w:t xml:space="preserve"> ”), upon the Eligible Employee’s submission to the Company of evidence of the Eligible Employee’s and his or her dependent’s, if applicable, enrollment in COBRA, the Company will pay to the Eligible Employee, in accordance with the Company’s regular payroll practices, an amount equal, net of taxes, to the monthly employer contribution to the applicable health care benefits, as in effect on the Eligible Employee’s Termination Date, for a number of months equal to the number of months in the Eligible Employee’s COBRA continuation coverage period as set forth in the applicable tier level in the CIC Benefits Schedule for each Eligible Employee who incurs a Qualifying Termination during the Change in Control Protection Period and the Non-CIC Benefits Schedule for each Eligible Employee who incurs a Qualifying Termination outside the Change in Control Protection Period, as applicable, so long as the Eligible Employee has not become actually covered by the medical plan of a subsequent employer during any such month. This period of continued benefits shall run concurrently with (and shall count against) the Company’s obligation to provide continuation coverage pursuant to COBRA.</w:t>
      </w:r>
    </w:p>
    <w:p>
      <w:pPr>
        <w:spacing w:after="0" w:line="164"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Non-Duplication of Benefits</w:t>
      </w:r>
      <w:r>
        <w:rPr>
          <w:rFonts w:ascii="Arial" w:cs="Arial" w:eastAsia="Arial" w:hAnsi="Arial"/>
          <w:sz w:val="21"/>
          <w:szCs w:val="21"/>
          <w:color w:val="auto"/>
        </w:rPr>
        <w:t>. The benefits provided under the Plan are intended to satisfy, to the greatest extent possible, and not to provide benefits duplicative of, any and all statutory, contractual and collective agreement obligations of the Company in respect of the form of benefits provided under the Plan that may arise out of a Qualifying Termination, and the Plan Administrator will so construe and implement the terms of the Plan. If the Company or any Affiliate is obligated by law or by contract to provide severance pay or change in control benefits to an Eligible Employee, then the Eligible Employee may be required to waive, upon the Company’s request, any amounts payable pursuant to such legal or contractual obligation as a condition of receiving benefits under the Plan.</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Vesting Acceleration</w:t>
      </w:r>
      <w:r>
        <w:rPr>
          <w:rFonts w:ascii="Arial" w:cs="Arial" w:eastAsia="Arial" w:hAnsi="Arial"/>
          <w:sz w:val="22"/>
          <w:szCs w:val="22"/>
          <w:color w:val="auto"/>
        </w:rPr>
        <w:t>. In the event of a Qualifying Termination during the Change in Control Protection Period, the Eligible Employee shall receive accelerated vesting with respect to the percentage of shares as set forth in the Eligible Employee’s applicable tier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00" w:name="page201"/>
    <w:bookmarkEnd w:id="200"/>
    <w:p>
      <w:pPr>
        <w:jc w:val="both"/>
        <w:spacing w:after="0" w:line="216" w:lineRule="auto"/>
        <w:rPr>
          <w:sz w:val="20"/>
          <w:szCs w:val="20"/>
          <w:color w:val="auto"/>
        </w:rPr>
      </w:pPr>
      <w:r>
        <w:rPr>
          <w:rFonts w:ascii="Arial" w:cs="Arial" w:eastAsia="Arial" w:hAnsi="Arial"/>
          <w:sz w:val="22"/>
          <w:szCs w:val="22"/>
          <w:color w:val="auto"/>
        </w:rPr>
        <w:t>level in the CIC Benefits Schedule (“</w:t>
      </w:r>
      <w:r>
        <w:rPr>
          <w:rFonts w:ascii="Arial" w:cs="Arial" w:eastAsia="Arial" w:hAnsi="Arial"/>
          <w:sz w:val="22"/>
          <w:szCs w:val="22"/>
          <w:u w:val="single" w:color="auto"/>
          <w:color w:val="auto"/>
        </w:rPr>
        <w:t>Vesting Acceleration</w:t>
      </w:r>
      <w:r>
        <w:rPr>
          <w:rFonts w:ascii="Arial" w:cs="Arial" w:eastAsia="Arial" w:hAnsi="Arial"/>
          <w:sz w:val="22"/>
          <w:szCs w:val="22"/>
          <w:color w:val="auto"/>
        </w:rPr>
        <w:t>”) subject to each of such Eligible Employee’s then-outstanding and unvested equity awards which would otherwise become vested solely on the passage of time and such Eligible Employee’s continued service to the Company (which, for the avoidance of doubt will not include any such Company equity awards that would otherwise become vested in whole or in part based on the attainment of performance conditions or targets, which awards will be subject to the terms of their underlying award agreements).</w:t>
      </w:r>
    </w:p>
    <w:p>
      <w:pPr>
        <w:spacing w:after="0" w:line="15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Impact of Section 4999 Excise Tax: Maximum After-Tax Benefit Following a Change of Control</w:t>
      </w:r>
      <w:r>
        <w:rPr>
          <w:rFonts w:ascii="Arial" w:cs="Arial" w:eastAsia="Arial" w:hAnsi="Arial"/>
          <w:sz w:val="19"/>
          <w:szCs w:val="19"/>
          <w:color w:val="auto"/>
        </w:rPr>
        <w:t>. Except to the extent that a more favorable treatment is provided to an Eligible Employee by the Company in writing, in the event that part or all of the consideration, compensation or benefits to be paid to an Eligible Employee under this Plan or any other plan, arrangement or agreement applicable to such Eligible Employee, constitutes “excess parachute payments” under Section 280G(b) of the Code subject to an excise tax under Section 4999 of the Code (collectively, the “</w:t>
      </w:r>
      <w:r>
        <w:rPr>
          <w:rFonts w:ascii="Arial" w:cs="Arial" w:eastAsia="Arial" w:hAnsi="Arial"/>
          <w:sz w:val="19"/>
          <w:szCs w:val="19"/>
          <w:u w:val="single" w:color="auto"/>
          <w:color w:val="auto"/>
        </w:rPr>
        <w:t>Parachute Amount</w:t>
      </w:r>
      <w:r>
        <w:rPr>
          <w:rFonts w:ascii="Arial" w:cs="Arial" w:eastAsia="Arial" w:hAnsi="Arial"/>
          <w:sz w:val="19"/>
          <w:szCs w:val="19"/>
          <w:color w:val="auto"/>
        </w:rPr>
        <w:t>”), the amount of excess parachute payments which would otherwise be payable to such Eligible Employee or for such Eligible Employee’s benefit shall be reduced to the extent necessary so that no amount of the Parachute Amount is subject to an excise tax under Section 4999 (the “</w:t>
      </w:r>
      <w:r>
        <w:rPr>
          <w:rFonts w:ascii="Arial" w:cs="Arial" w:eastAsia="Arial" w:hAnsi="Arial"/>
          <w:sz w:val="19"/>
          <w:szCs w:val="19"/>
          <w:u w:val="single" w:color="auto"/>
          <w:color w:val="auto"/>
        </w:rPr>
        <w:t>Reduced Amount</w:t>
      </w:r>
      <w:r>
        <w:rPr>
          <w:rFonts w:ascii="Arial" w:cs="Arial" w:eastAsia="Arial" w:hAnsi="Arial"/>
          <w:sz w:val="19"/>
          <w:szCs w:val="19"/>
          <w:color w:val="auto"/>
        </w:rPr>
        <w:t>”); provided that such amounts shall not be so reduced if, without such reduction, such Eligible Employee would be entitled to receive and retain, on a net after-tax basis (including, without limitation, after any excise taxes payable under Section 4999), an amount of the Parachute Amount which is greater than the amount, on a net after-tax basis, that such Eligible Employee would be entitled to retain upon receipt of the Reduced Amount. All determinations with respect to the Parachute Amount shall be made by a nationally recognized certified public accounting firm or other firm that is retained and paid by the Company for such purpose prior to the Change in Control, which firm shall not, without such Eligible Employee’s consent, be changed following the Change in Control. Such determinations shall be binding upon the Company and shall be made promptly following the Change in Control and as appropriate thereafter, in order to permit payment in accordance with the provisions of this Plan.</w:t>
      </w:r>
    </w:p>
    <w:p>
      <w:pPr>
        <w:spacing w:after="0" w:line="381"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No Eligible Employee who incurs a Qualifying Termination shall be eligible to receive any payments or other benefits under the Plan unless he or she first executes a release in favor of the Company in the form 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and the release becomes effective and irrevocable within sixty (60) days following the Eligible Employee’s Termination Date (such date the release becomes effective and irrevocable, the “</w:t>
      </w:r>
      <w:r>
        <w:rPr>
          <w:rFonts w:ascii="Arial" w:cs="Arial" w:eastAsia="Arial" w:hAnsi="Arial"/>
          <w:sz w:val="22"/>
          <w:szCs w:val="22"/>
          <w:u w:val="single" w:color="auto"/>
          <w:color w:val="auto"/>
        </w:rPr>
        <w:t>Release Effective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60th day following the Termination Date falls in the calendar year following the year in which the Termination Date occurs, any payments or other benefits under the Plan shall be paid no earlier than January 1 of the calendar year following the year in which the Termination Date occurs.</w:t>
      </w:r>
    </w:p>
    <w:p>
      <w:pPr>
        <w:spacing w:after="0" w:line="16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payments and benefits under this Plan will not subject Eligible Employees to taxation under Section 409A of the Code and the regulations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and, accordingly, this Plan shall be interpreted and administered to be either exempt from or in compliance therewith. Specifically, any taxable benefits or payments provided under this Plan are intended to be separate and distinct payments that qualify for the “short-term deferral” exception to Section 409A to the maximum extent possible, and to the extent they do not so qualify, are intended to qualify for the separation pay exceptions to Section 409A, to the maximum extent possible. To the extent that none of these exceptions (or any other available exception) applies, then notwithstanding anything contained herein to the contrary, and to the extent required to comply with Section 409A, if an Eligible Employee is a “specified employee,” as determined under the Company’s policy for identifying specified employees on the Eligible Employee’s Termination Date, then all amounts due under the Plan that constitute a “deferral of compensation” within the meaning of Section 409A of the Code, that are provided as a result of a separation from service within the meaning of Section 409A, and that would otherwise be paid or provided during the first six months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01" w:name="page202"/>
    <w:bookmarkEnd w:id="201"/>
    <w:p>
      <w:pPr>
        <w:jc w:val="both"/>
        <w:spacing w:after="0" w:line="220" w:lineRule="auto"/>
        <w:rPr>
          <w:sz w:val="20"/>
          <w:szCs w:val="20"/>
          <w:color w:val="auto"/>
        </w:rPr>
      </w:pPr>
      <w:r>
        <w:rPr>
          <w:rFonts w:ascii="Arial" w:cs="Arial" w:eastAsia="Arial" w:hAnsi="Arial"/>
          <w:sz w:val="21"/>
          <w:szCs w:val="21"/>
          <w:color w:val="auto"/>
        </w:rPr>
        <w:t>Termination Date, shall be accumulated through and paid or provided on the first business day that is more than six months after the Termination Date (or, if the Eligible Employee dies during such six-month period, within 90 days after the Eligible Employee’s death). Notwithstanding anything contained herein to the contrary, an Eligible Employee shall not be considered to have terminated employment with the Company for purposes of any payments under this Plan which are subject to Section 409A until the Eligible Employee would be considered to have incurred a “separation from service” within the meaning of Section 409A. In no event may an Eligible Employee, directly or indirectly, designate the calendar year of any payment to be made under this Plan that is considered nonqualified deferred compensation. The Company makes no representation that any or all of the payments described in this Plan shall be exempt from or comply with Section 409A and makes no undertaking to preclude Section 409A from applying to any such payment. The Eligible Employee shall be solely responsible for the payment of any taxes and penalties incurred under Section 409A.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PLAN ADMINISTRATION</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3.1 The Plan Administrator shall administer the Plan and may interpret the Plan, prescribe, amend and rescind rules and regulations under the Plan and make all other determinations necessary or advisable for the administration of the Plan, subject to all of the provisions of the Plan.</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3.2 The Plan Administrator may delegate any of its duties hereunder to such person or persons from time to time as it may designate.</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3.3 The Plan Administrator is empowered, on behalf of the Plan, to engage accountants, legal counsel and such other personnel as it deems necessary or advisable to assist it in the performance of its duties under the Plan. The functions of any such persons engaged by the Plan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PLAN MODIFICATION OR TERMINATION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The Plan may be terminated or amended by the Plan Administrator at any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Plan may not be terminated or amended during the Change in Control Protection Period or in respect of a Qualifying Termination that occurred prior to the amendment or termination of the Plan.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5.1 Except as otherwise provided herein or by law, no right or interest of any Eligible Employee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Plan shall be liable for, or subject to, any obligation or liability of such Eligible Employee. When a payment is due under this Plan to a severed employee who is unable to care for his or her affairs, payment may be made directly to his or her legal guardian or personal representative.</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5.2 Neither the establishment of the Plan, nor any modification thereof, nor the creation of any fund, trust or account, nor the payment of any benefits shall be construed as giving any Eligible Employee, or any person whomsoever, the right to be retained in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202" w:name="page203"/>
    <w:bookmarkEnd w:id="202"/>
    <w:p>
      <w:pPr>
        <w:jc w:val="both"/>
        <w:spacing w:after="0" w:line="232" w:lineRule="auto"/>
        <w:rPr>
          <w:sz w:val="20"/>
          <w:szCs w:val="20"/>
          <w:color w:val="auto"/>
        </w:rPr>
      </w:pPr>
      <w:r>
        <w:rPr>
          <w:rFonts w:ascii="Arial" w:cs="Arial" w:eastAsia="Arial" w:hAnsi="Arial"/>
          <w:sz w:val="22"/>
          <w:szCs w:val="22"/>
          <w:color w:val="auto"/>
        </w:rPr>
        <w:t>of the Company or any subsidiary thereof, and all Eligible Employees shall remain subject to discharge to the same extent as if the Plan had never been adopted.</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5.3 If any provision of this Plan shall be held invalid or unenforceable, such invalidity or unenforceability shall not affect any other provisions hereof, and this Plan shall be construed and enforced as if such provisions had not been included.</w:t>
      </w:r>
    </w:p>
    <w:p>
      <w:pPr>
        <w:spacing w:after="0" w:line="105"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5.4 This Plan shall inure to the benefit of and be binding upon the heirs, executors, administrators, successors and assigns of the parties, including each Eligible Employee, present and future, and any successor to the Company. If an Eligible Employee dies while any amount would still be payable to such Eligible Employee hereunder (following a Qualifying Termination), all such amounts, unless otherwise provided herein, shall be paid in accordance with the terms of this Plan to the executor, personal representative or administrators of the severed employee’s estate.</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5.5 The headings and captions herein are provided for reference and convenience only, shall not be considered part of the Plan, and shall not be employed in the construction of the Plan.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5.6 The Plan shall not be required to be funded unless such funding is authorized by the Board. Regardless of whether the Plan is funded, no Eligible Employee shall have any right to, or interest in, any assets of any Company which may be applied by the Company to the payment of benefits or other rights under this Plan.</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5.7 Any notice or other communication required or permitted pursuant to the terms hereof shall have been duly given when delivered or mailed by United States Mail, first class, postage prepaid, addressed to the intended recipient at his, her or its last known address.</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5.8 To the extent not preempted by federal law, which shall otherwise control, this Plan shall be construed and enforced according to the laws of the State of Delaware, without regard to its choice-of-law principles.</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5.9 All benefits hereunder shall be reduced by applicable withholding and shall be subject to applicable tax reporting, as determined by the Plan Administrator.</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5.10 The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CLAIMS, INQUIRIES, APPEALS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Applications for Benefits and Inquiries</w:t>
      </w:r>
      <w:r>
        <w:rPr>
          <w:rFonts w:ascii="Arial" w:cs="Arial" w:eastAsia="Arial" w:hAnsi="Arial"/>
          <w:sz w:val="21"/>
          <w:szCs w:val="21"/>
          <w:color w:val="auto"/>
        </w:rPr>
        <w:t>. Any application for benefits, inquiries about the Plan or inquiries about present or future rights under the Plan must be submitted to the Plan Administrator in writing, as follows: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Affirm Holdings, Inc.</w:t>
      </w:r>
    </w:p>
    <w:p>
      <w:pPr>
        <w:ind w:left="1300"/>
        <w:spacing w:after="0" w:line="204" w:lineRule="auto"/>
        <w:rPr>
          <w:sz w:val="20"/>
          <w:szCs w:val="20"/>
          <w:color w:val="auto"/>
        </w:rPr>
      </w:pPr>
      <w:r>
        <w:rPr>
          <w:rFonts w:ascii="Arial" w:cs="Arial" w:eastAsia="Arial" w:hAnsi="Arial"/>
          <w:sz w:val="22"/>
          <w:szCs w:val="22"/>
          <w:color w:val="auto"/>
        </w:rPr>
        <w:t>Attention:</w:t>
      </w:r>
    </w:p>
    <w:p>
      <w:pPr>
        <w:ind w:left="1300"/>
        <w:spacing w:after="0" w:line="205" w:lineRule="auto"/>
        <w:rPr>
          <w:sz w:val="20"/>
          <w:szCs w:val="20"/>
          <w:color w:val="auto"/>
        </w:rPr>
      </w:pPr>
      <w:r>
        <w:rPr>
          <w:rFonts w:ascii="Arial" w:cs="Arial" w:eastAsia="Arial" w:hAnsi="Arial"/>
          <w:sz w:val="22"/>
          <w:szCs w:val="22"/>
          <w:color w:val="auto"/>
        </w:rPr>
        <w:t>650 California St.</w:t>
      </w:r>
    </w:p>
    <w:p>
      <w:pPr>
        <w:ind w:left="1300"/>
        <w:spacing w:after="0" w:line="205" w:lineRule="auto"/>
        <w:rPr>
          <w:sz w:val="20"/>
          <w:szCs w:val="20"/>
          <w:color w:val="auto"/>
        </w:rPr>
      </w:pPr>
      <w:r>
        <w:rPr>
          <w:rFonts w:ascii="Arial" w:cs="Arial" w:eastAsia="Arial" w:hAnsi="Arial"/>
          <w:sz w:val="22"/>
          <w:szCs w:val="22"/>
          <w:color w:val="auto"/>
        </w:rPr>
        <w:t>San Francisco, CA 94108</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203" w:name="page204"/>
    <w:bookmarkEnd w:id="203"/>
    <w:p>
      <w:pPr>
        <w:jc w:val="both"/>
        <w:ind w:firstLine="1296"/>
        <w:spacing w:after="0" w:line="214"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Denial of Claims</w:t>
      </w:r>
      <w:r>
        <w:rPr>
          <w:rFonts w:ascii="Arial" w:cs="Arial" w:eastAsia="Arial" w:hAnsi="Arial"/>
          <w:sz w:val="22"/>
          <w:szCs w:val="22"/>
          <w:color w:val="auto"/>
        </w:rPr>
        <w:t>. 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employee, and will include specific reasons for the denial, specific references to the Plan provision upon which the denial is based, a description of any information or material that the Plan Administrator needs to complete the review and an explanation of the Plan’s review procedure.</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This written notice will be given to the employee within ninety (90) days after the Plan Administrator receives the application, unless special circumstances require an extension of time, in which case, the Plan Administrator has up to an additional ninety (90) days for processing the application. If an extension of time for processing is required, written notice of the extension will be furnished to the applicant before the end of the initial ninety (90)-day period.</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This notice of extension will describe the special circumstances necessitating the additional time and the date by which the Plan Administrator is to render his or her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w:t>
      </w:r>
    </w:p>
    <w:p>
      <w:pPr>
        <w:spacing w:after="0" w:line="158"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Request for a Review</w:t>
      </w:r>
      <w:r>
        <w:rPr>
          <w:rFonts w:ascii="Arial" w:cs="Arial" w:eastAsia="Arial" w:hAnsi="Arial"/>
          <w:sz w:val="22"/>
          <w:szCs w:val="22"/>
          <w:color w:val="auto"/>
        </w:rPr>
        <w:t>. Any person (or that person’s authorized representative) for whom an application for benefits is denied (or deemed denied), in whole or in part, may appeal the denial by submitting a request for a review to the Plan Administrator within 60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Affirm Holdings, Inc.</w:t>
      </w:r>
    </w:p>
    <w:p>
      <w:pPr>
        <w:ind w:left="1300"/>
        <w:spacing w:after="0" w:line="204" w:lineRule="auto"/>
        <w:rPr>
          <w:sz w:val="20"/>
          <w:szCs w:val="20"/>
          <w:color w:val="auto"/>
        </w:rPr>
      </w:pPr>
      <w:r>
        <w:rPr>
          <w:rFonts w:ascii="Arial" w:cs="Arial" w:eastAsia="Arial" w:hAnsi="Arial"/>
          <w:sz w:val="22"/>
          <w:szCs w:val="22"/>
          <w:color w:val="auto"/>
        </w:rPr>
        <w:t>Attention:</w:t>
      </w:r>
    </w:p>
    <w:p>
      <w:pPr>
        <w:ind w:left="1300"/>
        <w:spacing w:after="0" w:line="205" w:lineRule="auto"/>
        <w:rPr>
          <w:sz w:val="20"/>
          <w:szCs w:val="20"/>
          <w:color w:val="auto"/>
        </w:rPr>
      </w:pPr>
      <w:r>
        <w:rPr>
          <w:rFonts w:ascii="Arial" w:cs="Arial" w:eastAsia="Arial" w:hAnsi="Arial"/>
          <w:sz w:val="22"/>
          <w:szCs w:val="22"/>
          <w:color w:val="auto"/>
        </w:rPr>
        <w:t>650 California St.</w:t>
      </w:r>
    </w:p>
    <w:p>
      <w:pPr>
        <w:ind w:left="1300"/>
        <w:spacing w:after="0" w:line="205" w:lineRule="auto"/>
        <w:rPr>
          <w:sz w:val="20"/>
          <w:szCs w:val="20"/>
          <w:color w:val="auto"/>
        </w:rPr>
      </w:pPr>
      <w:r>
        <w:rPr>
          <w:rFonts w:ascii="Arial" w:cs="Arial" w:eastAsia="Arial" w:hAnsi="Arial"/>
          <w:sz w:val="22"/>
          <w:szCs w:val="22"/>
          <w:color w:val="auto"/>
        </w:rPr>
        <w:t>San Francisco, CA 94108</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he or she may find necessary or appropriate in making his or her review.</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Decision on Review</w:t>
      </w:r>
      <w:r>
        <w:rPr>
          <w:rFonts w:ascii="Arial" w:cs="Arial" w:eastAsia="Arial" w:hAnsi="Arial"/>
          <w:sz w:val="21"/>
          <w:szCs w:val="21"/>
          <w:color w:val="auto"/>
        </w:rPr>
        <w:t>. The Plan Administrator will act on each request for review within sixty (60) days after receipt of the request, unless special circumstances require an extension of time (not to exceed an additional sixty (60) days), for processing the request for a review. If an extension for review is required, written notice of the extension will be furnished to the applicant within the initial sixty (60)-day period. If written notice of denial of the application for benefits is not furnished within the specified time, the application will be deemed to be denied. The Plan Administrator will give prompt, written notice of his or her decision to the applicant. In the event that the Plan Administrator confirms the denial of the application for benefits in whole or in part, the notice will outline, in a manner calculated to be understood by the applicant, the specific Plan provisions upon which the decision is based.</w:t>
      </w:r>
    </w:p>
    <w:p>
      <w:pPr>
        <w:spacing w:after="0" w:line="16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Rules and Procedures</w:t>
      </w:r>
      <w:r>
        <w:rPr>
          <w:rFonts w:ascii="Arial" w:cs="Arial" w:eastAsia="Arial" w:hAnsi="Arial"/>
          <w:sz w:val="22"/>
          <w:szCs w:val="22"/>
          <w:color w:val="auto"/>
        </w:rPr>
        <w:t>. The Plan Administrator may establish rules and procedures, consistent with the Plan and with ERISA, as necessary and appropriate in carrying out his or her responsibilities in reviewing benefit claims. The Plan Administrator may require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204" w:name="page205"/>
    <w:bookmarkEnd w:id="204"/>
    <w:p>
      <w:pPr>
        <w:jc w:val="both"/>
        <w:ind w:right="20"/>
        <w:spacing w:after="0" w:line="232" w:lineRule="auto"/>
        <w:rPr>
          <w:sz w:val="20"/>
          <w:szCs w:val="20"/>
          <w:color w:val="auto"/>
        </w:rPr>
      </w:pPr>
      <w:r>
        <w:rPr>
          <w:rFonts w:ascii="Arial" w:cs="Arial" w:eastAsia="Arial" w:hAnsi="Arial"/>
          <w:sz w:val="22"/>
          <w:szCs w:val="22"/>
          <w:color w:val="auto"/>
        </w:rPr>
        <w:t>applicant who wishes to submit additional information in connection with an appeal from the denial (or deemed denial) of benefits to do so at the applicant’s own expense.</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Exhaustion of Remedies</w:t>
      </w:r>
      <w:r>
        <w:rPr>
          <w:rFonts w:ascii="Arial" w:cs="Arial" w:eastAsia="Arial" w:hAnsi="Arial"/>
          <w:sz w:val="21"/>
          <w:szCs w:val="21"/>
          <w:color w:val="auto"/>
        </w:rPr>
        <w:t>. No legal action for benefits under the Plan may be brought until the claimant (a) has submitted a written application for benefits in accordance with the procedures described in Section 6.1, (b) has been notified by the Plan Administrator that the application is denied (or the application is deemed denied due to the Plan Administrator’s failure to act on it within the established time period), (c) has filed a written request for a review of the application in accordance with the appeal procedure described in Section 6.3 and (d) has been notified in writing that the Plan Administrator has denied the appeal (or the appeal is deemed to be denied due to the Plan Administrator’s failure to take any action on the claim within the time prescribed by Section 6.4).</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ERISA RIGHTS STATEMENT</w:t>
      </w:r>
      <w:r>
        <w:rPr>
          <w:rFonts w:ascii="Arial" w:cs="Arial" w:eastAsia="Arial" w:hAnsi="Arial"/>
          <w:sz w:val="22"/>
          <w:szCs w:val="22"/>
          <w:color w:val="auto"/>
        </w:rPr>
        <w:t>.</w:t>
      </w:r>
    </w:p>
    <w:p>
      <w:pPr>
        <w:spacing w:after="0" w:line="206" w:lineRule="exact"/>
        <w:rPr>
          <w:sz w:val="20"/>
          <w:szCs w:val="20"/>
          <w:color w:val="auto"/>
        </w:rPr>
      </w:pPr>
    </w:p>
    <w:p>
      <w:pPr>
        <w:jc w:val="both"/>
        <w:ind w:right="20" w:firstLine="1296"/>
        <w:spacing w:after="0" w:line="247" w:lineRule="auto"/>
        <w:rPr>
          <w:sz w:val="20"/>
          <w:szCs w:val="20"/>
          <w:color w:val="auto"/>
        </w:rPr>
      </w:pPr>
      <w:r>
        <w:rPr>
          <w:rFonts w:ascii="Arial" w:cs="Arial" w:eastAsia="Arial" w:hAnsi="Arial"/>
          <w:sz w:val="21"/>
          <w:szCs w:val="21"/>
          <w:color w:val="auto"/>
        </w:rPr>
        <w:t>7.1 As a participant in the Plan, the Eligible Employee (referred to in this Section 7 as “you” or “your”) is entitled to certain rights and protections under ERISA. ERISA provides that all Plan participants shall be entitled to: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Receive Information About Your Plan and Benefits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Examine, without charge, at the Plan Administrator’s office and at other specified locations, all Plan documents,</w:t>
      </w:r>
    </w:p>
    <w:p>
      <w:pPr>
        <w:ind w:left="980"/>
        <w:spacing w:after="0" w:line="214" w:lineRule="auto"/>
        <w:rPr>
          <w:sz w:val="20"/>
          <w:szCs w:val="20"/>
          <w:color w:val="auto"/>
        </w:rPr>
      </w:pPr>
      <w:r>
        <w:rPr>
          <w:rFonts w:ascii="Arial" w:cs="Arial" w:eastAsia="Arial" w:hAnsi="Arial"/>
          <w:sz w:val="21"/>
          <w:szCs w:val="21"/>
          <w:color w:val="auto"/>
        </w:rPr>
        <w:t>including the Plan and a copy of the latest annual report (Form 5500 Series) filed by the Plan with the U.S.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Department of Labor and available at the Public Disclosure Room of the Employee Benefits Security Administration.</w:t>
      </w:r>
    </w:p>
    <w:p>
      <w:pPr>
        <w:spacing w:after="0" w:line="223" w:lineRule="exact"/>
        <w:rPr>
          <w:sz w:val="20"/>
          <w:szCs w:val="20"/>
          <w:color w:val="auto"/>
        </w:rPr>
      </w:pPr>
    </w:p>
    <w:p>
      <w:pPr>
        <w:jc w:val="both"/>
        <w:ind w:left="980" w:hanging="215"/>
        <w:spacing w:after="0" w:line="298" w:lineRule="auto"/>
        <w:rPr>
          <w:sz w:val="20"/>
          <w:szCs w:val="20"/>
          <w:color w:val="auto"/>
        </w:rPr>
      </w:pPr>
      <w:r>
        <w:rPr>
          <w:rFonts w:ascii="Arial" w:cs="Arial" w:eastAsia="Arial" w:hAnsi="Arial"/>
          <w:sz w:val="19"/>
          <w:szCs w:val="19"/>
          <w:color w:val="auto"/>
        </w:rPr>
        <w:t>Obtain, upon written request to the Plan Administrator, copies of Plan documents, including the Plan and copies of the latest annual report (Form 5500 Series). The Plan Administrator may require a reasonable charge for the copies.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Prudent Actions by Plan Fiduciaries</w:t>
      </w:r>
    </w:p>
    <w:p>
      <w:pPr>
        <w:spacing w:after="0" w:line="20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welfare benefit or exercising your rights under ERISA.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Enforce Your Rights</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the Plan documents or the latest annual report from the Plan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In addition, if you disagree with the Plan’s decision or lack thereof concerning the qualified status of a domestic relations order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05" w:name="page206"/>
    <w:bookmarkEnd w:id="205"/>
    <w:p>
      <w:pPr>
        <w:jc w:val="both"/>
        <w:spacing w:after="0" w:line="216" w:lineRule="auto"/>
        <w:rPr>
          <w:sz w:val="20"/>
          <w:szCs w:val="20"/>
          <w:color w:val="auto"/>
        </w:rPr>
      </w:pPr>
      <w:r>
        <w:rPr>
          <w:rFonts w:ascii="Arial" w:cs="Arial" w:eastAsia="Arial" w:hAnsi="Arial"/>
          <w:sz w:val="22"/>
          <w:szCs w:val="22"/>
          <w:color w:val="auto"/>
        </w:rPr>
        <w:t>medical child support order, you may file suit in a Federal court. If it should happen that you are discriminated against for asserting your rights, you may seek assistance from the U.S. Department of Labor, or you may file suit in a Federal court. The court shall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Assistance with Your Questions</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If you have any questions about your Plan, you should contact the Plan Administrator. If you have any questions about this statement or about your rights under ERISA,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60" w:lineRule="exact"/>
        <w:rPr>
          <w:sz w:val="20"/>
          <w:szCs w:val="20"/>
          <w:color w:val="auto"/>
        </w:rPr>
      </w:pPr>
    </w:p>
    <w:p>
      <w:pPr>
        <w:jc w:val="center"/>
        <w:ind w:right="120"/>
        <w:spacing w:after="0"/>
        <w:tabs>
          <w:tab w:leader="none" w:pos="3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The following additional details are provided to you for your information and possible use:</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3720" w:type="dxa"/>
            <w:vAlign w:val="bottom"/>
          </w:tcPr>
          <w:p>
            <w:pPr>
              <w:spacing w:after="0"/>
              <w:rPr>
                <w:sz w:val="20"/>
                <w:szCs w:val="20"/>
                <w:color w:val="auto"/>
              </w:rPr>
            </w:pPr>
            <w:r>
              <w:rPr>
                <w:rFonts w:ascii="Arial" w:cs="Arial" w:eastAsia="Arial" w:hAnsi="Arial"/>
                <w:sz w:val="22"/>
                <w:szCs w:val="22"/>
                <w:color w:val="auto"/>
              </w:rPr>
              <w:t>Name of Plan:</w:t>
            </w:r>
          </w:p>
        </w:tc>
        <w:tc>
          <w:tcPr>
            <w:tcW w:w="6740" w:type="dxa"/>
            <w:vAlign w:val="bottom"/>
          </w:tcPr>
          <w:p>
            <w:pPr>
              <w:ind w:left="1600"/>
              <w:spacing w:after="0"/>
              <w:rPr>
                <w:sz w:val="20"/>
                <w:szCs w:val="20"/>
                <w:color w:val="auto"/>
              </w:rPr>
            </w:pPr>
            <w:r>
              <w:rPr>
                <w:rFonts w:ascii="Arial" w:cs="Arial" w:eastAsia="Arial" w:hAnsi="Arial"/>
                <w:sz w:val="22"/>
                <w:szCs w:val="22"/>
                <w:color w:val="auto"/>
              </w:rPr>
              <w:t>Affirm Holdings, Inc. Officer Severance Plan</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22"/>
                <w:szCs w:val="22"/>
                <w:color w:val="auto"/>
              </w:rPr>
              <w:t>Type of Plan:</w:t>
            </w:r>
          </w:p>
        </w:tc>
        <w:tc>
          <w:tcPr>
            <w:tcW w:w="6740" w:type="dxa"/>
            <w:vAlign w:val="bottom"/>
          </w:tcPr>
          <w:p>
            <w:pPr>
              <w:ind w:left="1600"/>
              <w:spacing w:after="0"/>
              <w:rPr>
                <w:sz w:val="20"/>
                <w:szCs w:val="20"/>
                <w:color w:val="auto"/>
              </w:rPr>
            </w:pPr>
            <w:r>
              <w:rPr>
                <w:rFonts w:ascii="Arial" w:cs="Arial" w:eastAsia="Arial" w:hAnsi="Arial"/>
                <w:sz w:val="22"/>
                <w:szCs w:val="22"/>
                <w:color w:val="auto"/>
              </w:rPr>
              <w:t>Welfare (Severance Benefits)</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22"/>
                <w:szCs w:val="22"/>
                <w:color w:val="auto"/>
              </w:rPr>
              <w:t>Plan Year:</w:t>
            </w:r>
          </w:p>
        </w:tc>
        <w:tc>
          <w:tcPr>
            <w:tcW w:w="6740" w:type="dxa"/>
            <w:vAlign w:val="bottom"/>
          </w:tcPr>
          <w:p>
            <w:pPr>
              <w:ind w:left="1600"/>
              <w:spacing w:after="0"/>
              <w:rPr>
                <w:sz w:val="20"/>
                <w:szCs w:val="20"/>
                <w:color w:val="auto"/>
              </w:rPr>
            </w:pPr>
            <w:r>
              <w:rPr>
                <w:rFonts w:ascii="Arial" w:cs="Arial" w:eastAsia="Arial" w:hAnsi="Arial"/>
                <w:sz w:val="22"/>
                <w:szCs w:val="22"/>
                <w:color w:val="auto"/>
              </w:rPr>
              <w:t>January 1 – December 31</w:t>
            </w: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Arial" w:cs="Arial" w:eastAsia="Arial" w:hAnsi="Arial"/>
                <w:sz w:val="22"/>
                <w:szCs w:val="22"/>
                <w:color w:val="auto"/>
              </w:rPr>
              <w:t>Recordkeeping:</w:t>
            </w:r>
          </w:p>
        </w:tc>
        <w:tc>
          <w:tcPr>
            <w:tcW w:w="6740" w:type="dxa"/>
            <w:vAlign w:val="bottom"/>
          </w:tcPr>
          <w:p>
            <w:pPr>
              <w:ind w:left="1600"/>
              <w:spacing w:after="0" w:line="216" w:lineRule="exact"/>
              <w:rPr>
                <w:sz w:val="20"/>
                <w:szCs w:val="20"/>
                <w:color w:val="auto"/>
              </w:rPr>
            </w:pPr>
            <w:r>
              <w:rPr>
                <w:rFonts w:ascii="Arial" w:cs="Arial" w:eastAsia="Arial" w:hAnsi="Arial"/>
                <w:sz w:val="22"/>
                <w:szCs w:val="22"/>
                <w:color w:val="auto"/>
                <w:w w:val="88"/>
              </w:rPr>
              <w:t>The Plan and its records are kept on a calendar year basis,</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6740" w:type="dxa"/>
            <w:vAlign w:val="bottom"/>
          </w:tcPr>
          <w:p>
            <w:pPr>
              <w:ind w:left="1600"/>
              <w:spacing w:after="0"/>
              <w:rPr>
                <w:sz w:val="20"/>
                <w:szCs w:val="20"/>
                <w:color w:val="auto"/>
              </w:rPr>
            </w:pPr>
            <w:r>
              <w:rPr>
                <w:rFonts w:ascii="Arial" w:cs="Arial" w:eastAsia="Arial" w:hAnsi="Arial"/>
                <w:sz w:val="22"/>
                <w:szCs w:val="22"/>
                <w:color w:val="auto"/>
              </w:rPr>
              <w:t>January 1 – December 31.</w:t>
            </w: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Arial" w:cs="Arial" w:eastAsia="Arial" w:hAnsi="Arial"/>
                <w:sz w:val="22"/>
                <w:szCs w:val="22"/>
                <w:color w:val="auto"/>
              </w:rPr>
              <w:t>Source of Contributions:</w:t>
            </w:r>
          </w:p>
        </w:tc>
        <w:tc>
          <w:tcPr>
            <w:tcW w:w="6740" w:type="dxa"/>
            <w:vAlign w:val="bottom"/>
          </w:tcPr>
          <w:p>
            <w:pPr>
              <w:ind w:left="1600"/>
              <w:spacing w:after="0" w:line="216" w:lineRule="exact"/>
              <w:rPr>
                <w:sz w:val="20"/>
                <w:szCs w:val="20"/>
                <w:color w:val="auto"/>
              </w:rPr>
            </w:pPr>
            <w:r>
              <w:rPr>
                <w:rFonts w:ascii="Arial" w:cs="Arial" w:eastAsia="Arial" w:hAnsi="Arial"/>
                <w:sz w:val="22"/>
                <w:szCs w:val="22"/>
                <w:color w:val="auto"/>
                <w:w w:val="88"/>
              </w:rPr>
              <w:t>The Plan is unfunded and the Company pays for the cost of</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6740" w:type="dxa"/>
            <w:vAlign w:val="bottom"/>
          </w:tcPr>
          <w:p>
            <w:pPr>
              <w:ind w:left="1600"/>
              <w:spacing w:after="0"/>
              <w:rPr>
                <w:sz w:val="20"/>
                <w:szCs w:val="20"/>
                <w:color w:val="auto"/>
              </w:rPr>
            </w:pPr>
            <w:r>
              <w:rPr>
                <w:rFonts w:ascii="Arial" w:cs="Arial" w:eastAsia="Arial" w:hAnsi="Arial"/>
                <w:sz w:val="22"/>
                <w:szCs w:val="22"/>
                <w:color w:val="auto"/>
              </w:rPr>
              <w:t>the benefits.</w:t>
            </w: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Arial" w:cs="Arial" w:eastAsia="Arial" w:hAnsi="Arial"/>
                <w:sz w:val="22"/>
                <w:szCs w:val="22"/>
                <w:color w:val="auto"/>
              </w:rPr>
              <w:t>Plan Sponsor:</w:t>
            </w:r>
          </w:p>
        </w:tc>
        <w:tc>
          <w:tcPr>
            <w:tcW w:w="6740" w:type="dxa"/>
            <w:vAlign w:val="bottom"/>
          </w:tcPr>
          <w:p>
            <w:pPr>
              <w:ind w:left="1600"/>
              <w:spacing w:after="0" w:line="216" w:lineRule="exact"/>
              <w:rPr>
                <w:sz w:val="20"/>
                <w:szCs w:val="20"/>
                <w:color w:val="auto"/>
              </w:rPr>
            </w:pPr>
            <w:r>
              <w:rPr>
                <w:rFonts w:ascii="Arial" w:cs="Arial" w:eastAsia="Arial" w:hAnsi="Arial"/>
                <w:sz w:val="22"/>
                <w:szCs w:val="22"/>
                <w:color w:val="auto"/>
              </w:rPr>
              <w:t>Affirm Holdings, Inc.</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6740" w:type="dxa"/>
            <w:vAlign w:val="bottom"/>
          </w:tcPr>
          <w:p>
            <w:pPr>
              <w:ind w:left="1600"/>
              <w:spacing w:after="0" w:line="216" w:lineRule="exact"/>
              <w:rPr>
                <w:sz w:val="20"/>
                <w:szCs w:val="20"/>
                <w:color w:val="auto"/>
              </w:rPr>
            </w:pPr>
            <w:r>
              <w:rPr>
                <w:rFonts w:ascii="Arial" w:cs="Arial" w:eastAsia="Arial" w:hAnsi="Arial"/>
                <w:sz w:val="22"/>
                <w:szCs w:val="22"/>
                <w:color w:val="auto"/>
              </w:rPr>
              <w:t>650 California St.</w:t>
            </w: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3"/>
                <w:szCs w:val="23"/>
                <w:color w:val="auto"/>
              </w:rPr>
            </w:pPr>
          </w:p>
        </w:tc>
        <w:tc>
          <w:tcPr>
            <w:tcW w:w="6740" w:type="dxa"/>
            <w:vAlign w:val="bottom"/>
          </w:tcPr>
          <w:p>
            <w:pPr>
              <w:ind w:left="1600"/>
              <w:spacing w:after="0"/>
              <w:rPr>
                <w:sz w:val="20"/>
                <w:szCs w:val="20"/>
                <w:color w:val="auto"/>
              </w:rPr>
            </w:pPr>
            <w:r>
              <w:rPr>
                <w:rFonts w:ascii="Arial" w:cs="Arial" w:eastAsia="Arial" w:hAnsi="Arial"/>
                <w:sz w:val="22"/>
                <w:szCs w:val="22"/>
                <w:color w:val="auto"/>
              </w:rPr>
              <w:t>San Francisco, CA 94108</w:t>
            </w:r>
          </w:p>
        </w:tc>
        <w:tc>
          <w:tcPr>
            <w:tcW w:w="0" w:type="dxa"/>
            <w:vAlign w:val="bottom"/>
          </w:tcPr>
          <w:p>
            <w:pPr>
              <w:spacing w:after="0"/>
              <w:rPr>
                <w:sz w:val="1"/>
                <w:szCs w:val="1"/>
                <w:color w:val="auto"/>
              </w:rPr>
            </w:pPr>
          </w:p>
        </w:tc>
      </w:tr>
      <w:tr>
        <w:trPr>
          <w:trHeight w:val="486"/>
        </w:trPr>
        <w:tc>
          <w:tcPr>
            <w:tcW w:w="3720" w:type="dxa"/>
            <w:vAlign w:val="bottom"/>
            <w:vMerge w:val="restart"/>
          </w:tcPr>
          <w:p>
            <w:pPr>
              <w:spacing w:after="0"/>
              <w:rPr>
                <w:sz w:val="20"/>
                <w:szCs w:val="20"/>
                <w:color w:val="auto"/>
              </w:rPr>
            </w:pPr>
            <w:r>
              <w:rPr>
                <w:rFonts w:ascii="Arial" w:cs="Arial" w:eastAsia="Arial" w:hAnsi="Arial"/>
                <w:sz w:val="22"/>
                <w:szCs w:val="22"/>
                <w:color w:val="auto"/>
              </w:rPr>
              <w:t>Identification</w:t>
            </w:r>
          </w:p>
        </w:tc>
        <w:tc>
          <w:tcPr>
            <w:tcW w:w="6740" w:type="dxa"/>
            <w:vAlign w:val="bottom"/>
          </w:tcPr>
          <w:p>
            <w:pPr>
              <w:ind w:left="1600"/>
              <w:spacing w:after="0"/>
              <w:rPr>
                <w:sz w:val="20"/>
                <w:szCs w:val="20"/>
                <w:color w:val="auto"/>
              </w:rPr>
            </w:pPr>
            <w:r>
              <w:rPr>
                <w:rFonts w:ascii="Arial" w:cs="Arial" w:eastAsia="Arial" w:hAnsi="Arial"/>
                <w:sz w:val="22"/>
                <w:szCs w:val="22"/>
                <w:color w:val="auto"/>
              </w:rPr>
              <w:t>Company EIN:</w:t>
            </w:r>
          </w:p>
        </w:tc>
        <w:tc>
          <w:tcPr>
            <w:tcW w:w="0" w:type="dxa"/>
            <w:vAlign w:val="bottom"/>
          </w:tcPr>
          <w:p>
            <w:pPr>
              <w:spacing w:after="0"/>
              <w:rPr>
                <w:sz w:val="1"/>
                <w:szCs w:val="1"/>
                <w:color w:val="auto"/>
              </w:rPr>
            </w:pPr>
          </w:p>
        </w:tc>
      </w:tr>
      <w:tr>
        <w:trPr>
          <w:trHeight w:val="158"/>
        </w:trPr>
        <w:tc>
          <w:tcPr>
            <w:tcW w:w="3720" w:type="dxa"/>
            <w:vAlign w:val="bottom"/>
            <w:vMerge w:val="continue"/>
          </w:tcPr>
          <w:p>
            <w:pPr>
              <w:spacing w:after="0"/>
              <w:rPr>
                <w:sz w:val="13"/>
                <w:szCs w:val="13"/>
                <w:color w:val="auto"/>
              </w:rPr>
            </w:pPr>
          </w:p>
        </w:tc>
        <w:tc>
          <w:tcPr>
            <w:tcW w:w="6740" w:type="dxa"/>
            <w:vAlign w:val="bottom"/>
            <w:vMerge w:val="restart"/>
          </w:tcPr>
          <w:p>
            <w:pPr>
              <w:ind w:left="1600"/>
              <w:spacing w:after="0"/>
              <w:rPr>
                <w:sz w:val="20"/>
                <w:szCs w:val="20"/>
                <w:color w:val="auto"/>
              </w:rPr>
            </w:pPr>
            <w:r>
              <w:rPr>
                <w:rFonts w:ascii="Arial" w:cs="Arial" w:eastAsia="Arial" w:hAnsi="Arial"/>
                <w:sz w:val="22"/>
                <w:szCs w:val="22"/>
                <w:color w:val="auto"/>
              </w:rPr>
              <w:t>Plan No.:</w:t>
            </w: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0"/>
                <w:szCs w:val="20"/>
                <w:color w:val="auto"/>
              </w:rPr>
            </w:pPr>
            <w:r>
              <w:rPr>
                <w:rFonts w:ascii="Arial" w:cs="Arial" w:eastAsia="Arial" w:hAnsi="Arial"/>
                <w:sz w:val="22"/>
                <w:szCs w:val="22"/>
                <w:color w:val="auto"/>
              </w:rPr>
              <w:t>Numbers:</w:t>
            </w:r>
          </w:p>
        </w:tc>
        <w:tc>
          <w:tcPr>
            <w:tcW w:w="6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Except as expressly provided otherwise herein, any notice, demand, consent, authorization or other communication that any Eligible Employee is required or may desire to give to or make upon the Company pursuant to the Plan shall be in writing and shall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06" w:name="page207"/>
    <w:bookmarkEnd w:id="206"/>
    <w:p>
      <w:pPr>
        <w:jc w:val="both"/>
        <w:spacing w:after="0" w:line="232" w:lineRule="auto"/>
        <w:rPr>
          <w:sz w:val="20"/>
          <w:szCs w:val="20"/>
          <w:color w:val="auto"/>
        </w:rPr>
      </w:pPr>
      <w:r>
        <w:rPr>
          <w:rFonts w:ascii="Arial" w:cs="Arial" w:eastAsia="Arial" w:hAnsi="Arial"/>
          <w:sz w:val="22"/>
          <w:szCs w:val="22"/>
          <w:color w:val="auto"/>
        </w:rPr>
        <w:t>valid and duly given and received if hand delivered or sent by overnight delivery service, by facsimile, computer mail or other electronic mail, or by regular mail, postage prepaid, addressed to:</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Affirm Holdings, Inc.</w:t>
      </w:r>
    </w:p>
    <w:p>
      <w:pPr>
        <w:ind w:left="1300"/>
        <w:spacing w:after="0" w:line="204" w:lineRule="auto"/>
        <w:rPr>
          <w:sz w:val="20"/>
          <w:szCs w:val="20"/>
          <w:color w:val="auto"/>
        </w:rPr>
      </w:pPr>
      <w:r>
        <w:rPr>
          <w:rFonts w:ascii="Arial" w:cs="Arial" w:eastAsia="Arial" w:hAnsi="Arial"/>
          <w:sz w:val="22"/>
          <w:szCs w:val="22"/>
          <w:color w:val="auto"/>
        </w:rPr>
        <w:t>Attention:</w:t>
      </w:r>
    </w:p>
    <w:p>
      <w:pPr>
        <w:ind w:left="1300"/>
        <w:spacing w:after="0" w:line="205" w:lineRule="auto"/>
        <w:rPr>
          <w:sz w:val="20"/>
          <w:szCs w:val="20"/>
          <w:color w:val="auto"/>
        </w:rPr>
      </w:pPr>
      <w:r>
        <w:rPr>
          <w:rFonts w:ascii="Arial" w:cs="Arial" w:eastAsia="Arial" w:hAnsi="Arial"/>
          <w:sz w:val="22"/>
          <w:szCs w:val="22"/>
          <w:color w:val="auto"/>
        </w:rPr>
        <w:t>650 California St.</w:t>
      </w:r>
    </w:p>
    <w:p>
      <w:pPr>
        <w:ind w:left="1300"/>
        <w:spacing w:after="0" w:line="205" w:lineRule="auto"/>
        <w:rPr>
          <w:sz w:val="20"/>
          <w:szCs w:val="20"/>
          <w:color w:val="auto"/>
        </w:rPr>
      </w:pPr>
      <w:r>
        <w:rPr>
          <w:rFonts w:ascii="Arial" w:cs="Arial" w:eastAsia="Arial" w:hAnsi="Arial"/>
          <w:sz w:val="22"/>
          <w:szCs w:val="22"/>
          <w:color w:val="auto"/>
        </w:rPr>
        <w:t>San Francisco, CA 94108</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188"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Notice so given shall be deemed given and received if (a) by mail, on the fourth day after posting; (b) by facsimile, computer mail or other electronic mail or personal delivery, on the date of actual transmission, with evidence of transmission acceptance or verification, or (as the case may be) personal or other delivery; and (c) by overnight delivery courier, on the next business day following the day such notice is delivered to the overnight delivery courier service.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EXECUTION</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To record the adoption of the Plan as set forth herein, Affirm Holdings, Inc. has caused its duly authorized officer to execute the same as of the Effective Date.</w:t>
      </w:r>
    </w:p>
    <w:p>
      <w:pPr>
        <w:spacing w:after="0" w:line="3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-5715</wp:posOffset>
            </wp:positionV>
            <wp:extent cx="13106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Max Levchin</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07" w:name="page208"/>
    <w:bookmarkEnd w:id="207"/>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700" w:type="dxa"/>
            <w:vAlign w:val="bottom"/>
            <w:gridSpan w:val="3"/>
          </w:tcPr>
          <w:p>
            <w:pPr>
              <w:ind w:left="660"/>
              <w:spacing w:after="0"/>
              <w:rPr>
                <w:sz w:val="20"/>
                <w:szCs w:val="20"/>
                <w:color w:val="auto"/>
              </w:rPr>
            </w:pPr>
            <w:r>
              <w:rPr>
                <w:rFonts w:ascii="Arial" w:cs="Arial" w:eastAsia="Arial" w:hAnsi="Arial"/>
                <w:sz w:val="22"/>
                <w:szCs w:val="22"/>
                <w:b w:val="1"/>
                <w:bCs w:val="1"/>
                <w:color w:val="auto"/>
              </w:rPr>
              <w:t>SCHEDULE A</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11"/>
          </w:tcPr>
          <w:p>
            <w:pPr>
              <w:ind w:left="380"/>
              <w:spacing w:after="0" w:line="229" w:lineRule="exact"/>
              <w:rPr>
                <w:sz w:val="20"/>
                <w:szCs w:val="20"/>
                <w:color w:val="auto"/>
              </w:rPr>
            </w:pPr>
            <w:r>
              <w:rPr>
                <w:rFonts w:ascii="Arial" w:cs="Arial" w:eastAsia="Arial" w:hAnsi="Arial"/>
                <w:sz w:val="22"/>
                <w:szCs w:val="22"/>
                <w:b w:val="1"/>
                <w:bCs w:val="1"/>
                <w:color w:val="auto"/>
              </w:rPr>
              <w:t>SCHEDULE OF CHANGE IN CONTROL SEVERANCE BENEFITS</w:t>
            </w:r>
          </w:p>
        </w:tc>
        <w:tc>
          <w:tcPr>
            <w:tcW w:w="0" w:type="dxa"/>
            <w:vAlign w:val="bottom"/>
          </w:tcPr>
          <w:p>
            <w:pPr>
              <w:spacing w:after="0"/>
              <w:rPr>
                <w:sz w:val="1"/>
                <w:szCs w:val="1"/>
                <w:color w:val="auto"/>
              </w:rPr>
            </w:pPr>
          </w:p>
        </w:tc>
      </w:tr>
      <w:tr>
        <w:trPr>
          <w:trHeight w:val="277"/>
        </w:trPr>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1920" w:type="dxa"/>
            <w:vAlign w:val="bottom"/>
            <w:gridSpan w:val="3"/>
            <w:shd w:val="clear" w:color="auto" w:fill="F2F2F2"/>
          </w:tcPr>
          <w:p>
            <w:pPr>
              <w:spacing w:after="0" w:line="196" w:lineRule="exact"/>
              <w:rPr>
                <w:sz w:val="20"/>
                <w:szCs w:val="20"/>
                <w:color w:val="auto"/>
              </w:rPr>
            </w:pPr>
            <w:r>
              <w:rPr>
                <w:rFonts w:ascii="Arial" w:cs="Arial" w:eastAsia="Arial" w:hAnsi="Arial"/>
                <w:sz w:val="20"/>
                <w:szCs w:val="20"/>
                <w:b w:val="1"/>
                <w:bCs w:val="1"/>
                <w:color w:val="auto"/>
              </w:rPr>
              <w:t>Eligible Employee</w:t>
            </w:r>
          </w:p>
        </w:tc>
        <w:tc>
          <w:tcPr>
            <w:tcW w:w="440" w:type="dxa"/>
            <w:vAlign w:val="bottom"/>
            <w:tcBorders>
              <w:right w:val="single" w:sz="8" w:color="auto"/>
            </w:tcBorders>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1760" w:type="dxa"/>
            <w:vAlign w:val="bottom"/>
            <w:tcBorders>
              <w:right w:val="single" w:sz="8" w:color="auto"/>
            </w:tcBorders>
            <w:gridSpan w:val="2"/>
            <w:vMerge w:val="restart"/>
            <w:shd w:val="clear" w:color="auto" w:fill="F2F2F2"/>
          </w:tcPr>
          <w:p>
            <w:pPr>
              <w:spacing w:after="0"/>
              <w:rPr>
                <w:sz w:val="20"/>
                <w:szCs w:val="20"/>
                <w:color w:val="auto"/>
              </w:rPr>
            </w:pPr>
            <w:r>
              <w:rPr>
                <w:rFonts w:ascii="Arial" w:cs="Arial" w:eastAsia="Arial" w:hAnsi="Arial"/>
                <w:sz w:val="20"/>
                <w:szCs w:val="20"/>
                <w:b w:val="1"/>
                <w:bCs w:val="1"/>
                <w:color w:val="auto"/>
              </w:rPr>
              <w:t>Severance Pay</w:t>
            </w:r>
          </w:p>
        </w:tc>
        <w:tc>
          <w:tcPr>
            <w:tcW w:w="3700" w:type="dxa"/>
            <w:vAlign w:val="bottom"/>
            <w:tcBorders>
              <w:right w:val="single" w:sz="8" w:color="auto"/>
            </w:tcBorders>
            <w:gridSpan w:val="3"/>
            <w:shd w:val="clear" w:color="auto" w:fill="F2F2F2"/>
          </w:tcPr>
          <w:p>
            <w:pPr>
              <w:spacing w:after="0" w:line="196" w:lineRule="exact"/>
              <w:rPr>
                <w:sz w:val="20"/>
                <w:szCs w:val="20"/>
                <w:color w:val="auto"/>
              </w:rPr>
            </w:pPr>
            <w:r>
              <w:rPr>
                <w:rFonts w:ascii="Arial" w:cs="Arial" w:eastAsia="Arial" w:hAnsi="Arial"/>
                <w:sz w:val="20"/>
                <w:szCs w:val="20"/>
                <w:b w:val="1"/>
                <w:bCs w:val="1"/>
                <w:color w:val="auto"/>
              </w:rPr>
              <w:t>COBRA Continuation</w:t>
            </w:r>
          </w:p>
        </w:tc>
        <w:tc>
          <w:tcPr>
            <w:tcW w:w="3300" w:type="dxa"/>
            <w:vAlign w:val="bottom"/>
            <w:tcBorders>
              <w:right w:val="single" w:sz="8" w:color="auto"/>
            </w:tcBorders>
            <w:gridSpan w:val="4"/>
            <w:shd w:val="clear" w:color="auto" w:fill="F2F2F2"/>
          </w:tcPr>
          <w:p>
            <w:pPr>
              <w:spacing w:after="0" w:line="196" w:lineRule="exact"/>
              <w:rPr>
                <w:sz w:val="20"/>
                <w:szCs w:val="20"/>
                <w:color w:val="auto"/>
              </w:rPr>
            </w:pPr>
            <w:r>
              <w:rPr>
                <w:rFonts w:ascii="Arial" w:cs="Arial" w:eastAsia="Arial" w:hAnsi="Arial"/>
                <w:sz w:val="20"/>
                <w:szCs w:val="20"/>
                <w:b w:val="1"/>
                <w:bCs w:val="1"/>
                <w:color w:val="auto"/>
              </w:rPr>
              <w:t>Vesting</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F2F2F2"/>
          </w:tcPr>
          <w:p>
            <w:pPr>
              <w:spacing w:after="0" w:line="20" w:lineRule="exact"/>
              <w:rPr>
                <w:sz w:val="1"/>
                <w:szCs w:val="1"/>
                <w:color w:val="auto"/>
              </w:rPr>
            </w:pPr>
          </w:p>
        </w:tc>
        <w:tc>
          <w:tcPr>
            <w:tcW w:w="440" w:type="dxa"/>
            <w:vAlign w:val="bottom"/>
            <w:tcBorders>
              <w:right w:val="single" w:sz="8" w:color="auto"/>
            </w:tcBorders>
            <w:shd w:val="clear" w:color="auto" w:fill="F2F2F2"/>
          </w:tcPr>
          <w:p>
            <w:pPr>
              <w:spacing w:after="0" w:line="20" w:lineRule="exact"/>
              <w:rPr>
                <w:sz w:val="1"/>
                <w:szCs w:val="1"/>
                <w:color w:val="auto"/>
              </w:rPr>
            </w:pPr>
          </w:p>
        </w:tc>
        <w:tc>
          <w:tcPr>
            <w:tcW w:w="60" w:type="dxa"/>
            <w:vAlign w:val="bottom"/>
            <w:vMerge w:val="restart"/>
            <w:shd w:val="clear" w:color="auto" w:fill="F2F2F2"/>
          </w:tcPr>
          <w:p>
            <w:pPr>
              <w:spacing w:after="0" w:line="20" w:lineRule="exact"/>
              <w:rPr>
                <w:sz w:val="1"/>
                <w:szCs w:val="1"/>
                <w:color w:val="auto"/>
              </w:rPr>
            </w:pPr>
          </w:p>
        </w:tc>
        <w:tc>
          <w:tcPr>
            <w:tcW w:w="1760" w:type="dxa"/>
            <w:vAlign w:val="bottom"/>
            <w:tcBorders>
              <w:right w:val="single" w:sz="8" w:color="auto"/>
            </w:tcBorders>
            <w:gridSpan w:val="2"/>
            <w:vMerge w:val="continue"/>
            <w:shd w:val="clear" w:color="auto" w:fill="F2F2F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F2F2F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224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0" w:type="dxa"/>
            <w:vAlign w:val="bottom"/>
            <w:tcBorders>
              <w:left w:val="single" w:sz="8" w:color="auto"/>
            </w:tcBorders>
            <w:vMerge w:val="restart"/>
            <w:shd w:val="clear" w:color="auto" w:fill="F2F2F2"/>
          </w:tcPr>
          <w:p>
            <w:pPr>
              <w:spacing w:after="0"/>
              <w:rPr>
                <w:sz w:val="6"/>
                <w:szCs w:val="6"/>
                <w:color w:val="auto"/>
              </w:rPr>
            </w:pPr>
          </w:p>
        </w:tc>
        <w:tc>
          <w:tcPr>
            <w:tcW w:w="1540" w:type="dxa"/>
            <w:vAlign w:val="bottom"/>
            <w:gridSpan w:val="2"/>
            <w:vMerge w:val="restart"/>
            <w:shd w:val="clear" w:color="auto" w:fill="F2F2F2"/>
          </w:tcPr>
          <w:p>
            <w:pPr>
              <w:spacing w:after="0" w:line="183" w:lineRule="exact"/>
              <w:rPr>
                <w:sz w:val="20"/>
                <w:szCs w:val="20"/>
                <w:color w:val="auto"/>
              </w:rPr>
            </w:pPr>
            <w:r>
              <w:rPr>
                <w:rFonts w:ascii="Arial" w:cs="Arial" w:eastAsia="Arial" w:hAnsi="Arial"/>
                <w:sz w:val="20"/>
                <w:szCs w:val="20"/>
                <w:b w:val="1"/>
                <w:bCs w:val="1"/>
                <w:color w:val="auto"/>
              </w:rPr>
              <w:t>Tier Level</w:t>
            </w:r>
          </w:p>
        </w:tc>
        <w:tc>
          <w:tcPr>
            <w:tcW w:w="380" w:type="dxa"/>
            <w:vAlign w:val="bottom"/>
            <w:vMerge w:val="restart"/>
            <w:shd w:val="clear" w:color="auto" w:fill="F2F2F2"/>
          </w:tcPr>
          <w:p>
            <w:pPr>
              <w:spacing w:after="0"/>
              <w:rPr>
                <w:sz w:val="6"/>
                <w:szCs w:val="6"/>
                <w:color w:val="auto"/>
              </w:rPr>
            </w:pPr>
          </w:p>
        </w:tc>
        <w:tc>
          <w:tcPr>
            <w:tcW w:w="440" w:type="dxa"/>
            <w:vAlign w:val="bottom"/>
            <w:tcBorders>
              <w:right w:val="single" w:sz="8" w:color="auto"/>
            </w:tcBorders>
            <w:shd w:val="clear" w:color="auto" w:fill="F2F2F2"/>
          </w:tcPr>
          <w:p>
            <w:pPr>
              <w:spacing w:after="0"/>
              <w:rPr>
                <w:sz w:val="6"/>
                <w:szCs w:val="6"/>
                <w:color w:val="auto"/>
              </w:rPr>
            </w:pPr>
          </w:p>
        </w:tc>
        <w:tc>
          <w:tcPr>
            <w:tcW w:w="60" w:type="dxa"/>
            <w:vAlign w:val="bottom"/>
            <w:vMerge w:val="continue"/>
            <w:shd w:val="clear" w:color="auto" w:fill="F2F2F2"/>
          </w:tcPr>
          <w:p>
            <w:pPr>
              <w:spacing w:after="0"/>
              <w:rPr>
                <w:sz w:val="6"/>
                <w:szCs w:val="6"/>
                <w:color w:val="auto"/>
              </w:rPr>
            </w:pPr>
          </w:p>
        </w:tc>
        <w:tc>
          <w:tcPr>
            <w:tcW w:w="1760" w:type="dxa"/>
            <w:vAlign w:val="bottom"/>
            <w:tcBorders>
              <w:right w:val="single" w:sz="8" w:color="auto"/>
            </w:tcBorders>
            <w:gridSpan w:val="2"/>
            <w:vMerge w:val="continue"/>
            <w:shd w:val="clear" w:color="auto" w:fill="F2F2F2"/>
          </w:tcPr>
          <w:p>
            <w:pPr>
              <w:spacing w:after="0"/>
              <w:rPr>
                <w:sz w:val="6"/>
                <w:szCs w:val="6"/>
                <w:color w:val="auto"/>
              </w:rPr>
            </w:pPr>
          </w:p>
        </w:tc>
        <w:tc>
          <w:tcPr>
            <w:tcW w:w="1880" w:type="dxa"/>
            <w:vAlign w:val="bottom"/>
            <w:gridSpan w:val="2"/>
            <w:vMerge w:val="restart"/>
            <w:shd w:val="clear" w:color="auto" w:fill="F2F2F2"/>
          </w:tcPr>
          <w:p>
            <w:pPr>
              <w:spacing w:after="0" w:line="183" w:lineRule="exact"/>
              <w:rPr>
                <w:sz w:val="20"/>
                <w:szCs w:val="20"/>
                <w:color w:val="auto"/>
              </w:rPr>
            </w:pPr>
            <w:r>
              <w:rPr>
                <w:rFonts w:ascii="Arial" w:cs="Arial" w:eastAsia="Arial" w:hAnsi="Arial"/>
                <w:sz w:val="20"/>
                <w:szCs w:val="20"/>
                <w:b w:val="1"/>
                <w:bCs w:val="1"/>
                <w:color w:val="auto"/>
              </w:rPr>
              <w:t>Coverage Period</w:t>
            </w:r>
          </w:p>
        </w:tc>
        <w:tc>
          <w:tcPr>
            <w:tcW w:w="1820" w:type="dxa"/>
            <w:vAlign w:val="bottom"/>
            <w:tcBorders>
              <w:right w:val="single" w:sz="8" w:color="auto"/>
            </w:tcBorders>
            <w:vMerge w:val="restart"/>
            <w:shd w:val="clear" w:color="auto" w:fill="F2F2F2"/>
          </w:tcPr>
          <w:p>
            <w:pPr>
              <w:spacing w:after="0"/>
              <w:rPr>
                <w:sz w:val="6"/>
                <w:szCs w:val="6"/>
                <w:color w:val="auto"/>
              </w:rPr>
            </w:pPr>
          </w:p>
        </w:tc>
        <w:tc>
          <w:tcPr>
            <w:tcW w:w="3300" w:type="dxa"/>
            <w:vAlign w:val="bottom"/>
            <w:tcBorders>
              <w:right w:val="single" w:sz="8" w:color="auto"/>
            </w:tcBorders>
            <w:gridSpan w:val="4"/>
            <w:vMerge w:val="restart"/>
            <w:shd w:val="clear" w:color="auto" w:fill="F2F2F2"/>
          </w:tcPr>
          <w:p>
            <w:pPr>
              <w:spacing w:after="0" w:line="183" w:lineRule="exact"/>
              <w:rPr>
                <w:sz w:val="20"/>
                <w:szCs w:val="20"/>
                <w:color w:val="auto"/>
              </w:rPr>
            </w:pPr>
            <w:r>
              <w:rPr>
                <w:rFonts w:ascii="Arial" w:cs="Arial" w:eastAsia="Arial" w:hAnsi="Arial"/>
                <w:sz w:val="20"/>
                <w:szCs w:val="20"/>
                <w:b w:val="1"/>
                <w:bCs w:val="1"/>
                <w:color w:val="auto"/>
              </w:rPr>
              <w:t>Acceleration</w:t>
            </w:r>
          </w:p>
        </w:tc>
        <w:tc>
          <w:tcPr>
            <w:tcW w:w="0" w:type="dxa"/>
            <w:vAlign w:val="bottom"/>
          </w:tcPr>
          <w:p>
            <w:pPr>
              <w:spacing w:after="0"/>
              <w:rPr>
                <w:sz w:val="1"/>
                <w:szCs w:val="1"/>
                <w:color w:val="auto"/>
              </w:rPr>
            </w:pPr>
          </w:p>
        </w:tc>
      </w:tr>
      <w:tr>
        <w:trPr>
          <w:trHeight w:val="128"/>
        </w:trPr>
        <w:tc>
          <w:tcPr>
            <w:tcW w:w="80" w:type="dxa"/>
            <w:vAlign w:val="bottom"/>
            <w:tcBorders>
              <w:top w:val="single" w:sz="8" w:color="F2F2F2"/>
              <w:left w:val="single" w:sz="8" w:color="auto"/>
              <w:bottom w:val="single" w:sz="8" w:color="auto"/>
            </w:tcBorders>
            <w:vMerge w:val="continue"/>
            <w:shd w:val="clear" w:color="auto" w:fill="F2F2F2"/>
          </w:tcPr>
          <w:p>
            <w:pPr>
              <w:spacing w:after="0"/>
              <w:rPr>
                <w:sz w:val="11"/>
                <w:szCs w:val="11"/>
                <w:color w:val="auto"/>
              </w:rPr>
            </w:pPr>
          </w:p>
        </w:tc>
        <w:tc>
          <w:tcPr>
            <w:tcW w:w="1540" w:type="dxa"/>
            <w:vAlign w:val="bottom"/>
            <w:tcBorders>
              <w:top w:val="single" w:sz="8" w:color="F2F2F2"/>
              <w:bottom w:val="single" w:sz="8" w:color="auto"/>
            </w:tcBorders>
            <w:gridSpan w:val="2"/>
            <w:vMerge w:val="continue"/>
            <w:shd w:val="clear" w:color="auto" w:fill="F2F2F2"/>
          </w:tcPr>
          <w:p>
            <w:pPr>
              <w:spacing w:after="0"/>
              <w:rPr>
                <w:sz w:val="11"/>
                <w:szCs w:val="11"/>
                <w:color w:val="auto"/>
              </w:rPr>
            </w:pPr>
          </w:p>
        </w:tc>
        <w:tc>
          <w:tcPr>
            <w:tcW w:w="380" w:type="dxa"/>
            <w:vAlign w:val="bottom"/>
            <w:tcBorders>
              <w:top w:val="single" w:sz="8" w:color="F2F2F2"/>
              <w:bottom w:val="single" w:sz="8" w:color="auto"/>
            </w:tcBorders>
            <w:vMerge w:val="continue"/>
            <w:shd w:val="clear" w:color="auto" w:fill="F2F2F2"/>
          </w:tcPr>
          <w:p>
            <w:pPr>
              <w:spacing w:after="0"/>
              <w:rPr>
                <w:sz w:val="11"/>
                <w:szCs w:val="11"/>
                <w:color w:val="auto"/>
              </w:rPr>
            </w:pPr>
          </w:p>
        </w:tc>
        <w:tc>
          <w:tcPr>
            <w:tcW w:w="440" w:type="dxa"/>
            <w:vAlign w:val="bottom"/>
            <w:tcBorders>
              <w:top w:val="single" w:sz="8" w:color="F2F2F2"/>
              <w:bottom w:val="single" w:sz="8" w:color="auto"/>
              <w:right w:val="single" w:sz="8" w:color="auto"/>
            </w:tcBorders>
            <w:shd w:val="clear" w:color="auto" w:fill="F2F2F2"/>
          </w:tcPr>
          <w:p>
            <w:pPr>
              <w:spacing w:after="0"/>
              <w:rPr>
                <w:sz w:val="11"/>
                <w:szCs w:val="11"/>
                <w:color w:val="auto"/>
              </w:rPr>
            </w:pPr>
          </w:p>
        </w:tc>
        <w:tc>
          <w:tcPr>
            <w:tcW w:w="60" w:type="dxa"/>
            <w:vAlign w:val="bottom"/>
            <w:tcBorders>
              <w:top w:val="single" w:sz="8" w:color="F2F2F2"/>
              <w:bottom w:val="single" w:sz="8" w:color="auto"/>
            </w:tcBorders>
            <w:shd w:val="clear" w:color="auto" w:fill="F2F2F2"/>
          </w:tcPr>
          <w:p>
            <w:pPr>
              <w:spacing w:after="0"/>
              <w:rPr>
                <w:sz w:val="11"/>
                <w:szCs w:val="11"/>
                <w:color w:val="auto"/>
              </w:rPr>
            </w:pPr>
          </w:p>
        </w:tc>
        <w:tc>
          <w:tcPr>
            <w:tcW w:w="1240" w:type="dxa"/>
            <w:vAlign w:val="bottom"/>
            <w:tcBorders>
              <w:top w:val="single" w:sz="8" w:color="auto"/>
              <w:bottom w:val="single" w:sz="8" w:color="auto"/>
            </w:tcBorders>
            <w:shd w:val="clear" w:color="auto" w:fill="F2F2F2"/>
          </w:tcPr>
          <w:p>
            <w:pPr>
              <w:spacing w:after="0"/>
              <w:rPr>
                <w:sz w:val="11"/>
                <w:szCs w:val="11"/>
                <w:color w:val="auto"/>
              </w:rPr>
            </w:pPr>
          </w:p>
        </w:tc>
        <w:tc>
          <w:tcPr>
            <w:tcW w:w="520" w:type="dxa"/>
            <w:vAlign w:val="bottom"/>
            <w:tcBorders>
              <w:top w:val="single" w:sz="8" w:color="F2F2F2"/>
              <w:bottom w:val="single" w:sz="8" w:color="auto"/>
              <w:right w:val="single" w:sz="8" w:color="auto"/>
            </w:tcBorders>
            <w:shd w:val="clear" w:color="auto" w:fill="F2F2F2"/>
          </w:tcPr>
          <w:p>
            <w:pPr>
              <w:spacing w:after="0"/>
              <w:rPr>
                <w:sz w:val="11"/>
                <w:szCs w:val="11"/>
                <w:color w:val="auto"/>
              </w:rPr>
            </w:pPr>
          </w:p>
        </w:tc>
        <w:tc>
          <w:tcPr>
            <w:tcW w:w="1880" w:type="dxa"/>
            <w:vAlign w:val="bottom"/>
            <w:tcBorders>
              <w:top w:val="single" w:sz="8" w:color="F2F2F2"/>
              <w:bottom w:val="single" w:sz="8" w:color="auto"/>
            </w:tcBorders>
            <w:gridSpan w:val="2"/>
            <w:vMerge w:val="continue"/>
            <w:shd w:val="clear" w:color="auto" w:fill="F2F2F2"/>
          </w:tcPr>
          <w:p>
            <w:pPr>
              <w:spacing w:after="0"/>
              <w:rPr>
                <w:sz w:val="11"/>
                <w:szCs w:val="11"/>
                <w:color w:val="auto"/>
              </w:rPr>
            </w:pPr>
          </w:p>
        </w:tc>
        <w:tc>
          <w:tcPr>
            <w:tcW w:w="1820" w:type="dxa"/>
            <w:vAlign w:val="bottom"/>
            <w:tcBorders>
              <w:top w:val="single" w:sz="8" w:color="F2F2F2"/>
              <w:bottom w:val="single" w:sz="8" w:color="auto"/>
              <w:right w:val="single" w:sz="8" w:color="auto"/>
            </w:tcBorders>
            <w:vMerge w:val="continue"/>
            <w:shd w:val="clear" w:color="auto" w:fill="F2F2F2"/>
          </w:tcPr>
          <w:p>
            <w:pPr>
              <w:spacing w:after="0"/>
              <w:rPr>
                <w:sz w:val="11"/>
                <w:szCs w:val="11"/>
                <w:color w:val="auto"/>
              </w:rPr>
            </w:pPr>
          </w:p>
        </w:tc>
        <w:tc>
          <w:tcPr>
            <w:tcW w:w="3300" w:type="dxa"/>
            <w:vAlign w:val="bottom"/>
            <w:tcBorders>
              <w:top w:val="single" w:sz="8" w:color="F2F2F2"/>
              <w:bottom w:val="single" w:sz="8" w:color="auto"/>
              <w:right w:val="single" w:sz="8" w:color="auto"/>
            </w:tcBorders>
            <w:gridSpan w:val="4"/>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20"/>
                <w:szCs w:val="20"/>
                <w:color w:val="auto"/>
              </w:rPr>
              <w:t>Tier I</w:t>
            </w:r>
          </w:p>
        </w:tc>
        <w:tc>
          <w:tcPr>
            <w:tcW w:w="4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Borders>
              <w:right w:val="single" w:sz="8" w:color="auto"/>
            </w:tcBorders>
            <w:gridSpan w:val="2"/>
          </w:tcPr>
          <w:p>
            <w:pPr>
              <w:spacing w:after="0" w:line="193" w:lineRule="exact"/>
              <w:rPr>
                <w:sz w:val="20"/>
                <w:szCs w:val="20"/>
                <w:color w:val="auto"/>
              </w:rPr>
            </w:pPr>
            <w:r>
              <w:rPr>
                <w:rFonts w:ascii="Arial" w:cs="Arial" w:eastAsia="Arial" w:hAnsi="Arial"/>
                <w:sz w:val="20"/>
                <w:szCs w:val="20"/>
                <w:color w:val="auto"/>
              </w:rPr>
              <w:t>1.5x base salary +</w:t>
            </w:r>
          </w:p>
        </w:tc>
        <w:tc>
          <w:tcPr>
            <w:tcW w:w="37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18 months</w:t>
            </w:r>
          </w:p>
        </w:tc>
        <w:tc>
          <w:tcPr>
            <w:tcW w:w="620" w:type="dxa"/>
            <w:vAlign w:val="bottom"/>
            <w:vMerge w:val="restart"/>
          </w:tcPr>
          <w:p>
            <w:pPr>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tcBorders>
            <w:gridSpan w:val="4"/>
            <w:vMerge w:val="continue"/>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Borders>
              <w:right w:val="single" w:sz="8" w:color="auto"/>
            </w:tcBorders>
            <w:gridSpan w:val="2"/>
          </w:tcPr>
          <w:p>
            <w:pPr>
              <w:spacing w:after="0" w:line="192" w:lineRule="exact"/>
              <w:rPr>
                <w:sz w:val="20"/>
                <w:szCs w:val="20"/>
                <w:color w:val="auto"/>
              </w:rPr>
            </w:pPr>
            <w:r>
              <w:rPr>
                <w:rFonts w:ascii="Arial" w:cs="Arial" w:eastAsia="Arial" w:hAnsi="Arial"/>
                <w:sz w:val="20"/>
                <w:szCs w:val="20"/>
                <w:color w:val="auto"/>
              </w:rPr>
              <w:t>1.0x pro-rata target</w:t>
            </w:r>
          </w:p>
        </w:tc>
        <w:tc>
          <w:tcPr>
            <w:tcW w:w="3700" w:type="dxa"/>
            <w:vAlign w:val="bottom"/>
            <w:tcBorders>
              <w:right w:val="single" w:sz="8" w:color="auto"/>
            </w:tcBorders>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0" w:type="dxa"/>
            <w:vAlign w:val="bottom"/>
            <w:tcBorders>
              <w:left w:val="single" w:sz="8" w:color="auto"/>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bonus</w:t>
            </w:r>
          </w:p>
        </w:tc>
        <w:tc>
          <w:tcPr>
            <w:tcW w:w="14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0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20"/>
                <w:szCs w:val="20"/>
                <w:color w:val="auto"/>
              </w:rPr>
              <w:t>Tier II</w:t>
            </w: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20"/>
                <w:szCs w:val="20"/>
                <w:color w:val="auto"/>
              </w:rPr>
              <w:t>1.0x base salary +</w:t>
            </w:r>
          </w:p>
        </w:tc>
        <w:tc>
          <w:tcPr>
            <w:tcW w:w="37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12 months</w:t>
            </w:r>
          </w:p>
        </w:tc>
        <w:tc>
          <w:tcPr>
            <w:tcW w:w="620" w:type="dxa"/>
            <w:vAlign w:val="bottom"/>
            <w:vMerge w:val="restart"/>
          </w:tcPr>
          <w:p>
            <w:pPr>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auto"/>
            </w:tcBorders>
            <w:gridSpan w:val="4"/>
            <w:vMerge w:val="continue"/>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Borders>
              <w:right w:val="single" w:sz="8" w:color="auto"/>
            </w:tcBorders>
            <w:gridSpan w:val="2"/>
          </w:tcPr>
          <w:p>
            <w:pPr>
              <w:spacing w:after="0" w:line="192" w:lineRule="exact"/>
              <w:rPr>
                <w:sz w:val="20"/>
                <w:szCs w:val="20"/>
                <w:color w:val="auto"/>
              </w:rPr>
            </w:pPr>
            <w:r>
              <w:rPr>
                <w:rFonts w:ascii="Arial" w:cs="Arial" w:eastAsia="Arial" w:hAnsi="Arial"/>
                <w:sz w:val="20"/>
                <w:szCs w:val="20"/>
                <w:color w:val="auto"/>
              </w:rPr>
              <w:t>1.0x pro-rata target</w:t>
            </w:r>
          </w:p>
        </w:tc>
        <w:tc>
          <w:tcPr>
            <w:tcW w:w="3700" w:type="dxa"/>
            <w:vAlign w:val="bottom"/>
            <w:tcBorders>
              <w:right w:val="single" w:sz="8" w:color="auto"/>
            </w:tcBorders>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0" w:type="dxa"/>
            <w:vAlign w:val="bottom"/>
            <w:tcBorders>
              <w:left w:val="single" w:sz="8" w:color="auto"/>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bonus</w:t>
            </w:r>
          </w:p>
        </w:tc>
        <w:tc>
          <w:tcPr>
            <w:tcW w:w="14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58" w:right="31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700" w:type="dxa"/>
            <w:vAlign w:val="bottom"/>
            <w:gridSpan w:val="3"/>
          </w:tcPr>
          <w:p>
            <w:pPr>
              <w:ind w:left="680"/>
              <w:spacing w:after="0"/>
              <w:rPr>
                <w:sz w:val="20"/>
                <w:szCs w:val="20"/>
                <w:color w:val="auto"/>
              </w:rPr>
            </w:pPr>
            <w:r>
              <w:rPr>
                <w:rFonts w:ascii="Arial" w:cs="Arial" w:eastAsia="Arial" w:hAnsi="Arial"/>
                <w:sz w:val="22"/>
                <w:szCs w:val="22"/>
                <w:b w:val="1"/>
                <w:bCs w:val="1"/>
                <w:color w:val="auto"/>
              </w:rPr>
              <w:t>SCHEDULE B</w:t>
            </w: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40" w:type="dxa"/>
            <w:vAlign w:val="bottom"/>
            <w:tcBorders>
              <w:bottom w:val="single" w:sz="8" w:color="auto"/>
            </w:tcBorders>
            <w:gridSpan w:val="10"/>
          </w:tcPr>
          <w:p>
            <w:pPr>
              <w:spacing w:after="0" w:line="229" w:lineRule="exact"/>
              <w:rPr>
                <w:sz w:val="20"/>
                <w:szCs w:val="20"/>
                <w:color w:val="auto"/>
              </w:rPr>
            </w:pPr>
            <w:r>
              <w:rPr>
                <w:rFonts w:ascii="Arial" w:cs="Arial" w:eastAsia="Arial" w:hAnsi="Arial"/>
                <w:sz w:val="22"/>
                <w:szCs w:val="22"/>
                <w:b w:val="1"/>
                <w:bCs w:val="1"/>
                <w:color w:val="auto"/>
                <w:w w:val="98"/>
              </w:rPr>
              <w:t>SCHEDULE OF NON-CHANGE IN CONTROL SEVERANCE BENEFITS</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2020" w:type="dxa"/>
            <w:vAlign w:val="bottom"/>
            <w:gridSpan w:val="3"/>
            <w:shd w:val="clear" w:color="auto" w:fill="F2F2F2"/>
          </w:tcPr>
          <w:p>
            <w:pPr>
              <w:spacing w:after="0" w:line="196" w:lineRule="exact"/>
              <w:rPr>
                <w:sz w:val="20"/>
                <w:szCs w:val="20"/>
                <w:color w:val="auto"/>
              </w:rPr>
            </w:pPr>
            <w:r>
              <w:rPr>
                <w:rFonts w:ascii="Arial" w:cs="Arial" w:eastAsia="Arial" w:hAnsi="Arial"/>
                <w:sz w:val="20"/>
                <w:szCs w:val="20"/>
                <w:b w:val="1"/>
                <w:bCs w:val="1"/>
                <w:color w:val="auto"/>
              </w:rPr>
              <w:t>Eligible Employee</w:t>
            </w:r>
          </w:p>
        </w:tc>
        <w:tc>
          <w:tcPr>
            <w:tcW w:w="340" w:type="dxa"/>
            <w:vAlign w:val="bottom"/>
            <w:tcBorders>
              <w:right w:val="single" w:sz="8" w:color="auto"/>
            </w:tcBorders>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1760" w:type="dxa"/>
            <w:vAlign w:val="bottom"/>
            <w:tcBorders>
              <w:right w:val="single" w:sz="8" w:color="auto"/>
            </w:tcBorders>
            <w:gridSpan w:val="2"/>
            <w:vMerge w:val="restart"/>
            <w:shd w:val="clear" w:color="auto" w:fill="F2F2F2"/>
          </w:tcPr>
          <w:p>
            <w:pPr>
              <w:spacing w:after="0"/>
              <w:rPr>
                <w:sz w:val="20"/>
                <w:szCs w:val="20"/>
                <w:color w:val="auto"/>
              </w:rPr>
            </w:pPr>
            <w:r>
              <w:rPr>
                <w:rFonts w:ascii="Arial" w:cs="Arial" w:eastAsia="Arial" w:hAnsi="Arial"/>
                <w:sz w:val="20"/>
                <w:szCs w:val="20"/>
                <w:b w:val="1"/>
                <w:bCs w:val="1"/>
                <w:color w:val="auto"/>
              </w:rPr>
              <w:t>Severance Pay</w:t>
            </w:r>
          </w:p>
        </w:tc>
        <w:tc>
          <w:tcPr>
            <w:tcW w:w="3700" w:type="dxa"/>
            <w:vAlign w:val="bottom"/>
            <w:tcBorders>
              <w:right w:val="single" w:sz="8" w:color="auto"/>
            </w:tcBorders>
            <w:gridSpan w:val="3"/>
            <w:shd w:val="clear" w:color="auto" w:fill="F2F2F2"/>
          </w:tcPr>
          <w:p>
            <w:pPr>
              <w:spacing w:after="0" w:line="196" w:lineRule="exact"/>
              <w:rPr>
                <w:sz w:val="20"/>
                <w:szCs w:val="20"/>
                <w:color w:val="auto"/>
              </w:rPr>
            </w:pPr>
            <w:r>
              <w:rPr>
                <w:rFonts w:ascii="Arial" w:cs="Arial" w:eastAsia="Arial" w:hAnsi="Arial"/>
                <w:sz w:val="20"/>
                <w:szCs w:val="20"/>
                <w:b w:val="1"/>
                <w:bCs w:val="1"/>
                <w:color w:val="auto"/>
              </w:rPr>
              <w:t>COBRA Continuation</w:t>
            </w:r>
          </w:p>
        </w:tc>
        <w:tc>
          <w:tcPr>
            <w:tcW w:w="1180" w:type="dxa"/>
            <w:vAlign w:val="bottom"/>
            <w:gridSpan w:val="3"/>
            <w:shd w:val="clear" w:color="auto" w:fill="F2F2F2"/>
          </w:tcPr>
          <w:p>
            <w:pPr>
              <w:spacing w:after="0" w:line="196" w:lineRule="exact"/>
              <w:rPr>
                <w:sz w:val="20"/>
                <w:szCs w:val="20"/>
                <w:color w:val="auto"/>
              </w:rPr>
            </w:pPr>
            <w:r>
              <w:rPr>
                <w:rFonts w:ascii="Arial" w:cs="Arial" w:eastAsia="Arial" w:hAnsi="Arial"/>
                <w:sz w:val="20"/>
                <w:szCs w:val="20"/>
                <w:b w:val="1"/>
                <w:bCs w:val="1"/>
                <w:color w:val="auto"/>
              </w:rPr>
              <w:t>Vesting</w:t>
            </w:r>
          </w:p>
        </w:tc>
        <w:tc>
          <w:tcPr>
            <w:tcW w:w="212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F2F2F2"/>
          </w:tcPr>
          <w:p>
            <w:pPr>
              <w:spacing w:after="0" w:line="20" w:lineRule="exact"/>
              <w:rPr>
                <w:sz w:val="1"/>
                <w:szCs w:val="1"/>
                <w:color w:val="auto"/>
              </w:rPr>
            </w:pPr>
          </w:p>
        </w:tc>
        <w:tc>
          <w:tcPr>
            <w:tcW w:w="340" w:type="dxa"/>
            <w:vAlign w:val="bottom"/>
            <w:tcBorders>
              <w:right w:val="single" w:sz="8" w:color="auto"/>
            </w:tcBorders>
            <w:shd w:val="clear" w:color="auto" w:fill="F2F2F2"/>
          </w:tcPr>
          <w:p>
            <w:pPr>
              <w:spacing w:after="0" w:line="20" w:lineRule="exact"/>
              <w:rPr>
                <w:sz w:val="1"/>
                <w:szCs w:val="1"/>
                <w:color w:val="auto"/>
              </w:rPr>
            </w:pPr>
          </w:p>
        </w:tc>
        <w:tc>
          <w:tcPr>
            <w:tcW w:w="60" w:type="dxa"/>
            <w:vAlign w:val="bottom"/>
            <w:vMerge w:val="restart"/>
            <w:shd w:val="clear" w:color="auto" w:fill="F2F2F2"/>
          </w:tcPr>
          <w:p>
            <w:pPr>
              <w:spacing w:after="0" w:line="20" w:lineRule="exact"/>
              <w:rPr>
                <w:sz w:val="1"/>
                <w:szCs w:val="1"/>
                <w:color w:val="auto"/>
              </w:rPr>
            </w:pPr>
          </w:p>
        </w:tc>
        <w:tc>
          <w:tcPr>
            <w:tcW w:w="1760" w:type="dxa"/>
            <w:vAlign w:val="bottom"/>
            <w:tcBorders>
              <w:right w:val="single" w:sz="8" w:color="auto"/>
            </w:tcBorders>
            <w:gridSpan w:val="2"/>
            <w:vMerge w:val="continue"/>
            <w:shd w:val="clear" w:color="auto" w:fill="F2F2F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F2F2F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212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0" w:type="dxa"/>
            <w:vAlign w:val="bottom"/>
            <w:tcBorders>
              <w:left w:val="single" w:sz="8" w:color="auto"/>
            </w:tcBorders>
            <w:vMerge w:val="restart"/>
            <w:shd w:val="clear" w:color="auto" w:fill="F2F2F2"/>
          </w:tcPr>
          <w:p>
            <w:pPr>
              <w:spacing w:after="0"/>
              <w:rPr>
                <w:sz w:val="6"/>
                <w:szCs w:val="6"/>
                <w:color w:val="auto"/>
              </w:rPr>
            </w:pPr>
          </w:p>
        </w:tc>
        <w:tc>
          <w:tcPr>
            <w:tcW w:w="1540" w:type="dxa"/>
            <w:vAlign w:val="bottom"/>
            <w:gridSpan w:val="2"/>
            <w:vMerge w:val="restart"/>
            <w:shd w:val="clear" w:color="auto" w:fill="F2F2F2"/>
          </w:tcPr>
          <w:p>
            <w:pPr>
              <w:spacing w:after="0" w:line="183" w:lineRule="exact"/>
              <w:rPr>
                <w:sz w:val="20"/>
                <w:szCs w:val="20"/>
                <w:color w:val="auto"/>
              </w:rPr>
            </w:pPr>
            <w:r>
              <w:rPr>
                <w:rFonts w:ascii="Arial" w:cs="Arial" w:eastAsia="Arial" w:hAnsi="Arial"/>
                <w:sz w:val="20"/>
                <w:szCs w:val="20"/>
                <w:b w:val="1"/>
                <w:bCs w:val="1"/>
                <w:color w:val="auto"/>
              </w:rPr>
              <w:t>Tier Level</w:t>
            </w:r>
          </w:p>
        </w:tc>
        <w:tc>
          <w:tcPr>
            <w:tcW w:w="480" w:type="dxa"/>
            <w:vAlign w:val="bottom"/>
            <w:vMerge w:val="restart"/>
            <w:shd w:val="clear" w:color="auto" w:fill="F2F2F2"/>
          </w:tcPr>
          <w:p>
            <w:pPr>
              <w:spacing w:after="0"/>
              <w:rPr>
                <w:sz w:val="6"/>
                <w:szCs w:val="6"/>
                <w:color w:val="auto"/>
              </w:rPr>
            </w:pPr>
          </w:p>
        </w:tc>
        <w:tc>
          <w:tcPr>
            <w:tcW w:w="340" w:type="dxa"/>
            <w:vAlign w:val="bottom"/>
            <w:tcBorders>
              <w:right w:val="single" w:sz="8" w:color="auto"/>
            </w:tcBorders>
            <w:shd w:val="clear" w:color="auto" w:fill="F2F2F2"/>
          </w:tcPr>
          <w:p>
            <w:pPr>
              <w:spacing w:after="0"/>
              <w:rPr>
                <w:sz w:val="6"/>
                <w:szCs w:val="6"/>
                <w:color w:val="auto"/>
              </w:rPr>
            </w:pPr>
          </w:p>
        </w:tc>
        <w:tc>
          <w:tcPr>
            <w:tcW w:w="60" w:type="dxa"/>
            <w:vAlign w:val="bottom"/>
            <w:vMerge w:val="continue"/>
            <w:shd w:val="clear" w:color="auto" w:fill="F2F2F2"/>
          </w:tcPr>
          <w:p>
            <w:pPr>
              <w:spacing w:after="0"/>
              <w:rPr>
                <w:sz w:val="6"/>
                <w:szCs w:val="6"/>
                <w:color w:val="auto"/>
              </w:rPr>
            </w:pPr>
          </w:p>
        </w:tc>
        <w:tc>
          <w:tcPr>
            <w:tcW w:w="1760" w:type="dxa"/>
            <w:vAlign w:val="bottom"/>
            <w:tcBorders>
              <w:right w:val="single" w:sz="8" w:color="auto"/>
            </w:tcBorders>
            <w:gridSpan w:val="2"/>
            <w:vMerge w:val="continue"/>
            <w:shd w:val="clear" w:color="auto" w:fill="F2F2F2"/>
          </w:tcPr>
          <w:p>
            <w:pPr>
              <w:spacing w:after="0"/>
              <w:rPr>
                <w:sz w:val="6"/>
                <w:szCs w:val="6"/>
                <w:color w:val="auto"/>
              </w:rPr>
            </w:pPr>
          </w:p>
        </w:tc>
        <w:tc>
          <w:tcPr>
            <w:tcW w:w="1880" w:type="dxa"/>
            <w:vAlign w:val="bottom"/>
            <w:gridSpan w:val="2"/>
            <w:vMerge w:val="restart"/>
            <w:shd w:val="clear" w:color="auto" w:fill="F2F2F2"/>
          </w:tcPr>
          <w:p>
            <w:pPr>
              <w:spacing w:after="0" w:line="183" w:lineRule="exact"/>
              <w:rPr>
                <w:sz w:val="20"/>
                <w:szCs w:val="20"/>
                <w:color w:val="auto"/>
              </w:rPr>
            </w:pPr>
            <w:r>
              <w:rPr>
                <w:rFonts w:ascii="Arial" w:cs="Arial" w:eastAsia="Arial" w:hAnsi="Arial"/>
                <w:sz w:val="20"/>
                <w:szCs w:val="20"/>
                <w:b w:val="1"/>
                <w:bCs w:val="1"/>
                <w:color w:val="auto"/>
              </w:rPr>
              <w:t>Coverage Period</w:t>
            </w:r>
          </w:p>
        </w:tc>
        <w:tc>
          <w:tcPr>
            <w:tcW w:w="1820" w:type="dxa"/>
            <w:vAlign w:val="bottom"/>
            <w:tcBorders>
              <w:right w:val="single" w:sz="8" w:color="auto"/>
            </w:tcBorders>
            <w:vMerge w:val="restart"/>
            <w:shd w:val="clear" w:color="auto" w:fill="F2F2F2"/>
          </w:tcPr>
          <w:p>
            <w:pPr>
              <w:spacing w:after="0"/>
              <w:rPr>
                <w:sz w:val="6"/>
                <w:szCs w:val="6"/>
                <w:color w:val="auto"/>
              </w:rPr>
            </w:pPr>
          </w:p>
        </w:tc>
        <w:tc>
          <w:tcPr>
            <w:tcW w:w="1180" w:type="dxa"/>
            <w:vAlign w:val="bottom"/>
            <w:gridSpan w:val="3"/>
            <w:vMerge w:val="restart"/>
            <w:shd w:val="clear" w:color="auto" w:fill="F2F2F2"/>
          </w:tcPr>
          <w:p>
            <w:pPr>
              <w:spacing w:after="0" w:line="183" w:lineRule="exact"/>
              <w:rPr>
                <w:sz w:val="20"/>
                <w:szCs w:val="20"/>
                <w:color w:val="auto"/>
              </w:rPr>
            </w:pPr>
            <w:r>
              <w:rPr>
                <w:rFonts w:ascii="Arial" w:cs="Arial" w:eastAsia="Arial" w:hAnsi="Arial"/>
                <w:sz w:val="20"/>
                <w:szCs w:val="20"/>
                <w:b w:val="1"/>
                <w:bCs w:val="1"/>
                <w:color w:val="auto"/>
                <w:w w:val="96"/>
              </w:rPr>
              <w:t>Acceleration</w:t>
            </w:r>
          </w:p>
        </w:tc>
        <w:tc>
          <w:tcPr>
            <w:tcW w:w="2120" w:type="dxa"/>
            <w:vAlign w:val="bottom"/>
            <w:tcBorders>
              <w:right w:val="single" w:sz="8" w:color="auto"/>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0" w:type="dxa"/>
            <w:vAlign w:val="bottom"/>
            <w:tcBorders>
              <w:top w:val="single" w:sz="8" w:color="F2F2F2"/>
              <w:left w:val="single" w:sz="8" w:color="auto"/>
              <w:bottom w:val="single" w:sz="8" w:color="auto"/>
            </w:tcBorders>
            <w:vMerge w:val="continue"/>
            <w:shd w:val="clear" w:color="auto" w:fill="F2F2F2"/>
          </w:tcPr>
          <w:p>
            <w:pPr>
              <w:spacing w:after="0"/>
              <w:rPr>
                <w:sz w:val="11"/>
                <w:szCs w:val="11"/>
                <w:color w:val="auto"/>
              </w:rPr>
            </w:pPr>
          </w:p>
        </w:tc>
        <w:tc>
          <w:tcPr>
            <w:tcW w:w="1540" w:type="dxa"/>
            <w:vAlign w:val="bottom"/>
            <w:tcBorders>
              <w:top w:val="single" w:sz="8" w:color="F2F2F2"/>
              <w:bottom w:val="single" w:sz="8" w:color="auto"/>
            </w:tcBorders>
            <w:gridSpan w:val="2"/>
            <w:vMerge w:val="continue"/>
            <w:shd w:val="clear" w:color="auto" w:fill="F2F2F2"/>
          </w:tcPr>
          <w:p>
            <w:pPr>
              <w:spacing w:after="0"/>
              <w:rPr>
                <w:sz w:val="11"/>
                <w:szCs w:val="11"/>
                <w:color w:val="auto"/>
              </w:rPr>
            </w:pPr>
          </w:p>
        </w:tc>
        <w:tc>
          <w:tcPr>
            <w:tcW w:w="480" w:type="dxa"/>
            <w:vAlign w:val="bottom"/>
            <w:tcBorders>
              <w:top w:val="single" w:sz="8" w:color="F2F2F2"/>
              <w:bottom w:val="single" w:sz="8" w:color="auto"/>
            </w:tcBorders>
            <w:vMerge w:val="continue"/>
            <w:shd w:val="clear" w:color="auto" w:fill="F2F2F2"/>
          </w:tcPr>
          <w:p>
            <w:pPr>
              <w:spacing w:after="0"/>
              <w:rPr>
                <w:sz w:val="11"/>
                <w:szCs w:val="11"/>
                <w:color w:val="auto"/>
              </w:rPr>
            </w:pPr>
          </w:p>
        </w:tc>
        <w:tc>
          <w:tcPr>
            <w:tcW w:w="340" w:type="dxa"/>
            <w:vAlign w:val="bottom"/>
            <w:tcBorders>
              <w:top w:val="single" w:sz="8" w:color="F2F2F2"/>
              <w:bottom w:val="single" w:sz="8" w:color="auto"/>
              <w:right w:val="single" w:sz="8" w:color="auto"/>
            </w:tcBorders>
            <w:shd w:val="clear" w:color="auto" w:fill="F2F2F2"/>
          </w:tcPr>
          <w:p>
            <w:pPr>
              <w:spacing w:after="0"/>
              <w:rPr>
                <w:sz w:val="11"/>
                <w:szCs w:val="11"/>
                <w:color w:val="auto"/>
              </w:rPr>
            </w:pPr>
          </w:p>
        </w:tc>
        <w:tc>
          <w:tcPr>
            <w:tcW w:w="60" w:type="dxa"/>
            <w:vAlign w:val="bottom"/>
            <w:tcBorders>
              <w:top w:val="single" w:sz="8" w:color="F2F2F2"/>
              <w:bottom w:val="single" w:sz="8" w:color="auto"/>
            </w:tcBorders>
            <w:shd w:val="clear" w:color="auto" w:fill="F2F2F2"/>
          </w:tcPr>
          <w:p>
            <w:pPr>
              <w:spacing w:after="0"/>
              <w:rPr>
                <w:sz w:val="11"/>
                <w:szCs w:val="11"/>
                <w:color w:val="auto"/>
              </w:rPr>
            </w:pPr>
          </w:p>
        </w:tc>
        <w:tc>
          <w:tcPr>
            <w:tcW w:w="1240" w:type="dxa"/>
            <w:vAlign w:val="bottom"/>
            <w:tcBorders>
              <w:top w:val="single" w:sz="8" w:color="auto"/>
              <w:bottom w:val="single" w:sz="8" w:color="auto"/>
            </w:tcBorders>
            <w:shd w:val="clear" w:color="auto" w:fill="F2F2F2"/>
          </w:tcPr>
          <w:p>
            <w:pPr>
              <w:spacing w:after="0"/>
              <w:rPr>
                <w:sz w:val="11"/>
                <w:szCs w:val="11"/>
                <w:color w:val="auto"/>
              </w:rPr>
            </w:pPr>
          </w:p>
        </w:tc>
        <w:tc>
          <w:tcPr>
            <w:tcW w:w="520" w:type="dxa"/>
            <w:vAlign w:val="bottom"/>
            <w:tcBorders>
              <w:top w:val="single" w:sz="8" w:color="F2F2F2"/>
              <w:bottom w:val="single" w:sz="8" w:color="auto"/>
              <w:right w:val="single" w:sz="8" w:color="auto"/>
            </w:tcBorders>
            <w:shd w:val="clear" w:color="auto" w:fill="F2F2F2"/>
          </w:tcPr>
          <w:p>
            <w:pPr>
              <w:spacing w:after="0"/>
              <w:rPr>
                <w:sz w:val="11"/>
                <w:szCs w:val="11"/>
                <w:color w:val="auto"/>
              </w:rPr>
            </w:pPr>
          </w:p>
        </w:tc>
        <w:tc>
          <w:tcPr>
            <w:tcW w:w="1880" w:type="dxa"/>
            <w:vAlign w:val="bottom"/>
            <w:tcBorders>
              <w:top w:val="single" w:sz="8" w:color="F2F2F2"/>
              <w:bottom w:val="single" w:sz="8" w:color="auto"/>
            </w:tcBorders>
            <w:gridSpan w:val="2"/>
            <w:vMerge w:val="continue"/>
            <w:shd w:val="clear" w:color="auto" w:fill="F2F2F2"/>
          </w:tcPr>
          <w:p>
            <w:pPr>
              <w:spacing w:after="0"/>
              <w:rPr>
                <w:sz w:val="11"/>
                <w:szCs w:val="11"/>
                <w:color w:val="auto"/>
              </w:rPr>
            </w:pPr>
          </w:p>
        </w:tc>
        <w:tc>
          <w:tcPr>
            <w:tcW w:w="1820" w:type="dxa"/>
            <w:vAlign w:val="bottom"/>
            <w:tcBorders>
              <w:top w:val="single" w:sz="8" w:color="F2F2F2"/>
              <w:bottom w:val="single" w:sz="8" w:color="auto"/>
              <w:right w:val="single" w:sz="8" w:color="auto"/>
            </w:tcBorders>
            <w:vMerge w:val="continue"/>
            <w:shd w:val="clear" w:color="auto" w:fill="F2F2F2"/>
          </w:tcPr>
          <w:p>
            <w:pPr>
              <w:spacing w:after="0"/>
              <w:rPr>
                <w:sz w:val="11"/>
                <w:szCs w:val="11"/>
                <w:color w:val="auto"/>
              </w:rPr>
            </w:pPr>
          </w:p>
        </w:tc>
        <w:tc>
          <w:tcPr>
            <w:tcW w:w="1180" w:type="dxa"/>
            <w:vAlign w:val="bottom"/>
            <w:tcBorders>
              <w:top w:val="single" w:sz="8" w:color="F2F2F2"/>
              <w:bottom w:val="single" w:sz="8" w:color="auto"/>
            </w:tcBorders>
            <w:gridSpan w:val="3"/>
            <w:vMerge w:val="continue"/>
            <w:shd w:val="clear" w:color="auto" w:fill="F2F2F2"/>
          </w:tcPr>
          <w:p>
            <w:pPr>
              <w:spacing w:after="0"/>
              <w:rPr>
                <w:sz w:val="11"/>
                <w:szCs w:val="11"/>
                <w:color w:val="auto"/>
              </w:rPr>
            </w:pPr>
          </w:p>
        </w:tc>
        <w:tc>
          <w:tcPr>
            <w:tcW w:w="2120" w:type="dxa"/>
            <w:vAlign w:val="bottom"/>
            <w:tcBorders>
              <w:top w:val="single" w:sz="8" w:color="F2F2F2"/>
              <w:bottom w:val="single" w:sz="8" w:color="auto"/>
              <w:right w:val="single" w:sz="8" w:color="auto"/>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100" w:type="dxa"/>
            <w:vAlign w:val="bottom"/>
            <w:tcBorders>
              <w:left w:val="single" w:sz="8" w:color="auto"/>
              <w:bottom w:val="single" w:sz="8" w:color="auto"/>
            </w:tcBorders>
            <w:gridSpan w:val="4"/>
          </w:tcPr>
          <w:p>
            <w:pPr>
              <w:ind w:left="80"/>
              <w:spacing w:after="0"/>
              <w:rPr>
                <w:sz w:val="20"/>
                <w:szCs w:val="20"/>
                <w:color w:val="auto"/>
              </w:rPr>
            </w:pPr>
            <w:r>
              <w:rPr>
                <w:rFonts w:ascii="Arial" w:cs="Arial" w:eastAsia="Arial" w:hAnsi="Arial"/>
                <w:sz w:val="20"/>
                <w:szCs w:val="20"/>
                <w:color w:val="auto"/>
              </w:rPr>
              <w:t>Tier I</w:t>
            </w:r>
          </w:p>
        </w:tc>
        <w:tc>
          <w:tcPr>
            <w:tcW w:w="3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1.0x base salary</w:t>
            </w:r>
          </w:p>
        </w:tc>
        <w:tc>
          <w:tcPr>
            <w:tcW w:w="37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12 months</w:t>
            </w:r>
          </w:p>
        </w:tc>
        <w:tc>
          <w:tcPr>
            <w:tcW w:w="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tcBorders>
            <w:gridSpan w:val="4"/>
          </w:tcPr>
          <w:p>
            <w:pPr>
              <w:ind w:left="80"/>
              <w:spacing w:after="0"/>
              <w:rPr>
                <w:sz w:val="20"/>
                <w:szCs w:val="20"/>
                <w:color w:val="auto"/>
              </w:rPr>
            </w:pPr>
            <w:r>
              <w:rPr>
                <w:rFonts w:ascii="Arial" w:cs="Arial" w:eastAsia="Arial" w:hAnsi="Arial"/>
                <w:sz w:val="20"/>
                <w:szCs w:val="20"/>
                <w:color w:val="auto"/>
              </w:rPr>
              <w:t>Tier II</w:t>
            </w:r>
          </w:p>
        </w:tc>
        <w:tc>
          <w:tcPr>
            <w:tcW w:w="3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0.5x base salary</w:t>
            </w:r>
          </w:p>
        </w:tc>
        <w:tc>
          <w:tcPr>
            <w:tcW w:w="37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6 months</w:t>
            </w:r>
          </w:p>
        </w:tc>
        <w:tc>
          <w:tcPr>
            <w:tcW w:w="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58" w:right="31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w w:val="89"/>
              </w:rPr>
              <w:t>Exhibit 21.1</w:t>
            </w:r>
          </w:p>
        </w:tc>
      </w:tr>
      <w:tr>
        <w:trPr>
          <w:trHeight w:val="584"/>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20" w:type="dxa"/>
            <w:vAlign w:val="bottom"/>
            <w:gridSpan w:val="3"/>
          </w:tcPr>
          <w:p>
            <w:pPr>
              <w:ind w:left="160"/>
              <w:spacing w:after="0"/>
              <w:rPr>
                <w:sz w:val="20"/>
                <w:szCs w:val="20"/>
                <w:color w:val="auto"/>
              </w:rPr>
            </w:pPr>
            <w:r>
              <w:rPr>
                <w:rFonts w:ascii="Arial" w:cs="Arial" w:eastAsia="Arial" w:hAnsi="Arial"/>
                <w:sz w:val="20"/>
                <w:szCs w:val="20"/>
                <w:b w:val="1"/>
                <w:bCs w:val="1"/>
                <w:color w:val="auto"/>
              </w:rPr>
              <w:t>Subsidiaries of the Registrant</w:t>
            </w:r>
          </w:p>
        </w:tc>
      </w:tr>
      <w:tr>
        <w:trPr>
          <w:trHeight w:val="509"/>
        </w:trPr>
        <w:tc>
          <w:tcPr>
            <w:tcW w:w="540" w:type="dxa"/>
            <w:vAlign w:val="bottom"/>
          </w:tcPr>
          <w:p>
            <w:pPr>
              <w:spacing w:after="0"/>
              <w:rPr>
                <w:sz w:val="20"/>
                <w:szCs w:val="20"/>
                <w:color w:val="auto"/>
              </w:rPr>
            </w:pPr>
            <w:r>
              <w:rPr>
                <w:rFonts w:ascii="Arial" w:cs="Arial" w:eastAsia="Arial" w:hAnsi="Arial"/>
                <w:sz w:val="20"/>
                <w:szCs w:val="20"/>
                <w:b w:val="1"/>
                <w:bCs w:val="1"/>
                <w:color w:val="auto"/>
                <w:w w:val="93"/>
              </w:rPr>
              <w:t>Entity</w:t>
            </w:r>
          </w:p>
        </w:tc>
        <w:tc>
          <w:tcPr>
            <w:tcW w:w="36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b w:val="1"/>
                <w:bCs w:val="1"/>
                <w:color w:val="auto"/>
                <w:w w:val="88"/>
              </w:rPr>
              <w:t>Jurisdiction</w:t>
            </w: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9"/>
        </w:trPr>
        <w:tc>
          <w:tcPr>
            <w:tcW w:w="4160" w:type="dxa"/>
            <w:vAlign w:val="bottom"/>
            <w:gridSpan w:val="2"/>
          </w:tcPr>
          <w:p>
            <w:pPr>
              <w:spacing w:after="0"/>
              <w:rPr>
                <w:sz w:val="20"/>
                <w:szCs w:val="20"/>
                <w:color w:val="auto"/>
              </w:rPr>
            </w:pPr>
            <w:r>
              <w:rPr>
                <w:rFonts w:ascii="Arial" w:cs="Arial" w:eastAsia="Arial" w:hAnsi="Arial"/>
                <w:sz w:val="20"/>
                <w:szCs w:val="20"/>
                <w:color w:val="auto"/>
              </w:rPr>
              <w:t>Affirm ABS Funding Trust I</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ABS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2020-A</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2020-Z1</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2020-Z2</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2021-A</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2021-B</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2021-Z1</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Asset Securitization Trust 2022-X1</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Australia Pty Ltd</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92"/>
              </w:rPr>
              <w:t>Australia</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Canada Holdings Ltd.</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Canada</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Cares</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94"/>
              </w:rPr>
              <w:t>California</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Loan Asset Sales I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Loan Asset Sales II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Loan Services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Operational Loans I Trust</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Operational Loans II Trust</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Operational Loans IV Trust</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Operational Loans V Trust</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Operational Loans VI Trust</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Operational Loans VII TR</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Opportunity Fund I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Payments,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U.K. Limited</w:t>
            </w:r>
          </w:p>
        </w:tc>
        <w:tc>
          <w:tcPr>
            <w:tcW w:w="7020" w:type="dxa"/>
            <w:vAlign w:val="bottom"/>
            <w:gridSpan w:val="3"/>
          </w:tcPr>
          <w:p>
            <w:pPr>
              <w:jc w:val="center"/>
              <w:ind w:left="3841"/>
              <w:spacing w:after="0"/>
              <w:rPr>
                <w:sz w:val="20"/>
                <w:szCs w:val="20"/>
                <w:color w:val="auto"/>
              </w:rPr>
            </w:pPr>
            <w:r>
              <w:rPr>
                <w:rFonts w:ascii="Arial" w:cs="Arial" w:eastAsia="Arial" w:hAnsi="Arial"/>
                <w:sz w:val="20"/>
                <w:szCs w:val="20"/>
                <w:color w:val="auto"/>
                <w:w w:val="92"/>
              </w:rPr>
              <w:t>United Kingdom</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Affirm, Inc.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w w:val="93"/>
              </w:rPr>
              <w:t>Midship spółka z ograniczoną odpowiedzialnością</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Poland</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PayBright Funding GP Inc.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Canada</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Paybright Funding Limited Partnership</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Canada</w:t>
            </w:r>
          </w:p>
        </w:tc>
      </w:tr>
      <w:tr>
        <w:trPr>
          <w:trHeight w:val="324"/>
        </w:trPr>
        <w:tc>
          <w:tcPr>
            <w:tcW w:w="4160" w:type="dxa"/>
            <w:vAlign w:val="bottom"/>
            <w:gridSpan w:val="2"/>
          </w:tcPr>
          <w:p>
            <w:pPr>
              <w:spacing w:after="0"/>
              <w:rPr>
                <w:sz w:val="20"/>
                <w:szCs w:val="20"/>
                <w:color w:val="auto"/>
              </w:rPr>
            </w:pPr>
            <w:r>
              <w:rPr>
                <w:rFonts w:ascii="Arial" w:cs="Arial" w:eastAsia="Arial" w:hAnsi="Arial"/>
                <w:sz w:val="20"/>
                <w:szCs w:val="20"/>
                <w:color w:val="auto"/>
              </w:rPr>
              <w:t>Returnly Holdings, LLC</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9"/>
              </w:rPr>
              <w:t>Delaware</w:t>
            </w:r>
          </w:p>
        </w:tc>
      </w:tr>
      <w:tr>
        <w:trPr>
          <w:trHeight w:val="324"/>
        </w:trPr>
        <w:tc>
          <w:tcPr>
            <w:tcW w:w="4160" w:type="dxa"/>
            <w:vAlign w:val="bottom"/>
            <w:gridSpan w:val="2"/>
          </w:tcPr>
          <w:p>
            <w:pPr>
              <w:ind w:left="20"/>
              <w:spacing w:after="0"/>
              <w:rPr>
                <w:sz w:val="20"/>
                <w:szCs w:val="20"/>
                <w:color w:val="auto"/>
              </w:rPr>
            </w:pPr>
            <w:r>
              <w:rPr>
                <w:rFonts w:ascii="Arial" w:cs="Arial" w:eastAsia="Arial" w:hAnsi="Arial"/>
                <w:sz w:val="20"/>
                <w:szCs w:val="20"/>
                <w:color w:val="auto"/>
              </w:rPr>
              <w:t>Returnly Technologies Spain, S.L.U</w:t>
            </w:r>
          </w:p>
        </w:tc>
        <w:tc>
          <w:tcPr>
            <w:tcW w:w="4980" w:type="dxa"/>
            <w:vAlign w:val="bottom"/>
          </w:tcPr>
          <w:p>
            <w:pPr>
              <w:spacing w:after="0"/>
              <w:rPr>
                <w:sz w:val="24"/>
                <w:szCs w:val="24"/>
                <w:color w:val="auto"/>
              </w:rPr>
            </w:pPr>
          </w:p>
        </w:tc>
        <w:tc>
          <w:tcPr>
            <w:tcW w:w="2040" w:type="dxa"/>
            <w:vAlign w:val="bottom"/>
            <w:gridSpan w:val="2"/>
          </w:tcPr>
          <w:p>
            <w:pPr>
              <w:jc w:val="center"/>
              <w:ind w:right="950"/>
              <w:spacing w:after="0"/>
              <w:rPr>
                <w:sz w:val="20"/>
                <w:szCs w:val="20"/>
                <w:color w:val="auto"/>
              </w:rPr>
            </w:pPr>
            <w:r>
              <w:rPr>
                <w:rFonts w:ascii="Arial" w:cs="Arial" w:eastAsia="Arial" w:hAnsi="Arial"/>
                <w:sz w:val="20"/>
                <w:szCs w:val="20"/>
                <w:color w:val="auto"/>
                <w:w w:val="85"/>
              </w:rPr>
              <w:t>Spain</w:t>
            </w:r>
          </w:p>
        </w:tc>
      </w:tr>
    </w:tbl>
    <w:p>
      <w:pPr>
        <w:sectPr>
          <w:pgSz w:w="11900" w:h="16838" w:orient="portrait"/>
          <w:cols w:equalWidth="0" w:num="1">
            <w:col w:w="11180"/>
          </w:cols>
          <w:pgMar w:left="380" w:top="1431"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consent to the incorporation by reference in Registration Statement Nos. 333-252068, 333-252644, and 333-259614 on Form S-8 of our reports dated August 29, 2022 relating to the financial statements of Affirm Holdings, Inc. and subsidiaries and the effectiveness of Affirm Holdings, Inc. and subsidiaries’ internal control over financial reporting, appearing in this Annual Report on Form 10-K for the year ended June 30, 2022.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2" w:lineRule="auto"/>
        <w:rPr>
          <w:sz w:val="20"/>
          <w:szCs w:val="20"/>
          <w:color w:val="auto"/>
        </w:rPr>
      </w:pPr>
      <w:r>
        <w:rPr>
          <w:rFonts w:ascii="Arial" w:cs="Arial" w:eastAsia="Arial" w:hAnsi="Arial"/>
          <w:sz w:val="18"/>
          <w:szCs w:val="18"/>
          <w:color w:val="auto"/>
        </w:rPr>
        <w:t>San Francisco, CA</w:t>
      </w:r>
    </w:p>
    <w:p>
      <w:pPr>
        <w:spacing w:after="0"/>
        <w:rPr>
          <w:sz w:val="20"/>
          <w:szCs w:val="20"/>
          <w:color w:val="auto"/>
        </w:rPr>
      </w:pPr>
      <w:r>
        <w:rPr>
          <w:rFonts w:ascii="Arial" w:cs="Arial" w:eastAsia="Arial" w:hAnsi="Arial"/>
          <w:sz w:val="18"/>
          <w:szCs w:val="18"/>
          <w:color w:val="auto"/>
        </w:rPr>
        <w:t>August 29, 2022</w:t>
      </w:r>
    </w:p>
    <w:p>
      <w:pPr>
        <w:sectPr>
          <w:pgSz w:w="11900" w:h="16838" w:orient="portrait"/>
          <w:cols w:equalWidth="0" w:num="1">
            <w:col w:w="11240"/>
          </w:cols>
          <w:pgMar w:left="320" w:top="756"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180" w:firstLine="156"/>
        <w:spacing w:after="0" w:line="263" w:lineRule="auto"/>
        <w:tabs>
          <w:tab w:leader="none" w:pos="13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212" w:name="page213"/>
    <w:bookmarkEnd w:id="212"/>
    <w:p>
      <w:pPr>
        <w:ind w:left="1280" w:firstLine="166"/>
        <w:spacing w:after="0" w:line="277" w:lineRule="auto"/>
        <w:tabs>
          <w:tab w:leader="none" w:pos="19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August 29, 2022</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31750</wp:posOffset>
            </wp:positionV>
            <wp:extent cx="25114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40"/>
          </w:cols>
          <w:pgMar w:left="340" w:top="1016" w:right="4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180" w:firstLine="156"/>
        <w:spacing w:after="0" w:line="263" w:lineRule="auto"/>
        <w:tabs>
          <w:tab w:leader="none" w:pos="13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214" w:name="page215"/>
    <w:bookmarkEnd w:id="214"/>
    <w:p>
      <w:pPr>
        <w:ind w:left="1280" w:firstLine="166"/>
        <w:spacing w:after="0" w:line="277" w:lineRule="auto"/>
        <w:tabs>
          <w:tab w:leader="none" w:pos="19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August 29, 2022</w:t>
      </w:r>
      <w:r>
        <w:rPr>
          <w:sz w:val="20"/>
          <w:szCs w:val="20"/>
          <w:color w:val="auto"/>
        </w:rPr>
        <w:tab/>
      </w: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25114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140"/>
          </w:cols>
          <w:pgMar w:left="340" w:top="1016" w:right="4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29, 2022</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29, 2022</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lowerRoman"/>
      <w:start w:val="2"/>
    </w:lvl>
  </w:abstractNum>
  <w:abstractNum w:abstractNumId="29">
    <w:nsid w:val="39386575"/>
    <w:multiLevelType w:val="hybridMultilevel"/>
    <w:lvl w:ilvl="0">
      <w:lvlJc w:val="left"/>
      <w:lvlText w:val="(%1)"/>
      <w:numFmt w:val="lowerRoman"/>
      <w:start w:val="1"/>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bullet"/>
      <w:start w:val="1"/>
    </w:lvl>
  </w:abstractNum>
  <w:abstractNum w:abstractNumId="34">
    <w:nsid w:val="354FE9F9"/>
    <w:multiLevelType w:val="hybridMultilevel"/>
    <w:lvl w:ilvl="0">
      <w:lvlJc w:val="left"/>
      <w:lvlText w:val="%1."/>
      <w:numFmt w:val="decimal"/>
      <w:start w:val="320"/>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1"/>
    </w:lvl>
    <w:lvl w:ilvl="1">
      <w:lvlJc w:val="left"/>
      <w:lvlText w:val="%2."/>
      <w:numFmt w:val="decimal"/>
      <w:start w:val="11"/>
    </w:lvl>
  </w:abstractNum>
  <w:abstractNum w:abstractNumId="43">
    <w:nsid w:val="579BE4F1"/>
    <w:multiLevelType w:val="hybridMultilevel"/>
    <w:lvl w:ilvl="0">
      <w:lvlJc w:val="left"/>
      <w:lvlText w:val="(%1)"/>
      <w:numFmt w:val="decimal"/>
      <w:start w:val="1"/>
    </w:lvl>
    <w:lvl w:ilvl="1">
      <w:lvlJc w:val="left"/>
      <w:lvlText w:val="%2."/>
      <w:numFmt w:val="decimal"/>
      <w:start w:val="1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2"/>
    </w:lvl>
    <w:lvl w:ilvl="1">
      <w:lvlJc w:val="left"/>
      <w:lvlText w:val="(%2)"/>
      <w:numFmt w:val="lowerLetter"/>
      <w:start w:val="1"/>
    </w:lvl>
  </w:abstractNum>
  <w:abstractNum w:abstractNumId="55">
    <w:nsid w:val="15014AC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56">
    <w:nsid w:val="5F5E7FD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57">
    <w:nsid w:val="98A3148"/>
    <w:multiLevelType w:val="hybridMultilevel"/>
    <w:lvl w:ilvl="0">
      <w:lvlJc w:val="left"/>
      <w:lvlText w:val="%1."/>
      <w:numFmt w:val="lowerLetter"/>
      <w:start w:val="4"/>
    </w:lvl>
  </w:abstractNum>
  <w:abstractNum w:abstractNumId="58">
    <w:nsid w:val="799D0247"/>
    <w:multiLevelType w:val="hybridMultilevel"/>
    <w:lvl w:ilvl="0">
      <w:lvlJc w:val="left"/>
      <w:lvlText w:val="%1."/>
      <w:numFmt w:val="decimal"/>
      <w:start w:val="11"/>
    </w:lvl>
  </w:abstractNum>
  <w:abstractNum w:abstractNumId="59">
    <w:nsid w:val="6B94764"/>
    <w:multiLevelType w:val="hybridMultilevel"/>
    <w:lvl w:ilvl="0">
      <w:lvlJc w:val="left"/>
      <w:lvlText w:val="%1."/>
      <w:numFmt w:val="decimal"/>
      <w:start w:val="12"/>
    </w:lvl>
  </w:abstractNum>
  <w:abstractNum w:abstractNumId="60">
    <w:nsid w:val="42C296BD"/>
    <w:multiLevelType w:val="hybridMultilevel"/>
    <w:lvl w:ilvl="0">
      <w:lvlJc w:val="left"/>
      <w:lvlText w:val="%1."/>
      <w:numFmt w:val="decimal"/>
      <w:start w:val="13"/>
    </w:lvl>
  </w:abstractNum>
  <w:abstractNum w:abstractNumId="61">
    <w:nsid w:val="168E121F"/>
    <w:multiLevelType w:val="hybridMultilevel"/>
    <w:lvl w:ilvl="0">
      <w:lvlJc w:val="left"/>
      <w:lvlText w:val="%1."/>
      <w:numFmt w:val="decimal"/>
      <w:start w:val="17"/>
    </w:lvl>
  </w:abstractNum>
  <w:abstractNum w:abstractNumId="62">
    <w:nsid w:val="1EBA5D23"/>
    <w:multiLevelType w:val="hybridMultilevel"/>
    <w:lvl w:ilvl="0">
      <w:lvlJc w:val="left"/>
      <w:lvlText w:val="%1."/>
      <w:numFmt w:val="decimal"/>
      <w:start w:val="19"/>
    </w:lvl>
  </w:abstractNum>
  <w:abstractNum w:abstractNumId="63">
    <w:nsid w:val="661E3F1E"/>
    <w:multiLevelType w:val="hybridMultilevel"/>
    <w:lvl w:ilvl="0">
      <w:lvlJc w:val="left"/>
      <w:lvlText w:val="%1."/>
      <w:numFmt w:val="decimal"/>
      <w:start w:val="24"/>
    </w:lvl>
  </w:abstractNum>
  <w:abstractNum w:abstractNumId="64">
    <w:nsid w:val="5DC79EA8"/>
    <w:multiLevelType w:val="hybridMultilevel"/>
    <w:lvl w:ilvl="0">
      <w:lvlJc w:val="left"/>
      <w:lvlText w:val="%1."/>
      <w:numFmt w:val="decimal"/>
      <w:start w:val="28"/>
    </w:lvl>
    <w:lvl w:ilvl="1">
      <w:lvlJc w:val="left"/>
      <w:lvlText w:val="(%2)"/>
      <w:numFmt w:val="lowerLetter"/>
      <w:start w:val="1"/>
    </w:lvl>
  </w:abstractNum>
  <w:abstractNum w:abstractNumId="65">
    <w:nsid w:val="540A471C"/>
    <w:multiLevelType w:val="hybridMultilevel"/>
    <w:lvl w:ilvl="0">
      <w:lvlJc w:val="left"/>
      <w:lvlText w:val="(%1)"/>
      <w:numFmt w:val="lowerLetter"/>
      <w:start w:val="2"/>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lvl w:ilvl="1">
      <w:lvlJc w:val="left"/>
      <w:lvlText w:val="%2."/>
      <w:numFmt w:val="decimal"/>
      <w:start w:val="5"/>
    </w:lvl>
  </w:abstractNum>
  <w:abstractNum w:abstractNumId="68">
    <w:nsid w:val="613EFDC5"/>
    <w:multiLevelType w:val="hybridMultilevel"/>
    <w:lvl w:ilvl="0">
      <w:lvlJc w:val="left"/>
      <w:lvlText w:val="(%1)"/>
      <w:numFmt w:val="decimal"/>
      <w:start w:val="7"/>
    </w:lvl>
    <w:lvl w:ilvl="1">
      <w:lvlJc w:val="left"/>
      <w:lvlText w:val="%2."/>
      <w:numFmt w:val="decimal"/>
      <w:start w:val="6"/>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2"/>
    </w:lvl>
    <w:lvl w:ilvl="1">
      <w:lvlJc w:val="left"/>
      <w:lvlText w:val="%2)"/>
      <w:numFmt w:val="lowerLetter"/>
      <w:start w:val="1"/>
    </w:lvl>
  </w:abstractNum>
  <w:abstractNum w:abstractNumId="74">
    <w:nsid w:val="1A32234B"/>
    <w:multiLevelType w:val="hybridMultilevel"/>
    <w:lvl w:ilvl="0">
      <w:lvlJc w:val="left"/>
      <w:lvlText w:val="%1)"/>
      <w:numFmt w:val="decimal"/>
      <w:start w:val="4"/>
    </w:lvl>
    <w:lvl w:ilvl="1">
      <w:lvlJc w:val="left"/>
      <w:lvlText w:val="%2)"/>
      <w:numFmt w:val="lowerLetter"/>
      <w:start w:val="1"/>
    </w:lvl>
  </w:abstractNum>
  <w:abstractNum w:abstractNumId="75">
    <w:nsid w:val="3B0FD379"/>
    <w:multiLevelType w:val="hybridMultilevel"/>
    <w:lvl w:ilvl="0">
      <w:lvlJc w:val="left"/>
      <w:lvlText w:val="%1)"/>
      <w:numFmt w:val="decimal"/>
      <w:start w:val="6"/>
    </w:lvl>
    <w:lvl w:ilvl="1">
      <w:lvlJc w:val="left"/>
      <w:lvlText w:val="%2)"/>
      <w:numFmt w:val="lowerLetter"/>
      <w:start w:val="1"/>
    </w:lvl>
  </w:abstractNum>
  <w:abstractNum w:abstractNumId="76">
    <w:nsid w:val="68EB2F63"/>
    <w:multiLevelType w:val="hybridMultilevel"/>
    <w:lvl w:ilvl="0">
      <w:lvlJc w:val="left"/>
      <w:lvlText w:val="%1"/>
      <w:numFmt w:val="decimal"/>
      <w:start w:val="1"/>
    </w:lvl>
    <w:lvl w:ilvl="1">
      <w:lvlJc w:val="left"/>
      <w:lvlText w:val="%2)"/>
      <w:numFmt w:val="lowerLetter"/>
      <w:start w:val="2"/>
    </w:lvl>
  </w:abstractNum>
  <w:abstractNum w:abstractNumId="77">
    <w:nsid w:val="4962813B"/>
    <w:multiLevelType w:val="hybridMultilevel"/>
    <w:lvl w:ilvl="0">
      <w:lvlJc w:val="left"/>
      <w:lvlText w:val="%1)"/>
      <w:numFmt w:val="decimal"/>
      <w:start w:val="8"/>
    </w:lvl>
    <w:lvl w:ilvl="1">
      <w:lvlJc w:val="left"/>
      <w:lvlText w:val="%2"/>
      <w:numFmt w:val="lowerLetter"/>
      <w:start w:val="1"/>
    </w:lvl>
  </w:abstractNum>
  <w:abstractNum w:abstractNumId="78">
    <w:nsid w:val="60B6DF70"/>
    <w:multiLevelType w:val="hybridMultilevel"/>
    <w:lvl w:ilvl="0">
      <w:lvlJc w:val="left"/>
      <w:lvlText w:val="%1)"/>
      <w:numFmt w:val="decimal"/>
      <w:start w:val="10"/>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lowerLetter"/>
      <w:start w:val="2"/>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5" Type="http://schemas.openxmlformats.org/officeDocument/2006/relationships/image" Target="media/image203.png"/><Relationship Id="rId224"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10" Type="http://schemas.openxmlformats.org/officeDocument/2006/relationships/hyperlink" Target="https://www.sec.gov/Archives/edgar/data/0001820953/000110465921004835/a20-26663_24ex3d1.htm#Exhibit3_1_013332" TargetMode="External"/><Relationship Id="rId211" Type="http://schemas.openxmlformats.org/officeDocument/2006/relationships/hyperlink" Target="https://www.sec.gov/Archives/edgar/data/0001820953/000162828021018253/affirmholdings-arbylawslea.htm" TargetMode="External"/><Relationship Id="rId212" Type="http://schemas.openxmlformats.org/officeDocument/2006/relationships/hyperlink" Target="https://www.sec.gov/Archives/edgar/data/0001820953/000182095321000102/afrm-63021exx41xdescriptio.htm" TargetMode="External"/><Relationship Id="rId213" Type="http://schemas.openxmlformats.org/officeDocument/2006/relationships/hyperlink" Target="https://www.sec.gov/Archives/edgar/data/1820953/000182095321000115/exhibit41firstwarrant.htm" TargetMode="External"/><Relationship Id="rId214" Type="http://schemas.openxmlformats.org/officeDocument/2006/relationships/hyperlink" Target="https://www.sec.gov/Archives/edgar/data/1820953/000182095321000115/exhibit42-secondwarrant.htm" TargetMode="External"/><Relationship Id="rId216" Type="http://schemas.openxmlformats.org/officeDocument/2006/relationships/hyperlink" Target="https://www.sec.gov/Archives/edgar/data/1820953/000110465921142914/tm2133732d1_ex4-1.htm" TargetMode="External"/><Relationship Id="rId217" Type="http://schemas.openxmlformats.org/officeDocument/2006/relationships/hyperlink" Target="https://www.sec.gov/Archives/edgar/data/0001820953/000110465920126927/tm2026663d5_ex10-1.htm" TargetMode="External"/><Relationship Id="rId218" Type="http://schemas.openxmlformats.org/officeDocument/2006/relationships/hyperlink" Target="https://www.sec.gov/Archives/edgar/data/0001820953/000182095322000002/exhibit101-revolvingcredit.htm" TargetMode="External"/><Relationship Id="rId219" Type="http://schemas.openxmlformats.org/officeDocument/2006/relationships/hyperlink" Target="https://www.sec.gov/Archives/edgar/data/1820953/000110465920128032/tm2026663d8_ex10-4.htm" TargetMode="External"/><Relationship Id="rId220" Type="http://schemas.openxmlformats.org/officeDocument/2006/relationships/hyperlink" Target="https://www.sec.gov/Archives/edgar/data/0001820953/000110465920128032/tm2026663d8_ex10-5.htm" TargetMode="External"/><Relationship Id="rId221" Type="http://schemas.openxmlformats.org/officeDocument/2006/relationships/hyperlink" Target="https://www.sec.gov/Archives/edgar/data/1820953/000110465920128032/tm2026663d8_ex10-7.htm" TargetMode="External"/><Relationship Id="rId222" Type="http://schemas.openxmlformats.org/officeDocument/2006/relationships/hyperlink" Target="https://www.sec.gov/Archives/edgar/data/0001820953/000162828021010407/exhibit103-amendmentno1toc.htm" TargetMode="External"/><Relationship Id="rId223" Type="http://schemas.openxmlformats.org/officeDocument/2006/relationships/hyperlink" Target="https://www.sec.gov/Archives/edgar/data/1820953/000182095321000102/afrm-63021exx101aramendmen.htm" TargetMode="External"/><Relationship Id="rId225" Type="http://schemas.openxmlformats.org/officeDocument/2006/relationships/hyperlink" Target="https://www.sec.gov/Archives/edgar/data/1820953/000182095321000115/exhibit101arinstallmentfin.htm" TargetMode="External"/><Relationship Id="rId226" Type="http://schemas.openxmlformats.org/officeDocument/2006/relationships/hyperlink" Target="https://www.sec.gov/Archives/edgar/data/1820953/000182095321000115/exhibit102-redactedtransac.htm" TargetMode="External"/><Relationship Id="rId227" Type="http://schemas.openxmlformats.org/officeDocument/2006/relationships/hyperlink" Target="https://www.sec.gov/Archives/edgar/data/1820953/000182095321000102/afrm-63021exx107xar2012sto.htm" TargetMode="External"/><Relationship Id="rId228" Type="http://schemas.openxmlformats.org/officeDocument/2006/relationships/hyperlink" Target="https://www.sec.gov/Archives/edgar/data/1820953/000182095322000005/exhibit104-formofstockopti.htm" TargetMode="External"/><Relationship Id="rId229" Type="http://schemas.openxmlformats.org/officeDocument/2006/relationships/hyperlink" Target="https://www.sec.gov/Archives/edgar/data/1820953/000182095322000005/exhibit105-formofrsuawarda.htm" TargetMode="External"/><Relationship Id="rId230" Type="http://schemas.openxmlformats.org/officeDocument/2006/relationships/hyperlink" Target="https://www.sec.gov/Archives/edgar/data/0001820953/000110465920128032/tm2026663d8_ex10-3.htm" TargetMode="External"/><Relationship Id="rId231" Type="http://schemas.openxmlformats.org/officeDocument/2006/relationships/hyperlink" Target="https://www.sec.gov/Archives/edgar/data/1820953/000162828021010407/exhibit104-cashincentivep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2022-08-29T15:30:49Z</dcterms:created>
  <dcterms:modified xsi:type="dcterms:W3CDTF">2022-08-29T15:30:49Z</dcterms:modified>
</cp:coreProperties>
</file>