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1540" w:right="1260" w:hanging="328"/>
        <w:spacing w:after="0" w:line="237" w:lineRule="auto"/>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70" w:lineRule="exact"/>
        <w:rPr>
          <w:sz w:val="24"/>
          <w:szCs w:val="24"/>
          <w:color w:val="auto"/>
        </w:rPr>
      </w:pPr>
    </w:p>
    <w:p>
      <w:pPr>
        <w:ind w:left="1540" w:right="1240" w:hanging="328"/>
        <w:spacing w:after="0" w:line="237" w:lineRule="auto"/>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001-39888</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Affirm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790"/>
              <w:spacing w:after="0"/>
              <w:rPr>
                <w:sz w:val="20"/>
                <w:szCs w:val="20"/>
                <w:color w:val="auto"/>
              </w:rPr>
            </w:pPr>
            <w:r>
              <w:rPr>
                <w:rFonts w:ascii="Arial" w:cs="Arial" w:eastAsia="Arial" w:hAnsi="Arial"/>
                <w:sz w:val="18"/>
                <w:szCs w:val="18"/>
                <w:b w:val="1"/>
                <w:bCs w:val="1"/>
                <w:color w:val="auto"/>
              </w:rPr>
              <w:t>84-2224323</w:t>
            </w:r>
          </w:p>
        </w:tc>
      </w:tr>
      <w:tr>
        <w:trPr>
          <w:trHeight w:val="189"/>
        </w:trPr>
        <w:tc>
          <w:tcPr>
            <w:tcW w:w="4000" w:type="dxa"/>
            <w:vAlign w:val="bottom"/>
          </w:tcPr>
          <w:p>
            <w:pPr>
              <w:jc w:val="center"/>
              <w:ind w:right="6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32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organization)</w:t>
            </w:r>
          </w:p>
        </w:tc>
        <w:tc>
          <w:tcPr>
            <w:tcW w:w="3320" w:type="dxa"/>
            <w:vAlign w:val="bottom"/>
          </w:tcPr>
          <w:p>
            <w:pPr>
              <w:spacing w:after="0"/>
              <w:rPr>
                <w:sz w:val="20"/>
                <w:szCs w:val="20"/>
                <w:color w:val="auto"/>
              </w:rPr>
            </w:pPr>
          </w:p>
        </w:tc>
      </w:tr>
      <w:tr>
        <w:trPr>
          <w:trHeight w:val="310"/>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650 California Street</w:t>
            </w:r>
          </w:p>
        </w:tc>
        <w:tc>
          <w:tcPr>
            <w:tcW w:w="3320" w:type="dxa"/>
            <w:vAlign w:val="bottom"/>
          </w:tcPr>
          <w:p>
            <w:pPr>
              <w:spacing w:after="0"/>
              <w:rPr>
                <w:sz w:val="24"/>
                <w:szCs w:val="24"/>
                <w:color w:val="auto"/>
              </w:rPr>
            </w:pPr>
          </w:p>
        </w:tc>
      </w:tr>
      <w:tr>
        <w:trPr>
          <w:trHeight w:val="270"/>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San Francisco, California</w:t>
            </w:r>
          </w:p>
        </w:tc>
        <w:tc>
          <w:tcPr>
            <w:tcW w:w="3320" w:type="dxa"/>
            <w:vAlign w:val="bottom"/>
          </w:tcPr>
          <w:p>
            <w:pPr>
              <w:jc w:val="right"/>
              <w:ind w:right="990"/>
              <w:spacing w:after="0"/>
              <w:rPr>
                <w:sz w:val="20"/>
                <w:szCs w:val="20"/>
                <w:color w:val="auto"/>
              </w:rPr>
            </w:pPr>
            <w:r>
              <w:rPr>
                <w:rFonts w:ascii="Arial" w:cs="Arial" w:eastAsia="Arial" w:hAnsi="Arial"/>
                <w:sz w:val="18"/>
                <w:szCs w:val="18"/>
                <w:b w:val="1"/>
                <w:bCs w:val="1"/>
                <w:color w:val="auto"/>
              </w:rPr>
              <w:t>94108</w:t>
            </w:r>
          </w:p>
        </w:tc>
      </w:tr>
      <w:tr>
        <w:trPr>
          <w:trHeight w:val="243"/>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320" w:type="dxa"/>
            <w:vAlign w:val="bottom"/>
          </w:tcPr>
          <w:p>
            <w:pPr>
              <w:jc w:val="center"/>
              <w:ind w:left="610"/>
              <w:spacing w:after="0"/>
              <w:rPr>
                <w:sz w:val="20"/>
                <w:szCs w:val="20"/>
                <w:color w:val="auto"/>
              </w:rPr>
            </w:pPr>
            <w:r>
              <w:rPr>
                <w:rFonts w:ascii="Arial" w:cs="Arial" w:eastAsia="Arial" w:hAnsi="Arial"/>
                <w:sz w:val="18"/>
                <w:szCs w:val="18"/>
                <w:color w:val="auto"/>
                <w:w w:val="91"/>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984-0490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w w:val="97"/>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Class A common stock, par value $0.00001 per share</w:t>
            </w: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color w:val="auto"/>
              </w:rPr>
              <w:t>AFRM</w:t>
            </w:r>
          </w:p>
        </w:tc>
        <w:tc>
          <w:tcPr>
            <w:tcW w:w="42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47" w:lineRule="exact"/>
        <w:rPr>
          <w:sz w:val="24"/>
          <w:szCs w:val="24"/>
          <w:color w:val="auto"/>
        </w:rPr>
      </w:pPr>
    </w:p>
    <w:p>
      <w:pPr>
        <w:jc w:val="both"/>
        <w:spacing w:after="0" w:line="30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2" w:lineRule="exact"/>
        <w:rPr>
          <w:sz w:val="24"/>
          <w:szCs w:val="24"/>
          <w:color w:val="auto"/>
        </w:rPr>
      </w:pPr>
    </w:p>
    <w:p>
      <w:pPr>
        <w:ind w:right="40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9" w:lineRule="exact"/>
        <w:rPr>
          <w:sz w:val="24"/>
          <w:szCs w:val="24"/>
          <w:color w:val="auto"/>
        </w:rPr>
      </w:pPr>
    </w:p>
    <w:p>
      <w:pPr>
        <w:jc w:val="both"/>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center"/>
              <w:ind w:right="819"/>
              <w:spacing w:after="0"/>
              <w:rPr>
                <w:sz w:val="20"/>
                <w:szCs w:val="20"/>
                <w:color w:val="auto"/>
              </w:rPr>
            </w:pPr>
            <w:r>
              <w:rPr>
                <w:rFonts w:ascii="Arial" w:cs="Arial" w:eastAsia="Arial" w:hAnsi="Arial"/>
                <w:sz w:val="16"/>
                <w:szCs w:val="16"/>
                <w:color w:val="auto"/>
                <w:w w:val="92"/>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360" w:type="dxa"/>
            <w:vAlign w:val="bottom"/>
          </w:tcPr>
          <w:p>
            <w:pPr>
              <w:jc w:val="center"/>
              <w:ind w:right="819"/>
              <w:spacing w:after="0"/>
              <w:rPr>
                <w:sz w:val="20"/>
                <w:szCs w:val="20"/>
                <w:color w:val="auto"/>
              </w:rPr>
            </w:pPr>
            <w:r>
              <w:rPr>
                <w:rFonts w:ascii="Arial" w:cs="Arial" w:eastAsia="Arial" w:hAnsi="Arial"/>
                <w:sz w:val="16"/>
                <w:szCs w:val="16"/>
                <w:color w:val="auto"/>
                <w:w w:val="93"/>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0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6"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2" w:lineRule="exact"/>
        <w:rPr>
          <w:sz w:val="24"/>
          <w:szCs w:val="24"/>
          <w:color w:val="auto"/>
        </w:rPr>
      </w:pPr>
    </w:p>
    <w:p>
      <w:pPr>
        <w:ind w:right="180"/>
        <w:spacing w:after="0" w:line="328" w:lineRule="auto"/>
        <w:rPr>
          <w:sz w:val="20"/>
          <w:szCs w:val="20"/>
          <w:color w:val="auto"/>
        </w:rPr>
      </w:pPr>
      <w:r>
        <w:rPr>
          <w:rFonts w:ascii="Arial" w:cs="Arial" w:eastAsia="Arial" w:hAnsi="Arial"/>
          <w:sz w:val="16"/>
          <w:szCs w:val="16"/>
          <w:color w:val="auto"/>
        </w:rPr>
        <w:t>As of November 3, 2021, the number of shares of the registrant’s Class A common stock outstanding was 208,195,315 and the number of shares of the registrant's Class B common stock outstanding was 72,810,224.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13"/>
          </w:tcPr>
          <w:p>
            <w:pPr>
              <w:ind w:left="6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gridSpan w:val="4"/>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66"/>
        </w:trPr>
        <w:tc>
          <w:tcPr>
            <w:tcW w:w="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0000FF"/>
            </w:tcBorders>
            <w:gridSpan w:val="3"/>
            <w:shd w:val="clear" w:color="auto" w:fill="CCEEFF"/>
          </w:tcPr>
          <w:p>
            <w:pPr>
              <w:spacing w:after="0" w:line="182" w:lineRule="exact"/>
              <w:rPr>
                <w:rFonts w:ascii="Arial" w:cs="Arial" w:eastAsia="Arial" w:hAnsi="Arial"/>
                <w:sz w:val="18"/>
                <w:szCs w:val="18"/>
                <w:color w:val="0000FF"/>
                <w:w w:val="91"/>
              </w:rPr>
            </w:pPr>
            <w:hyperlink w:anchor="page1">
              <w:r>
                <w:rPr>
                  <w:rFonts w:ascii="Arial" w:cs="Arial" w:eastAsia="Arial" w:hAnsi="Arial"/>
                  <w:sz w:val="18"/>
                  <w:szCs w:val="18"/>
                  <w:color w:val="0000FF"/>
                  <w:w w:val="91"/>
                </w:rPr>
                <w:t>Cover</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right"/>
              <w:spacing w:after="0" w:line="182" w:lineRule="exact"/>
              <w:rPr>
                <w:rFonts w:ascii="Arial" w:cs="Arial" w:eastAsia="Arial" w:hAnsi="Arial"/>
                <w:sz w:val="18"/>
                <w:szCs w:val="18"/>
                <w:color w:val="0000FF"/>
                <w:w w:val="79"/>
              </w:rPr>
            </w:pPr>
            <w:hyperlink w:anchor="page1">
              <w:r>
                <w:rPr>
                  <w:rFonts w:ascii="Arial" w:cs="Arial" w:eastAsia="Arial" w:hAnsi="Arial"/>
                  <w:sz w:val="18"/>
                  <w:szCs w:val="18"/>
                  <w:color w:val="0000FF"/>
                  <w:w w:val="79"/>
                </w:rPr>
                <w:t>1</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42"/>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60" w:type="dxa"/>
            <w:vAlign w:val="bottom"/>
            <w:gridSpan w:val="4"/>
          </w:tcPr>
          <w:p>
            <w:pPr>
              <w:jc w:val="right"/>
              <w:ind w:right="2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2"/>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Part I - Financial Information</w:t>
              </w:r>
            </w:hyperlink>
          </w:p>
        </w:tc>
        <w:tc>
          <w:tcPr>
            <w:tcW w:w="7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1"/>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Item 1. Unaudited Financial Statements</w:t>
              </w:r>
            </w:hyperlink>
          </w:p>
        </w:tc>
        <w:tc>
          <w:tcPr>
            <w:tcW w:w="76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20" w:type="dxa"/>
            <w:vAlign w:val="bottom"/>
            <w:tcBorders>
              <w:bottom w:val="single" w:sz="8" w:color="0000FF"/>
            </w:tcBorders>
            <w:gridSpan w:val="32"/>
            <w:shd w:val="clear" w:color="auto" w:fill="CCEEFF"/>
          </w:tcPr>
          <w:p>
            <w:pPr>
              <w:spacing w:after="0" w:line="189" w:lineRule="exact"/>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BALANCE SHEETS (Unaudited)</w:t>
              </w:r>
            </w:hyperlink>
          </w:p>
        </w:tc>
        <w:tc>
          <w:tcPr>
            <w:tcW w:w="4820" w:type="dxa"/>
            <w:vAlign w:val="bottom"/>
            <w:tcBorders>
              <w:bottom w:val="single" w:sz="8" w:color="CCEEFF"/>
            </w:tcBorders>
            <w:gridSpan w:val="8"/>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0"/>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 CONT. (Unaudited)</w:t>
              </w:r>
            </w:hyperlink>
          </w:p>
        </w:tc>
        <w:tc>
          <w:tcPr>
            <w:tcW w:w="76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500" w:type="dxa"/>
            <w:vAlign w:val="bottom"/>
            <w:tcBorders>
              <w:bottom w:val="single" w:sz="8" w:color="0000FF"/>
            </w:tcBorders>
            <w:gridSpan w:val="38"/>
            <w:shd w:val="clear" w:color="auto" w:fill="CCEEFF"/>
          </w:tcPr>
          <w:p>
            <w:pPr>
              <w:spacing w:after="0" w:line="189" w:lineRule="exact"/>
              <w:rPr>
                <w:rFonts w:ascii="Arial" w:cs="Arial" w:eastAsia="Arial" w:hAnsi="Arial"/>
                <w:sz w:val="18"/>
                <w:szCs w:val="18"/>
                <w:color w:val="0000FF"/>
                <w:w w:val="94"/>
              </w:rPr>
            </w:pPr>
            <w:hyperlink w:anchor="page7">
              <w:r>
                <w:rPr>
                  <w:rFonts w:ascii="Arial" w:cs="Arial" w:eastAsia="Arial" w:hAnsi="Arial"/>
                  <w:sz w:val="18"/>
                  <w:szCs w:val="18"/>
                  <w:color w:val="0000FF"/>
                  <w:w w:val="94"/>
                </w:rPr>
                <w:t>CONDENSED CONSOLIDATED STATEMENTS OF OPERATIONS AND COMPREHENSIVE LOSS (Unaudited)</w:t>
              </w:r>
            </w:hyperlink>
          </w:p>
        </w:tc>
        <w:tc>
          <w:tcPr>
            <w:tcW w:w="1340" w:type="dxa"/>
            <w:vAlign w:val="bottom"/>
            <w:tcBorders>
              <w:bottom w:val="single" w:sz="8" w:color="CCEEFF"/>
            </w:tcBorders>
            <w:gridSpan w:val="2"/>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0"/>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 OF REDEEMABLE CONVERTIBLE PREFERRED STOCK AND</w:t>
              </w:r>
            </w:hyperlink>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52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STOCKHOLDERS’ DEFICIT (Unaudited)</w:t>
              </w:r>
            </w:hyperlink>
          </w:p>
        </w:tc>
        <w:tc>
          <w:tcPr>
            <w:tcW w:w="132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60" w:type="dxa"/>
            <w:vAlign w:val="bottom"/>
            <w:tcBorders>
              <w:bottom w:val="single" w:sz="8" w:color="0000FF"/>
            </w:tcBorders>
            <w:gridSpan w:val="35"/>
            <w:shd w:val="clear" w:color="auto" w:fill="CCEEFF"/>
          </w:tcPr>
          <w:p>
            <w:pPr>
              <w:spacing w:after="0" w:line="189" w:lineRule="exact"/>
              <w:rPr>
                <w:rFonts w:ascii="Arial" w:cs="Arial" w:eastAsia="Arial" w:hAnsi="Arial"/>
                <w:sz w:val="18"/>
                <w:szCs w:val="18"/>
                <w:color w:val="0000FF"/>
                <w:w w:val="94"/>
              </w:rPr>
            </w:pPr>
            <w:hyperlink w:anchor="page9">
              <w:r>
                <w:rPr>
                  <w:rFonts w:ascii="Arial" w:cs="Arial" w:eastAsia="Arial" w:hAnsi="Arial"/>
                  <w:sz w:val="18"/>
                  <w:szCs w:val="18"/>
                  <w:color w:val="0000FF"/>
                  <w:w w:val="94"/>
                </w:rPr>
                <w:t>CONDENSED CONSOLIDATED STATEMENTS OF CASH FLOWS (Unaudited)</w:t>
              </w:r>
            </w:hyperlink>
          </w:p>
        </w:tc>
        <w:tc>
          <w:tcPr>
            <w:tcW w:w="3780" w:type="dxa"/>
            <w:vAlign w:val="bottom"/>
            <w:tcBorders>
              <w:bottom w:val="single" w:sz="8" w:color="CCEEFF"/>
            </w:tcBorders>
            <w:gridSpan w:val="5"/>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0"/>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 CONT. (Unaudited)</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1.</w:t>
              </w:r>
            </w:hyperlink>
          </w:p>
        </w:tc>
        <w:tc>
          <w:tcPr>
            <w:tcW w:w="9600" w:type="dxa"/>
            <w:vAlign w:val="bottom"/>
            <w:gridSpan w:val="38"/>
            <w:shd w:val="clear" w:color="auto" w:fill="CCEEFF"/>
          </w:tcPr>
          <w:p>
            <w:pPr>
              <w:ind w:lef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Business Description</w:t>
              </w:r>
            </w:hyperlink>
          </w:p>
        </w:tc>
        <w:tc>
          <w:tcPr>
            <w:tcW w:w="7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0"/>
          </w:tcPr>
          <w:p>
            <w:pPr>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2.  Summary of Significant Accounting Policies</w:t>
              </w:r>
            </w:hyperlink>
          </w:p>
        </w:tc>
        <w:tc>
          <w:tcPr>
            <w:tcW w:w="760" w:type="dxa"/>
            <w:vAlign w:val="bottom"/>
            <w:gridSpan w:val="4"/>
          </w:tcPr>
          <w:p>
            <w:pPr>
              <w:jc w:val="right"/>
              <w:ind w:right="20"/>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3.</w:t>
              </w:r>
            </w:hyperlink>
          </w:p>
        </w:tc>
        <w:tc>
          <w:tcPr>
            <w:tcW w:w="9600" w:type="dxa"/>
            <w:vAlign w:val="bottom"/>
            <w:gridSpan w:val="38"/>
            <w:shd w:val="clear" w:color="auto" w:fill="CCEEFF"/>
          </w:tcPr>
          <w:p>
            <w:pPr>
              <w:ind w:left="20"/>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Interest Income</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14</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0"/>
          </w:tcPr>
          <w:p>
            <w:pPr>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4. Loans Held for Investment and Allowance for Credit Losses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0"/>
            <w:shd w:val="clear" w:color="auto" w:fill="CCEEFF"/>
          </w:tcPr>
          <w:p>
            <w:pPr>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5. Business Combination</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0"/>
          </w:tcPr>
          <w:p>
            <w:pPr>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6. Balance Sheet Components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0"/>
            <w:shd w:val="clear" w:color="auto" w:fill="CCEEFF"/>
          </w:tcPr>
          <w:p>
            <w:pPr>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7. Leases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0"/>
          </w:tcPr>
          <w:p>
            <w:pPr>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8. Commitments and Contingencies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0"/>
            <w:shd w:val="clear" w:color="auto" w:fill="CCEEFF"/>
          </w:tcPr>
          <w:p>
            <w:pPr>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9. Transactions with Related Parties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23">
              <w:r>
                <w:rPr>
                  <w:rFonts w:ascii="Arial" w:cs="Arial" w:eastAsia="Arial" w:hAnsi="Arial"/>
                  <w:sz w:val="18"/>
                  <w:szCs w:val="18"/>
                  <w:color w:val="0000FF"/>
                  <w:w w:val="87"/>
                </w:rPr>
                <w:t>10.</w:t>
              </w:r>
            </w:hyperlink>
          </w:p>
        </w:tc>
        <w:tc>
          <w:tcPr>
            <w:tcW w:w="9600" w:type="dxa"/>
            <w:vAlign w:val="bottom"/>
            <w:gridSpan w:val="38"/>
          </w:tcPr>
          <w:p>
            <w:pPr>
              <w:ind w:left="20"/>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Debt</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0"/>
            <w:shd w:val="clear" w:color="auto" w:fill="CCEEFF"/>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11. Securitization and Variable Interest Entities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29">
              <w:r>
                <w:rPr>
                  <w:rFonts w:ascii="Arial" w:cs="Arial" w:eastAsia="Arial" w:hAnsi="Arial"/>
                  <w:sz w:val="18"/>
                  <w:szCs w:val="18"/>
                  <w:color w:val="0000FF"/>
                  <w:w w:val="87"/>
                </w:rPr>
                <w:t>12.</w:t>
              </w:r>
            </w:hyperlink>
          </w:p>
        </w:tc>
        <w:tc>
          <w:tcPr>
            <w:tcW w:w="80" w:type="dxa"/>
            <w:vAlign w:val="bottom"/>
          </w:tcPr>
          <w:p>
            <w:pPr>
              <w:spacing w:after="0"/>
              <w:rPr>
                <w:sz w:val="16"/>
                <w:szCs w:val="16"/>
                <w:color w:val="auto"/>
              </w:rPr>
            </w:pPr>
          </w:p>
        </w:tc>
        <w:tc>
          <w:tcPr>
            <w:tcW w:w="9520" w:type="dxa"/>
            <w:vAlign w:val="bottom"/>
            <w:gridSpan w:val="37"/>
          </w:tcPr>
          <w:p>
            <w:pPr>
              <w:ind w:left="4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Investments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w w:val="87"/>
              </w:rPr>
            </w:pPr>
            <w:hyperlink w:anchor="page31">
              <w:r>
                <w:rPr>
                  <w:rFonts w:ascii="Arial" w:cs="Arial" w:eastAsia="Arial" w:hAnsi="Arial"/>
                  <w:sz w:val="18"/>
                  <w:szCs w:val="18"/>
                  <w:color w:val="0000FF"/>
                  <w:w w:val="87"/>
                </w:rPr>
                <w:t>13.</w:t>
              </w:r>
            </w:hyperlink>
          </w:p>
        </w:tc>
        <w:tc>
          <w:tcPr>
            <w:tcW w:w="9600" w:type="dxa"/>
            <w:vAlign w:val="bottom"/>
            <w:gridSpan w:val="38"/>
            <w:shd w:val="clear" w:color="auto" w:fill="CCEEFF"/>
          </w:tcPr>
          <w:p>
            <w:pPr>
              <w:ind w:left="20"/>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Fair Value of Financial Assets and Liabilities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42">
              <w:r>
                <w:rPr>
                  <w:rFonts w:ascii="Arial" w:cs="Arial" w:eastAsia="Arial" w:hAnsi="Arial"/>
                  <w:sz w:val="18"/>
                  <w:szCs w:val="18"/>
                  <w:color w:val="0000FF"/>
                  <w:w w:val="87"/>
                </w:rPr>
                <w:t>14.</w:t>
              </w:r>
            </w:hyperlink>
          </w:p>
        </w:tc>
        <w:tc>
          <w:tcPr>
            <w:tcW w:w="9600" w:type="dxa"/>
            <w:vAlign w:val="bottom"/>
            <w:gridSpan w:val="38"/>
          </w:tcPr>
          <w:p>
            <w:pPr>
              <w:ind w:left="2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Redeemable Convertible Preferred Stock and Stockholders' Deficit</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w w:val="87"/>
              </w:rPr>
            </w:pPr>
            <w:hyperlink w:anchor="page43">
              <w:r>
                <w:rPr>
                  <w:rFonts w:ascii="Arial" w:cs="Arial" w:eastAsia="Arial" w:hAnsi="Arial"/>
                  <w:sz w:val="18"/>
                  <w:szCs w:val="18"/>
                  <w:color w:val="0000FF"/>
                  <w:w w:val="87"/>
                </w:rPr>
                <w:t>15.</w:t>
              </w:r>
            </w:hyperlink>
          </w:p>
        </w:tc>
        <w:tc>
          <w:tcPr>
            <w:tcW w:w="9600" w:type="dxa"/>
            <w:vAlign w:val="bottom"/>
            <w:gridSpan w:val="38"/>
            <w:shd w:val="clear" w:color="auto" w:fill="CCEEFF"/>
          </w:tcPr>
          <w:p>
            <w:pPr>
              <w:ind w:left="2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Equity and Cash Incentive Plans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16.</w:t>
              </w:r>
            </w:hyperlink>
          </w:p>
        </w:tc>
        <w:tc>
          <w:tcPr>
            <w:tcW w:w="9600" w:type="dxa"/>
            <w:vAlign w:val="bottom"/>
            <w:gridSpan w:val="38"/>
          </w:tcPr>
          <w:p>
            <w:pPr>
              <w:ind w:lef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Income Taxes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17.</w:t>
              </w:r>
            </w:hyperlink>
          </w:p>
        </w:tc>
        <w:tc>
          <w:tcPr>
            <w:tcW w:w="9600" w:type="dxa"/>
            <w:vAlign w:val="bottom"/>
            <w:gridSpan w:val="38"/>
            <w:shd w:val="clear" w:color="auto" w:fill="CCEEFF"/>
          </w:tcPr>
          <w:p>
            <w:pPr>
              <w:ind w:lef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Net Loss per Share Attributable to Common Stockholders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48">
              <w:r>
                <w:rPr>
                  <w:rFonts w:ascii="Arial" w:cs="Arial" w:eastAsia="Arial" w:hAnsi="Arial"/>
                  <w:sz w:val="18"/>
                  <w:szCs w:val="18"/>
                  <w:color w:val="0000FF"/>
                  <w:w w:val="87"/>
                </w:rPr>
                <w:t>18.</w:t>
              </w:r>
            </w:hyperlink>
          </w:p>
        </w:tc>
        <w:tc>
          <w:tcPr>
            <w:tcW w:w="9600" w:type="dxa"/>
            <w:vAlign w:val="bottom"/>
            <w:gridSpan w:val="38"/>
          </w:tcPr>
          <w:p>
            <w:pPr>
              <w:ind w:lef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Segments and Geographical Information</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19.</w:t>
              </w:r>
            </w:hyperlink>
          </w:p>
        </w:tc>
        <w:tc>
          <w:tcPr>
            <w:tcW w:w="9600" w:type="dxa"/>
            <w:vAlign w:val="bottom"/>
            <w:gridSpan w:val="38"/>
            <w:shd w:val="clear" w:color="auto" w:fill="CCEEFF"/>
          </w:tcPr>
          <w:p>
            <w:pPr>
              <w:ind w:left="20"/>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Subsequent Events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1"/>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Item 2. Management's Discussion and Analysis of Financial Condition and Results of Operations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920" w:type="dxa"/>
            <w:vAlign w:val="bottom"/>
            <w:gridSpan w:val="32"/>
            <w:shd w:val="clear" w:color="auto" w:fill="CCEEFF"/>
          </w:tcPr>
          <w:p>
            <w:pPr>
              <w:spacing w:after="0" w:line="189" w:lineRule="exact"/>
              <w:rPr>
                <w:rFonts w:ascii="Arial" w:cs="Arial" w:eastAsia="Arial" w:hAnsi="Arial"/>
                <w:sz w:val="18"/>
                <w:szCs w:val="18"/>
                <w:color w:val="0000FF"/>
                <w:w w:val="92"/>
              </w:rPr>
            </w:pPr>
            <w:hyperlink w:anchor="page72">
              <w:r>
                <w:rPr>
                  <w:rFonts w:ascii="Arial" w:cs="Arial" w:eastAsia="Arial" w:hAnsi="Arial"/>
                  <w:sz w:val="18"/>
                  <w:szCs w:val="18"/>
                  <w:color w:val="0000FF"/>
                  <w:w w:val="92"/>
                </w:rPr>
                <w:t>Item 3. Quantitative and Qualitative Disclosures About Market Risk</w:t>
              </w:r>
            </w:hyperlink>
          </w:p>
        </w:tc>
        <w:tc>
          <w:tcPr>
            <w:tcW w:w="5140" w:type="dxa"/>
            <w:vAlign w:val="bottom"/>
            <w:gridSpan w:val="9"/>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20" w:type="dxa"/>
            <w:vAlign w:val="bottom"/>
            <w:gridSpan w:val="32"/>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Item 4. Controls and Procedures</w:t>
              </w:r>
            </w:hyperlink>
          </w:p>
        </w:tc>
        <w:tc>
          <w:tcPr>
            <w:tcW w:w="5140" w:type="dxa"/>
            <w:vAlign w:val="bottom"/>
            <w:gridSpan w:val="9"/>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2"/>
            <w:shd w:val="clear" w:color="auto" w:fill="CCEEFF"/>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Part II - Other Information</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1"/>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Item 1. Legal Proceedings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11"/>
            <w:shd w:val="clear" w:color="auto" w:fill="CCEEFF"/>
          </w:tcPr>
          <w:p>
            <w:pPr>
              <w:spacing w:after="0" w:line="189" w:lineRule="exact"/>
              <w:rPr>
                <w:rFonts w:ascii="Arial" w:cs="Arial" w:eastAsia="Arial" w:hAnsi="Arial"/>
                <w:sz w:val="18"/>
                <w:szCs w:val="18"/>
                <w:color w:val="0000FF"/>
                <w:w w:val="91"/>
              </w:rPr>
            </w:pPr>
            <w:hyperlink w:anchor="page76">
              <w:r>
                <w:rPr>
                  <w:rFonts w:ascii="Arial" w:cs="Arial" w:eastAsia="Arial" w:hAnsi="Arial"/>
                  <w:sz w:val="18"/>
                  <w:szCs w:val="18"/>
                  <w:color w:val="0000FF"/>
                  <w:w w:val="91"/>
                </w:rPr>
                <w:t>Item 1A. Risk Factors</w:t>
              </w:r>
            </w:hyperlink>
          </w:p>
        </w:tc>
        <w:tc>
          <w:tcPr>
            <w:tcW w:w="8460" w:type="dxa"/>
            <w:vAlign w:val="bottom"/>
            <w:gridSpan w:val="30"/>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1"/>
          </w:tcPr>
          <w:p>
            <w:pPr>
              <w:spacing w:after="0" w:line="189" w:lineRule="exact"/>
              <w:rPr>
                <w:rFonts w:ascii="Arial" w:cs="Arial" w:eastAsia="Arial" w:hAnsi="Arial"/>
                <w:sz w:val="18"/>
                <w:szCs w:val="18"/>
                <w:color w:val="0000FF"/>
              </w:rPr>
            </w:pPr>
            <w:hyperlink w:anchor="page78">
              <w:r>
                <w:rPr>
                  <w:rFonts w:ascii="Arial" w:cs="Arial" w:eastAsia="Arial" w:hAnsi="Arial"/>
                  <w:sz w:val="18"/>
                  <w:szCs w:val="18"/>
                  <w:color w:val="0000FF"/>
                </w:rPr>
                <w:t>Item 2. Unregistered Sales of Equity Securities and Use of Proceeds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78">
              <w:r>
                <w:rPr>
                  <w:rFonts w:ascii="Arial" w:cs="Arial" w:eastAsia="Arial" w:hAnsi="Arial"/>
                  <w:sz w:val="18"/>
                  <w:szCs w:val="18"/>
                  <w:color w:val="0000FF"/>
                </w:rPr>
                <w:t>77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41"/>
            <w:shd w:val="clear" w:color="auto" w:fill="CCEEFF"/>
          </w:tcPr>
          <w:p>
            <w:pPr>
              <w:spacing w:after="0" w:line="189" w:lineRule="exact"/>
              <w:rPr>
                <w:rFonts w:ascii="Arial" w:cs="Arial" w:eastAsia="Arial" w:hAnsi="Arial"/>
                <w:sz w:val="18"/>
                <w:szCs w:val="18"/>
                <w:color w:val="0000FF"/>
              </w:rPr>
            </w:pPr>
            <w:hyperlink w:anchor="page79">
              <w:r>
                <w:rPr>
                  <w:rFonts w:ascii="Arial" w:cs="Arial" w:eastAsia="Arial" w:hAnsi="Arial"/>
                  <w:sz w:val="18"/>
                  <w:szCs w:val="18"/>
                  <w:color w:val="0000FF"/>
                </w:rPr>
                <w:t>Item 3. Defaults Upon Senior Securities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79">
              <w:r>
                <w:rPr>
                  <w:rFonts w:ascii="Arial" w:cs="Arial" w:eastAsia="Arial" w:hAnsi="Arial"/>
                  <w:sz w:val="18"/>
                  <w:szCs w:val="18"/>
                  <w:color w:val="0000FF"/>
                </w:rPr>
                <w:t>78</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23"/>
          </w:tcPr>
          <w:p>
            <w:pPr>
              <w:spacing w:after="0" w:line="189" w:lineRule="exact"/>
              <w:rPr>
                <w:rFonts w:ascii="Arial" w:cs="Arial" w:eastAsia="Arial" w:hAnsi="Arial"/>
                <w:sz w:val="18"/>
                <w:szCs w:val="18"/>
                <w:color w:val="0000FF"/>
              </w:rPr>
            </w:pPr>
            <w:hyperlink w:anchor="page79">
              <w:r>
                <w:rPr>
                  <w:rFonts w:ascii="Arial" w:cs="Arial" w:eastAsia="Arial" w:hAnsi="Arial"/>
                  <w:sz w:val="18"/>
                  <w:szCs w:val="18"/>
                  <w:color w:val="0000FF"/>
                </w:rPr>
                <w:t>Item 4. Mine Safety Disclosures</w:t>
              </w:r>
            </w:hyperlink>
          </w:p>
        </w:tc>
        <w:tc>
          <w:tcPr>
            <w:tcW w:w="7180" w:type="dxa"/>
            <w:vAlign w:val="bottom"/>
            <w:gridSpan w:val="18"/>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8"/>
                <w:szCs w:val="18"/>
                <w:color w:val="0000FF"/>
              </w:rPr>
            </w:pPr>
            <w:hyperlink w:anchor="page79">
              <w:r>
                <w:rPr>
                  <w:rFonts w:ascii="Arial" w:cs="Arial" w:eastAsia="Arial" w:hAnsi="Arial"/>
                  <w:sz w:val="18"/>
                  <w:szCs w:val="18"/>
                  <w:color w:val="0000FF"/>
                </w:rPr>
                <w:t>78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gridSpan w:val="15"/>
            <w:shd w:val="clear" w:color="auto" w:fill="CCEEFF"/>
          </w:tcPr>
          <w:p>
            <w:pPr>
              <w:spacing w:after="0" w:line="189" w:lineRule="exact"/>
              <w:rPr>
                <w:rFonts w:ascii="Arial" w:cs="Arial" w:eastAsia="Arial" w:hAnsi="Arial"/>
                <w:sz w:val="18"/>
                <w:szCs w:val="18"/>
                <w:color w:val="0000FF"/>
                <w:w w:val="92"/>
              </w:rPr>
            </w:pPr>
            <w:hyperlink w:anchor="page79">
              <w:r>
                <w:rPr>
                  <w:rFonts w:ascii="Arial" w:cs="Arial" w:eastAsia="Arial" w:hAnsi="Arial"/>
                  <w:sz w:val="18"/>
                  <w:szCs w:val="18"/>
                  <w:color w:val="0000FF"/>
                  <w:w w:val="92"/>
                </w:rPr>
                <w:t>Item 5. Other Information</w:t>
              </w:r>
            </w:hyperlink>
          </w:p>
        </w:tc>
        <w:tc>
          <w:tcPr>
            <w:tcW w:w="8180" w:type="dxa"/>
            <w:vAlign w:val="bottom"/>
            <w:gridSpan w:val="26"/>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79">
              <w:r>
                <w:rPr>
                  <w:rFonts w:ascii="Arial" w:cs="Arial" w:eastAsia="Arial" w:hAnsi="Arial"/>
                  <w:sz w:val="18"/>
                  <w:szCs w:val="18"/>
                  <w:color w:val="0000FF"/>
                </w:rPr>
                <w:t>78</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15"/>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Item 6. Exhibits</w:t>
              </w:r>
            </w:hyperlink>
          </w:p>
        </w:tc>
        <w:tc>
          <w:tcPr>
            <w:tcW w:w="8180" w:type="dxa"/>
            <w:vAlign w:val="bottom"/>
            <w:gridSpan w:val="26"/>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2"/>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Signatures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-6094095</wp:posOffset>
            </wp:positionV>
            <wp:extent cx="6463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revenue, expenses, and other operating results and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additional merchants and retain and grow our relationships with our existing merchant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a highly competitive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consumers and retain and grow our relationships with our existing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product launches;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engage new originating bank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funding sources to support our business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price and score credit risk using our proprietary risk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loans facilitated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growth rate of our revenue and related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laws and regulations that currently apply or become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and future acquisitions, investments, and other strategic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investigations, regulatory inquiries, and proceedings;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macroeconomic conditions on our business, including the impact of the COVID-19 pandemic;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rates of the markets in which we compete.</w:t>
      </w:r>
    </w:p>
    <w:p>
      <w:pPr>
        <w:spacing w:after="0" w:line="30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10-Q and our most recently filed Annual Report on Form 10-K. Other sections of this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In addition, statements such as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1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and conference calls.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as an inactive textual reference and for convenience only,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7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1,439,531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1,466,558</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226,074</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Securities available for sale at fair value</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456,266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16,170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13,030</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Loans held for investment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2,244,826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2,022,320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(117,760)</w:t>
            </w:r>
          </w:p>
        </w:tc>
        <w:tc>
          <w:tcPr>
            <w:tcW w:w="0" w:type="dxa"/>
            <w:vAlign w:val="bottom"/>
          </w:tcPr>
          <w:p>
            <w:pPr>
              <w:spacing w:after="0"/>
              <w:rPr>
                <w:sz w:val="1"/>
                <w:szCs w:val="1"/>
                <w:color w:val="auto"/>
              </w:rPr>
            </w:pPr>
          </w:p>
        </w:tc>
      </w:tr>
      <w:tr>
        <w:trPr>
          <w:trHeight w:val="179"/>
        </w:trPr>
        <w:tc>
          <w:tcPr>
            <w:tcW w:w="8020" w:type="dxa"/>
            <w:vAlign w:val="bottom"/>
          </w:tcPr>
          <w:p>
            <w:pPr>
              <w:ind w:left="140"/>
              <w:spacing w:after="0"/>
              <w:rPr>
                <w:sz w:val="20"/>
                <w:szCs w:val="20"/>
                <w:color w:val="auto"/>
              </w:rPr>
            </w:pPr>
            <w:r>
              <w:rPr>
                <w:rFonts w:ascii="Arial" w:cs="Arial" w:eastAsia="Arial" w:hAnsi="Arial"/>
                <w:sz w:val="14"/>
                <w:szCs w:val="14"/>
                <w:color w:val="auto"/>
              </w:rPr>
              <w:t>Loans held for investment, net</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2,092,805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1,904,560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91,575</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84,925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62,499</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540,770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516,515</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71,378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67,930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agreement assets</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227,377</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169,952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274,679</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5,402,099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4,866,967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425,854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57,758</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50,079</w:t>
            </w: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3,304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450,662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323,577</w:t>
            </w: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Notes issued by securitization trusts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1,621,638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1,176,673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Funding debt</w:t>
            </w: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484,821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680,602</w:t>
            </w: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3,024,741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2,291,440</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8)</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Class A common stock, par value $0.00001 per share: 3,030,000,000 shares authorized, 200,336,842 shares issued and outstanding as</w:t>
            </w:r>
          </w:p>
        </w:tc>
        <w:tc>
          <w:tcPr>
            <w:tcW w:w="1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of September 30, 2021; 3,030,000,000 shares authorized, 181,131,728 shares issued and outstanding as of June 30, 2021</w:t>
            </w:r>
          </w:p>
        </w:tc>
        <w:tc>
          <w:tcPr>
            <w:tcW w:w="12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140"/>
              <w:spacing w:after="0" w:line="135" w:lineRule="exact"/>
              <w:rPr>
                <w:sz w:val="20"/>
                <w:szCs w:val="20"/>
                <w:color w:val="auto"/>
              </w:rPr>
            </w:pPr>
            <w:r>
              <w:rPr>
                <w:rFonts w:ascii="Arial" w:cs="Arial" w:eastAsia="Arial" w:hAnsi="Arial"/>
                <w:sz w:val="14"/>
                <w:szCs w:val="14"/>
                <w:color w:val="auto"/>
                <w:w w:val="93"/>
              </w:rPr>
              <w:t>Class B common stock, par value $0.00001 per share: 140,000,000 shares authorized, 77,380,330 shares issued and outstanding as of</w:t>
            </w:r>
          </w:p>
        </w:tc>
        <w:tc>
          <w:tcPr>
            <w:tcW w:w="12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8020" w:type="dxa"/>
            <w:vAlign w:val="bottom"/>
          </w:tcPr>
          <w:p>
            <w:pPr>
              <w:ind w:left="300"/>
              <w:spacing w:after="0"/>
              <w:rPr>
                <w:sz w:val="20"/>
                <w:szCs w:val="20"/>
                <w:color w:val="auto"/>
              </w:rPr>
            </w:pPr>
            <w:r>
              <w:rPr>
                <w:rFonts w:ascii="Arial" w:cs="Arial" w:eastAsia="Arial" w:hAnsi="Arial"/>
                <w:sz w:val="14"/>
                <w:szCs w:val="14"/>
                <w:color w:val="auto"/>
              </w:rPr>
              <w:t>September 30, 2021; 140,000,000 authorized, 88,226,376 shares issued and outstanding as of June 30, 2021</w:t>
            </w: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 in capital</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3,579,763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3,467,236</w:t>
            </w: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(1,205,100)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(898,485)</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gain</w:t>
            </w: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6,773</w:t>
            </w: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2,377,358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2,575,527</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5,402,099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4,866,967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238" w:lineRule="exact"/>
        <w:rPr>
          <w:sz w:val="20"/>
          <w:szCs w:val="20"/>
          <w:color w:val="auto"/>
        </w:rPr>
      </w:pPr>
    </w:p>
    <w:p>
      <w:pPr>
        <w:ind w:right="80" w:firstLine="177"/>
        <w:spacing w:after="0" w:line="257" w:lineRule="auto"/>
        <w:rPr>
          <w:sz w:val="20"/>
          <w:szCs w:val="20"/>
          <w:color w:val="auto"/>
        </w:rPr>
      </w:pPr>
      <w:r>
        <w:rPr>
          <w:rFonts w:ascii="Arial" w:cs="Arial" w:eastAsia="Arial" w:hAnsi="Arial"/>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2021</w:t>
            </w:r>
          </w:p>
        </w:tc>
      </w:tr>
      <w:tr>
        <w:trPr>
          <w:trHeight w:val="17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 of consolidated VIEs, included in total assets above</w:t>
            </w:r>
          </w:p>
        </w:tc>
        <w:tc>
          <w:tcPr>
            <w:tcW w:w="1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164,868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142,385</w:t>
            </w: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held for investment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2,035,653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1,743,810</w:t>
            </w:r>
          </w:p>
        </w:tc>
      </w:tr>
      <w:tr>
        <w:trPr>
          <w:trHeight w:val="186"/>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Allowance for credit losses</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(127,744)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(94,463)</w:t>
            </w:r>
          </w:p>
        </w:tc>
      </w:tr>
      <w:tr>
        <w:trPr>
          <w:trHeight w:val="186"/>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Loans held for investment, net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1,907,909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1,649,347</w:t>
            </w: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8,195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8,209</w:t>
            </w:r>
          </w:p>
        </w:tc>
      </w:tr>
      <w:tr>
        <w:trPr>
          <w:trHeight w:val="189"/>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3,683</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assets of consolidated VIEs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2,084,473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1,803,624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6"/>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of consolidated VIEs, included in total liabilities above</w:t>
            </w: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2,873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2,927</w:t>
            </w: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interest payable</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2,613</w:t>
            </w: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3,820</w:t>
            </w: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1,621,638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1,176,673</w:t>
            </w:r>
          </w:p>
        </w:tc>
      </w:tr>
      <w:tr>
        <w:trPr>
          <w:trHeight w:val="186"/>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Funding debt</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374,817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607,394</w:t>
            </w: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consolidated VIEs</w:t>
            </w: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2,006,094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1,793,427</w:t>
            </w: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net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78,379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10,197</w:t>
            </w: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Merchant network revenue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92,244</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93,265</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Virtual card network revenue</w:t>
            </w: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5,958</w:t>
            </w:r>
          </w:p>
        </w:tc>
        <w:tc>
          <w:tcPr>
            <w:tcW w:w="0" w:type="dxa"/>
            <w:vAlign w:val="bottom"/>
          </w:tcPr>
          <w:p>
            <w:pPr>
              <w:spacing w:after="0"/>
              <w:rPr>
                <w:sz w:val="1"/>
                <w:szCs w:val="1"/>
                <w:color w:val="auto"/>
              </w:rPr>
            </w:pPr>
          </w:p>
        </w:tc>
      </w:tr>
      <w:tr>
        <w:trPr>
          <w:trHeight w:val="179"/>
        </w:trPr>
        <w:tc>
          <w:tcPr>
            <w:tcW w:w="8020" w:type="dxa"/>
            <w:vAlign w:val="bottom"/>
          </w:tcPr>
          <w:p>
            <w:pPr>
              <w:ind w:left="240"/>
              <w:spacing w:after="0"/>
              <w:rPr>
                <w:sz w:val="20"/>
                <w:szCs w:val="20"/>
                <w:color w:val="auto"/>
              </w:rPr>
            </w:pPr>
            <w:r>
              <w:rPr>
                <w:rFonts w:ascii="Arial" w:cs="Arial" w:eastAsia="Arial" w:hAnsi="Arial"/>
                <w:sz w:val="14"/>
                <w:szCs w:val="14"/>
                <w:color w:val="auto"/>
              </w:rPr>
              <w:t>Total network revenue</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111,639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99,223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117,302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54,237</w:t>
            </w: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Gain on sales of loans</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30,979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16,434</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Servicing income</w:t>
            </w: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0" w:type="dxa"/>
            <w:vAlign w:val="bottom"/>
          </w:tcPr>
          <w:p>
            <w:pPr>
              <w:spacing w:after="0"/>
              <w:rPr>
                <w:sz w:val="1"/>
                <w:szCs w:val="1"/>
                <w:color w:val="auto"/>
              </w:rPr>
            </w:pPr>
          </w:p>
        </w:tc>
      </w:tr>
      <w:tr>
        <w:trPr>
          <w:trHeight w:val="18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 net</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269,385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173,978</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Loss on loan purchase commitment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51,678</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65,868</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credit losses</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63,647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28,931</w:t>
            </w: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Funding costs</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16,753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10,352</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Processing and servicing</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13,498</w:t>
            </w: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Technology and data analytics</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78,013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33,768</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22,582</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136,204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32,273</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435,456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207,272</w:t>
            </w:r>
          </w:p>
        </w:tc>
        <w:tc>
          <w:tcPr>
            <w:tcW w:w="0" w:type="dxa"/>
            <w:vAlign w:val="bottom"/>
          </w:tcPr>
          <w:p>
            <w:pPr>
              <w:spacing w:after="0"/>
              <w:rPr>
                <w:sz w:val="1"/>
                <w:szCs w:val="1"/>
                <w:color w:val="auto"/>
              </w:rPr>
            </w:pPr>
          </w:p>
        </w:tc>
      </w:tr>
      <w:tr>
        <w:trPr>
          <w:trHeight w:val="18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Loss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(166,071)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(33,294)</w:t>
            </w: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(140,373)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29,445</w:t>
            </w:r>
          </w:p>
        </w:tc>
        <w:tc>
          <w:tcPr>
            <w:tcW w:w="0" w:type="dxa"/>
            <w:vAlign w:val="bottom"/>
          </w:tcPr>
          <w:p>
            <w:pPr>
              <w:spacing w:after="0"/>
              <w:rPr>
                <w:sz w:val="1"/>
                <w:szCs w:val="1"/>
                <w:color w:val="auto"/>
              </w:rPr>
            </w:pPr>
          </w:p>
        </w:tc>
      </w:tr>
      <w:tr>
        <w:trPr>
          <w:trHeight w:val="18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(306,444)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(3,849)</w:t>
            </w: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(306,615)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(3,946)</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(3,802)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securities available for sale, net</w:t>
            </w: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Other Comprehensive (Loss) Income</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(310,696)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attributable to common stockholders for Class A and Class B:</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271,677,516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64,778,024</w:t>
            </w:r>
          </w:p>
        </w:tc>
        <w:tc>
          <w:tcPr>
            <w:tcW w:w="0" w:type="dxa"/>
            <w:vAlign w:val="bottom"/>
          </w:tcPr>
          <w:p>
            <w:pPr>
              <w:spacing w:after="0"/>
              <w:rPr>
                <w:sz w:val="1"/>
                <w:szCs w:val="1"/>
                <w:color w:val="auto"/>
              </w:rPr>
            </w:pPr>
          </w:p>
        </w:tc>
      </w:tr>
      <w:tr>
        <w:trPr>
          <w:trHeight w:val="182"/>
        </w:trPr>
        <w:tc>
          <w:tcPr>
            <w:tcW w:w="802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271,677,516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68,256,189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REDEEMABLE CONVERTIBLE PREFERRED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STOCKHOLDERS’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tcBorders>
              <w:right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1"/>
              </w:rPr>
              <w:t>Redeemable Convertible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5"/>
                <w:szCs w:val="15"/>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tcBorders>
              <w:right w:val="single" w:sz="8" w:color="auto"/>
            </w:tcBorders>
            <w:gridSpan w:val="7"/>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1040" w:type="dxa"/>
            <w:vAlign w:val="bottom"/>
            <w:gridSpan w:val="3"/>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4"/>
                <w:szCs w:val="4"/>
                <w:color w:val="auto"/>
              </w:rPr>
            </w:pPr>
          </w:p>
        </w:tc>
        <w:tc>
          <w:tcPr>
            <w:tcW w:w="11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Comprehensive</w:t>
            </w:r>
          </w:p>
        </w:tc>
        <w:tc>
          <w:tcPr>
            <w:tcW w:w="96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left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269,358,104</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3,467,236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(898,485)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6,773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2,575,527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 exercise of</w:t>
            </w: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7,403,503</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37,470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37,470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180"/>
              <w:spacing w:after="0"/>
              <w:rPr>
                <w:sz w:val="20"/>
                <w:szCs w:val="20"/>
                <w:color w:val="auto"/>
              </w:rPr>
            </w:pPr>
            <w:r>
              <w:rPr>
                <w:rFonts w:ascii="Arial" w:cs="Arial" w:eastAsia="Arial" w:hAnsi="Arial"/>
                <w:sz w:val="14"/>
                <w:szCs w:val="14"/>
                <w:color w:val="auto"/>
              </w:rPr>
              <w:t>stock options</w:t>
            </w: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in acquisition</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183,733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color w:val="auto"/>
              </w:rPr>
              <w:t>Vesting of restricted stock units</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772,653</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104,879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104,879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Tax withholding on stock-based compensation</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Unrealized gain (loss) on securities available</w:t>
            </w: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for sale</w:t>
            </w:r>
          </w:p>
        </w:tc>
        <w:tc>
          <w:tcPr>
            <w:tcW w:w="9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(306,615)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(306,615)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2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277,717,172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3,579,763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(1,205,100)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7"/>
            <w:vMerge w:val="continue"/>
          </w:tcPr>
          <w:p>
            <w:pPr>
              <w:spacing w:after="0"/>
              <w:rPr>
                <w:sz w:val="15"/>
                <w:szCs w:val="15"/>
                <w:color w:val="auto"/>
              </w:rPr>
            </w:pPr>
          </w:p>
        </w:tc>
        <w:tc>
          <w:tcPr>
            <w:tcW w:w="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20" w:type="dxa"/>
            <w:vAlign w:val="bottom"/>
            <w:gridSpan w:val="7"/>
            <w:vMerge w:val="continue"/>
          </w:tcPr>
          <w:p>
            <w:pPr>
              <w:spacing w:after="0"/>
              <w:rPr>
                <w:sz w:val="4"/>
                <w:szCs w:val="4"/>
                <w:color w:val="auto"/>
              </w:rPr>
            </w:pPr>
          </w:p>
        </w:tc>
        <w:tc>
          <w:tcPr>
            <w:tcW w:w="6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4"/>
                <w:szCs w:val="4"/>
                <w:color w:val="auto"/>
              </w:rPr>
            </w:pPr>
          </w:p>
        </w:tc>
        <w:tc>
          <w:tcPr>
            <w:tcW w:w="780" w:type="dxa"/>
            <w:vAlign w:val="bottom"/>
            <w:vMerge w:val="restart"/>
          </w:tcPr>
          <w:p>
            <w:pPr>
              <w:jc w:val="center"/>
              <w:ind w:right="10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Borders>
              <w:lef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74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7"/>
            <w:vMerge w:val="continue"/>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4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11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Comprehensive</w:t>
            </w:r>
          </w:p>
        </w:tc>
        <w:tc>
          <w:tcPr>
            <w:tcW w:w="96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7"/>
                <w:szCs w:val="17"/>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84"/>
        </w:trPr>
        <w:tc>
          <w:tcPr>
            <w:tcW w:w="20" w:type="dxa"/>
            <w:vAlign w:val="bottom"/>
            <w:tcBorders>
              <w:top w:val="single" w:sz="8" w:color="CCEEFF"/>
            </w:tcBorders>
            <w:shd w:val="clear" w:color="auto" w:fill="CCEEFF"/>
          </w:tcPr>
          <w:p>
            <w:pPr>
              <w:spacing w:after="0"/>
              <w:rPr>
                <w:sz w:val="15"/>
                <w:szCs w:val="15"/>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2020</w:t>
            </w:r>
          </w:p>
        </w:tc>
        <w:tc>
          <w:tcPr>
            <w:tcW w:w="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60" w:type="dxa"/>
            <w:vAlign w:val="bottom"/>
            <w:tcBorders>
              <w:top w:val="single" w:sz="8" w:color="CCEEFF"/>
              <w:left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47,684,427</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80,373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(447,167)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(367,096)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Issuance of common stock</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auto"/>
            </w:tcBorders>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388,246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Repurchases of common stock</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auto"/>
            </w:tcBorders>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(115,625)</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gridSpan w:val="2"/>
          </w:tcPr>
          <w:p>
            <w:pPr>
              <w:spacing w:after="0" w:line="135" w:lineRule="exact"/>
              <w:rPr>
                <w:sz w:val="20"/>
                <w:szCs w:val="20"/>
                <w:color w:val="auto"/>
              </w:rPr>
            </w:pPr>
            <w:r>
              <w:rPr>
                <w:rFonts w:ascii="Arial" w:cs="Arial" w:eastAsia="Arial" w:hAnsi="Arial"/>
                <w:sz w:val="14"/>
                <w:szCs w:val="14"/>
                <w:color w:val="auto"/>
                <w:w w:val="99"/>
              </w:rPr>
              <w:t>Issuance of redeemable convertible preferred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21,824,141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434,434</w:t>
            </w:r>
          </w:p>
        </w:tc>
        <w:tc>
          <w:tcPr>
            <w:tcW w:w="100" w:type="dxa"/>
            <w:vAlign w:val="bottom"/>
          </w:tcPr>
          <w:p>
            <w:pPr>
              <w:spacing w:after="0"/>
              <w:rPr>
                <w:sz w:val="11"/>
                <w:szCs w:val="11"/>
                <w:color w:val="auto"/>
              </w:rPr>
            </w:pPr>
          </w:p>
        </w:tc>
        <w:tc>
          <w:tcPr>
            <w:tcW w:w="60" w:type="dxa"/>
            <w:vAlign w:val="bottom"/>
            <w:tcBorders>
              <w:lef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Arial" w:cs="Arial" w:eastAsia="Arial" w:hAnsi="Arial"/>
                <w:sz w:val="14"/>
                <w:szCs w:val="14"/>
                <w:color w:val="auto"/>
              </w:rPr>
              <w:t>stock, net of issuance costs of $440</w:t>
            </w: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9"/>
              </w:rPr>
              <w:t>Vesting and exercise of warrants for common</w:t>
            </w: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auto"/>
            </w:tcBorders>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5,074,398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w:t>
            </w:r>
          </w:p>
        </w:tc>
        <w:tc>
          <w:tcPr>
            <w:tcW w:w="9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vMerge w:val="continue"/>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7,175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Conversion of convertible debt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4,444,321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gridSpan w:val="2"/>
          </w:tcPr>
          <w:p>
            <w:pPr>
              <w:spacing w:after="0" w:line="135" w:lineRule="exact"/>
              <w:rPr>
                <w:sz w:val="20"/>
                <w:szCs w:val="20"/>
                <w:color w:val="auto"/>
              </w:rPr>
            </w:pPr>
            <w:r>
              <w:rPr>
                <w:rFonts w:ascii="Arial" w:cs="Arial" w:eastAsia="Arial" w:hAnsi="Arial"/>
                <w:sz w:val="14"/>
                <w:szCs w:val="14"/>
                <w:color w:val="auto"/>
              </w:rPr>
              <w:t>Effects of adoption of new accounting</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(9,980)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(9,980)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standards</w:t>
            </w: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currency translation adjustments</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auto"/>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as of September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148,384,433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1,327,163</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53,031,446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114,226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(461,093)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(346,764)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September 30,</w:t>
            </w:r>
          </w:p>
        </w:tc>
      </w:tr>
      <w:tr>
        <w:trPr>
          <w:trHeight w:val="187"/>
        </w:trPr>
        <w:tc>
          <w:tcPr>
            <w:tcW w:w="7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70"/>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(306,615)</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(3,946)</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Provision for credit losses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63,647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28,931</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premiums and discounts on loans, net</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(11,123)</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Gain on sales of loans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(30,979)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(16,434)</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Changes in fair value of assets and liabilities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139,884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(30,202)</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Amortization of commercial agreement assets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18,971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14,261</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debt issuance costs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93,189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6,203</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608</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loans held for sale</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(896,786)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(346,878)</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Proceeds from the sale of loans held for sale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888,580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338,926</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operating assets and liabilities: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(12,076)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10,175</w:t>
            </w: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assets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78,086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(64,412)</w:t>
            </w: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368,096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6,110</w:t>
            </w: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Payable to third-party loan owners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w:t>
            </w: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Accrued interest payable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798</w:t>
            </w: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63,669</w:t>
            </w:r>
          </w:p>
        </w:tc>
      </w:tr>
      <w:tr>
        <w:trPr>
          <w:trHeight w:val="17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365,150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(2,304)</w:t>
            </w:r>
          </w:p>
        </w:tc>
      </w:tr>
      <w:tr>
        <w:trPr>
          <w:trHeight w:val="17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Purchases and origination of loans held for investment</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(1,847,458)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(1,177,769)</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sale of loans held for investment</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195,039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75,049</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Principal repayments and other loan servicing activity</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1,486,099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749,128</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net of cash and restricted cash acquired</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Additions to property, equipment and software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(16,347)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(4,169)</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securities available for sale</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(443,560)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maturities and repayments of securities available for sale</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investing cash inflows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investing cash outflows</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(629,510)</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(357,761)</w:t>
            </w:r>
          </w:p>
        </w:tc>
      </w:tr>
      <w:tr>
        <w:trPr>
          <w:trHeight w:val="168"/>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funding debt</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682,106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773,938</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Payment of debt issuance costs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(4,617)</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repayments of funding debt</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(873,778)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(890,556)</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issuance of notes and residual trust certificates by securitization trusts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499,789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518,232</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repayments of notes issued by securitization trusts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(55,204)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(14,777)</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issuance of redeemable convertible preferred stock, net</w:t>
            </w:r>
          </w:p>
        </w:tc>
        <w:tc>
          <w:tcPr>
            <w:tcW w:w="3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434,434</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common stock options and warrants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(584)</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tax withholding for stock-based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(39,817)</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243,953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817,811</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(16,819)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457,746</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1,692,632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328,128</w:t>
            </w:r>
          </w:p>
        </w:tc>
      </w:tr>
      <w:tr>
        <w:trPr>
          <w:trHeight w:val="186"/>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1,675,813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785,874</w:t>
            </w:r>
          </w:p>
        </w:tc>
      </w:tr>
      <w:tr>
        <w:trPr>
          <w:trHeight w:val="21"/>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CONT.</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86"/>
        </w:trPr>
        <w:tc>
          <w:tcPr>
            <w:tcW w:w="8060" w:type="dxa"/>
            <w:vAlign w:val="bottom"/>
          </w:tcPr>
          <w:p>
            <w:pPr>
              <w:ind w:left="140"/>
              <w:spacing w:after="0"/>
              <w:rPr>
                <w:sz w:val="20"/>
                <w:szCs w:val="20"/>
                <w:color w:val="auto"/>
              </w:rPr>
            </w:pPr>
            <w:r>
              <w:rPr>
                <w:rFonts w:ascii="Arial" w:cs="Arial" w:eastAsia="Arial" w:hAnsi="Arial"/>
                <w:sz w:val="14"/>
                <w:szCs w:val="14"/>
                <w:color w:val="auto"/>
              </w:rPr>
              <w:t>Cash payments for interest</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10,195</w:t>
            </w:r>
          </w:p>
        </w:tc>
        <w:tc>
          <w:tcPr>
            <w:tcW w:w="80" w:type="dxa"/>
            <w:vAlign w:val="bottom"/>
          </w:tcPr>
          <w:p>
            <w:pPr>
              <w:spacing w:after="0"/>
              <w:rPr>
                <w:sz w:val="16"/>
                <w:szCs w:val="16"/>
                <w:color w:val="auto"/>
              </w:rPr>
            </w:pP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6,934</w:t>
            </w:r>
          </w:p>
        </w:tc>
      </w:tr>
      <w:tr>
        <w:trPr>
          <w:trHeight w:val="192"/>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income taxes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60" w:type="dxa"/>
            <w:vAlign w:val="bottom"/>
          </w:tcPr>
          <w:p>
            <w:pPr>
              <w:ind w:left="140"/>
              <w:spacing w:after="0"/>
              <w:rPr>
                <w:sz w:val="20"/>
                <w:szCs w:val="20"/>
                <w:color w:val="auto"/>
              </w:rPr>
            </w:pPr>
            <w:r>
              <w:rPr>
                <w:rFonts w:ascii="Arial" w:cs="Arial" w:eastAsia="Arial" w:hAnsi="Arial"/>
                <w:sz w:val="14"/>
                <w:szCs w:val="14"/>
                <w:color w:val="auto"/>
              </w:rPr>
              <w:t>Cash paid for operating leases</w:t>
            </w:r>
          </w:p>
        </w:tc>
        <w:tc>
          <w:tcPr>
            <w:tcW w:w="9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4,475</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3,148</w:t>
            </w:r>
          </w:p>
        </w:tc>
      </w:tr>
      <w:tr>
        <w:trPr>
          <w:trHeight w:val="19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186"/>
        </w:trPr>
        <w:tc>
          <w:tcPr>
            <w:tcW w:w="8060" w:type="dxa"/>
            <w:vAlign w:val="bottom"/>
          </w:tcPr>
          <w:p>
            <w:pPr>
              <w:ind w:left="140"/>
              <w:spacing w:after="0"/>
              <w:rPr>
                <w:sz w:val="20"/>
                <w:szCs w:val="20"/>
                <w:color w:val="auto"/>
              </w:rPr>
            </w:pPr>
            <w:r>
              <w:rPr>
                <w:rFonts w:ascii="Arial" w:cs="Arial" w:eastAsia="Arial" w:hAnsi="Arial"/>
                <w:sz w:val="14"/>
                <w:szCs w:val="14"/>
                <w:color w:val="auto"/>
              </w:rPr>
              <w:t>Stock-based compensation included in capitalized internal-use software</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11,690</w:t>
            </w:r>
          </w:p>
        </w:tc>
        <w:tc>
          <w:tcPr>
            <w:tcW w:w="80" w:type="dxa"/>
            <w:vAlign w:val="bottom"/>
          </w:tcPr>
          <w:p>
            <w:pPr>
              <w:spacing w:after="0"/>
              <w:rPr>
                <w:sz w:val="16"/>
                <w:szCs w:val="16"/>
                <w:color w:val="auto"/>
              </w:rPr>
            </w:pP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972</w:t>
            </w:r>
          </w:p>
        </w:tc>
      </w:tr>
      <w:tr>
        <w:trPr>
          <w:trHeight w:val="192"/>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Additions to property and equipment included in accrued expenses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6"/>
        </w:trPr>
        <w:tc>
          <w:tcPr>
            <w:tcW w:w="8060" w:type="dxa"/>
            <w:vAlign w:val="bottom"/>
          </w:tcPr>
          <w:p>
            <w:pPr>
              <w:ind w:left="140"/>
              <w:spacing w:after="0"/>
              <w:rPr>
                <w:sz w:val="20"/>
                <w:szCs w:val="20"/>
                <w:color w:val="auto"/>
              </w:rPr>
            </w:pPr>
            <w:r>
              <w:rPr>
                <w:rFonts w:ascii="Arial" w:cs="Arial" w:eastAsia="Arial" w:hAnsi="Arial"/>
                <w:sz w:val="14"/>
                <w:szCs w:val="14"/>
                <w:color w:val="auto"/>
              </w:rPr>
              <w:t>Issuance of warrants in exchange for commercial agreement</w:t>
            </w:r>
          </w:p>
        </w:tc>
        <w:tc>
          <w:tcPr>
            <w:tcW w:w="9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67,645</w:t>
            </w:r>
          </w:p>
        </w:tc>
      </w:tr>
      <w:tr>
        <w:trPr>
          <w:trHeight w:val="192"/>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Conversion of convertible debt</w:t>
            </w:r>
          </w:p>
        </w:tc>
        <w:tc>
          <w:tcPr>
            <w:tcW w:w="9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88,559</w:t>
            </w: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Issuance of common stock in connection with acquisition</w:t>
            </w:r>
          </w:p>
        </w:tc>
        <w:tc>
          <w:tcPr>
            <w:tcW w:w="96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and partnerships with originating banks,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The majority of loans are funded and issued by our originating bank partners.</w:t>
      </w:r>
    </w:p>
    <w:p>
      <w:pPr>
        <w:spacing w:after="0" w:line="2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 Consumers get the flexibility to buy now and make simple regular payments for their purchases and merchants see increased average order value, repeat purchase rate,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5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2021. The balance sheet as of June 30, 2021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 Certain prior period amounts have been reclassified to conform to the current period presentation.</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variable consideration for revenue, the allowance for credit losses, capitalized internal-use software development costs, valuation allowance for deferred tax assets, convertible debt derivatives, loss on loan purchase commitment, the fair value of servicing assets and liabilities, discount on self-originated loans, the fair value and useful lives of tangible and intangible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resulting from business combinations, the fair value of contingent consideration related to business combinations, the evaluation for impairment of intangible assets and goodwill, the incremental borrowing rate used in discounting our lease liabilities, the fair value of available for sale debt securities including retained interests in our securitizations trusts, the fair value of residual certificates issued by our securitization trusts held by third parties, and stock-based compensation.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1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Correction of Prior Period Amounts</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Subsequent to the issuance of our financial statements included in our Annual Report on Form 10-K for the fiscal year ended June 30, 2021, which was filed with the SEC on September 17, 2021, we identified understatements in certain prior period amounts related to the fair value measurement of contingent consideration and stock-based compensation.</w:t>
      </w:r>
    </w:p>
    <w:p>
      <w:pPr>
        <w:spacing w:after="0" w:line="211" w:lineRule="exact"/>
        <w:rPr>
          <w:sz w:val="20"/>
          <w:szCs w:val="20"/>
          <w:color w:val="auto"/>
        </w:rPr>
      </w:pPr>
    </w:p>
    <w:p>
      <w:pPr>
        <w:jc w:val="both"/>
        <w:ind w:right="160" w:firstLine="648"/>
        <w:spacing w:after="0" w:line="255" w:lineRule="auto"/>
        <w:rPr>
          <w:sz w:val="20"/>
          <w:szCs w:val="20"/>
          <w:color w:val="auto"/>
        </w:rPr>
      </w:pPr>
      <w:r>
        <w:rPr>
          <w:rFonts w:ascii="Arial" w:cs="Arial" w:eastAsia="Arial" w:hAnsi="Arial"/>
          <w:sz w:val="18"/>
          <w:szCs w:val="18"/>
          <w:color w:val="auto"/>
        </w:rPr>
        <w:t>We remeasure the fair value of the contingent consideration liability recorded in connection with the PayBright, Inc. (“PayBright”) acquisition at each reporting date. An incorrect input in the Monte Carlo simulation used to estimate the fair value as of June 30, 2021, resulted in an understatement of accrued expenses and other liabilities of $5.6 million as of June 30, 2021.</w:t>
      </w:r>
    </w:p>
    <w:p>
      <w:pPr>
        <w:spacing w:after="0" w:line="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measure stock-based compensation based on the fair value of an award at the grant date and recognize expense over the vesting period of the award based on the estimated portion of the award that is expected to vest. An incorrect determination of the grant date and service inception dates for certain awards granted prior to our initial public offering (“IPO”), as well as incorrect treatment of expense recognition for certain terminated employees, resulted in an understatement of additional paid in capital of $4.5 million as of June 30, 2021.</w:t>
      </w:r>
    </w:p>
    <w:p>
      <w:pPr>
        <w:spacing w:after="0" w:line="203"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Accordingly, we are correcting the relevant financial statements and related footnotes as of June 30, 2021 within these interim condensed consolidated financial statements from amounts previously reported. We have evaluated the materiality of these misstatements based on an analysis of quantitative and qualitative factors and concluded they were not material to the prior period financial statements, individually or in aggregate.</w:t>
      </w:r>
    </w:p>
    <w:p>
      <w:pPr>
        <w:spacing w:after="0" w:line="176"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following table provides the impact of the correction on our consolidated balance sheet as of June 30, 2021, as presented below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As of June 30, 2021</w:t>
            </w:r>
          </w:p>
        </w:tc>
        <w:tc>
          <w:tcPr>
            <w:tcW w:w="180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Previously Reported</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Adjustments</w:t>
            </w:r>
          </w:p>
        </w:tc>
        <w:tc>
          <w:tcPr>
            <w:tcW w:w="180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r>
      <w:tr>
        <w:trPr>
          <w:trHeight w:val="22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317,951</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323,577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2,285,814</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2,291,440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3,462,762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3,467,236</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0" w:type="dxa"/>
            <w:vAlign w:val="bottom"/>
          </w:tcPr>
          <w:p>
            <w:pPr>
              <w:jc w:val="right"/>
              <w:spacing w:after="0"/>
              <w:rPr>
                <w:sz w:val="20"/>
                <w:szCs w:val="20"/>
                <w:color w:val="auto"/>
              </w:rPr>
            </w:pPr>
            <w:r>
              <w:rPr>
                <w:rFonts w:ascii="Arial" w:cs="Arial" w:eastAsia="Arial" w:hAnsi="Arial"/>
                <w:sz w:val="18"/>
                <w:szCs w:val="18"/>
                <w:color w:val="auto"/>
              </w:rPr>
              <w:t>(888,381)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(898,485)</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2,581,153</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2,575,527</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Except for the addition of policies described below for marketable securities, there were no material changes to our significant accounting policies as disclosed in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of our Annual Report on Form 10-K for the fiscal year ended June 30, 2021, which was filed with the SEC on September 17,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the three months ended September 30, 2021, we purchased certain investments in marketable debt securities which are accounted for under ASC Topic 320, “Investments - Debt Securities” (“ASC 320”). We have classified these investments as available for sale, as defined within ASC 320. These investments are held at fair value with changes in fair value recorded in unrealized gain (loss) on securities available for sale, net within other comprehensive income (loss).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in fair value which management identifies as a credit loss will be recognized as an allowance for credit losses through other (expense) income, net rather than unrealized gain (loss) on securities available for sale, net. To the extent management intends to sell or may be required to sell a security in an unrealized loss position, we 1) reverse any previously recorded allowance for credit losses with an offsetting entry to reduce the amortized cost basis of the security and 2) write-off any remaining portion of the amortized cost basis to equal its fair value, with this change recorded through other (expense) income,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for available for sale securities is recorded within other (expense) income, net.</w:t>
      </w:r>
    </w:p>
    <w:p>
      <w:pPr>
        <w:spacing w:after="0" w:line="25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Available for sale securities initially purchased with less than 90 days until maturity with quoted transaction prices in an active market are classified as cash and cash equivalents.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12. Investments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Advertising costs are expensed as incurred and are included within sales and marketing in our interim condensed consolidated statements of operations and comprehensive loss. For the three months ended September 30, 2021 and 2020, advertising costs totaled $18.3 million and $1.4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June 2016, the FASB issued ASU 2016-13, “Financial Instruments — Credit Losses (Topic 326)” ("ASC 326"). The amendments replaced the incurred loss impairment methodology with the current expected credit loss model ("CECL"). Subsequent to the issuance of ASU 2016-13, the FASB issued several amendments to ASC 326 to clarify or improve the financial instruments credit losses standard such as codification and targeted improvements in ASUs 2018-19, 2019-04, 2019-05, 2019-11 and 2020-03.</w:t>
      </w:r>
    </w:p>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Following the loss of our emerging growth company status in the third quarter of the prior fiscal year, we adopted ASC 326 effective July 1, 2020 using the modified retrospective approach for our loans held for investment. For the three months ended September 30, 2020, this adoption resulted in a decrease in the provision for credit losses of $11.3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 Instruments</w:t>
      </w:r>
    </w:p>
    <w:p>
      <w:pPr>
        <w:spacing w:after="0" w:line="252"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In August 2020, the FASB issued Accounting Standard Update (“ASU”) 2020-06, “Debt — Debt with Conversion and Other Options (Subtopic 470-20) and Derivatives and Hedging — Contracts in Entity’s Own Equity (Subtopic 815-40),” which simplifies the accounting for convertible instruments. The guidance removes certain accounting models that separate the embedded conversion features from the host contract for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instruments. Either a modified retrospective method of transition or a fully retrospective method of transition is permissible for the adoption of this standard. ASU 2020-06 is effective for fiscal years beginning after December 15, 2021, including interim periods within those fiscal years. Early adoption is permitted no earlier than the fiscal year beginning after December 15, 2020. We early adopted the new standard effective July 1, 2021 on a modified retrospective basis. The adoption of the new standard did not have any material impact on our interim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This ASU is effective for all entities upon issuance as of March 12, 2020 through December 31, 2022. In January 2021, the FASB also issued ASU 2021-01, “Reference Rate Reform (Topic 848),” which provides additional optional expedients and exceptions applicable to all entities that have derivative instruments that use an interest rate for margining, discounting, or contract price alignment that is modified as a result of reference rate reform. This ASU is effective for all entities upon issuance as of January 7, 2021 through December 31, 2022. We are in the process of reviewing our derivatives agreements, revolving credit agreements and loan sale agreements that utilize LIBOR as the reference rate and evaluating the impact of this new guidance. Throughout the remaining effective period for ASU 2020-04 and ASU 2021-01, we will continue to evaluate the applicable relief measures within each of these amendments and will determine any impact on our interim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Interest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consisted of the following components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00" w:type="dxa"/>
            <w:vAlign w:val="bottom"/>
            <w:tcBorders>
              <w:bottom w:val="single" w:sz="8" w:color="auto"/>
            </w:tcBorders>
          </w:tcPr>
          <w:p>
            <w:pPr>
              <w:spacing w:after="0"/>
              <w:rPr>
                <w:sz w:val="18"/>
                <w:szCs w:val="18"/>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unpaid principal balance</w:t>
            </w: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42,502</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Amortization of discount on loans held for investment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38,445</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w w:val="98"/>
              </w:rPr>
              <w:t>14,770</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premiums on loans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(1,958)</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receivable charged-off, net of recoveries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(1,077)</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117,302</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54,237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September 30, 2021 and June 30, 2021, the balance of loans held for investment on non-accrual status was $0.8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held for investment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Unpaid principal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2,280,315</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2,058,863</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15,466</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on loans held for investment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Less: Discount due to loss on loan purchase commitment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(53,657)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(53,177)</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Fair value adjustment on loans acquired through business combination</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Total loans held for investment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2,244,826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2,022,320</w:t>
            </w:r>
          </w:p>
        </w:tc>
      </w:tr>
      <w:tr>
        <w:trPr>
          <w:trHeight w:val="21"/>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majority of the loans that are underwritten using our technology platform and originated by our originating bank partners are later purchased by us. We purchased loans from our originating bank partners in the amount of $2,244.2 million and $1,524.1 million during the three months ended September 30, 2021 and 2020, respectively.</w:t>
      </w:r>
    </w:p>
    <w:p>
      <w:pPr>
        <w:spacing w:after="0" w:line="21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These loans have a variety of lending terms as well as maturities ranging from one to sixty months. Given that our loan portfolio focuses on one product segment, point-of-sale unsecured installment loans, we evaluate the entire portfolio as a single homogeneous loan portfolio.</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of our originating bank partners,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presents an analysis of the credit quality, by ITACs score, of the amortized cost basis by fiscal year of origination on loans held for investment (in thousands) as of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11"/>
          </w:tcPr>
          <w:p>
            <w:pPr>
              <w:ind w:left="440"/>
              <w:spacing w:after="0"/>
              <w:rPr>
                <w:sz w:val="20"/>
                <w:szCs w:val="20"/>
                <w:color w:val="auto"/>
              </w:rPr>
            </w:pPr>
            <w:r>
              <w:rPr>
                <w:rFonts w:ascii="Arial" w:cs="Arial" w:eastAsia="Arial" w:hAnsi="Arial"/>
                <w:sz w:val="16"/>
                <w:szCs w:val="16"/>
                <w:b w:val="1"/>
                <w:bCs w:val="1"/>
                <w:color w:val="auto"/>
              </w:rPr>
              <w:t>Amortized Costs Basis by Fiscal Year of Origination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2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Prior</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Total</w:t>
            </w:r>
          </w:p>
        </w:tc>
      </w:tr>
      <w:tr>
        <w:trPr>
          <w:trHeight w:val="22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55,738</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94 – 96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96,076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171,723</w:t>
            </w: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 – 94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451,859</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&lt;90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619,067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697,268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1,402,266</w:t>
            </w:r>
          </w:p>
        </w:tc>
      </w:tr>
      <w:tr>
        <w:trPr>
          <w:trHeight w:val="230"/>
        </w:trPr>
        <w:tc>
          <w:tcPr>
            <w:tcW w:w="2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 score</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148,231</w:t>
            </w: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Total loan receivables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1,080,556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1,047,077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2,229,817</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period charge-offs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w:t>
            </w:r>
          </w:p>
        </w:tc>
      </w:tr>
      <w:tr>
        <w:trPr>
          <w:trHeight w:val="230"/>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recoveries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Current period net charge-offs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(26,743)</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180" w:hanging="328"/>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This balance represents loan receivables in new markets without sufficient data currently available for use by the Affirm scoring methodology as well as loan receivables originated by PayBright.</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on loans held for investment by delinquency status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Non-delinquent loans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2,111,756</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1,939,976</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4 – 29 calendar days past due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60,191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43,838</w:t>
            </w:r>
          </w:p>
        </w:tc>
      </w:tr>
      <w:tr>
        <w:trPr>
          <w:trHeight w:val="230"/>
        </w:trPr>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30</w:t>
            </w: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59 calendar days past due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r>
      <w:tr>
        <w:trPr>
          <w:trHeight w:val="229"/>
        </w:trPr>
        <w:tc>
          <w:tcPr>
            <w:tcW w:w="220" w:type="dxa"/>
            <w:vAlign w:val="bottom"/>
          </w:tcPr>
          <w:p>
            <w:pPr>
              <w:ind w:left="20"/>
              <w:spacing w:after="0"/>
              <w:rPr>
                <w:sz w:val="20"/>
                <w:szCs w:val="20"/>
                <w:color w:val="auto"/>
              </w:rPr>
            </w:pPr>
            <w:r>
              <w:rPr>
                <w:rFonts w:ascii="Arial" w:cs="Arial" w:eastAsia="Arial" w:hAnsi="Arial"/>
                <w:sz w:val="18"/>
                <w:szCs w:val="18"/>
                <w:color w:val="auto"/>
                <w:w w:val="89"/>
              </w:rPr>
              <w:t>60</w:t>
            </w:r>
          </w:p>
        </w:tc>
        <w:tc>
          <w:tcPr>
            <w:tcW w:w="7280" w:type="dxa"/>
            <w:vAlign w:val="bottom"/>
          </w:tcPr>
          <w:p>
            <w:pPr>
              <w:ind w:left="20"/>
              <w:spacing w:after="0"/>
              <w:rPr>
                <w:sz w:val="20"/>
                <w:szCs w:val="20"/>
                <w:color w:val="auto"/>
              </w:rPr>
            </w:pPr>
            <w:r>
              <w:rPr>
                <w:rFonts w:ascii="Arial" w:cs="Arial" w:eastAsia="Arial" w:hAnsi="Arial"/>
                <w:sz w:val="18"/>
                <w:szCs w:val="18"/>
                <w:color w:val="auto"/>
              </w:rPr>
              <w:t>– 89 calendar days past due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17,558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12,044</w:t>
            </w:r>
          </w:p>
        </w:tc>
      </w:tr>
      <w:tr>
        <w:trPr>
          <w:trHeight w:val="230"/>
        </w:trPr>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90</w:t>
            </w: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119 calendar days past due</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r>
      <w:tr>
        <w:trPr>
          <w:trHeight w:val="22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Total amortized cost basis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2,229,817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2,019,884</w:t>
            </w:r>
          </w:p>
        </w:tc>
      </w:tr>
      <w:tr>
        <w:trPr>
          <w:trHeight w:val="20"/>
        </w:trPr>
        <w:tc>
          <w:tcPr>
            <w:tcW w:w="2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maintain an allowance for credit losses at a level that we believe is appropriate to absorb probable losses inherent in our loans. The allowance for credit losses covers estimated losses for individually assessed loans and includes estimates which rely on economic conditions, forecasts, and historical loan performance. When loans are charged off, we recognize this as a charge against the allowance for credit losses. We may continue to attempt to recover amounts from the respective consumers. The allowance for credit losses on loans is a valuation account that is deducted from the loans’ amortized cost basis to present the net amount expected to be collected on the loans. It is comprised of a specific allowance for individually assessed loans which are regularly evaluated to maintain a level adequate to absorb expected losses inherent in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activity in the allowance for credit losses (in thousands):</w:t>
      </w:r>
    </w:p>
    <w:p>
      <w:pPr>
        <w:spacing w:after="0" w:line="141" w:lineRule="exact"/>
        <w:rPr>
          <w:sz w:val="20"/>
          <w:szCs w:val="20"/>
          <w:color w:val="auto"/>
        </w:rPr>
      </w:pPr>
    </w:p>
    <w:p>
      <w:pPr>
        <w:jc w:val="center"/>
        <w:ind w:left="7500"/>
        <w:spacing w:after="0"/>
        <w:rPr>
          <w:sz w:val="20"/>
          <w:szCs w:val="20"/>
          <w:color w:val="auto"/>
        </w:rPr>
      </w:pPr>
      <w:r>
        <w:rPr>
          <w:rFonts w:ascii="Arial" w:cs="Arial" w:eastAsia="Arial" w:hAnsi="Arial"/>
          <w:sz w:val="16"/>
          <w:szCs w:val="16"/>
          <w:b w:val="1"/>
          <w:bCs w:val="1"/>
          <w:color w:val="auto"/>
        </w:rPr>
        <w:t>Three Months Ended</w:t>
      </w:r>
    </w:p>
    <w:p>
      <w:pPr>
        <w:jc w:val="center"/>
        <w:ind w:left="750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117,760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95,137</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Adjustment due to adoption of new accounting standard</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10,083</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(30,454)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(14,074)</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 of charged-off receivables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152,021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123,021</w:t>
            </w:r>
          </w:p>
        </w:tc>
      </w:tr>
      <w:tr>
        <w:trPr>
          <w:trHeight w:val="21"/>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ShopBrain</w:t>
      </w:r>
    </w:p>
    <w:p>
      <w:pPr>
        <w:spacing w:after="0" w:line="239"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color w:val="auto"/>
        </w:rPr>
        <w:t>On July 1, 2021, Affirm completed the acquisition of technology and intellectual property from Yroo, Inc. and entered into employment arrangements with certain of its employees (“the ShopBrain acquisition”). Yroo, Inc. is a data aggregation and cataloging technology company based in Canada (“ShopBrain”). The purchase price was comprised of (i) $30.0 million in cash and (ii) 151,745 shares of our Class A common stock issued to the shareholders of ShopBrain at closing.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acquisition date fair value of the consideration transferred was approximately $40.0 million, which consisted of the following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Class A common stock transferred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The acquisition was accounted for as a business combination and reflects the application of acquisition accounting in accordance with ASC Topic 805, “Business Combinations” (“ASC 805”). The acquired identifiable intangible assets have been recorded at their estimated fair values with the excess purchase price assigned to goodwill. The goodwill was primarily attributed to future synergies from integration and the value of the assembled workforce. The goodwill is expected to be deductible for income tax purposes.</w:t>
      </w:r>
    </w:p>
    <w:p>
      <w:pPr>
        <w:spacing w:after="0" w:line="215"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following table summarizes the allocation of the consideration paid of approximately $40.0 million to the fair values of the assets acquired and liabilities assumed at the acquisition date (in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net assets acquired</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9,488</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30,512</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Useful Life (Years)</w:t>
            </w: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300" w:type="dxa"/>
            <w:vAlign w:val="bottom"/>
            <w:shd w:val="clear" w:color="auto" w:fill="BFE4FF"/>
          </w:tcPr>
          <w:p>
            <w:pPr>
              <w:jc w:val="right"/>
              <w:ind w:right="109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3"/>
              </w:rPr>
              <w:t>9,488</w:t>
            </w:r>
          </w:p>
        </w:tc>
        <w:tc>
          <w:tcPr>
            <w:tcW w:w="100" w:type="dxa"/>
            <w:vAlign w:val="bottom"/>
            <w:shd w:val="clear" w:color="auto" w:fill="CCEEFF"/>
          </w:tcPr>
          <w:p>
            <w:pPr>
              <w:spacing w:after="0"/>
              <w:rPr>
                <w:sz w:val="19"/>
                <w:szCs w:val="19"/>
                <w:color w:val="auto"/>
              </w:rPr>
            </w:pPr>
          </w:p>
        </w:tc>
        <w:tc>
          <w:tcPr>
            <w:tcW w:w="1800" w:type="dxa"/>
            <w:vAlign w:val="bottom"/>
            <w:shd w:val="clear" w:color="auto" w:fill="BFE4FF"/>
          </w:tcPr>
          <w:p>
            <w:pPr>
              <w:jc w:val="right"/>
              <w:ind w:right="715"/>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firstLine="648"/>
        <w:spacing w:after="0" w:line="291" w:lineRule="auto"/>
        <w:rPr>
          <w:sz w:val="20"/>
          <w:szCs w:val="20"/>
          <w:color w:val="auto"/>
        </w:rPr>
      </w:pPr>
      <w:r>
        <w:rPr>
          <w:rFonts w:ascii="Arial" w:cs="Arial" w:eastAsia="Arial" w:hAnsi="Arial"/>
          <w:sz w:val="17"/>
          <w:szCs w:val="17"/>
          <w:color w:val="auto"/>
        </w:rPr>
        <w:t>The fair values of the intangible assets were determined by applying the replacement cost method. The fair value measurements are based on significant unobservable inputs, including management estimates and assumptions, and thus represents Level 3 measurements.</w:t>
      </w:r>
    </w:p>
    <w:p>
      <w:pPr>
        <w:spacing w:after="0" w:line="174" w:lineRule="exact"/>
        <w:rPr>
          <w:sz w:val="20"/>
          <w:szCs w:val="20"/>
          <w:color w:val="auto"/>
        </w:rPr>
      </w:pPr>
    </w:p>
    <w:p>
      <w:pPr>
        <w:ind w:right="160" w:firstLine="648"/>
        <w:spacing w:after="0" w:line="324" w:lineRule="auto"/>
        <w:rPr>
          <w:sz w:val="20"/>
          <w:szCs w:val="20"/>
          <w:color w:val="auto"/>
        </w:rPr>
      </w:pPr>
      <w:r>
        <w:rPr>
          <w:rFonts w:ascii="Arial" w:cs="Arial" w:eastAsia="Arial" w:hAnsi="Arial"/>
          <w:sz w:val="16"/>
          <w:szCs w:val="16"/>
          <w:color w:val="auto"/>
        </w:rPr>
        <w:t>The transaction costs associated with the acquisition were approximately $0.1 million for the three months ended September 30, 2021, which are included in general and administrative expense within the interim condensed consolidated statements of operations and comprehensive loss.</w:t>
      </w:r>
    </w:p>
    <w:p>
      <w:pPr>
        <w:spacing w:after="0" w:line="151" w:lineRule="exact"/>
        <w:rPr>
          <w:sz w:val="20"/>
          <w:szCs w:val="20"/>
          <w:color w:val="auto"/>
        </w:rPr>
      </w:pPr>
    </w:p>
    <w:p>
      <w:pPr>
        <w:ind w:right="300" w:firstLine="648"/>
        <w:spacing w:after="0" w:line="248" w:lineRule="auto"/>
        <w:rPr>
          <w:sz w:val="20"/>
          <w:szCs w:val="20"/>
          <w:color w:val="auto"/>
        </w:rPr>
      </w:pPr>
      <w:r>
        <w:rPr>
          <w:rFonts w:ascii="Arial" w:cs="Arial" w:eastAsia="Arial" w:hAnsi="Arial"/>
          <w:sz w:val="18"/>
          <w:szCs w:val="18"/>
          <w:color w:val="auto"/>
        </w:rPr>
        <w:t>Pro forma adjustments would only include the additional amortization that would have been charged assuming the intangible assets had been recorded as of July 1, 2020. Such adjustments would not be material to the interim condensed consolidated statements of operations and comprehensive loss for the three months ended September 30, 2021 and 2020, respectively.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52" w:lineRule="exact"/>
        <w:rPr>
          <w:sz w:val="20"/>
          <w:szCs w:val="20"/>
          <w:color w:val="auto"/>
        </w:rPr>
      </w:pPr>
    </w:p>
    <w:p>
      <w:pPr>
        <w:jc w:val="both"/>
        <w:ind w:right="180" w:firstLine="359"/>
        <w:spacing w:after="0" w:line="263" w:lineRule="auto"/>
        <w:rPr>
          <w:sz w:val="20"/>
          <w:szCs w:val="20"/>
          <w:color w:val="auto"/>
        </w:rPr>
      </w:pPr>
      <w:r>
        <w:rPr>
          <w:rFonts w:ascii="Arial" w:cs="Arial" w:eastAsia="Arial" w:hAnsi="Arial"/>
          <w:sz w:val="18"/>
          <w:szCs w:val="18"/>
          <w:color w:val="auto"/>
        </w:rPr>
        <w:t>Our accounts receivable consist primarily of amounts due from payment processors, merchant partners, and servicing fees due from third-party loan owners. We evaluate accounts receivable estimated to be uncollectible and provide an allowance, as necessary, for doubtful accounts. This allowance was $7.1 million and $4.1 million as of September 30, 2021 and June 30, 2021,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during the three months ended September 30, 2021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516,515</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30,792</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translation</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Balance as of September 30, 2021</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540,770</w:t>
            </w:r>
          </w:p>
        </w:tc>
      </w:tr>
      <w:tr>
        <w:trPr>
          <w:trHeight w:val="20"/>
        </w:trPr>
        <w:tc>
          <w:tcPr>
            <w:tcW w:w="9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Refer to Note 5. Business Combination for a description of additions to goodwill during the three months ended September 30, 2021. No impairment losses related to goodwill were recorded during the three months ended September 30, 2021 and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September 30, 2021</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Net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 Useful</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8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2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34,310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(6,166)</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33,411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domains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71,378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w w:val="97"/>
              </w:rPr>
              <w:t>June 30, 2021</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Accumulated</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 Useful</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4.5</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27,246</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domains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5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Amortization expense for intangible assets was $5.5 million and $2.6 million for the three months ended September 30, 2021 and 2020, respectively. No impairment losses related to intangible assets were recorded during the three months ended September 30, 2021 and 2020.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future amortization expense of these intangible assets as of September 30, 2021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nine months)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16,295</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21,286</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7,193</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r>
      <w:tr>
        <w:trPr>
          <w:trHeight w:val="223"/>
        </w:trPr>
        <w:tc>
          <w:tcPr>
            <w:tcW w:w="946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68,883</w:t>
            </w:r>
          </w:p>
        </w:tc>
      </w:tr>
      <w:tr>
        <w:trPr>
          <w:trHeight w:val="21"/>
        </w:trPr>
        <w:tc>
          <w:tcPr>
            <w:tcW w:w="9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 Assets</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July 2020, we recognized an asset in connection with a commercial agreement with Shopify Inc. (“Shopify”), in which we granted warrants in exchange for the opportunity to acquire new merchant partners. This asset represents the probable future economic benefit to be realized over the four-year expected benefit period and is valued based on the fair value of the warrants on the grant date. We recognized an asset of $270.6 million associated with the fair value of the warrants, which were fully vested as of September 30, 2021. During the three months ended September 30, 2021 and 2020, we recorded amortization expense related to the commercial agreement asset of $17.0 million and $14.3 million, respectively, in our interim condensed consolidated statements of operations and comprehensive loss as a component of sales and marketing expense.</w:t>
      </w:r>
    </w:p>
    <w:p>
      <w:pPr>
        <w:spacing w:after="0" w:line="20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January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three months ended September 30, 2021, we recorded amortization expense related to the asset of $1.9 million in our interim condensed consolidated statements of operations and comprehensive loss as a component of 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57,828</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Prepaid payroll taxes for stock-based compensation</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23,291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111,278</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Equity securities, at cost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reserves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24,692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26,423</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32,761</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169,952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274,679</w:t>
            </w:r>
          </w:p>
        </w:tc>
        <w:tc>
          <w:tcPr>
            <w:tcW w:w="0" w:type="dxa"/>
            <w:vAlign w:val="bottom"/>
          </w:tcPr>
          <w:p>
            <w:pPr>
              <w:spacing w:after="0"/>
              <w:rPr>
                <w:sz w:val="1"/>
                <w:szCs w:val="1"/>
                <w:color w:val="auto"/>
              </w:rPr>
            </w:pPr>
          </w:p>
        </w:tc>
      </w:tr>
      <w:tr>
        <w:trPr>
          <w:trHeight w:val="21"/>
        </w:trPr>
        <w:tc>
          <w:tcPr>
            <w:tcW w:w="75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500" w:type="dxa"/>
            <w:vAlign w:val="bottom"/>
          </w:tcPr>
          <w:p>
            <w:pPr>
              <w:ind w:left="660"/>
              <w:spacing w:after="0"/>
              <w:rPr>
                <w:sz w:val="20"/>
                <w:szCs w:val="20"/>
                <w:color w:val="auto"/>
              </w:rPr>
            </w:pPr>
            <w:r>
              <w:rPr>
                <w:rFonts w:ascii="Arial" w:cs="Arial" w:eastAsia="Arial" w:hAnsi="Arial"/>
                <w:sz w:val="18"/>
                <w:szCs w:val="18"/>
                <w:color w:val="auto"/>
              </w:rPr>
              <w:t>Accrued expenses and other liabilities consisted of the following (in thousands)</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24"/>
                <w:szCs w:val="24"/>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290,719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153,446</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74,360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74,952</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47,674</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Commercial agreement liability</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12,627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25,357</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22,148</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450,662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323,577</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acquisition of PayBright included consideration transferred and shares held in escrow, contingent upon the achievement of future milestones. We classified the contingent consideration as a liability and will remeasure the liability to its fair value at each reporting date until the contingency is resolved. As of September 30, 2021, the fair value of the contingent consideration liability was $290.7 million. For further details on our fair value methodology with respect to the contingent consideration, see Note 13. Fair Value of Financial Assets and Liabilities.</w:t>
      </w:r>
    </w:p>
    <w:p>
      <w:pPr>
        <w:spacing w:after="0" w:line="19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January 2021, we recognized a liability in connection with a commercial agreement with an enterprise partner of $25.4 million. During the three months ended September 30, 2021, we settled $12.6 million, or fifty percent, of this liability. The remaining fifty percent will be settled on the first year anniversary of the final prospectus date of January 12,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180 days to one year. As of September 30, 2021, we have not considered such provisions in the determination of the lease term, as it is not reasonably certain these options will be exercised. Lease terms range from one year to nine years.</w:t>
      </w:r>
    </w:p>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interim condensed consolidated balance sheets and totaled $9.6 million and $9.9 million as of September 30, 2021 and June 30, 2021, respectively.</w:t>
      </w:r>
    </w:p>
    <w:p>
      <w:pPr>
        <w:spacing w:after="0" w:line="26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weighted average remaining lease term as of September 30, 2021 was 5.6 years. The discount rate used in determining the lease liability for each individual lease was derived from a corporate yield curve which corresponded with the remaining lease term as of July 1, 2020 for leases that existed at the adoption of Leases (ASC Topic 842) (“ASC 842”) and as of the lease commencement date for leases subsequently entered into or modified after July 1, 2020.</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impairment expense related to leases during the three months ended September 30, 2021 and 2020.</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Total rent expense incurred for all locations totaled $3.8 million for both the three months ended September 30, 2021 and 2020. Total lease expense incurred for short term leases with a term 12 months or less totaled $0.2 million and $0.5 million for the three months ended September 30, 2021 and 2020,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subleased a portion of our leased facilities. Sublease income totaled $0.6 million during the three months ended September 30,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sublease income during the three months ended September 30, 2020.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term and discount rate information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September 30, 2021</w:t>
            </w: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5.6</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0"/>
                <w:szCs w:val="20"/>
                <w:color w:val="auto"/>
              </w:rPr>
            </w:pPr>
          </w:p>
        </w:tc>
        <w:tc>
          <w:tcPr>
            <w:tcW w:w="1640" w:type="dxa"/>
            <w:vAlign w:val="bottom"/>
          </w:tcPr>
          <w:p>
            <w:pPr>
              <w:jc w:val="right"/>
              <w:ind w:right="631"/>
              <w:spacing w:after="0"/>
              <w:rPr>
                <w:sz w:val="20"/>
                <w:szCs w:val="20"/>
                <w:color w:val="auto"/>
              </w:rPr>
            </w:pPr>
            <w:r>
              <w:rPr>
                <w:rFonts w:ascii="Arial" w:cs="Arial" w:eastAsia="Arial" w:hAnsi="Arial"/>
                <w:sz w:val="18"/>
                <w:szCs w:val="18"/>
                <w:color w:val="auto"/>
              </w:rPr>
              <w:t>4.7%</w:t>
            </w:r>
          </w:p>
        </w:tc>
      </w:tr>
      <w:tr>
        <w:trPr>
          <w:trHeight w:val="553"/>
        </w:trPr>
        <w:tc>
          <w:tcPr>
            <w:tcW w:w="9440" w:type="dxa"/>
            <w:vAlign w:val="bottom"/>
          </w:tcPr>
          <w:p>
            <w:pPr>
              <w:ind w:left="660"/>
              <w:spacing w:after="0"/>
              <w:rPr>
                <w:sz w:val="20"/>
                <w:szCs w:val="20"/>
                <w:color w:val="auto"/>
              </w:rPr>
            </w:pPr>
            <w:r>
              <w:rPr>
                <w:rFonts w:ascii="Arial" w:cs="Arial" w:eastAsia="Arial" w:hAnsi="Arial"/>
                <w:sz w:val="18"/>
                <w:szCs w:val="18"/>
                <w:color w:val="auto"/>
              </w:rPr>
              <w:t>Maturities of lease liabilities as of September 30, 2021 are as follows (in thousands) for the years ended:</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08"/>
        </w:trPr>
        <w:tc>
          <w:tcPr>
            <w:tcW w:w="9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nine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87"/>
              </w:rPr>
              <w:t>11,728</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640" w:type="dxa"/>
            <w:vAlign w:val="bottom"/>
          </w:tcPr>
          <w:p>
            <w:pPr>
              <w:jc w:val="center"/>
              <w:ind w:left="911"/>
              <w:spacing w:after="0"/>
              <w:rPr>
                <w:sz w:val="20"/>
                <w:szCs w:val="20"/>
                <w:color w:val="auto"/>
              </w:rPr>
            </w:pPr>
            <w:r>
              <w:rPr>
                <w:rFonts w:ascii="Arial" w:cs="Arial" w:eastAsia="Arial" w:hAnsi="Arial"/>
                <w:sz w:val="18"/>
                <w:szCs w:val="18"/>
                <w:color w:val="auto"/>
                <w:w w:val="87"/>
              </w:rPr>
              <w:t>16,117</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87"/>
              </w:rPr>
              <w:t>16,029</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640" w:type="dxa"/>
            <w:vAlign w:val="bottom"/>
          </w:tcPr>
          <w:p>
            <w:pPr>
              <w:jc w:val="center"/>
              <w:ind w:left="911"/>
              <w:spacing w:after="0"/>
              <w:rPr>
                <w:sz w:val="20"/>
                <w:szCs w:val="20"/>
                <w:color w:val="auto"/>
              </w:rPr>
            </w:pPr>
            <w:r>
              <w:rPr>
                <w:rFonts w:ascii="Arial" w:cs="Arial" w:eastAsia="Arial" w:hAnsi="Arial"/>
                <w:sz w:val="18"/>
                <w:szCs w:val="18"/>
                <w:color w:val="auto"/>
                <w:w w:val="87"/>
              </w:rPr>
              <w:t>16,132</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87"/>
              </w:rPr>
              <w:t>15,283</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87"/>
              </w:rPr>
              <w:t>10,419</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911"/>
              <w:spacing w:after="0"/>
              <w:rPr>
                <w:sz w:val="20"/>
                <w:szCs w:val="20"/>
                <w:color w:val="auto"/>
              </w:rPr>
            </w:pPr>
            <w:r>
              <w:rPr>
                <w:rFonts w:ascii="Arial" w:cs="Arial" w:eastAsia="Arial" w:hAnsi="Arial"/>
                <w:sz w:val="18"/>
                <w:szCs w:val="18"/>
                <w:color w:val="auto"/>
                <w:w w:val="87"/>
              </w:rPr>
              <w:t>85,708</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891"/>
              <w:spacing w:after="0"/>
              <w:rPr>
                <w:sz w:val="20"/>
                <w:szCs w:val="20"/>
                <w:color w:val="auto"/>
              </w:rPr>
            </w:pPr>
            <w:r>
              <w:rPr>
                <w:rFonts w:ascii="Arial" w:cs="Arial" w:eastAsia="Arial" w:hAnsi="Arial"/>
                <w:sz w:val="18"/>
                <w:szCs w:val="18"/>
                <w:color w:val="auto"/>
                <w:w w:val="92"/>
              </w:rPr>
              <w:t>(11,348)</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center"/>
              <w:ind w:left="911"/>
              <w:spacing w:after="0"/>
              <w:rPr>
                <w:sz w:val="20"/>
                <w:szCs w:val="20"/>
                <w:color w:val="auto"/>
              </w:rPr>
            </w:pPr>
            <w:r>
              <w:rPr>
                <w:rFonts w:ascii="Arial" w:cs="Arial" w:eastAsia="Arial" w:hAnsi="Arial"/>
                <w:sz w:val="18"/>
                <w:szCs w:val="18"/>
                <w:color w:val="auto"/>
                <w:w w:val="87"/>
              </w:rPr>
              <w:t>74,360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Obligation</w:t>
      </w:r>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Under the normal terms of our whole loans sales to third-party investors, we may become obligated to repurchase loans from investors in certain instances where a breach in representation and warranties is identified. Generally, a breach in representation and warranties would occur where a loan has been identified as subject to verified or suspected fraud. We would only experience a loss if the contractual repurchase price of the loan exceeds the fair value on the repurchase date. The aggregate outstanding balance of loans held by third-party investors or unconsolidated VIEs was $2,622.7 million and $2,453.9 million as of September 30, 2021 and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respectively, of which we have recorded a repurchase liability of $2.1 million as of both September 30, 2021 and June 30, 2021 within accrued expenses and other liabilities in our interim condensed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 All such liabilities arising from current legal and regulatory matters have been recorded in accrued expenses and other liabilities in our interim condensed consolidated balance sheets and these matters are immaterial, as of September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and cash equivalents and restricted cash. We maintain our cash and cash equivalents and restricted cash in accounts at regulated domestic financial institutions and conduct ongoing evaluations of the creditworthiness of the financial institutions with which we do business.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default risk on both loan receivables purchased from our originating bank partners and loan receivables that are self-originated. The ultimate collectability of a substantial portion of the loan portfolio is susceptible to changes in economic and market conditions. As of September 30, 2021 and June 30, 2021, approximately 14% and 15%, respectively, of loan receivables related to customers residing in the state of California. No other states or provinces exceeded 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Revenue</w:t>
      </w:r>
    </w:p>
    <w:p>
      <w:pPr>
        <w:spacing w:after="0" w:line="25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For the three months ended September 30, 2021 and 2020, approximately 10% and 30%, respectively, of total revenue was driven by one merchant.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Transactions with Related Parties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ordinary course of business, we may enter into transactions with directors, principal officers, their immediate families and affiliated companies in which they are principal stockholders (commonly referred to as related parties). Some of our directors, principal officers, and their immediate families have received loans facilitated by us, in accordance with our regular consumer loan offerings. As of September 30, 2021, the outstanding balance and interest earned on such accounts is immaterial.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56"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Debt encompasses funding debt and our revolving credit facility. As of September 30, 2021 and June 30, 2021, we have unutilized funding capacity through our revolving credit facility, which did not have any borrowings outstanding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Debt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660"/>
              <w:spacing w:after="0"/>
              <w:rPr>
                <w:sz w:val="20"/>
                <w:szCs w:val="20"/>
                <w:color w:val="auto"/>
              </w:rPr>
            </w:pPr>
            <w:r>
              <w:rPr>
                <w:rFonts w:ascii="Arial" w:cs="Arial" w:eastAsia="Arial" w:hAnsi="Arial"/>
                <w:sz w:val="18"/>
                <w:szCs w:val="18"/>
                <w:color w:val="auto"/>
              </w:rPr>
              <w:t>Funding debt and its aggregate future maturities consists of the following (in thousands):</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5"/>
        </w:trPr>
        <w:tc>
          <w:tcPr>
            <w:tcW w:w="94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3"/>
              </w:rPr>
              <w:t>September 30, 2021</w:t>
            </w: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137,153</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246,647</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111,266</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495,066</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debt issuance costs</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(10,245)</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funding debt, net of deferred debt issuance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484,821</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these proceeds from the borrowings can only be used for the purposes of facilitating loan funding and origination, with advance rates ranging from 75% to 88% of the total collateralized balance. These trusts are bankruptcy-remote special-purpose vehicles in which creditors do not have recourse against the general credit of Affirm. These revolving facilities mature between 2024 and 2027, and subject to covenant compliance, generally permit borrowings up to 12 months prior to the final maturity date of each respective facility. As of September 30, 2021, the aggregate commitment amount of these facilities was $1,975.0 million on a revolving basis, of which $357.9 million was drawn, with $1,617.1 million remaining available. Some of the loans purchased from the originating bank partners are pledged as collateral for borrowings in our facilities. The unpaid principal balance of these loans totaled $425.7 million and $664.1 million as of September 30, 2021 and June 30, 2021, respectively.</w:t>
      </w:r>
    </w:p>
    <w:p>
      <w:pPr>
        <w:spacing w:after="0" w:line="21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Borrowings under these warehouse credit facilities bear interest at an annual benchmark rate of LIBOR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1.65% to 4.00%. Interest is payable monthly. In addition, these agreements require payment of a monthly unused commitment fee ranging from 0.10% to 0.75% per annum on the undrawn portion available.</w:t>
      </w:r>
    </w:p>
    <w:p>
      <w:pPr>
        <w:spacing w:after="0" w:line="203"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These agreements contain certain customary negative covenants and financial covenants including maintaining certain levels of liquidity, leverage, and tangible net worth. As of September 30, 2021, we were in compliance with all applicable covenants in the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Funding Facilities</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Prior to our acquisition of PayBright on January 1, 2021, PayBright entered into various credit facilities utilized to finance the origination of loan receivables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2022, and bear interest based on a commercial paper rate plus a spread ranging from 1.25% to 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September 30, 2021, the aggregate commitment amount of these facilities was $267.2 million on a revolving basis, of which $125.4 million was drawn, with $141.9 million remaining available. The unpaid principal balance of loans pledged to these facilities totaled $72.0 million as of September 30, 2021.</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liquidity, leverage, and tangible net worth at the PayBright subsidiary level. As of September 30, 2021, we were in compliance with all applicable covenants in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 Agreement</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August 20, 2021, we entered into a sale and repurchase agreement pursuant to which we sold securities to a counterparty with an obligation to repurchase at a future date and price. As of September 30, 2021, we had $11.8 million in debt outstanding under our repurchase agreement disclosed within funding debt on the interim condensed consolidated balance sheets. The outstanding debt relates to $13.7 million in pledged securities disclosed within securities available for sale at fair value on the interim condensed consolidated balance sheets and will be amortized through regular principal and interest payments on the pledged securities. The interest rate is 1.08% on the senior pledged securities and 2.63% on the residual certificate pledged securities. The contractual repurchase date is in November 2021. Prior to the repurchase date and subject to mutual agreement by Affirm and the counterparty, we may enter into a repurchase date extension subject to market interest rates on such extension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5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April 2020, we entered into an agreement with various investors pursuant to which we issued convertible notes in an aggregate principal amount of $75.0 million with maturity dates in April 2021 and bearing interest at a rate of 1.00% per annum.</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September 2020, as part of our Series G equity financing round, the convertible notes issued in April 2020 were fully converted into 4,444,321 shares of Series G-1 preferred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January 19, 2021, we entered into a revolving credit agreement with a syndicate of commercial banks for a $185.0 million unsecured revolving credit facility. This facility bears interest at a rate equal to, at our option, either (a) a Eurodollar rate determined by reference to adjusted LIBOR for the interest period, plus an applicable margin of 2.50% per annum or (b) a base rate determined by reference to the highest of (i) the federal funds rate plus 0.50% per annum, (ii) the rate last quoted by The Wall Street Journal as the U.S. prime rate, and (iii) the one-month adjusted LIBOR plus 1.00% per annum, in each case, plus an applicable margin of 1.50% per annum. The revolving credit agreement has a final maturity date of January 19, 2024. The facility contains certain covenants and restrictions, including certain financial maintenance covenants, and requires payment of a monthly unused commitment fee of 0.35% per annum on the undrawn balance available. There are no borrowings outstanding under the facility at September 30,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Securitization and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consolidate VIEs when we are deemed to be the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established certain entities, deemed to be VIEs, to enter into warehouse credit facilities for the purpose of purchasing loans from our originating bank partners. Refer to Note 10.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Securitizations</w:t>
      </w:r>
    </w:p>
    <w:p>
      <w:pPr>
        <w:spacing w:after="0" w:line="252"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0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both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1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5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consolidated balance sheets.</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During the three months ended September 30, 2021, we consolidated Affirm Asset Securitization Trust 2020-Z1 (“2020-Z1”), Affirm Asset Securitization Trust 2020-A (“2020-A”), Affirm Asset Securitization Trust 2020-Z2 (“2020-Z2”), Affirm Asset Securitization Trust 2021-A (“2021-A”), and Affirm Asset Securitization Trust 2020-A (“2021-B”). Each securitization trust issued senior notes and residual certificates to finance the purchase of the loans facilitated by our platform. At the closing of each securitization, we contributed loans, facilitated through our technology platform and purchased from our originating bank partners, with an aggregate outstanding principal balance of $2,375.3 million. The 2020-Z1 and 2020-Z2 securitizations are secured by static pools of loans contributed at closing, whereas the 2020-A, 2021-A, and 2021-B securitization are revolving and we may contribute additional loans from time to time until the end of the revolving period. For the 2020-Z2 securitization, we purchased $27.9 million of loan receivables from our third-party loan buyers which were then contributed to the trust.</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each securitization, the residual certificates represent the right to receive all the residual cash collected on the loans held by the securitization trust after paying off the senior notes. All the senior notes were sold to third-party investors. For 2020-Z1, 2020-A, 2021-A and 2021-B, we retained 100% of the residual certificates issued by the securitization trusts. For 2020-Z2, we retained 93.3% of the residual certificates issued by the securitization trust, and a third-party investor holds the remaining 6.7% of the residual certificates in 2020-Z2. The residual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certificates held by third-party investors are measured at fair value, using a discounted cash flow model, and presented within accrued expenses and other liabilities on the interim condensed consolidated balance sheets. In addition to the retained residual certificates, our continued involvement includes loan servicing responsibilities over the life of the underlying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2021-B</w:t>
      </w:r>
    </w:p>
    <w:p>
      <w:pPr>
        <w:spacing w:after="0" w:line="25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August 4, 2021, the notes under the 2021-B securitization were issued in five classes: Class A in the amount of $418.8 million, Class B in the amount of $28.0 million, Class C in the amount of $19.8 million, Class D in the amount of $22.5 million, and Class E in the amount of $11.0 million (collectively, the “2021-B notes”). The Class A, Class B, Class C, Class D, and Class E notes bear interest at a fixed rate of 1.03%, 1.24%, 1.40%, 2.54%, and 4.61%, respectively, and each class has a maturity date of August 17, 2026. Principal and interest payments began in October 2021 and are payable monthly. These notes are recorded at amortized cost on the interim condensed consolidated balance sheet. The associated debt issuance costs, which totaled $3.0 million as of September 30, 2021, are deferred and amortized into interest expense over the estimated weighted average life of the notes. The 2021-B notes held by third-party investors and the unamortized debt issuance costs are included in notes issued by securitization trusts with a balance of $500.0 million on the interim condensed consolidated balance sheets at September 30, 2021 and are secured by loan receivables at amortized cost of $490.0 million included in loans held for investment on the interim condensed consolidated balance sheets as of September 30, 2021.</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tables present the aggregate carrying value of financial assets and liabilities from our involvement with consolidated VIEs.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2021</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3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381,909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51,752</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1,650,812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1,624,185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52"/>
              <w:spacing w:after="0"/>
              <w:rPr>
                <w:sz w:val="20"/>
                <w:szCs w:val="20"/>
                <w:color w:val="auto"/>
              </w:rPr>
            </w:pPr>
            <w:r>
              <w:rPr>
                <w:rFonts w:ascii="Arial" w:cs="Arial" w:eastAsia="Arial" w:hAnsi="Arial"/>
                <w:sz w:val="18"/>
                <w:szCs w:val="18"/>
                <w:color w:val="auto"/>
                <w:w w:val="87"/>
              </w:rPr>
              <w:t>26,627</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2,006,094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78,379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51"/>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2021</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3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73,315</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1,115,427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1,178,545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2"/>
              <w:spacing w:after="0"/>
              <w:rPr>
                <w:sz w:val="20"/>
                <w:szCs w:val="20"/>
                <w:color w:val="auto"/>
              </w:rPr>
            </w:pPr>
            <w:r>
              <w:rPr>
                <w:rFonts w:ascii="Arial" w:cs="Arial" w:eastAsia="Arial" w:hAnsi="Arial"/>
                <w:sz w:val="18"/>
                <w:szCs w:val="18"/>
                <w:color w:val="auto"/>
                <w:w w:val="92"/>
              </w:rPr>
              <w:t>(63,118)</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10,197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 the three months ended September 30, 2021, Affirm Asset Securitization Trust 2021-Z1 (“2021-Z1”) was an unconsolidated VIE. We did not retain significant economic exposure through our variable interests and therefore we determined that we are not the primary beneficiary as of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2021-Z1</w:t>
      </w:r>
    </w:p>
    <w:p>
      <w:pPr>
        <w:spacing w:after="0" w:line="252"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On May 5, 2021, the notes under 2021-Z1 securitization were issued as a single class: Class A in the amount of $320.0 million (the “2021-Z1 notes”). The 2021-Z1 notes bear interest at a fixed rate of 1.07% and have a maturity date of August 15, 2025. Principal and interest payments began in June 2021 and are payable monthly.</w:t>
      </w:r>
    </w:p>
    <w:p>
      <w:pPr>
        <w:spacing w:after="0" w:line="21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2021-Z1 securitization is secured by a static pool of loans which were contributed at the closing date to the 2021-Z1 trust. The loans contributed at closing were facilitated through our technology platform and purchased from our originating bank partners, with an aggregate outstanding principal balance of $351.0 million. Of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sold to the 2021-Z1 trust, we purchased $41.4 million of loan receivables from one of our third-party loan buyers, which were contributed to the trust at closing.</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closing, we retained 5% of the 2021-Z1 notes and 86.9% of the residual certificates issued by the 2021-Z1 trust. The third-party loan contributor received 13.1% of the residual certificates at closing. On May 17, 2021, we sold a majority of the residual certificates retained at closing, comprising 81.9% of the par value, to five third-party investors. Subsequent to this sale, we retained only a 5% vertical interest in the 2021-Z1 trust via our ownership of 5% par amount of the 2021-Z1 notes and 5% par amount of the residual interests. We were required to retain these interests for compliance with U.S. risk retention rules.</w:t>
      </w:r>
    </w:p>
    <w:p>
      <w:pPr>
        <w:spacing w:after="0" w:line="21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We initially consolidated the 2021-Z1 trust at closing due to retaining a majority of the residual interest. However, upon completing the subsequent third-party sale of 81.9% of the residual certificates on May 17, 2021, we determined that we no longer had significant economic exposure through our variable interests and as such, we determined that we were no longer the primary beneficiary as of this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consolidating the 2021-Z1 trust, we recognized a gain of $16.7 million, primarily driven by the gain on sale of the loans sold to the trust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3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tables present the aggregate carrying value of financial assets and liabilities for unconsolidated VIEs where we hold a variable interest but are not the primary beneficiary: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0"/>
              </w:rPr>
              <w:t>September 30, 2021</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262,451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260,644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262,451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260,644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2"/>
              </w:rPr>
              <w:t>June 30, 2021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305,414</w:t>
            </w:r>
          </w:p>
        </w:tc>
        <w:tc>
          <w:tcPr>
            <w:tcW w:w="80" w:type="dxa"/>
            <w:vAlign w:val="bottom"/>
            <w:tcBorders>
              <w:top w:val="single" w:sz="8" w:color="BFE4FF"/>
            </w:tcBorders>
            <w:shd w:val="clear" w:color="auto" w:fill="BFE4FF"/>
          </w:tcPr>
          <w:p>
            <w:pPr>
              <w:spacing w:after="0"/>
              <w:rPr>
                <w:sz w:val="19"/>
                <w:szCs w:val="19"/>
                <w:color w:val="auto"/>
              </w:rPr>
            </w:pPr>
          </w:p>
        </w:tc>
        <w:tc>
          <w:tcPr>
            <w:tcW w:w="280" w:type="dxa"/>
            <w:vAlign w:val="bottom"/>
            <w:tcBorders>
              <w:top w:val="single" w:sz="8" w:color="auto"/>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304,567</w:t>
            </w:r>
          </w:p>
        </w:tc>
        <w:tc>
          <w:tcPr>
            <w:tcW w:w="80" w:type="dxa"/>
            <w:vAlign w:val="bottom"/>
            <w:tcBorders>
              <w:top w:val="single" w:sz="8" w:color="BFE4FF"/>
            </w:tcBorders>
            <w:shd w:val="clear" w:color="auto" w:fill="BFE4FF"/>
          </w:tcPr>
          <w:p>
            <w:pPr>
              <w:spacing w:after="0"/>
              <w:rPr>
                <w:sz w:val="19"/>
                <w:szCs w:val="19"/>
                <w:color w:val="auto"/>
              </w:rPr>
            </w:pPr>
          </w:p>
        </w:tc>
        <w:tc>
          <w:tcPr>
            <w:tcW w:w="280" w:type="dxa"/>
            <w:vAlign w:val="bottom"/>
            <w:tcBorders>
              <w:top w:val="single" w:sz="8" w:color="auto"/>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BFE4FF"/>
            </w:tcBorders>
            <w:shd w:val="clear" w:color="auto" w:fill="BFE4FF"/>
          </w:tcPr>
          <w:p>
            <w:pPr>
              <w:spacing w:after="0"/>
              <w:rPr>
                <w:sz w:val="19"/>
                <w:szCs w:val="19"/>
                <w:color w:val="auto"/>
              </w:rPr>
            </w:pPr>
          </w:p>
        </w:tc>
        <w:tc>
          <w:tcPr>
            <w:tcW w:w="280" w:type="dxa"/>
            <w:vAlign w:val="bottom"/>
            <w:tcBorders>
              <w:top w:val="single" w:sz="8" w:color="auto"/>
              <w:bottom w:val="single" w:sz="8" w:color="auto"/>
            </w:tcBorders>
            <w:shd w:val="clear" w:color="auto" w:fill="BFE4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305,414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304,567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Assets of unconsolidated VIEs include the carrying value for loans held in the 2021-Z1 trust and cash held in the collection and reserve accounts established for the trust. Liabilities include the outstanding principal balance of the 2021-Z1 notes.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242424"/>
        </w:rPr>
        <w:t xml:space="preserve">Maximum </w:t>
      </w:r>
      <w:r>
        <w:rPr>
          <w:rFonts w:ascii="Arial" w:cs="Arial" w:eastAsia="Arial" w:hAnsi="Arial"/>
          <w:sz w:val="18"/>
          <w:szCs w:val="18"/>
          <w:color w:val="000000"/>
        </w:rPr>
        <w:t>exposure to losses represents our exposure through our continuing involvement as servicer and through our retained interests. For 2021-Z1, this includes $13.7 million in retained 2021-Z1 notes and residual certificates disclosed within securities available for sale at fair value in our interim condensed consolidated balance sheets and $0.5 million related to our 2021-Z1 servicing asset and receivables disclosed within other assets in our interim condensed consolidated balance sheets.</w:t>
      </w:r>
    </w:p>
    <w:p>
      <w:pPr>
        <w:spacing w:after="0" w:line="214"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Additionally, we may experience a loss due to future repurchase obligations resulting from breaches in representations and warranties in our securitization and third-party sale agreements. In connection with 2021-Z1, this amount was not material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Beneficial Interests in Unconsolidated VIEs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2021-Z1 as “available for sale” and as such they are disclosed at fair value in our consolidated balance sheets.</w:t>
      </w:r>
    </w:p>
    <w:p>
      <w:pPr>
        <w:spacing w:after="0" w:line="21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See Note 12. Investments and Note 13. Fair Value of Financial Assets and Liabilities for additional information on the fair value sensitivity of the notes receivable and residual certificates. Additionally, as of September 30, 2021, we have pledged the 2021-Z1 retained beneficial interests as collateral in connection with a repurchase agreement as described in Note 10.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Available for Sale, at Fair Value</w:t>
      </w:r>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Securities available for sale primarily consist of cash equivalents and marketable debt securities. Retained interests in our off balance sheet securitization funding transactions are also classified as available for sale.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amortized cost, gross unrealized gains and losses, allowance for credit losses, and fair value of securities available for sale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6"/>
                <w:szCs w:val="16"/>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2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46,714</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bonds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202,204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202,085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Non-US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50,073</w:t>
            </w: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63,721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Securitization notes receivable and certificates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694,762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240" w:hanging="328"/>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Certificates of deposit, corporate bonds, and commercial paper include $238.5 million classified as cash and cash equivalents within the interim condensed consolidated balance sheets.</w:t>
      </w:r>
    </w:p>
    <w:p>
      <w:pPr>
        <w:spacing w:after="0" w:line="229"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The amortized cost, gross unrealized gains and losses, allowance for credit losses, and fair value of securities available for sale as of June 30, 2021 were as follows:</w:t>
      </w:r>
    </w:p>
    <w:tbl>
      <w:tblPr>
        <w:tblLayout w:type="fixed"/>
        <w:tblInd w:w="0" w:type="dxa"/>
        <w:tblCellMar>
          <w:top w:w="0" w:type="dxa"/>
          <w:left w:w="0" w:type="dxa"/>
          <w:bottom w:w="0" w:type="dxa"/>
          <w:right w:w="0" w:type="dxa"/>
        </w:tblCellMar>
      </w:tblPr>
      <w:tr>
        <w:trPr>
          <w:trHeight w:val="163"/>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line="163" w:lineRule="exact"/>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line="163" w:lineRule="exact"/>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4"/>
                <w:szCs w:val="14"/>
                <w:color w:val="auto"/>
              </w:rPr>
            </w:pPr>
          </w:p>
        </w:tc>
        <w:tc>
          <w:tcPr>
            <w:tcW w:w="1420" w:type="dxa"/>
            <w:vAlign w:val="bottom"/>
            <w:gridSpan w:val="2"/>
          </w:tcPr>
          <w:p>
            <w:pPr>
              <w:ind w:left="80"/>
              <w:spacing w:after="0" w:line="163" w:lineRule="exact"/>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4"/>
                <w:szCs w:val="14"/>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2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notes receivable and certificates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September 30, 2021 and June 30, 2021,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September 30, 2021,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ind w:left="38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440" w:type="dxa"/>
            <w:vAlign w:val="bottom"/>
            <w:gridSpan w:val="5"/>
          </w:tcPr>
          <w:p>
            <w:pPr>
              <w:ind w:left="240"/>
              <w:spacing w:after="0"/>
              <w:rPr>
                <w:sz w:val="20"/>
                <w:szCs w:val="20"/>
                <w:color w:val="auto"/>
              </w:rPr>
            </w:pPr>
            <w:r>
              <w:rPr>
                <w:rFonts w:ascii="Arial" w:cs="Arial" w:eastAsia="Arial" w:hAnsi="Arial"/>
                <w:sz w:val="16"/>
                <w:szCs w:val="16"/>
                <w:b w:val="1"/>
                <w:bCs w:val="1"/>
                <w:color w:val="auto"/>
              </w:rPr>
              <w:t>Greater than 12 months</w:t>
            </w: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ind w:left="60"/>
              <w:spacing w:after="0" w:line="158" w:lineRule="exact"/>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32"/>
              <w:spacing w:after="0" w:line="158" w:lineRule="exact"/>
              <w:rPr>
                <w:sz w:val="20"/>
                <w:szCs w:val="20"/>
                <w:color w:val="auto"/>
              </w:rPr>
            </w:pPr>
            <w:r>
              <w:rPr>
                <w:rFonts w:ascii="Arial" w:cs="Arial" w:eastAsia="Arial" w:hAnsi="Arial"/>
                <w:sz w:val="16"/>
                <w:szCs w:val="16"/>
                <w:b w:val="1"/>
                <w:bCs w:val="1"/>
                <w:color w:val="auto"/>
                <w:w w:val="98"/>
              </w:rPr>
              <w:t>Unrealized</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Losses</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6"/>
                <w:szCs w:val="16"/>
                <w:b w:val="1"/>
                <w:bCs w:val="1"/>
                <w:color w:val="auto"/>
              </w:rPr>
              <w:t>Losses</w:t>
            </w:r>
          </w:p>
        </w:tc>
        <w:tc>
          <w:tcPr>
            <w:tcW w:w="0" w:type="dxa"/>
            <w:vAlign w:val="bottom"/>
          </w:tcPr>
          <w:p>
            <w:pPr>
              <w:spacing w:after="0"/>
              <w:rPr>
                <w:sz w:val="1"/>
                <w:szCs w:val="1"/>
                <w:color w:val="auto"/>
              </w:rPr>
            </w:pPr>
          </w:p>
        </w:tc>
      </w:tr>
      <w:tr>
        <w:trPr>
          <w:trHeight w:val="226"/>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192,765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192,765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w:t>
            </w: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securities available for 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securities available for sale with unrealized losses for which an allowance for credit losses had not been recorded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length of time contractual maturities of securities available for sale as of September 30, 2021,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6"/>
                <w:szCs w:val="16"/>
                <w:b w:val="1"/>
                <w:bCs w:val="1"/>
                <w:color w:val="auto"/>
              </w:rPr>
              <w:t>Less than 1 year</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6"/>
                <w:szCs w:val="16"/>
                <w:b w:val="1"/>
                <w:bCs w:val="1"/>
                <w:color w:val="auto"/>
              </w:rPr>
              <w:t>1 year through 5 years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8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60" w:type="dxa"/>
            <w:vAlign w:val="bottom"/>
          </w:tcPr>
          <w:p>
            <w:pPr>
              <w:spacing w:after="0"/>
              <w:rPr>
                <w:sz w:val="13"/>
                <w:szCs w:val="13"/>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Fair Value</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60" w:type="dxa"/>
            <w:vAlign w:val="bottom"/>
          </w:tcPr>
          <w:p>
            <w:pPr>
              <w:spacing w:after="0"/>
              <w:rPr>
                <w:sz w:val="13"/>
                <w:szCs w:val="13"/>
                <w:color w:val="auto"/>
              </w:rPr>
            </w:pPr>
          </w:p>
        </w:tc>
        <w:tc>
          <w:tcPr>
            <w:tcW w:w="10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46,714</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138,172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63,970</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63,970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202,085</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316,422</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50,073</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32,433</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63,730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63,721</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certificates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securities available for 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120,438</w:t>
            </w: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694,762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163195</wp:posOffset>
            </wp:positionV>
            <wp:extent cx="1414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life of expected cash flows as of September 30, 2021.</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Gross proceeds from matured or redeemed securities for the three months ended September 30, 2021 were $50.7 million.</w:t>
      </w:r>
    </w:p>
    <w:p>
      <w:pPr>
        <w:spacing w:after="0" w:line="252" w:lineRule="exact"/>
        <w:rPr>
          <w:rFonts w:ascii="Arial" w:cs="Arial" w:eastAsia="Arial" w:hAnsi="Arial"/>
          <w:sz w:val="23"/>
          <w:szCs w:val="23"/>
          <w:color w:val="auto"/>
          <w:vertAlign w:val="superscript"/>
        </w:rPr>
      </w:pPr>
    </w:p>
    <w:p>
      <w:pPr>
        <w:ind w:left="660" w:right="20"/>
        <w:spacing w:after="0" w:line="559" w:lineRule="auto"/>
        <w:rPr>
          <w:rFonts w:ascii="Arial" w:cs="Arial" w:eastAsia="Arial" w:hAnsi="Arial"/>
          <w:sz w:val="23"/>
          <w:szCs w:val="23"/>
          <w:color w:val="auto"/>
          <w:vertAlign w:val="superscript"/>
        </w:rPr>
      </w:pPr>
      <w:r>
        <w:rPr>
          <w:rFonts w:ascii="Arial" w:cs="Arial" w:eastAsia="Arial" w:hAnsi="Arial"/>
          <w:sz w:val="18"/>
          <w:szCs w:val="18"/>
          <w:color w:val="auto"/>
        </w:rPr>
        <w:t>There were no portfolio sales or associated realized gains or losses for available for sale securities for the three months ended September 30, 2021. We did not hold any securities classified as available for sale for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 at Cost</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Equity investments without a readily determinable fair value held at cost were $11.3 million as of September 30, 2021 and June 30, 2021 and are included in other assets within the interim condensed consolidated balance sheets.</w:t>
      </w:r>
    </w:p>
    <w:p>
      <w:pPr>
        <w:spacing w:after="0" w:line="19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did not record any impairment or upward or downward adjustments at fair value as of September 30, 2021 and there were no realized gains or losses from sales of equity investments held at cost for the three months ended September 30, 2021 or September 30,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Assets and Liabilities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ASC Topic 820, “Fair Value Measurement” (“ASC 820”) establishes a fair value hierarchy that prioritizes the use of inputs used in valuation methodologies into the following three levels:</w:t>
      </w:r>
    </w:p>
    <w:p>
      <w:pPr>
        <w:spacing w:after="0" w:line="197" w:lineRule="exact"/>
        <w:rPr>
          <w:sz w:val="20"/>
          <w:szCs w:val="20"/>
          <w:color w:val="auto"/>
        </w:rPr>
      </w:pPr>
    </w:p>
    <w:p>
      <w:pPr>
        <w:ind w:left="660" w:right="4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 A quoted price in an</w:t>
      </w:r>
      <w:r>
        <w:rPr>
          <w:rFonts w:ascii="Arial" w:cs="Arial" w:eastAsia="Arial" w:hAnsi="Arial"/>
          <w:sz w:val="17"/>
          <w:szCs w:val="17"/>
          <w:i w:val="1"/>
          <w:iCs w:val="1"/>
          <w:color w:val="auto"/>
        </w:rPr>
        <w:t xml:space="preserve"> </w:t>
      </w:r>
      <w:r>
        <w:rPr>
          <w:rFonts w:ascii="Arial" w:cs="Arial" w:eastAsia="Arial" w:hAnsi="Arial"/>
          <w:sz w:val="17"/>
          <w:szCs w:val="17"/>
          <w:color w:val="auto"/>
        </w:rPr>
        <w:t>active market provides the most reliable evidence of fair value and shall be used to measure fair value whenever available.</w:t>
      </w:r>
    </w:p>
    <w:p>
      <w:pPr>
        <w:spacing w:after="0" w:line="173" w:lineRule="exact"/>
        <w:rPr>
          <w:rFonts w:ascii="Arial" w:cs="Arial" w:eastAsia="Arial" w:hAnsi="Arial"/>
          <w:sz w:val="17"/>
          <w:szCs w:val="17"/>
          <w:color w:val="auto"/>
        </w:rPr>
      </w:pPr>
    </w:p>
    <w:p>
      <w:pPr>
        <w:ind w:left="660" w:hanging="328"/>
        <w:spacing w:after="0" w:line="286"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or liabilities in active markets; inputs to the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192" w:lineRule="exact"/>
        <w:rPr>
          <w:rFonts w:ascii="Arial" w:cs="Arial" w:eastAsia="Arial" w:hAnsi="Arial"/>
          <w:sz w:val="17"/>
          <w:szCs w:val="17"/>
          <w:color w:val="auto"/>
        </w:rPr>
      </w:pPr>
    </w:p>
    <w:p>
      <w:pPr>
        <w:jc w:val="both"/>
        <w:ind w:left="660" w:right="10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 Level 3 assets and liabilities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whose value is determined using discounted cash flow methodologies,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Recorded at Fair Value</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September 30, 2021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1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Servicing assets</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2,287</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020" w:type="dxa"/>
            <w:vAlign w:val="bottom"/>
          </w:tcPr>
          <w:p>
            <w:pPr>
              <w:ind w:left="260"/>
              <w:spacing w:after="0" w:line="230" w:lineRule="exact"/>
              <w:rPr>
                <w:sz w:val="20"/>
                <w:szCs w:val="20"/>
                <w:color w:val="auto"/>
              </w:rPr>
            </w:pPr>
            <w:r>
              <w:rPr>
                <w:rFonts w:ascii="Arial" w:cs="Arial" w:eastAsia="Arial" w:hAnsi="Arial"/>
                <w:sz w:val="18"/>
                <w:szCs w:val="18"/>
                <w:color w:val="auto"/>
              </w:rPr>
              <w:t xml:space="preserve">Certificate of deposit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46,714</w:t>
            </w:r>
          </w:p>
        </w:tc>
      </w:tr>
      <w:tr>
        <w:trPr>
          <w:trHeight w:val="229"/>
        </w:trPr>
        <w:tc>
          <w:tcPr>
            <w:tcW w:w="60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Corporate bonds </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202,085</w:t>
            </w:r>
          </w:p>
        </w:tc>
      </w:tr>
      <w:tr>
        <w:trPr>
          <w:trHeight w:val="230"/>
        </w:trPr>
        <w:tc>
          <w:tcPr>
            <w:tcW w:w="6020" w:type="dxa"/>
            <w:vAlign w:val="bottom"/>
          </w:tcPr>
          <w:p>
            <w:pPr>
              <w:ind w:left="26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316,422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316,422</w:t>
            </w:r>
          </w:p>
        </w:tc>
      </w:tr>
      <w:tr>
        <w:trPr>
          <w:trHeight w:val="229"/>
        </w:trPr>
        <w:tc>
          <w:tcPr>
            <w:tcW w:w="6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Government bonds:</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020" w:type="dxa"/>
            <w:vAlign w:val="bottom"/>
          </w:tcPr>
          <w:p>
            <w:pPr>
              <w:ind w:left="440"/>
              <w:spacing w:after="0"/>
              <w:rPr>
                <w:sz w:val="20"/>
                <w:szCs w:val="20"/>
                <w:color w:val="auto"/>
              </w:rPr>
            </w:pPr>
            <w:r>
              <w:rPr>
                <w:rFonts w:ascii="Arial" w:cs="Arial" w:eastAsia="Arial" w:hAnsi="Arial"/>
                <w:sz w:val="18"/>
                <w:szCs w:val="18"/>
                <w:color w:val="auto"/>
              </w:rPr>
              <w:t>Non-U.S.</w:t>
            </w: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50,073</w:t>
            </w:r>
          </w:p>
        </w:tc>
      </w:tr>
      <w:tr>
        <w:trPr>
          <w:trHeight w:val="230"/>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63,721</w:t>
            </w:r>
          </w:p>
        </w:tc>
      </w:tr>
      <w:tr>
        <w:trPr>
          <w:trHeight w:val="229"/>
        </w:trPr>
        <w:tc>
          <w:tcPr>
            <w:tcW w:w="6020" w:type="dxa"/>
            <w:vAlign w:val="bottom"/>
          </w:tcPr>
          <w:p>
            <w:pPr>
              <w:ind w:left="260"/>
              <w:spacing w:after="0"/>
              <w:rPr>
                <w:sz w:val="20"/>
                <w:szCs w:val="20"/>
                <w:color w:val="auto"/>
              </w:rPr>
            </w:pPr>
            <w:r>
              <w:rPr>
                <w:rFonts w:ascii="Arial" w:cs="Arial" w:eastAsia="Arial" w:hAnsi="Arial"/>
                <w:sz w:val="18"/>
                <w:szCs w:val="18"/>
                <w:color w:val="auto"/>
              </w:rPr>
              <w:t>Securitization notes receivable and residual trust certificates</w:t>
            </w: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13,744</w:t>
            </w:r>
          </w:p>
        </w:tc>
      </w:tr>
      <w:tr>
        <w:trPr>
          <w:trHeight w:val="229"/>
        </w:trPr>
        <w:tc>
          <w:tcPr>
            <w:tcW w:w="6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3"/>
        </w:trPr>
        <w:tc>
          <w:tcPr>
            <w:tcW w:w="6020" w:type="dxa"/>
            <w:vAlign w:val="bottom"/>
          </w:tcPr>
          <w:p>
            <w:pPr>
              <w:ind w:left="580"/>
              <w:spacing w:after="0"/>
              <w:rPr>
                <w:sz w:val="20"/>
                <w:szCs w:val="20"/>
                <w:color w:val="auto"/>
              </w:rPr>
            </w:pPr>
            <w:r>
              <w:rPr>
                <w:rFonts w:ascii="Arial" w:cs="Arial" w:eastAsia="Arial" w:hAnsi="Arial"/>
                <w:sz w:val="18"/>
                <w:szCs w:val="18"/>
                <w:color w:val="auto"/>
              </w:rPr>
              <w:t>Total securities available for sale</w:t>
            </w: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679,015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694,762</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683,050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701,084</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Servicing liabilities</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3,610</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fee liability</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290,719</w:t>
            </w: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Profit share liability</w:t>
            </w:r>
          </w:p>
        </w:tc>
        <w:tc>
          <w:tcPr>
            <w:tcW w:w="9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0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297,809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297,809</w:t>
            </w:r>
          </w:p>
        </w:tc>
      </w:tr>
      <w:tr>
        <w:trPr>
          <w:trHeight w:val="21"/>
        </w:trPr>
        <w:tc>
          <w:tcPr>
            <w:tcW w:w="6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240" w:hanging="328"/>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Certificates of deposit, corporate bonds, and commercial paper include $238.5 million classified as cash and cash equivalents within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June 30, 2021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12"/>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Securitization notes receivable</w:t>
            </w:r>
          </w:p>
        </w:tc>
        <w:tc>
          <w:tcPr>
            <w:tcW w:w="900" w:type="dxa"/>
            <w:vAlign w:val="bottom"/>
          </w:tcPr>
          <w:p>
            <w:pPr>
              <w:jc w:val="right"/>
              <w:ind w:right="692"/>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15,224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15,224</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trust certificates</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Servicing assets</w:t>
            </w:r>
          </w:p>
        </w:tc>
        <w:tc>
          <w:tcPr>
            <w:tcW w:w="9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2,349</w:t>
            </w: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18,519</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21,399</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Servicing liabilities</w:t>
            </w:r>
          </w:p>
        </w:tc>
        <w:tc>
          <w:tcPr>
            <w:tcW w:w="9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3,961</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fee liability</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9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147,820</w:t>
            </w:r>
          </w:p>
        </w:tc>
      </w:tr>
      <w:tr>
        <w:trPr>
          <w:trHeight w:val="230"/>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Profit share liability</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156,449</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156,449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periods ended September 30, 2021 and June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(Level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Available for Sale</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As of September 30, 2021, we held marketable securities classified as available for sale. Management obtains pricing from one or more third party pricing services for the purpose of determining fair value. Whenever available, the fair value is based on quoted bid prices as of the end of the trading day. When quoted prices are not available, other methods may be utilized including evaluated prices provided by third party pricing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 (Interest Rate Cap Agreements)</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As of September 30, 2021, we had two interest rate cap agreements outstanding to manage interest costs and the risk associated with variable interest rates. These derivatives have not been designated as hedging instruments. As of September 30, 2021 the interest rate caps are classified as Level 2 and recorded at fair value, based on prices quoted for similar financial instruments in markets that are not active. The interest rate caps are presented within other assets or accrued expenses and other liabilities on the interim condensed consolidated balance sheets. Any changes in the fair value of the financial instruments are reflected in other (expense) income, net, on the interim condensed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using Significant Unobservable Inputs (Level 3)</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evaluate our financial assets and liabilities subject to fair value measurements on a recurring basis to determine the appropriate level at which to classify them each reporting period. Since our servicing assets and liabilities, performance fee liability, residual trust certificates, contingent consideration, and profit share liability do not trade in an active market with readily observable prices, we use significant unobservable inputs to measure fair value. This determination requires significant judgments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Servicing Assets and Liabilities</w:t>
      </w:r>
    </w:p>
    <w:p>
      <w:pPr>
        <w:spacing w:after="0" w:line="252"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We sold loans with an unpaid balance of $1,093.1 million and $421.6 million for the three months ended September 30, 2021 and 2020, respectively, for which we retained servicing rights.</w:t>
      </w:r>
    </w:p>
    <w:p>
      <w:pPr>
        <w:spacing w:after="0" w:line="19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As of September 30, 2021 and June 30, 2021, we serviced loans which we sold with a remaining unpaid principal balance of $2,622.7 million and $2,453.9 million, respectively.</w:t>
      </w:r>
    </w:p>
    <w:p>
      <w:pPr>
        <w:spacing w:after="0" w:line="19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We use discounted cash flow models to arrive at an estimate of fair value. Significant assumptions used in the valuation of our servicing rights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Adequate Compensation</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estimate adequate compensation as the rate a willing market participant would require for servicing loans with similar characteristics as those in the serviced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5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Default Rate</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earned $9.5 million and $4.1 million of servicing income for the three months ended September 30, 2021 and 2020, respectively.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both September 30, 2021 and June 30, 2021, the aggregate fair value of the servicing assets was measured at $2.3 million and presented within other assets on the interim condensed consolidated balance sheets. As of September 30, 2021 and June 30, 2021, the aggregate fair value of the servicing liabilities was measured at $3.6 million and $4.0 million, respectively, and presented within accrued expenses and other liabilities on the interim condensed consolidated balance sheets.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aggregate fair value of our servicing assets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Servicing Assets</w:t>
            </w:r>
          </w:p>
        </w:tc>
        <w:tc>
          <w:tcPr>
            <w:tcW w:w="1420" w:type="dxa"/>
            <w:vAlign w:val="bottom"/>
            <w:tcBorders>
              <w:bottom w:val="single" w:sz="8" w:color="auto"/>
            </w:tcBorders>
          </w:tcPr>
          <w:p>
            <w:pPr>
              <w:spacing w:after="0"/>
              <w:rPr>
                <w:sz w:val="18"/>
                <w:szCs w:val="18"/>
                <w:color w:val="auto"/>
              </w:rPr>
            </w:pPr>
          </w:p>
        </w:tc>
      </w:tr>
      <w:tr>
        <w:trPr>
          <w:trHeight w:val="210"/>
        </w:trPr>
        <w:tc>
          <w:tcPr>
            <w:tcW w:w="6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2021</w:t>
            </w:r>
          </w:p>
        </w:tc>
        <w:tc>
          <w:tcPr>
            <w:tcW w:w="92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64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Fair value at beginning of period</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88"/>
              </w:rPr>
              <w:t>2,132</w:t>
            </w:r>
          </w:p>
        </w:tc>
      </w:tr>
      <w:tr>
        <w:trPr>
          <w:trHeight w:val="229"/>
        </w:trPr>
        <w:tc>
          <w:tcPr>
            <w:tcW w:w="6440" w:type="dxa"/>
            <w:vAlign w:val="bottom"/>
          </w:tcPr>
          <w:p>
            <w:pPr>
              <w:ind w:left="780"/>
              <w:spacing w:after="0"/>
              <w:rPr>
                <w:sz w:val="20"/>
                <w:szCs w:val="20"/>
                <w:color w:val="auto"/>
              </w:rPr>
            </w:pPr>
            <w:r>
              <w:rPr>
                <w:rFonts w:ascii="Arial" w:cs="Arial" w:eastAsia="Arial" w:hAnsi="Arial"/>
                <w:sz w:val="18"/>
                <w:szCs w:val="18"/>
                <w:color w:val="auto"/>
              </w:rPr>
              <w:t>Initial transfers of financial assets</w:t>
            </w: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jc w:val="center"/>
              <w:ind w:left="772"/>
              <w:spacing w:after="0"/>
              <w:rPr>
                <w:sz w:val="20"/>
                <w:szCs w:val="20"/>
                <w:color w:val="auto"/>
              </w:rPr>
            </w:pPr>
            <w:r>
              <w:rPr>
                <w:rFonts w:ascii="Arial" w:cs="Arial" w:eastAsia="Arial" w:hAnsi="Arial"/>
                <w:sz w:val="18"/>
                <w:szCs w:val="18"/>
                <w:color w:val="auto"/>
                <w:w w:val="88"/>
              </w:rPr>
              <w:t>2,915</w:t>
            </w:r>
          </w:p>
        </w:tc>
      </w:tr>
      <w:tr>
        <w:trPr>
          <w:trHeight w:val="230"/>
        </w:trPr>
        <w:tc>
          <w:tcPr>
            <w:tcW w:w="6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Subsequent changes in fair value</w:t>
            </w: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94"/>
              </w:rPr>
              <w:t>(2,698)</w:t>
            </w:r>
          </w:p>
        </w:tc>
      </w:tr>
      <w:tr>
        <w:trPr>
          <w:trHeight w:val="223"/>
        </w:trPr>
        <w:tc>
          <w:tcPr>
            <w:tcW w:w="6440" w:type="dxa"/>
            <w:vAlign w:val="bottom"/>
          </w:tcPr>
          <w:p>
            <w:pPr>
              <w:ind w:left="680"/>
              <w:spacing w:after="0"/>
              <w:rPr>
                <w:sz w:val="20"/>
                <w:szCs w:val="20"/>
                <w:color w:val="auto"/>
              </w:rPr>
            </w:pPr>
            <w:r>
              <w:rPr>
                <w:rFonts w:ascii="Arial" w:cs="Arial" w:eastAsia="Arial" w:hAnsi="Arial"/>
                <w:sz w:val="18"/>
                <w:szCs w:val="18"/>
                <w:color w:val="auto"/>
              </w:rPr>
              <w:t>Fair value at end of period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88"/>
              </w:rPr>
              <w:t>2,349</w:t>
            </w:r>
          </w:p>
        </w:tc>
      </w:tr>
      <w:tr>
        <w:trPr>
          <w:trHeight w:val="21"/>
        </w:trPr>
        <w:tc>
          <w:tcPr>
            <w:tcW w:w="6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aggregate fair value of our servicing liabilities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Servicing Liabilities</w:t>
            </w:r>
          </w:p>
        </w:tc>
        <w:tc>
          <w:tcPr>
            <w:tcW w:w="1360" w:type="dxa"/>
            <w:vAlign w:val="bottom"/>
            <w:tcBorders>
              <w:bottom w:val="single" w:sz="8" w:color="auto"/>
            </w:tcBorders>
          </w:tcPr>
          <w:p>
            <w:pPr>
              <w:spacing w:after="0"/>
              <w:rPr>
                <w:sz w:val="18"/>
                <w:szCs w:val="18"/>
                <w:color w:val="auto"/>
              </w:rPr>
            </w:pPr>
          </w:p>
        </w:tc>
      </w:tr>
      <w:tr>
        <w:trPr>
          <w:trHeight w:val="210"/>
        </w:trPr>
        <w:tc>
          <w:tcPr>
            <w:tcW w:w="6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98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64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Fair value at beginning of period</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center"/>
              <w:ind w:left="953"/>
              <w:spacing w:after="0"/>
              <w:rPr>
                <w:sz w:val="20"/>
                <w:szCs w:val="20"/>
                <w:color w:val="auto"/>
              </w:rPr>
            </w:pPr>
            <w:r>
              <w:rPr>
                <w:rFonts w:ascii="Arial" w:cs="Arial" w:eastAsia="Arial" w:hAnsi="Arial"/>
                <w:sz w:val="18"/>
                <w:szCs w:val="18"/>
                <w:color w:val="auto"/>
                <w:w w:val="88"/>
              </w:rPr>
              <w:t>3,961</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center"/>
              <w:ind w:left="712"/>
              <w:spacing w:after="0"/>
              <w:rPr>
                <w:sz w:val="20"/>
                <w:szCs w:val="20"/>
                <w:color w:val="auto"/>
              </w:rPr>
            </w:pPr>
            <w:r>
              <w:rPr>
                <w:rFonts w:ascii="Arial" w:cs="Arial" w:eastAsia="Arial" w:hAnsi="Arial"/>
                <w:sz w:val="18"/>
                <w:szCs w:val="18"/>
                <w:color w:val="auto"/>
                <w:w w:val="88"/>
              </w:rPr>
              <w:t>1,540</w:t>
            </w:r>
          </w:p>
        </w:tc>
      </w:tr>
      <w:tr>
        <w:trPr>
          <w:trHeight w:val="229"/>
        </w:trPr>
        <w:tc>
          <w:tcPr>
            <w:tcW w:w="6420" w:type="dxa"/>
            <w:vAlign w:val="bottom"/>
          </w:tcPr>
          <w:p>
            <w:pPr>
              <w:ind w:left="780"/>
              <w:spacing w:after="0"/>
              <w:rPr>
                <w:sz w:val="20"/>
                <w:szCs w:val="20"/>
                <w:color w:val="auto"/>
              </w:rPr>
            </w:pPr>
            <w:r>
              <w:rPr>
                <w:rFonts w:ascii="Arial" w:cs="Arial" w:eastAsia="Arial" w:hAnsi="Arial"/>
                <w:sz w:val="18"/>
                <w:szCs w:val="18"/>
                <w:color w:val="auto"/>
              </w:rPr>
              <w:t>Initial transfers of financial assets</w:t>
            </w:r>
          </w:p>
        </w:tc>
        <w:tc>
          <w:tcPr>
            <w:tcW w:w="780" w:type="dxa"/>
            <w:vAlign w:val="bottom"/>
          </w:tcPr>
          <w:p>
            <w:pPr>
              <w:spacing w:after="0"/>
              <w:rPr>
                <w:sz w:val="19"/>
                <w:szCs w:val="19"/>
                <w:color w:val="auto"/>
              </w:rPr>
            </w:pPr>
          </w:p>
        </w:tc>
        <w:tc>
          <w:tcPr>
            <w:tcW w:w="1560" w:type="dxa"/>
            <w:vAlign w:val="bottom"/>
          </w:tcPr>
          <w:p>
            <w:pPr>
              <w:jc w:val="center"/>
              <w:ind w:left="953"/>
              <w:spacing w:after="0"/>
              <w:rPr>
                <w:sz w:val="20"/>
                <w:szCs w:val="20"/>
                <w:color w:val="auto"/>
              </w:rPr>
            </w:pPr>
            <w:r>
              <w:rPr>
                <w:rFonts w:ascii="Arial" w:cs="Arial" w:eastAsia="Arial" w:hAnsi="Arial"/>
                <w:sz w:val="18"/>
                <w:szCs w:val="18"/>
                <w:color w:val="auto"/>
                <w:w w:val="88"/>
              </w:rPr>
              <w:t>1,975</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tcPr>
          <w:p>
            <w:pPr>
              <w:jc w:val="center"/>
              <w:ind w:left="712"/>
              <w:spacing w:after="0"/>
              <w:rPr>
                <w:sz w:val="20"/>
                <w:szCs w:val="20"/>
                <w:color w:val="auto"/>
              </w:rPr>
            </w:pPr>
            <w:r>
              <w:rPr>
                <w:rFonts w:ascii="Arial" w:cs="Arial" w:eastAsia="Arial" w:hAnsi="Arial"/>
                <w:sz w:val="18"/>
                <w:szCs w:val="18"/>
                <w:color w:val="auto"/>
                <w:w w:val="88"/>
              </w:rPr>
              <w:t>8,794</w:t>
            </w:r>
          </w:p>
        </w:tc>
      </w:tr>
      <w:tr>
        <w:trPr>
          <w:trHeight w:val="230"/>
        </w:trPr>
        <w:tc>
          <w:tcPr>
            <w:tcW w:w="64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Subsequent changes in fair value</w:t>
            </w:r>
          </w:p>
        </w:tc>
        <w:tc>
          <w:tcPr>
            <w:tcW w:w="7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8"/>
                <w:szCs w:val="18"/>
                <w:color w:val="auto"/>
                <w:w w:val="91"/>
              </w:rPr>
              <w:t>(2,326)</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92"/>
              <w:spacing w:after="0"/>
              <w:rPr>
                <w:sz w:val="20"/>
                <w:szCs w:val="20"/>
                <w:color w:val="auto"/>
              </w:rPr>
            </w:pPr>
            <w:r>
              <w:rPr>
                <w:rFonts w:ascii="Arial" w:cs="Arial" w:eastAsia="Arial" w:hAnsi="Arial"/>
                <w:sz w:val="18"/>
                <w:szCs w:val="18"/>
                <w:color w:val="auto"/>
                <w:w w:val="94"/>
              </w:rPr>
              <w:t>(6,373)</w:t>
            </w:r>
          </w:p>
        </w:tc>
      </w:tr>
      <w:tr>
        <w:trPr>
          <w:trHeight w:val="223"/>
        </w:trPr>
        <w:tc>
          <w:tcPr>
            <w:tcW w:w="6420" w:type="dxa"/>
            <w:vAlign w:val="bottom"/>
          </w:tcPr>
          <w:p>
            <w:pPr>
              <w:ind w:left="680"/>
              <w:spacing w:after="0"/>
              <w:rPr>
                <w:sz w:val="20"/>
                <w:szCs w:val="20"/>
                <w:color w:val="auto"/>
              </w:rPr>
            </w:pPr>
            <w:r>
              <w:rPr>
                <w:rFonts w:ascii="Arial" w:cs="Arial" w:eastAsia="Arial" w:hAnsi="Arial"/>
                <w:sz w:val="18"/>
                <w:szCs w:val="18"/>
                <w:color w:val="auto"/>
              </w:rPr>
              <w:t>Fair value at end of period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center"/>
              <w:ind w:left="953"/>
              <w:spacing w:after="0"/>
              <w:rPr>
                <w:sz w:val="20"/>
                <w:szCs w:val="20"/>
                <w:color w:val="auto"/>
              </w:rPr>
            </w:pPr>
            <w:r>
              <w:rPr>
                <w:rFonts w:ascii="Arial" w:cs="Arial" w:eastAsia="Arial" w:hAnsi="Arial"/>
                <w:sz w:val="18"/>
                <w:szCs w:val="18"/>
                <w:color w:val="auto"/>
                <w:w w:val="88"/>
              </w:rPr>
              <w:t>3,610</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center"/>
              <w:ind w:left="712"/>
              <w:spacing w:after="0"/>
              <w:rPr>
                <w:sz w:val="20"/>
                <w:szCs w:val="20"/>
                <w:color w:val="auto"/>
              </w:rPr>
            </w:pPr>
            <w:r>
              <w:rPr>
                <w:rFonts w:ascii="Arial" w:cs="Arial" w:eastAsia="Arial" w:hAnsi="Arial"/>
                <w:sz w:val="18"/>
                <w:szCs w:val="18"/>
                <w:color w:val="auto"/>
                <w:w w:val="88"/>
              </w:rPr>
              <w:t>3,961</w:t>
            </w:r>
          </w:p>
        </w:tc>
      </w:tr>
      <w:tr>
        <w:trPr>
          <w:trHeight w:val="21"/>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servicing assets and liabilities as of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2820" w:type="dxa"/>
            <w:vAlign w:val="bottom"/>
            <w:gridSpan w:val="2"/>
          </w:tcPr>
          <w:p>
            <w:pPr>
              <w:ind w:left="680"/>
              <w:spacing w:after="0"/>
              <w:rPr>
                <w:sz w:val="20"/>
                <w:szCs w:val="20"/>
                <w:color w:val="auto"/>
              </w:rPr>
            </w:pPr>
            <w:r>
              <w:rPr>
                <w:rFonts w:ascii="Arial" w:cs="Arial" w:eastAsia="Arial" w:hAnsi="Arial"/>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Arial" w:cs="Arial" w:eastAsia="Arial" w:hAnsi="Arial"/>
                <w:sz w:val="16"/>
                <w:szCs w:val="16"/>
                <w:b w:val="1"/>
                <w:bCs w:val="1"/>
                <w:color w:val="auto"/>
              </w:rPr>
              <w:t>Minimum</w:t>
            </w:r>
          </w:p>
        </w:tc>
        <w:tc>
          <w:tcPr>
            <w:tcW w:w="1840" w:type="dxa"/>
            <w:vAlign w:val="bottom"/>
            <w:gridSpan w:val="2"/>
          </w:tcPr>
          <w:p>
            <w:pPr>
              <w:ind w:left="520"/>
              <w:spacing w:after="0"/>
              <w:rPr>
                <w:sz w:val="20"/>
                <w:szCs w:val="20"/>
                <w:color w:val="auto"/>
              </w:rPr>
            </w:pPr>
            <w:r>
              <w:rPr>
                <w:rFonts w:ascii="Arial" w:cs="Arial" w:eastAsia="Arial" w:hAnsi="Arial"/>
                <w:sz w:val="16"/>
                <w:szCs w:val="16"/>
                <w:b w:val="1"/>
                <w:bCs w:val="1"/>
                <w:color w:val="auto"/>
              </w:rPr>
              <w:t>Maximum</w:t>
            </w:r>
          </w:p>
        </w:tc>
        <w:tc>
          <w:tcPr>
            <w:tcW w:w="1760" w:type="dxa"/>
            <w:vAlign w:val="bottom"/>
          </w:tcPr>
          <w:p>
            <w:pPr>
              <w:jc w:val="right"/>
              <w:ind w:right="151"/>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6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0.60 %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0.97 %</w:t>
            </w:r>
          </w:p>
        </w:tc>
      </w:tr>
      <w:tr>
        <w:trPr>
          <w:trHeight w:val="229"/>
        </w:trPr>
        <w:tc>
          <w:tcPr>
            <w:tcW w:w="296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default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6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30"/>
        </w:trPr>
        <w:tc>
          <w:tcPr>
            <w:tcW w:w="296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Net default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13.54 %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5"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Estimated cost of servicing a loan as a percentage of unpaid principal balance</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servicing assets and liabilities as of June 30,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2840" w:type="dxa"/>
            <w:vAlign w:val="bottom"/>
            <w:gridSpan w:val="2"/>
          </w:tcPr>
          <w:p>
            <w:pPr>
              <w:ind w:left="680"/>
              <w:spacing w:after="0"/>
              <w:rPr>
                <w:sz w:val="20"/>
                <w:szCs w:val="20"/>
                <w:color w:val="auto"/>
              </w:rPr>
            </w:pPr>
            <w:r>
              <w:rPr>
                <w:rFonts w:ascii="Arial" w:cs="Arial" w:eastAsia="Arial" w:hAnsi="Arial"/>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Arial" w:cs="Arial" w:eastAsia="Arial" w:hAnsi="Arial"/>
                <w:sz w:val="16"/>
                <w:szCs w:val="16"/>
                <w:b w:val="1"/>
                <w:bCs w:val="1"/>
                <w:color w:val="auto"/>
              </w:rPr>
              <w:t>Minimum</w:t>
            </w:r>
          </w:p>
        </w:tc>
        <w:tc>
          <w:tcPr>
            <w:tcW w:w="1840" w:type="dxa"/>
            <w:vAlign w:val="bottom"/>
            <w:gridSpan w:val="2"/>
          </w:tcPr>
          <w:p>
            <w:pPr>
              <w:ind w:left="520"/>
              <w:spacing w:after="0"/>
              <w:rPr>
                <w:sz w:val="20"/>
                <w:szCs w:val="20"/>
                <w:color w:val="auto"/>
              </w:rPr>
            </w:pPr>
            <w:r>
              <w:rPr>
                <w:rFonts w:ascii="Arial" w:cs="Arial" w:eastAsia="Arial" w:hAnsi="Arial"/>
                <w:sz w:val="16"/>
                <w:szCs w:val="16"/>
                <w:b w:val="1"/>
                <w:bCs w:val="1"/>
                <w:color w:val="auto"/>
              </w:rPr>
              <w:t>Maximum</w:t>
            </w:r>
          </w:p>
        </w:tc>
        <w:tc>
          <w:tcPr>
            <w:tcW w:w="1760" w:type="dxa"/>
            <w:vAlign w:val="bottom"/>
          </w:tcPr>
          <w:p>
            <w:pPr>
              <w:jc w:val="right"/>
              <w:ind w:right="151"/>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0.70 %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0.81 %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default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0.64 %</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2.71 %</w:t>
            </w:r>
          </w:p>
        </w:tc>
      </w:tr>
      <w:tr>
        <w:trPr>
          <w:trHeight w:val="230"/>
        </w:trPr>
        <w:tc>
          <w:tcPr>
            <w:tcW w:w="294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Net default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0.80 %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8.42 %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4"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Estimated cost of servicing a loan as a percentage of unpaid principal balance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08"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2021</w:t>
            </w:r>
          </w:p>
        </w:tc>
      </w:tr>
      <w:tr>
        <w:trPr>
          <w:trHeight w:val="213"/>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Servicing assets</w:t>
            </w: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Net default rate assumption:</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default rate increase of 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500" w:type="dxa"/>
            <w:vAlign w:val="bottom"/>
          </w:tcPr>
          <w:p>
            <w:pPr>
              <w:ind w:left="240"/>
              <w:spacing w:after="0"/>
              <w:rPr>
                <w:sz w:val="20"/>
                <w:szCs w:val="20"/>
                <w:color w:val="auto"/>
              </w:rPr>
            </w:pPr>
            <w:r>
              <w:rPr>
                <w:rFonts w:ascii="Arial" w:cs="Arial" w:eastAsia="Arial" w:hAnsi="Arial"/>
                <w:sz w:val="18"/>
                <w:szCs w:val="18"/>
                <w:color w:val="auto"/>
              </w:rPr>
              <w:t>Net default rate increase of 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Adequate compensation assumption:</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50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(2,832)</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29"/>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Discount rate assumption:</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50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Servicing liabilities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Net default rate assumption:</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default rate increase of 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500" w:type="dxa"/>
            <w:vAlign w:val="bottom"/>
          </w:tcPr>
          <w:p>
            <w:pPr>
              <w:ind w:left="240"/>
              <w:spacing w:after="0"/>
              <w:rPr>
                <w:sz w:val="20"/>
                <w:szCs w:val="20"/>
                <w:color w:val="auto"/>
              </w:rPr>
            </w:pPr>
            <w:r>
              <w:rPr>
                <w:rFonts w:ascii="Arial" w:cs="Arial" w:eastAsia="Arial" w:hAnsi="Arial"/>
                <w:sz w:val="18"/>
                <w:szCs w:val="18"/>
                <w:color w:val="auto"/>
              </w:rPr>
              <w:t>Net default rate increase of 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Adequate compensation assumption:</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50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2,482</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3,060</w:t>
            </w:r>
          </w:p>
        </w:tc>
      </w:tr>
      <w:tr>
        <w:trPr>
          <w:trHeight w:val="229"/>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Discount rate assumption:</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50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(263)</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Fee Liability</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performance fee liability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6"/>
                <w:szCs w:val="16"/>
                <w:b w:val="1"/>
                <w:bCs w:val="1"/>
                <w:color w:val="auto"/>
              </w:rPr>
              <w:t>Performance Fee Liability</w:t>
            </w:r>
          </w:p>
        </w:tc>
      </w:tr>
      <w:tr>
        <w:trPr>
          <w:trHeight w:val="210"/>
        </w:trPr>
        <w:tc>
          <w:tcPr>
            <w:tcW w:w="64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64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Fair value at beginning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6420" w:type="dxa"/>
            <w:vAlign w:val="bottom"/>
          </w:tcPr>
          <w:p>
            <w:pPr>
              <w:ind w:left="780"/>
              <w:spacing w:after="0"/>
              <w:rPr>
                <w:sz w:val="20"/>
                <w:szCs w:val="20"/>
                <w:color w:val="auto"/>
              </w:rPr>
            </w:pPr>
            <w:r>
              <w:rPr>
                <w:rFonts w:ascii="Arial" w:cs="Arial" w:eastAsia="Arial" w:hAnsi="Arial"/>
                <w:sz w:val="18"/>
                <w:szCs w:val="18"/>
                <w:color w:val="auto"/>
              </w:rPr>
              <w:t>Purchases of loans</w:t>
            </w:r>
          </w:p>
        </w:tc>
        <w:tc>
          <w:tcPr>
            <w:tcW w:w="7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64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Subsequent changes in fair value</w:t>
            </w:r>
          </w:p>
        </w:tc>
        <w:tc>
          <w:tcPr>
            <w:tcW w:w="7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23"/>
        </w:trPr>
        <w:tc>
          <w:tcPr>
            <w:tcW w:w="6420" w:type="dxa"/>
            <w:vAlign w:val="bottom"/>
          </w:tcPr>
          <w:p>
            <w:pPr>
              <w:ind w:left="680"/>
              <w:spacing w:after="0"/>
              <w:rPr>
                <w:sz w:val="20"/>
                <w:szCs w:val="20"/>
                <w:color w:val="auto"/>
              </w:rPr>
            </w:pPr>
            <w:r>
              <w:rPr>
                <w:rFonts w:ascii="Arial" w:cs="Arial" w:eastAsia="Arial" w:hAnsi="Arial"/>
                <w:sz w:val="18"/>
                <w:szCs w:val="18"/>
                <w:color w:val="auto"/>
              </w:rPr>
              <w:t>Fair value at end of period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5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performance fee liability as of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32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performance fee liability as of June 30,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Convertible Debt Derivative</w:t>
      </w:r>
    </w:p>
    <w:p>
      <w:pPr>
        <w:spacing w:after="0" w:line="252" w:lineRule="exact"/>
        <w:rPr>
          <w:sz w:val="20"/>
          <w:szCs w:val="20"/>
          <w:color w:val="auto"/>
        </w:rPr>
      </w:pPr>
    </w:p>
    <w:p>
      <w:pPr>
        <w:ind w:right="700" w:firstLine="648"/>
        <w:spacing w:after="0" w:line="263" w:lineRule="auto"/>
        <w:rPr>
          <w:sz w:val="20"/>
          <w:szCs w:val="20"/>
          <w:color w:val="auto"/>
        </w:rPr>
      </w:pPr>
      <w:r>
        <w:rPr>
          <w:rFonts w:ascii="Arial" w:cs="Arial" w:eastAsia="Arial" w:hAnsi="Arial"/>
          <w:sz w:val="18"/>
          <w:szCs w:val="18"/>
          <w:color w:val="auto"/>
        </w:rPr>
        <w:t>Refer to Note 10. Debt for a description of the convertible notes issued in April 2020. On September 11, 2020, the convertible notes were converted into 4,444,321 shares of Series G-1 redeemable convertible preferred stock. The conversion of the notes was accounted for as a debt extinguishment and as such, the related convertible debt derivative liability was extinguished.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Residual Trust Certificates Held by Third-Parties in Consolidated VIEs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Refer to Note 11. Securitization and Variable Interest Entities for a description of the 2020-Z2 securitization trust. Residual trust certificates held by third-party investor(s) are measured at fair value, using a discounted cash flow model,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activity related to the fair value of the residual trust certificates held by third-parties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jc w:val="right"/>
              <w:ind w:right="52"/>
              <w:spacing w:after="0"/>
              <w:rPr>
                <w:sz w:val="20"/>
                <w:szCs w:val="20"/>
                <w:color w:val="auto"/>
              </w:rPr>
            </w:pPr>
            <w:r>
              <w:rPr>
                <w:rFonts w:ascii="Arial" w:cs="Arial" w:eastAsia="Arial" w:hAnsi="Arial"/>
                <w:sz w:val="16"/>
                <w:szCs w:val="16"/>
                <w:b w:val="1"/>
                <w:bCs w:val="1"/>
                <w:color w:val="auto"/>
                <w:w w:val="93"/>
              </w:rPr>
              <w:t>Three Months Ended</w:t>
            </w:r>
          </w:p>
        </w:tc>
      </w:tr>
      <w:tr>
        <w:trPr>
          <w:trHeight w:val="213"/>
        </w:trPr>
        <w:tc>
          <w:tcPr>
            <w:tcW w:w="884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6"/>
                <w:szCs w:val="16"/>
                <w:b w:val="1"/>
                <w:bCs w:val="1"/>
                <w:color w:val="auto"/>
              </w:rPr>
              <w:t>September 30, 2021</w:t>
            </w:r>
          </w:p>
        </w:tc>
      </w:tr>
      <w:tr>
        <w:trPr>
          <w:trHeight w:val="226"/>
        </w:trPr>
        <w:tc>
          <w:tcPr>
            <w:tcW w:w="88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Fair value at beginning of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8840" w:type="dxa"/>
            <w:vAlign w:val="bottom"/>
          </w:tcPr>
          <w:p>
            <w:pPr>
              <w:ind w:left="780"/>
              <w:spacing w:after="0"/>
              <w:rPr>
                <w:sz w:val="20"/>
                <w:szCs w:val="20"/>
                <w:color w:val="auto"/>
              </w:rPr>
            </w:pPr>
            <w:r>
              <w:rPr>
                <w:rFonts w:ascii="Arial" w:cs="Arial" w:eastAsia="Arial" w:hAnsi="Arial"/>
                <w:sz w:val="18"/>
                <w:szCs w:val="18"/>
                <w:color w:val="auto"/>
              </w:rPr>
              <w:t>Repayments</w:t>
            </w:r>
          </w:p>
        </w:tc>
        <w:tc>
          <w:tcPr>
            <w:tcW w:w="7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88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Subsequent changes in fair value</w:t>
            </w:r>
          </w:p>
        </w:tc>
        <w:tc>
          <w:tcPr>
            <w:tcW w:w="7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8840" w:type="dxa"/>
            <w:vAlign w:val="bottom"/>
          </w:tcPr>
          <w:p>
            <w:pPr>
              <w:ind w:left="680"/>
              <w:spacing w:after="0"/>
              <w:rPr>
                <w:sz w:val="20"/>
                <w:szCs w:val="20"/>
                <w:color w:val="auto"/>
              </w:rPr>
            </w:pPr>
            <w:r>
              <w:rPr>
                <w:rFonts w:ascii="Arial" w:cs="Arial" w:eastAsia="Arial" w:hAnsi="Arial"/>
                <w:sz w:val="18"/>
                <w:szCs w:val="18"/>
                <w:color w:val="auto"/>
              </w:rPr>
              <w:t>Fair value at end of period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0"/>
        </w:trPr>
        <w:tc>
          <w:tcPr>
            <w:tcW w:w="8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residual trust certificates held by third-parties as of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60" w:type="dxa"/>
            <w:vAlign w:val="bottom"/>
            <w:gridSpan w:val="2"/>
          </w:tcPr>
          <w:p>
            <w:pPr>
              <w:ind w:left="480"/>
              <w:spacing w:after="0"/>
              <w:rPr>
                <w:sz w:val="20"/>
                <w:szCs w:val="20"/>
                <w:color w:val="auto"/>
              </w:rPr>
            </w:pPr>
            <w:r>
              <w:rPr>
                <w:rFonts w:ascii="Arial" w:cs="Arial" w:eastAsia="Arial" w:hAnsi="Arial"/>
                <w:sz w:val="16"/>
                <w:szCs w:val="16"/>
                <w:b w:val="1"/>
                <w:bCs w:val="1"/>
                <w:color w:val="auto"/>
              </w:rPr>
              <w:t>Minimum</w:t>
            </w:r>
          </w:p>
        </w:tc>
        <w:tc>
          <w:tcPr>
            <w:tcW w:w="1760" w:type="dxa"/>
            <w:vAlign w:val="bottom"/>
            <w:gridSpan w:val="2"/>
          </w:tcPr>
          <w:p>
            <w:pPr>
              <w:ind w:left="460"/>
              <w:spacing w:after="0"/>
              <w:rPr>
                <w:sz w:val="20"/>
                <w:szCs w:val="20"/>
                <w:color w:val="auto"/>
              </w:rPr>
            </w:pPr>
            <w:r>
              <w:rPr>
                <w:rFonts w:ascii="Arial" w:cs="Arial" w:eastAsia="Arial" w:hAnsi="Arial"/>
                <w:sz w:val="16"/>
                <w:szCs w:val="16"/>
                <w:b w:val="1"/>
                <w:bCs w:val="1"/>
                <w:color w:val="auto"/>
              </w:rPr>
              <w:t>Maximum</w:t>
            </w:r>
          </w:p>
        </w:tc>
        <w:tc>
          <w:tcPr>
            <w:tcW w:w="164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r>
    </w:tbl>
    <w:p>
      <w:pPr>
        <w:spacing w:after="0" w:line="323" w:lineRule="exact"/>
        <w:rPr>
          <w:sz w:val="20"/>
          <w:szCs w:val="20"/>
          <w:color w:val="auto"/>
        </w:rPr>
      </w:pPr>
    </w:p>
    <w:p>
      <w:pPr>
        <w:ind w:right="100" w:firstLine="648"/>
        <w:spacing w:after="0" w:line="274"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securitization residual certificates held by third-party investor(s) given hypothetical changes in significant unobservable inputs (in thousands):</w:t>
      </w: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3"/>
              </w:rPr>
              <w:t>September 30, 2021</w:t>
            </w:r>
          </w:p>
        </w:tc>
      </w:tr>
      <w:tr>
        <w:trPr>
          <w:trHeight w:val="21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assumption:</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944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Loss rate assumption:</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44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rate assumption:</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9440" w:type="dxa"/>
            <w:vAlign w:val="bottom"/>
          </w:tcPr>
          <w:p>
            <w:pPr>
              <w:ind w:left="240"/>
              <w:spacing w:after="0"/>
              <w:rPr>
                <w:sz w:val="20"/>
                <w:szCs w:val="20"/>
                <w:color w:val="auto"/>
              </w:rPr>
            </w:pPr>
            <w:r>
              <w:rPr>
                <w:rFonts w:ascii="Arial" w:cs="Arial" w:eastAsia="Arial" w:hAnsi="Arial"/>
                <w:sz w:val="18"/>
                <w:szCs w:val="18"/>
                <w:color w:val="auto"/>
              </w:rPr>
              <w:t>Prepayment rate decrease of 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decrease of 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Retained Beneficial Interests in Unconsolidated VIEs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2021, the Company held notes receivable and residual trust certificates with an aggregate fair value of $13.7 million in connection with the 2021-Z1 securitization, which is an unconsolidated securitization. The balances correspond to the 5% economic risk retention the Company is required to maintain as the securitization sponsor. Refer to Note 11. Securitization and Variable Interest Entities for a further description of the 2021-Z1 securitization trust.</w:t>
      </w:r>
    </w:p>
    <w:p>
      <w:pPr>
        <w:spacing w:after="0" w:line="214"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These assets are measured at fair value using a discounted cash flow model, and presented within securities available for sale at fair value on the interim condensed consolidated balance sheets. Changes in the fair value, other than declines in fair value due to credit recognized as an impairment, are reflected in other comprehensive income (loss) on the interim condensed consolidated statements of operations and comprehensive loss. Declines in fair value due to credit are reflected in other (expense) income, net on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residual trust certificates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tcPr>
          <w:p>
            <w:pPr>
              <w:jc w:val="right"/>
              <w:ind w:right="71"/>
              <w:spacing w:after="0"/>
              <w:rPr>
                <w:sz w:val="20"/>
                <w:szCs w:val="20"/>
                <w:color w:val="auto"/>
              </w:rPr>
            </w:pPr>
            <w:r>
              <w:rPr>
                <w:rFonts w:ascii="Arial" w:cs="Arial" w:eastAsia="Arial" w:hAnsi="Arial"/>
                <w:sz w:val="16"/>
                <w:szCs w:val="16"/>
                <w:b w:val="1"/>
                <w:bCs w:val="1"/>
                <w:color w:val="auto"/>
                <w:w w:val="93"/>
              </w:rPr>
              <w:t>Three Months Ended</w:t>
            </w:r>
          </w:p>
        </w:tc>
      </w:tr>
      <w:tr>
        <w:trPr>
          <w:trHeight w:val="213"/>
        </w:trPr>
        <w:tc>
          <w:tcPr>
            <w:tcW w:w="880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gridSpan w:val="2"/>
          </w:tcPr>
          <w:p>
            <w:pPr>
              <w:jc w:val="right"/>
              <w:ind w:right="451"/>
              <w:spacing w:after="0"/>
              <w:rPr>
                <w:sz w:val="20"/>
                <w:szCs w:val="20"/>
                <w:color w:val="auto"/>
              </w:rPr>
            </w:pPr>
            <w:r>
              <w:rPr>
                <w:rFonts w:ascii="Arial" w:cs="Arial" w:eastAsia="Arial" w:hAnsi="Arial"/>
                <w:sz w:val="16"/>
                <w:szCs w:val="16"/>
                <w:b w:val="1"/>
                <w:bCs w:val="1"/>
                <w:color w:val="auto"/>
              </w:rPr>
              <w:t>September 30, 2021</w:t>
            </w:r>
          </w:p>
        </w:tc>
      </w:tr>
      <w:tr>
        <w:trPr>
          <w:trHeight w:val="226"/>
        </w:trPr>
        <w:tc>
          <w:tcPr>
            <w:tcW w:w="8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Fair value at beginning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r>
      <w:tr>
        <w:trPr>
          <w:trHeight w:val="229"/>
        </w:trPr>
        <w:tc>
          <w:tcPr>
            <w:tcW w:w="8800" w:type="dxa"/>
            <w:vAlign w:val="bottom"/>
          </w:tcPr>
          <w:p>
            <w:pPr>
              <w:ind w:left="780"/>
              <w:spacing w:after="0"/>
              <w:rPr>
                <w:sz w:val="20"/>
                <w:szCs w:val="20"/>
                <w:color w:val="auto"/>
              </w:rPr>
            </w:pPr>
            <w:r>
              <w:rPr>
                <w:rFonts w:ascii="Arial" w:cs="Arial" w:eastAsia="Arial" w:hAnsi="Arial"/>
                <w:sz w:val="18"/>
                <w:szCs w:val="18"/>
                <w:color w:val="auto"/>
              </w:rPr>
              <w:t>Cash received (due to payments or sales)</w:t>
            </w:r>
          </w:p>
        </w:tc>
        <w:tc>
          <w:tcPr>
            <w:tcW w:w="7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30"/>
        </w:trPr>
        <w:tc>
          <w:tcPr>
            <w:tcW w:w="88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Change in unrealized gain (loss)</w:t>
            </w:r>
          </w:p>
        </w:tc>
        <w:tc>
          <w:tcPr>
            <w:tcW w:w="7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800" w:type="dxa"/>
            <w:vAlign w:val="bottom"/>
          </w:tcPr>
          <w:p>
            <w:pPr>
              <w:ind w:left="780"/>
              <w:spacing w:after="0"/>
              <w:rPr>
                <w:sz w:val="20"/>
                <w:szCs w:val="20"/>
                <w:color w:val="auto"/>
              </w:rPr>
            </w:pPr>
            <w:r>
              <w:rPr>
                <w:rFonts w:ascii="Arial" w:cs="Arial" w:eastAsia="Arial" w:hAnsi="Arial"/>
                <w:sz w:val="18"/>
                <w:szCs w:val="18"/>
                <w:color w:val="auto"/>
              </w:rPr>
              <w:t>Accrued interest</w:t>
            </w:r>
          </w:p>
        </w:tc>
        <w:tc>
          <w:tcPr>
            <w:tcW w:w="7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8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Reversal of (impairment on) securities available for sale</w:t>
            </w:r>
          </w:p>
        </w:tc>
        <w:tc>
          <w:tcPr>
            <w:tcW w:w="7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800" w:type="dxa"/>
            <w:vAlign w:val="bottom"/>
          </w:tcPr>
          <w:p>
            <w:pPr>
              <w:ind w:left="680"/>
              <w:spacing w:after="0"/>
              <w:rPr>
                <w:sz w:val="20"/>
                <w:szCs w:val="20"/>
                <w:color w:val="auto"/>
              </w:rPr>
            </w:pPr>
            <w:r>
              <w:rPr>
                <w:rFonts w:ascii="Arial" w:cs="Arial" w:eastAsia="Arial" w:hAnsi="Arial"/>
                <w:sz w:val="18"/>
                <w:szCs w:val="18"/>
                <w:color w:val="auto"/>
              </w:rPr>
              <w:t>Fair value at end of period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13,744</w:t>
            </w:r>
          </w:p>
        </w:tc>
      </w:tr>
      <w:tr>
        <w:trPr>
          <w:trHeight w:val="21"/>
        </w:trPr>
        <w:tc>
          <w:tcPr>
            <w:tcW w:w="8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residual trust certificates as of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0.88%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17.19%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1.41%</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0.92%</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0.61%</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10.50%</w:t>
            </w:r>
          </w:p>
        </w:tc>
      </w:tr>
    </w:tbl>
    <w:p>
      <w:pPr>
        <w:spacing w:after="0" w:line="310" w:lineRule="exact"/>
        <w:rPr>
          <w:sz w:val="20"/>
          <w:szCs w:val="20"/>
          <w:color w:val="auto"/>
        </w:rPr>
      </w:pPr>
    </w:p>
    <w:p>
      <w:pPr>
        <w:ind w:right="560" w:firstLine="648"/>
        <w:spacing w:after="0" w:line="274"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securitization residual trust certificates given hypothetical changes in significant unobservable inputs (in thousands):</w:t>
      </w: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3"/>
              </w:rPr>
              <w:t>September 30, 2021</w:t>
            </w:r>
          </w:p>
        </w:tc>
      </w:tr>
      <w:tr>
        <w:trPr>
          <w:trHeight w:val="21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assumption:</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944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Loss rate assumption:</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44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rate assumption:</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9440" w:type="dxa"/>
            <w:vAlign w:val="bottom"/>
          </w:tcPr>
          <w:p>
            <w:pPr>
              <w:ind w:left="240"/>
              <w:spacing w:after="0"/>
              <w:rPr>
                <w:sz w:val="20"/>
                <w:szCs w:val="20"/>
                <w:color w:val="auto"/>
              </w:rPr>
            </w:pPr>
            <w:r>
              <w:rPr>
                <w:rFonts w:ascii="Arial" w:cs="Arial" w:eastAsia="Arial" w:hAnsi="Arial"/>
                <w:sz w:val="18"/>
                <w:szCs w:val="18"/>
                <w:color w:val="auto"/>
              </w:rPr>
              <w:t>Prepayment rate decrease of 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decrease of 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acquisition of PayBright included consideration transferred and shares held in escrow where the shares released from escrow are contingent upon the achievement of future milestones. We classified the contingent consideration as a liability and will remeasure the liability to its fair value at each reporting date until the contingency is resolved. The acquisition date fair value of the contingent consideration liability was estimated using a Monte Carlo simulation. The number of shares released from escrow is determined based on simulated revenue, and the acquisition date fair value of the contingent consideration is equal to the number of shares released from escrow multiplied by the simulated share price, discounted at the risk-free rate. The change in fair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contingent consideration at each reporting date is recognized as a component of other (expense) income, net in the interim condensed consolidated statements of operations and comprehensive loss for the respective period.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the fair value of the PayBright contingent consideration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Fair value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Subsequent 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Effect of foreign currency translation</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Fair value at end of period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Three Months Ended</w:t>
      </w:r>
    </w:p>
    <w:p>
      <w:pPr>
        <w:spacing w:after="0"/>
        <w:rPr>
          <w:sz w:val="20"/>
          <w:szCs w:val="20"/>
          <w:color w:val="auto"/>
        </w:rPr>
      </w:pPr>
      <w:r>
        <w:rPr>
          <w:rFonts w:ascii="Arial" w:cs="Arial" w:eastAsia="Arial" w:hAnsi="Arial"/>
          <w:sz w:val="16"/>
          <w:szCs w:val="16"/>
          <w:b w:val="1"/>
          <w:bCs w:val="1"/>
          <w:color w:val="auto"/>
        </w:rPr>
        <w:t>September 30, 2021</w:t>
      </w:r>
    </w:p>
    <w:p>
      <w:pPr>
        <w:spacing w:after="0" w:line="27" w:lineRule="exact"/>
        <w:rPr>
          <w:sz w:val="20"/>
          <w:szCs w:val="20"/>
          <w:color w:val="auto"/>
        </w:rPr>
      </w:pPr>
    </w:p>
    <w:p>
      <w:pPr>
        <w:ind w:left="1240" w:hanging="1104"/>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153,447</w:t>
      </w:r>
    </w:p>
    <w:p>
      <w:pPr>
        <w:spacing w:after="0" w:line="34"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141,592</w:t>
      </w:r>
    </w:p>
    <w:p>
      <w:pPr>
        <w:spacing w:after="0" w:line="34" w:lineRule="exact"/>
        <w:rPr>
          <w:rFonts w:ascii="Arial" w:cs="Arial" w:eastAsia="Arial" w:hAnsi="Arial"/>
          <w:sz w:val="17"/>
          <w:szCs w:val="17"/>
          <w:color w:val="auto"/>
        </w:rPr>
      </w:pPr>
    </w:p>
    <w:p>
      <w:pPr>
        <w:ind w:left="1340"/>
        <w:spacing w:after="0"/>
        <w:rPr>
          <w:rFonts w:ascii="Arial" w:cs="Arial" w:eastAsia="Arial" w:hAnsi="Arial"/>
          <w:sz w:val="17"/>
          <w:szCs w:val="17"/>
          <w:color w:val="auto"/>
        </w:rPr>
      </w:pPr>
      <w:r>
        <w:rPr>
          <w:rFonts w:ascii="Arial" w:cs="Arial" w:eastAsia="Arial" w:hAnsi="Arial"/>
          <w:sz w:val="17"/>
          <w:szCs w:val="17"/>
          <w:color w:val="auto"/>
        </w:rPr>
        <w:t>(4,320)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21590</wp:posOffset>
            </wp:positionV>
            <wp:extent cx="15430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7" w:lineRule="exact"/>
        <w:rPr>
          <w:sz w:val="20"/>
          <w:szCs w:val="20"/>
          <w:color w:val="auto"/>
        </w:rPr>
      </w:pPr>
    </w:p>
    <w:p>
      <w:pPr>
        <w:ind w:left="1240" w:hanging="1104"/>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290,719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22225</wp:posOffset>
            </wp:positionV>
            <wp:extent cx="15430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47625</wp:posOffset>
            </wp:positionV>
            <wp:extent cx="15430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620" w:space="720"/>
            <w:col w:w="1900"/>
          </w:cols>
          <w:pgMar w:left="320" w:top="125" w:right="339" w:bottom="1440" w:gutter="0" w:footer="0" w:header="0"/>
          <w:type w:val="continuous"/>
        </w:sectPr>
      </w:pPr>
    </w:p>
    <w:p>
      <w:pPr>
        <w:spacing w:after="0" w:line="17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PayBright contingent consideration are the discount rate, equity volatility, and revenue volatility.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contingent consideration as of September 30, 2021:</w:t>
      </w: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12.50%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Equity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22.00%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97.00%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70.00%</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102.00%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31.00%</w:t>
            </w:r>
          </w:p>
        </w:tc>
      </w:tr>
    </w:tbl>
    <w:p>
      <w:pPr>
        <w:spacing w:after="0" w:line="31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Kite acquisition included $9.0 million of cash held in escrow, the release of which is determined based on employee retention. The acquisition date fair value of the contingent consideration was estimated using a probability-weighted approach in which the likelihoods of potential employee retention outcomes were applied to the respective payout amounts and discounted to present value. The contingent consideration asset will be remeasured to fair value at each reporting date based on the remaining amount held in escrow, passage of time, and any changes in expectations regarding employee retention outcomes until the contingency is resolved. The change in fair value of the contingent consideration asset at each reporting date is recognized as a component of other (expense) income, net in the interim condensed consolidated statements of operations and comprehensive loss for the respective period. The acquisition date fair value as of June 1, 2021 was $1.2 million. For the three months ended September 30, 2021, the change in fair value of the contingent consideration asset related to the Kite acquisition was not material.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Share Liability</w:t>
      </w:r>
    </w:p>
    <w:p>
      <w:pPr>
        <w:spacing w:after="0" w:line="25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During the fiscal year ended June 30,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summarizes the activity related to the fair value of the profit share liability during the three months ended September 30, 2021 (in thousands):</w:t>
      </w:r>
    </w:p>
    <w:tbl>
      <w:tblPr>
        <w:tblLayout w:type="fixed"/>
        <w:tblInd w:w="0" w:type="dxa"/>
        <w:tblCellMar>
          <w:top w:w="0" w:type="dxa"/>
          <w:left w:w="0" w:type="dxa"/>
          <w:bottom w:w="0" w:type="dxa"/>
          <w:right w:w="0" w:type="dxa"/>
        </w:tblCellMar>
      </w:tblPr>
      <w:tr>
        <w:trPr>
          <w:trHeight w:val="163"/>
        </w:trPr>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right"/>
              <w:ind w:right="73"/>
              <w:spacing w:after="0" w:line="163" w:lineRule="exact"/>
              <w:rPr>
                <w:sz w:val="20"/>
                <w:szCs w:val="20"/>
                <w:color w:val="auto"/>
              </w:rPr>
            </w:pPr>
            <w:r>
              <w:rPr>
                <w:rFonts w:ascii="Arial" w:cs="Arial" w:eastAsia="Arial" w:hAnsi="Arial"/>
                <w:sz w:val="16"/>
                <w:szCs w:val="16"/>
                <w:b w:val="1"/>
                <w:bCs w:val="1"/>
                <w:color w:val="auto"/>
                <w:w w:val="94"/>
              </w:rPr>
              <w:t>Three Months Ended</w:t>
            </w:r>
          </w:p>
        </w:tc>
      </w:tr>
      <w:tr>
        <w:trPr>
          <w:trHeight w:val="213"/>
        </w:trPr>
        <w:tc>
          <w:tcPr>
            <w:tcW w:w="9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6"/>
              </w:rPr>
              <w:t>September 30, 2021</w:t>
            </w: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r>
      <w:tr>
        <w:trPr>
          <w:trHeight w:val="230"/>
        </w:trPr>
        <w:tc>
          <w:tcPr>
            <w:tcW w:w="9440" w:type="dxa"/>
            <w:vAlign w:val="bottom"/>
          </w:tcPr>
          <w:p>
            <w:pPr>
              <w:ind w:left="140"/>
              <w:spacing w:after="0"/>
              <w:rPr>
                <w:sz w:val="20"/>
                <w:szCs w:val="20"/>
                <w:color w:val="auto"/>
              </w:rPr>
            </w:pPr>
            <w:r>
              <w:rPr>
                <w:rFonts w:ascii="Arial" w:cs="Arial" w:eastAsia="Arial" w:hAnsi="Arial"/>
                <w:sz w:val="18"/>
                <w:szCs w:val="18"/>
                <w:color w:val="auto"/>
              </w:rPr>
              <w:t>Facilitation of loans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performance</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profit sharing liability as of September 30, 2021:</w:t>
      </w:r>
    </w:p>
    <w:tbl>
      <w:tblPr>
        <w:tblLayout w:type="fixed"/>
        <w:tblInd w:w="0" w:type="dxa"/>
        <w:tblCellMar>
          <w:top w:w="0" w:type="dxa"/>
          <w:left w:w="0" w:type="dxa"/>
          <w:bottom w:w="0" w:type="dxa"/>
          <w:right w:w="0" w:type="dxa"/>
        </w:tblCellMar>
      </w:tblP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40" w:type="dxa"/>
            <w:vAlign w:val="bottom"/>
            <w:gridSpan w:val="2"/>
          </w:tcPr>
          <w:p>
            <w:pPr>
              <w:ind w:left="460"/>
              <w:spacing w:after="0"/>
              <w:rPr>
                <w:sz w:val="20"/>
                <w:szCs w:val="20"/>
                <w:color w:val="auto"/>
              </w:rPr>
            </w:pPr>
            <w:r>
              <w:rPr>
                <w:rFonts w:ascii="Arial" w:cs="Arial" w:eastAsia="Arial" w:hAnsi="Arial"/>
                <w:sz w:val="16"/>
                <w:szCs w:val="16"/>
                <w:b w:val="1"/>
                <w:bCs w:val="1"/>
                <w:color w:val="auto"/>
              </w:rPr>
              <w:t>Minimum</w:t>
            </w:r>
          </w:p>
        </w:tc>
        <w:tc>
          <w:tcPr>
            <w:tcW w:w="1740" w:type="dxa"/>
            <w:vAlign w:val="bottom"/>
            <w:gridSpan w:val="2"/>
          </w:tcPr>
          <w:p>
            <w:pPr>
              <w:ind w:left="440"/>
              <w:spacing w:after="0"/>
              <w:rPr>
                <w:sz w:val="20"/>
                <w:szCs w:val="20"/>
                <w:color w:val="auto"/>
              </w:rPr>
            </w:pPr>
            <w:r>
              <w:rPr>
                <w:rFonts w:ascii="Arial" w:cs="Arial" w:eastAsia="Arial" w:hAnsi="Arial"/>
                <w:sz w:val="16"/>
                <w:szCs w:val="16"/>
                <w:b w:val="1"/>
                <w:bCs w:val="1"/>
                <w:color w:val="auto"/>
              </w:rPr>
              <w:t>Maximum</w:t>
            </w:r>
          </w:p>
        </w:tc>
        <w:tc>
          <w:tcPr>
            <w:tcW w:w="162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Program profitability</w:t>
            </w: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3.16%</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Recorded at Fair Value</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presents the fair value hierarchy for financial assets and liabilities not recorded at fair value as of September 30,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16"/>
                <w:szCs w:val="16"/>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6"/>
                <w:szCs w:val="16"/>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6"/>
                <w:szCs w:val="16"/>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Balance at Fair</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1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1,439,531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1,439,531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1,439,531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236,282</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2,092,805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2,034,563</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100,951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89,452</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89,452</w:t>
            </w:r>
          </w:p>
        </w:tc>
        <w:tc>
          <w:tcPr>
            <w:tcW w:w="0" w:type="dxa"/>
            <w:vAlign w:val="bottom"/>
          </w:tcPr>
          <w:p>
            <w:pPr>
              <w:spacing w:after="0"/>
              <w:rPr>
                <w:sz w:val="1"/>
                <w:szCs w:val="1"/>
                <w:color w:val="auto"/>
              </w:rPr>
            </w:pP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3,960,829</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1,675,813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192,211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2,034,563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3,902,587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425,854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425,854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425,854</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third-party loan owners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38,462</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152,853</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1,621,638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1,889,744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1,889,744</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debt</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495,066</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495,066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495,066</w:t>
            </w:r>
          </w:p>
        </w:tc>
        <w:tc>
          <w:tcPr>
            <w:tcW w:w="0" w:type="dxa"/>
            <w:vAlign w:val="bottom"/>
          </w:tcPr>
          <w:p>
            <w:pPr>
              <w:spacing w:after="0"/>
              <w:rPr>
                <w:sz w:val="1"/>
                <w:szCs w:val="1"/>
                <w:color w:val="auto"/>
              </w:rPr>
            </w:pP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2,737,177</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618,407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2,386,876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3,005,283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60" w:firstLine="648"/>
        <w:spacing w:after="0" w:line="274" w:lineRule="auto"/>
        <w:rPr>
          <w:sz w:val="20"/>
          <w:szCs w:val="20"/>
          <w:color w:val="auto"/>
        </w:rPr>
      </w:pPr>
      <w:r>
        <w:rPr>
          <w:rFonts w:ascii="Arial" w:cs="Arial" w:eastAsia="Arial" w:hAnsi="Arial"/>
          <w:sz w:val="18"/>
          <w:szCs w:val="18"/>
          <w:color w:val="auto"/>
        </w:rPr>
        <w:t>The following table presents the fair value hierarchy for financial assets and liabilities not recorded at fair value as of June 30, 2021 (in thousands):</w:t>
      </w:r>
    </w:p>
    <w:tbl>
      <w:tblPr>
        <w:tblLayout w:type="fixed"/>
        <w:tblInd w:w="0" w:type="dxa"/>
        <w:tblCellMar>
          <w:top w:w="0" w:type="dxa"/>
          <w:left w:w="0" w:type="dxa"/>
          <w:bottom w:w="0" w:type="dxa"/>
          <w:right w:w="0" w:type="dxa"/>
        </w:tblCellMar>
      </w:tblPr>
      <w:tr>
        <w:trPr>
          <w:trHeight w:val="163"/>
        </w:trPr>
        <w:tc>
          <w:tcPr>
            <w:tcW w:w="3780" w:type="dxa"/>
            <w:vAlign w:val="bottom"/>
          </w:tcPr>
          <w:p>
            <w:pPr>
              <w:spacing w:after="0"/>
              <w:rPr>
                <w:sz w:val="14"/>
                <w:szCs w:val="14"/>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4"/>
                <w:szCs w:val="14"/>
                <w:color w:val="auto"/>
              </w:rPr>
            </w:pPr>
          </w:p>
        </w:tc>
        <w:tc>
          <w:tcPr>
            <w:tcW w:w="1280" w:type="dxa"/>
            <w:vAlign w:val="bottom"/>
          </w:tcPr>
          <w:p>
            <w:pPr>
              <w:jc w:val="right"/>
              <w:ind w:right="91"/>
              <w:spacing w:after="0" w:line="163" w:lineRule="exact"/>
              <w:rPr>
                <w:sz w:val="20"/>
                <w:szCs w:val="20"/>
                <w:color w:val="auto"/>
              </w:rPr>
            </w:pPr>
            <w:r>
              <w:rPr>
                <w:rFonts w:ascii="Arial" w:cs="Arial" w:eastAsia="Arial" w:hAnsi="Arial"/>
                <w:sz w:val="16"/>
                <w:szCs w:val="16"/>
                <w:b w:val="1"/>
                <w:bCs w:val="1"/>
                <w:color w:val="auto"/>
                <w:w w:val="94"/>
              </w:rPr>
              <w:t>Balance at Fair</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1,466,558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1,466,558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1,466,558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226,074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1,883,364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91,575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3,873,047</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1,692,632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275,855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1,883,364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3,851,851</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57,758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57,758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57,758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third-party loan owners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1,176,673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1,184,663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1,184,663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debt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2,138,119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1,876,134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2,146,109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Redeemable Convertible Preferred Stock and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fiscal year ended June 30, 2021, we issued 21,836,687 shares of Series G redeemable convertible preferred stock at $19.93 per share for an aggregate purchase amount of $434.9 million. These shares had a liquidation preference of $435.1 million. As part of this equity financing round, the convertible notes issued in April 2020 converted into 4,444,321 shares of Series G-1 redeemable convertible preferred stock. These shares had a liquidation preference of $75.3 million prior to conversion.</w:t>
      </w:r>
    </w:p>
    <w:p>
      <w:pPr>
        <w:spacing w:after="0" w:line="214"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On January 12, 2021, prior to our initial public offering, all outstanding shares of redeemable convertible preferred stock were converted into shares of our common stock on a one-to-one basis and their carrying value of $1.3 billion was reclassified into stockholders' deficit. Following this conversion, we amended and restated our certificate of incorporation to effect a reclassification of each share of our outstanding common stock into ½ share of Class A common stock and ½ share of Class B common stock, with cash paid for fractional shares. As of September 30, 2021 and June 30, 2021, there were no shares of redeemable convertible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shares of common stock reserved for issuance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94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 2021</w:t>
            </w:r>
          </w:p>
        </w:tc>
        <w:tc>
          <w:tcPr>
            <w:tcW w:w="180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outstanding under stock option plan</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50,358,651</w:t>
            </w:r>
          </w:p>
        </w:tc>
        <w:tc>
          <w:tcPr>
            <w:tcW w:w="14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58,417,514</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for future grant under stock option plan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43,127,440</w:t>
            </w:r>
          </w:p>
        </w:tc>
        <w:tc>
          <w:tcPr>
            <w:tcW w:w="1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29,793,755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93,486,091</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88,211,269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Incentive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Stock Plan</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Under our Amended and Restated 2012 Stock Plan (the “Plan”), we may grant incentive and nonqualified stock options, restricted stock, and restricted stock units (“RSUs”) to employees, officers, directors, and consultants. As of September 30, 2021, the maximum number of shares of common stock which may be issued under the Plan is 118,374,202 Class A shares. As of September 30, 2021 and June 30, 2021, there were 43,127,440 and 29,793,755 shares of Class A common stock, respectively, available for future grants under 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stock option activity for the three months ended September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Arial" w:cs="Arial" w:eastAsia="Arial" w:hAnsi="Arial"/>
                <w:sz w:val="16"/>
                <w:szCs w:val="16"/>
                <w:b w:val="1"/>
                <w:bCs w:val="1"/>
                <w:color w:val="auto"/>
                <w:w w:val="93"/>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6"/>
                <w:szCs w:val="16"/>
                <w:b w:val="1"/>
                <w:bCs w:val="1"/>
                <w:color w:val="auto"/>
                <w:w w:val="88"/>
              </w:rPr>
              <w:t>Value (in thousands)</w:t>
            </w:r>
          </w:p>
        </w:tc>
        <w:tc>
          <w:tcPr>
            <w:tcW w:w="0" w:type="dxa"/>
            <w:vAlign w:val="bottom"/>
          </w:tcPr>
          <w:p>
            <w:pPr>
              <w:spacing w:after="0"/>
              <w:rPr>
                <w:sz w:val="1"/>
                <w:szCs w:val="1"/>
                <w:color w:val="auto"/>
              </w:rPr>
            </w:pPr>
          </w:p>
        </w:tc>
      </w:tr>
      <w:tr>
        <w:trPr>
          <w:trHeight w:val="22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31,662,750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6.30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(7,424,538)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23,854,746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September 30, 2021</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5"/>
              </w:rPr>
              <w:t>6.57</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1,620,245</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14,234,138</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Vested and exercisable, and expected to vest thereafter</w:t>
            </w:r>
            <w:r>
              <w:rPr>
                <w:rFonts w:ascii="Arial" w:cs="Arial" w:eastAsia="Arial" w:hAnsi="Arial"/>
                <w:sz w:val="20"/>
                <w:szCs w:val="20"/>
                <w:color w:val="auto"/>
                <w:vertAlign w:val="superscript"/>
              </w:rPr>
              <w:t>(1)</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23,253,440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6.59</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2,521,414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6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Options expected to vest reflect the application of an estimated forfeiture rate.</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When an employee exercises stock options, we collect and remit taxes on the employee’s behalf to applicable taxing authorities. As of September 30, 2021 and June 30, 2021, the balance of equity exercise taxes payable was $395.2 million and $23.7 million, respectively, which is included in accounts payable on the interim condensed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for Non-Employees</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In accounting for stock options to non-employees, the fair value of services related to the options granted is recorded as an expense as these services are provided to the Company over the relevant service periods. We remeasure any non-vested, non-employee options to fair value at the end of each reporting period using the Black Scholes-Merton option pricing model.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with Early Exercise Rights</w:t>
      </w:r>
    </w:p>
    <w:p>
      <w:pPr>
        <w:spacing w:after="0" w:line="25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In accordance with the Plan, we allow for early exercise of stock options while retaining the right to repurchase any unvested options upon termination at the original exercise price. The proceeds received from early exercise of stock options has been recorded within accrued expenses and other liabilities on the interim condensed consolidated balance sheets. As of September 30, 2021, the early exercise liability totaled $0.6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Creation Award</w:t>
      </w:r>
    </w:p>
    <w:p>
      <w:pPr>
        <w:spacing w:after="0" w:line="252"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November 2020, 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Company's Board of Directors approved a long-term, multi-year performance-based stock option grant providing Mr. Levchin with the opportunity to earn the right to purchase up to 12,500,000 shares of the Company's Class A common stock (the “Value Creation Award”). We recognize stock-based compensation on these awards using an accelerated attribution method over the requisite service period, and only if performance-based conditions are considered probable of being satisfied. During the three months ended September 30, 2021, we incurred stock-based compensation expense of $42.3 million associated with the Value Creation Award as a component of general and administrative expense within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September 30, 2021, unrecognized compensation expense related to the Value Creation Award was approximately $305.9 million. The period over which such compensation expense will be recognized is approximately 4.3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We record stock-based compensation expense for performance-based equity awards on an accelerated attribution method over the requisite service period, which is generally four years, and only if performance-based conditions are considered probable of being satisfied.</w:t>
      </w:r>
    </w:p>
    <w:p>
      <w:pPr>
        <w:spacing w:after="0" w:line="21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RSUs granted after IPO are subject to a service-based vesting condition. We record stock-based compensation expense for service-based RSUs on a straight-line basis over the requisite service period, which is generally four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September 30, 2021, we awarded 1,550,917 RSUs to certain employees under the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RSU activity during the three months ended September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8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14,242,111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1,550,917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(1,292,316)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(496,807)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14,003,905</w:t>
            </w:r>
          </w:p>
        </w:tc>
        <w:tc>
          <w:tcPr>
            <w:tcW w:w="3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September 30, 2021, unrecognized compensation expense related to unvested RSUs was approximately $498.3 million. The weighted-average period over which such compensation expense will be recognized is approximately 2.73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and classification of stock-based compensation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Borders>
              <w:bottom w:val="single" w:sz="8" w:color="CCEEFF"/>
            </w:tcBorders>
          </w:tcPr>
          <w:p>
            <w:pPr>
              <w:spacing w:after="0"/>
              <w:rPr>
                <w:sz w:val="18"/>
                <w:szCs w:val="18"/>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r>
      <w:tr>
        <w:trPr>
          <w:trHeight w:val="213"/>
        </w:trPr>
        <w:tc>
          <w:tcPr>
            <w:tcW w:w="75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shd w:val="clear" w:color="auto" w:fill="CCEEFF"/>
          </w:tcPr>
          <w:p>
            <w:pPr>
              <w:spacing w:after="0"/>
              <w:rPr>
                <w:sz w:val="18"/>
                <w:szCs w:val="18"/>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67,742</w:t>
            </w:r>
          </w:p>
        </w:tc>
        <w:tc>
          <w:tcPr>
            <w:tcW w:w="140" w:type="dxa"/>
            <w:vAlign w:val="bottom"/>
          </w:tcPr>
          <w:p>
            <w:pPr>
              <w:spacing w:after="0"/>
              <w:rPr>
                <w:sz w:val="19"/>
                <w:szCs w:val="19"/>
                <w:color w:val="auto"/>
              </w:rPr>
            </w:pPr>
          </w:p>
        </w:tc>
        <w:tc>
          <w:tcPr>
            <w:tcW w:w="1260" w:type="dxa"/>
            <w:vAlign w:val="bottom"/>
          </w:tcPr>
          <w:p>
            <w:pPr>
              <w:jc w:val="right"/>
              <w:ind w:right="107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3,204</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2,213</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5,024</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93,189</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6,203</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104,879</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107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7,175</w:t>
            </w:r>
          </w:p>
        </w:tc>
      </w:tr>
      <w:tr>
        <w:trPr>
          <w:trHeight w:val="20"/>
        </w:trPr>
        <w:tc>
          <w:tcPr>
            <w:tcW w:w="7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connection with the acquisition of Returnly on May 1, 2021, we issued 304,364 shares of our Class A common stock, which are held in escrow. Because the future payment of the escrowed shares is contingent on continued employment of certain employees, the arrangement represents stock-based compensation in the post combination period. The grant-date fair value was estimated based on the value of the shares at the date of closing. The escrowed shares have a requisite service period of two years and contain a performance-based vesting condition (i.e., the achievement of certain revenue targets). We record stock-based compensation expense on a straight-line basis for each tranche over the requisite service period, as long as the performance-based conditions are considered probable of being satisfied.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the grant date fair value based on the probability of achievement of the revenue targets at each reporting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three months ended September 30, 2021 and 2020, we recorded income tax expense of $0.2 million and $0.1 million, respectively, which was primarily attributable to various U.S. state and foreign income taxes and the tax amortization of certain intangibles.</w:t>
      </w:r>
    </w:p>
    <w:p>
      <w:pPr>
        <w:spacing w:after="0" w:line="19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of September 30, 2021, we continue to recognize a full valuation allowance against our U.S. federal and state as well as the majority of our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the Company for the prior three fiscal years. The presence of a three-year cumulative loss limits the ability to consider other subjective evidence, such as our expectations of future taxable income and projections for growth.</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 Attributable to Common Stockholders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On January 12, 2021, we amended and restated our certificate of incorporation to effect a reclassification of each share of our outstanding common stock into ½ share of Class A common stock and ½ share of Class B common stock, with cash paid for fractional shares. Therefore, we have two classes of common stock: Class A common stock and Class B common stock. The rights, including the dividends and distributions, of the holders of our Class A and Class B common stock are identical, except with respect to voting. Additionally, the conversion of all outstanding shares of redeemable convertible preferred stock into shares of our common stock occurred immediately prior to the reclassification.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648"/>
        <w:spacing w:after="0" w:line="274" w:lineRule="auto"/>
        <w:rPr>
          <w:sz w:val="20"/>
          <w:szCs w:val="20"/>
          <w:color w:val="auto"/>
        </w:rPr>
      </w:pPr>
      <w:r>
        <w:rPr>
          <w:rFonts w:ascii="Arial" w:cs="Arial" w:eastAsia="Arial" w:hAnsi="Arial"/>
          <w:sz w:val="18"/>
          <w:szCs w:val="18"/>
          <w:color w:val="auto"/>
        </w:rPr>
        <w:t>The following table presents basic and diluted net loss per share attributable to common stockholders for Class A and Class B common stock (in thousands, except share and per share data):</w:t>
      </w: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w w:val="96"/>
              </w:rPr>
              <w:t>Three Months Ended September 30, 2021</w:t>
            </w:r>
          </w:p>
        </w:tc>
        <w:tc>
          <w:tcPr>
            <w:tcW w:w="0" w:type="dxa"/>
            <w:vAlign w:val="bottom"/>
          </w:tcPr>
          <w:p>
            <w:pPr>
              <w:spacing w:after="0"/>
              <w:rPr>
                <w:sz w:val="1"/>
                <w:szCs w:val="1"/>
                <w:color w:val="auto"/>
              </w:rPr>
            </w:pPr>
          </w:p>
        </w:tc>
      </w:tr>
      <w:tr>
        <w:trPr>
          <w:trHeight w:val="210"/>
        </w:trPr>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ind w:left="360"/>
              <w:spacing w:after="0"/>
              <w:rPr>
                <w:sz w:val="20"/>
                <w:szCs w:val="20"/>
                <w:color w:val="auto"/>
              </w:rPr>
            </w:pPr>
            <w:r>
              <w:rPr>
                <w:rFonts w:ascii="Arial" w:cs="Arial" w:eastAsia="Arial" w:hAnsi="Arial"/>
                <w:sz w:val="16"/>
                <w:szCs w:val="16"/>
                <w:b w:val="1"/>
                <w:bCs w:val="1"/>
                <w:color w:val="auto"/>
              </w:rPr>
              <w:t>Class A</w:t>
            </w:r>
          </w:p>
        </w:tc>
        <w:tc>
          <w:tcPr>
            <w:tcW w:w="360" w:type="dxa"/>
            <w:vAlign w:val="bottom"/>
          </w:tcPr>
          <w:p>
            <w:pPr>
              <w:spacing w:after="0"/>
              <w:rPr>
                <w:sz w:val="18"/>
                <w:szCs w:val="18"/>
                <w:color w:val="auto"/>
              </w:rPr>
            </w:pPr>
          </w:p>
        </w:tc>
        <w:tc>
          <w:tcPr>
            <w:tcW w:w="1440" w:type="dxa"/>
            <w:vAlign w:val="bottom"/>
          </w:tcPr>
          <w:p>
            <w:pPr>
              <w:jc w:val="right"/>
              <w:ind w:right="551"/>
              <w:spacing w:after="0"/>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2"/>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(94,533)</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(94,533)</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(94,533)</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187,916,455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83,761,061</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Total-basic</w:t>
            </w: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187,916,455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83,761,061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187,916,455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83,761,061</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Total-diluted</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187,916,455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83,761,061</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per share attributable to common stockholders: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presents basic and diluted net loss per share attributable to common stockholders for common stock (in thousands, except share and per share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71"/>
              <w:spacing w:after="0"/>
              <w:rPr>
                <w:sz w:val="20"/>
                <w:szCs w:val="20"/>
                <w:color w:val="auto"/>
              </w:rPr>
            </w:pPr>
            <w:r>
              <w:rPr>
                <w:rFonts w:ascii="Arial" w:cs="Arial" w:eastAsia="Arial" w:hAnsi="Arial"/>
                <w:sz w:val="16"/>
                <w:szCs w:val="16"/>
                <w:b w:val="1"/>
                <w:bCs w:val="1"/>
                <w:color w:val="auto"/>
                <w:w w:val="94"/>
              </w:rPr>
              <w:t>Three Months Ended</w:t>
            </w:r>
          </w:p>
        </w:tc>
      </w:tr>
      <w:tr>
        <w:trPr>
          <w:trHeight w:val="213"/>
        </w:trPr>
        <w:tc>
          <w:tcPr>
            <w:tcW w:w="9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6"/>
              </w:rPr>
              <w:t>September 30, 2020</w:t>
            </w:r>
          </w:p>
        </w:tc>
      </w:tr>
      <w:tr>
        <w:trPr>
          <w:trHeight w:val="212"/>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(3,946)</w:t>
            </w:r>
          </w:p>
        </w:tc>
      </w:tr>
      <w:tr>
        <w:trPr>
          <w:trHeight w:val="20"/>
        </w:trPr>
        <w:tc>
          <w:tcPr>
            <w:tcW w:w="9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9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(3,946)</w:t>
            </w:r>
          </w:p>
        </w:tc>
      </w:tr>
      <w:tr>
        <w:trPr>
          <w:trHeight w:val="230"/>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conversion of convertible debt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(30,106)</w:t>
            </w:r>
          </w:p>
        </w:tc>
      </w:tr>
      <w:tr>
        <w:trPr>
          <w:trHeight w:val="229"/>
        </w:trPr>
        <w:tc>
          <w:tcPr>
            <w:tcW w:w="9440" w:type="dxa"/>
            <w:vAlign w:val="bottom"/>
          </w:tcPr>
          <w:p>
            <w:pPr>
              <w:ind w:left="140"/>
              <w:spacing w:after="0"/>
              <w:rPr>
                <w:sz w:val="20"/>
                <w:szCs w:val="20"/>
                <w:color w:val="auto"/>
              </w:rPr>
            </w:pPr>
            <w:r>
              <w:rPr>
                <w:rFonts w:ascii="Arial" w:cs="Arial" w:eastAsia="Arial" w:hAnsi="Arial"/>
                <w:sz w:val="18"/>
                <w:szCs w:val="18"/>
                <w:color w:val="auto"/>
              </w:rPr>
              <w:t>Interest on convertible debt prior to conversion</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prior to conversion</w:t>
            </w: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(31,862)</w:t>
            </w:r>
          </w:p>
        </w:tc>
      </w:tr>
      <w:tr>
        <w:trPr>
          <w:trHeight w:val="20"/>
        </w:trPr>
        <w:tc>
          <w:tcPr>
            <w:tcW w:w="9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9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64,778,024</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Total-basic</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64,778,024</w:t>
            </w:r>
          </w:p>
        </w:tc>
      </w:tr>
      <w:tr>
        <w:trPr>
          <w:trHeight w:val="20"/>
        </w:trPr>
        <w:tc>
          <w:tcPr>
            <w:tcW w:w="9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9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64,778,024</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attributable to convertible debt prior to conversion</w:t>
            </w: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3,478,165</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Total-diluted</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68,256,189</w:t>
            </w:r>
          </w:p>
        </w:tc>
      </w:tr>
      <w:tr>
        <w:trPr>
          <w:trHeight w:val="20"/>
        </w:trPr>
        <w:tc>
          <w:tcPr>
            <w:tcW w:w="9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9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per share attributable to common stockholders:</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0"/>
        </w:trPr>
        <w:tc>
          <w:tcPr>
            <w:tcW w:w="9440" w:type="dxa"/>
            <w:vAlign w:val="bottom"/>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29"/>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bl>
    <w:p>
      <w:pPr>
        <w:spacing w:after="0" w:line="310"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620" w:type="dxa"/>
            <w:vAlign w:val="bottom"/>
            <w:tcBorders>
              <w:bottom w:val="single" w:sz="8" w:color="auto"/>
            </w:tcBorders>
            <w:gridSpan w:val="3"/>
          </w:tcPr>
          <w:p>
            <w:pPr>
              <w:ind w:left="1180"/>
              <w:spacing w:after="0"/>
              <w:rPr>
                <w:sz w:val="20"/>
                <w:szCs w:val="20"/>
                <w:color w:val="auto"/>
              </w:rPr>
            </w:pPr>
            <w:r>
              <w:rPr>
                <w:rFonts w:ascii="Arial" w:cs="Arial" w:eastAsia="Arial" w:hAnsi="Arial"/>
                <w:sz w:val="16"/>
                <w:szCs w:val="16"/>
                <w:b w:val="1"/>
                <w:bCs w:val="1"/>
                <w:color w:val="auto"/>
                <w:w w:val="92"/>
              </w:rPr>
              <w:t>As of September 30,</w:t>
            </w:r>
          </w:p>
        </w:tc>
        <w:tc>
          <w:tcPr>
            <w:tcW w:w="1120" w:type="dxa"/>
            <w:vAlign w:val="bottom"/>
            <w:tcBorders>
              <w:bottom w:val="single" w:sz="8" w:color="auto"/>
            </w:tcBorders>
          </w:tcPr>
          <w:p>
            <w:pPr>
              <w:spacing w:after="0"/>
              <w:rPr>
                <w:sz w:val="18"/>
                <w:szCs w:val="18"/>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148,384,433</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Stock options, including early exercise of options</w:t>
            </w:r>
          </w:p>
        </w:tc>
        <w:tc>
          <w:tcPr>
            <w:tcW w:w="1800" w:type="dxa"/>
            <w:vAlign w:val="bottom"/>
          </w:tcPr>
          <w:p>
            <w:pPr>
              <w:jc w:val="right"/>
              <w:spacing w:after="0"/>
              <w:rPr>
                <w:sz w:val="20"/>
                <w:szCs w:val="20"/>
                <w:color w:val="auto"/>
              </w:rPr>
            </w:pPr>
            <w:r>
              <w:rPr>
                <w:rFonts w:ascii="Arial" w:cs="Arial" w:eastAsia="Arial" w:hAnsi="Arial"/>
                <w:sz w:val="18"/>
                <w:szCs w:val="18"/>
                <w:color w:val="auto"/>
              </w:rPr>
              <w:t>36,354,746</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42,213,842</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14,003,905</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7,802,245</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262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15,929,262</w:t>
            </w: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50,358,651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214,329,782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 and Geographical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 our operations through a single operating segment and, therefore,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Revenue by geography is based on the billing addresses of the borrower or the location of the merchant’s national headquarters. The following table sets forth revenue by geographic area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374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75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261,603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172,242</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269,385</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173,978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jc w:val="both"/>
        <w:ind w:right="80" w:firstLine="648"/>
        <w:spacing w:after="0" w:line="274" w:lineRule="auto"/>
        <w:rPr>
          <w:sz w:val="20"/>
          <w:szCs w:val="20"/>
          <w:color w:val="auto"/>
        </w:rPr>
      </w:pPr>
      <w:r>
        <w:rPr>
          <w:rFonts w:ascii="Arial" w:cs="Arial" w:eastAsia="Arial" w:hAnsi="Arial"/>
          <w:sz w:val="18"/>
          <w:szCs w:val="18"/>
          <w:color w:val="auto"/>
        </w:rPr>
        <w:t>The following table sets forth our long-lived assets, consisting of property, equipment and software, net and operating lease right-of-use assets, by geographic area (in thousands):</w:t>
      </w: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54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118,076</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November 10, 2021, we entered into an amended and restated commercial agreement with Amazon.com Services LLC (“Amazon Services”) and Amazon Payments, Inc. In connection with this agreement, we issued to Amazon Services: (i) a warrant (the “First Warrant”) to purchase up to an aggregate of 7,000,000 shares of Class A common stock at an exercise price of $0.01 per share; and (ii) a warrant (the “Second Warrant” and, together with the First Warrant, the “Warrants”) to purchase up to an aggregate of 15,000,000 shares of Class A common stock at an exercise price of $100.00 per share. The Warrants vest in multiple tranches in accordance with the terms of the Warrants. The First Warrant expires on May 9, 2025 and the Second Warrant expires on May 9,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2021 included in our Annual Report on Form 10-K (our “Annual Report”).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 For the periods presented, references to originating bank partners are to Cross River Bank and Celtic Bank.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are building the next generation platform for digital and mobile-first commerce. We believe that by using modern technology, the very best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0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point-of-sale solution allows consumers to pay for purchases in fixed amounts without deferred interest, hidden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manage payments, open a high-yield savings account, and access a personalized marketplace.</w:t>
      </w:r>
    </w:p>
    <w:p>
      <w:pPr>
        <w:spacing w:after="0" w:line="16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4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thereby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12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have achieved significant growth in recent periods. Our total revenue, net was approximately $269.4 million and $174.0 million for the three months ended September 30, 2021 and 2020, respectively.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incurred net losses of $306.6 million and $3.9 million for the three months ended September 30, 2021 and 2020, respectively.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combination of our differentiated product offering, efficient go-to-market strategy, and strong monetization engine has resulted in fast growth.</w:t>
      </w:r>
    </w:p>
    <w:p>
      <w:pPr>
        <w:spacing w:after="0" w:line="221" w:lineRule="exact"/>
        <w:rPr>
          <w:sz w:val="20"/>
          <w:szCs w:val="20"/>
          <w:color w:val="auto"/>
        </w:rPr>
      </w:pPr>
    </w:p>
    <w:p>
      <w:pPr>
        <w:ind w:left="660" w:right="340" w:hanging="328"/>
        <w:spacing w:after="0" w:line="277"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Rapid GMV growth. </w:t>
      </w:r>
      <w:r>
        <w:rPr>
          <w:rFonts w:ascii="Arial" w:cs="Arial" w:eastAsia="Arial" w:hAnsi="Arial"/>
          <w:sz w:val="18"/>
          <w:szCs w:val="18"/>
          <w:color w:val="auto"/>
        </w:rPr>
        <w:t>We grew our Gross Merchandise Volume (“GMV”) by approximately 84% period-over-period to $2.7 billion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2021 from $1.5 billion during the three months ended September 30, 2020.</w:t>
      </w:r>
    </w:p>
    <w:p>
      <w:pPr>
        <w:spacing w:after="0" w:line="129" w:lineRule="exact"/>
        <w:rPr>
          <w:rFonts w:ascii="Arial" w:cs="Arial" w:eastAsia="Arial" w:hAnsi="Arial"/>
          <w:sz w:val="18"/>
          <w:szCs w:val="18"/>
          <w:b w:val="1"/>
          <w:bCs w:val="1"/>
          <w:i w:val="1"/>
          <w:iCs w:val="1"/>
          <w:color w:val="auto"/>
        </w:rPr>
      </w:pPr>
    </w:p>
    <w:p>
      <w:pPr>
        <w:ind w:left="660" w:right="5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consumer engagement. </w:t>
      </w:r>
      <w:r>
        <w:rPr>
          <w:rFonts w:ascii="Arial" w:cs="Arial" w:eastAsia="Arial" w:hAnsi="Arial"/>
          <w:sz w:val="18"/>
          <w:szCs w:val="18"/>
          <w:color w:val="auto"/>
        </w:rPr>
        <w:t>The number of active consumers on our platform grew by 1.6 million consumers from June 30, 2021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an increase of 22%, to a total of 8.7 million.</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Expanded merchant network. </w:t>
      </w:r>
      <w:r>
        <w:rPr>
          <w:rFonts w:ascii="Arial" w:cs="Arial" w:eastAsia="Arial" w:hAnsi="Arial"/>
          <w:sz w:val="18"/>
          <w:szCs w:val="18"/>
          <w:color w:val="auto"/>
        </w:rPr>
        <w:t>We have also continued to scale the breadth and reach of our platform. From June 30, 2021 to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merchant base expanded by 253% to 102,217 active merchants.</w:t>
      </w:r>
    </w:p>
    <w:p>
      <w:pPr>
        <w:spacing w:after="0" w:line="14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business was designed to scale efficiently. Our partnerships with banks and other funding relationships have allowed us to remain equity capital efficient. Since July 1, 2016, we have processed approximately $20.2 billion of GMV on our platform. As of September 30, 2021, we had over $7.3 billion in funding capacity from a diverse set of capital partners, including through our warehouse facilities, securitization trusts, and forward flow arrangements, an increase of $0.8 billion from $6.5 billion as of June 30, 2021.</w:t>
      </w:r>
    </w:p>
    <w:p>
      <w:pPr>
        <w:spacing w:after="0" w:line="14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Through the diversity of these funding relationships, the equity capital required to build our total platform portfolio has declined from approximately 4% of the total platform portfolio as of June 30, 2021, to approximately 3% as of September 30, 2021. We define our total platform portfolio as the unpaid principal balance outstanding of all loans facilitated through our platform as of the balance sheet date, including both those loans held for investment and those loans owned by third-parties. This amount totaled $5.0 billion and $4.7 billion as of September 30, 2021 and June 30, 2021, respectively. Additionally, we define the equity capital required as the balance of loans held for investment plus loans held for sale less funding debt and notes issued by securitization trusts, per our interim condensed consolidated balance sheet. This amount totaled $140.2 million and $178.1 million as of September 30, 2021 and June 30, 2021, respectively. Equity capital required as a percent of the last twelve months’ GMV was 1% and 2% as of September 30, 2021 and June 30, 2021, respectively.</w:t>
      </w:r>
    </w:p>
    <w:p>
      <w:pPr>
        <w:spacing w:after="0" w:line="15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that our continued success will depend on many factors, including our ability to attract additional merchant partners, retain our existing merchant partners, and grow and develop our relationships with new and existing merchant partners (including our relationship with Amazon), help our merchants grow their revenue on our platform, and develop new innovative solutions to establish the ubiquity of our network and breadth of our platform. For a further discussion of trends, uncertainties and other factors that could impact our operating results, see the section entitled “Risk Factors” in Item 1A, which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w:t>
      </w:r>
    </w:p>
    <w:p>
      <w:pPr>
        <w:spacing w:after="0" w:line="19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From merchants, we earn a fee when we help them convert a sale and facilitate a transaction. While merchant fees depend on the individual arrangement between us and each merchant and vary based on the terms of the product offering, we generally earn larger merchant fees on 0% APR financing products. For the three months ended September 30, 2021 and 2020, 0% APR financing represented 43% and 46%, respectively, of total GMV facilitated through our platform.</w:t>
      </w:r>
    </w:p>
    <w:p>
      <w:pPr>
        <w:spacing w:after="0" w:line="1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individual arrangement with a merchant. Because our consumers are never charged deferred or compounding interest, late fees, or penalties on the loans, we are not incentivized to profit from our consumers’ hardships.</w:t>
      </w:r>
    </w:p>
    <w:p>
      <w:pPr>
        <w:spacing w:after="0" w:line="13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Origination and Servicing Model</w:t>
      </w:r>
    </w:p>
    <w:p>
      <w:pPr>
        <w:spacing w:after="0" w:line="18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When a consumer applies for a loan through our platform, the loan is underwritten using our proprietary risk model. Once approved for the loan, the consumer then selects his/her preferred repayment option. The substantial majority of these loans are funded and issued by our originating bank partners.</w:t>
      </w:r>
    </w:p>
    <w:p>
      <w:pPr>
        <w:spacing w:after="0" w:line="14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substantial majority of the loans facilitated through our platform are originated through our originating bank partners: Cross River Bank, an FDIC-insured New Jersey state-chartered bank, and Celtic Bank, an FDIC-insured Utah state-chartered industrial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out of its own funds and may subsequently offer and sell the loan to us. Pursuant to our agreements with these partners, we are obligated to purchase the loans facilitated through our platform that our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13. Fair Value of Financial Assets and Liabilities for more information on the performance fee liability.</w:t>
      </w:r>
    </w:p>
    <w:p>
      <w:pPr>
        <w:spacing w:after="0" w:line="15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are also able to originate loans directly under our lending, servicing, and brokering licenses in Canada and across various states in the U.S. through our consolidated subsidiaries. As of September 30, 2021, we had originated approximately $394.0 million of loans in Canada. As of September 30, 2021, we had directly originated $722.4 million of loans in the U.S. pursuant to our state licenses.</w:t>
      </w:r>
    </w:p>
    <w:p>
      <w:pPr>
        <w:spacing w:after="0" w:line="1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Funding Sources</w:t>
      </w:r>
    </w:p>
    <w:p>
      <w:pPr>
        <w:spacing w:after="0" w:line="19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a capital-efficient model through a diverse set of funding sources. When we originate a loan directly or purchase a loan originated by our originating bank partners, we often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collect and analyze operating and financial data of our business to assess our performance, formulate financial projections, and make strategic decisions. In addition to revenue, net (loss) income, and other results under accounting principles generally accepted in the United States (“U.S. GAAP”), the following tables set forth key operating metrics we use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7500"/>
        <w:spacing w:after="0"/>
        <w:rPr>
          <w:sz w:val="20"/>
          <w:szCs w:val="20"/>
          <w:color w:val="auto"/>
        </w:rPr>
      </w:pPr>
      <w:r>
        <w:rPr>
          <w:rFonts w:ascii="Arial" w:cs="Arial" w:eastAsia="Arial" w:hAnsi="Arial"/>
          <w:sz w:val="16"/>
          <w:szCs w:val="16"/>
          <w:b w:val="1"/>
          <w:bCs w:val="1"/>
          <w:color w:val="auto"/>
        </w:rPr>
        <w:t>Three Months Ended</w:t>
      </w:r>
    </w:p>
    <w:p>
      <w:pPr>
        <w:jc w:val="center"/>
        <w:ind w:left="75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8890</wp:posOffset>
            </wp:positionV>
            <wp:extent cx="23571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 w:lineRule="exact"/>
        <w:rPr>
          <w:sz w:val="20"/>
          <w:szCs w:val="20"/>
          <w:color w:val="auto"/>
        </w:rPr>
      </w:pPr>
    </w:p>
    <w:p>
      <w:pPr>
        <w:ind w:left="8280"/>
        <w:spacing w:after="0"/>
        <w:tabs>
          <w:tab w:leader="none" w:pos="101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20320</wp:posOffset>
            </wp:positionV>
            <wp:extent cx="23571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7"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Merchandise Volume (GMV)</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2,712,939</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1,475,929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GMV</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measure gross merchandise volume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and the strength of our platform. For the three months ended September 30, 2021, GMV was $2.7 billion, which represented an increase of approximately 84% as compared to $1.5 billion for the three months ended September 30, 2020.</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02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September 30, 2021</w:t>
            </w:r>
          </w:p>
        </w:tc>
        <w:tc>
          <w:tcPr>
            <w:tcW w:w="180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w w:val="90"/>
              </w:rPr>
              <w:t>June 30, 2021</w:t>
            </w:r>
          </w:p>
        </w:tc>
        <w:tc>
          <w:tcPr>
            <w:tcW w:w="176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September 30, 2020</w:t>
            </w:r>
          </w:p>
        </w:tc>
      </w:tr>
      <w:tr>
        <w:trPr>
          <w:trHeight w:val="184"/>
        </w:trPr>
        <w:tc>
          <w:tcPr>
            <w:tcW w:w="5660" w:type="dxa"/>
            <w:vAlign w:val="bottom"/>
          </w:tcPr>
          <w:p>
            <w:pPr>
              <w:spacing w:after="0"/>
              <w:rPr>
                <w:sz w:val="16"/>
                <w:szCs w:val="16"/>
                <w:color w:val="auto"/>
              </w:rPr>
            </w:pPr>
          </w:p>
        </w:tc>
        <w:tc>
          <w:tcPr>
            <w:tcW w:w="5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 thousands, except per consumer data)</w:t>
            </w: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Consumers</w:t>
            </w:r>
          </w:p>
        </w:tc>
        <w:tc>
          <w:tcPr>
            <w:tcW w:w="20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8,692</w:t>
            </w:r>
          </w:p>
        </w:tc>
        <w:tc>
          <w:tcPr>
            <w:tcW w:w="1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Transactions per Active Consumer (x)</w:t>
            </w:r>
          </w:p>
        </w:tc>
        <w:tc>
          <w:tcPr>
            <w:tcW w:w="2020" w:type="dxa"/>
            <w:vAlign w:val="bottom"/>
          </w:tcPr>
          <w:p>
            <w:pPr>
              <w:jc w:val="right"/>
              <w:ind w:right="217"/>
              <w:spacing w:after="0"/>
              <w:rPr>
                <w:sz w:val="20"/>
                <w:szCs w:val="20"/>
                <w:color w:val="auto"/>
              </w:rPr>
            </w:pPr>
            <w:r>
              <w:rPr>
                <w:rFonts w:ascii="Arial" w:cs="Arial" w:eastAsia="Arial" w:hAnsi="Arial"/>
                <w:sz w:val="18"/>
                <w:szCs w:val="18"/>
                <w:color w:val="auto"/>
              </w:rPr>
              <w:t>2.3</w:t>
            </w: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2.3</w:t>
            </w: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Consumers</w:t>
      </w:r>
    </w:p>
    <w:p>
      <w:pPr>
        <w:spacing w:after="0" w:line="18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September 30, 2021, we had 8.7 million active consumers, representing an increase of approximately 22% compared to 7.1 million at June 30, 2021, and approximately 124% compared to $3.9 million at September 30,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per Active Consumer</w:t>
      </w:r>
    </w:p>
    <w:p>
      <w:pPr>
        <w:spacing w:after="0" w:line="18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As of September 30, 2021, we had approximately 2.3 transactions per active consumer, an increase of 3% compared to June 30, 2021, and approximately 8% compared to September 30, 2020. Transactions per active consumer includes incremental transactions completed by active consumers on the PayBright and Returnly platforms during the twelve months prior to the measurement date and prior to the acquisitions of PayBright and Returnly by Affirm.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Network, Diversity, and Mix of Funding Relationships</w:t>
      </w:r>
    </w:p>
    <w:p>
      <w:pPr>
        <w:spacing w:after="0" w:line="19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We have continued to reduce the percentage of our equity capital required to fund our total platform portfolio from approximately 4% as of June 30, 2021 to approximately 3% as of September 30, 2021. The mix of on-balance sheet and off-balance sheet funding will also impact our results in any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8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mix of products that our merchants offer and our consumers purchase in any period affects our operating results. The mix impacts GMV, revenue, and the financial results of that period. Differences in product mix relate to different loan durations, APR mix, and varying proportion of 0% APR versus interest-bearing financings. For example, our low average order value (“AOV”) products generally benefit from shorter duration, but also have lower revenue as a percentage of GMV when compared to high AOV products. These mix shifts are driven in part by merchant-side activity relating to the marketing of their products, whether the merchant is fully integrated within our network, and general economic conditions affecting consumer demand. In addition, we expect that our commercial agreement with Shopify to offer Shop Pay Installments powered by Affirm and our recent Split Pay offering, a short-term payment plan for purchases under $250 with 0% APR, will increase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Split Pay and other low-AOV offerings.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Investment</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historically relied on the strength of our merchant relationships and positive user experience to develop our consumer brand and grow the ubiquity of our platform. During the three months ended September 30, 2021, we increased our investment in sales and marketing channels that we believe will drive further brand awareness and preference among both consumers and merchants. Given the nature of our revenue, our investment in sales and marketing in a given period may not impact results until subsequent periods. Additionally, given the increasingly competitive nature of merchant acquisition, we expect that we may make significant investments in retaining and acquiring new merchants. We are focused on the effectiveness of sales and marketing spending and will continue to be strategic in maintaining efficient consumer and merchant acquisition.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experience seasonal fluctuations in our revenue as a result of consumer spending patterns. Historically, our revenue has been the strongest during the second quarter of our fiscal year due to increases in retail commerce occurring through the holiday season. Additionally, revenue associated with the purchase of home fitness equipment historically has been strongest in the third quarter of our fiscal year. Adverse events that occur during these months could have a disproportionate effect on our financial results for the fiscal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Merchant Transaction Recognition Change</w:t>
      </w:r>
    </w:p>
    <w:p>
      <w:pPr>
        <w:spacing w:after="0" w:line="18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timing of our revenue recognition is tied to when a merchant captures payment and confirms a transaction financed through our platform, which we refer to as the merchant capture date. If a merchant recognizes the payment collection and confirms the transaction later in their transaction process, we expect that this change would delay the merchant capture date, which would delay our recognition of GMV and revenue related to that merchant’s transactions by a corresponding amount. Such a delay would adversely affect the GMV and revenue that we recognize from such merchant’s transactions in the quarterly period of such change, as the merchant capture date for a portion of such transactions would shift to a future quarterly period. We typically experience small timing differences between the consumer purchase date and the date when a merchant captures payment; however, these differences have historically been immaterial.</w:t>
      </w:r>
    </w:p>
    <w:p>
      <w:pPr>
        <w:spacing w:after="0" w:line="168"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In December 2020, the implementation of such a change began with respect to our largest merchant, Peloton, who implemented a change in the timing of when the transaction is considered captured. This resulted in a delay in the recognition of GMV and revenue related to these transactions in the period ended December 31, 2020.</w:t>
      </w:r>
    </w:p>
    <w:p>
      <w:pPr>
        <w:spacing w:after="0" w:line="143"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In the three months ended September 30, 2021, we facilitated $29.6 million more transaction volume on our platform than was captured and confirmed by our merchants, an increase of $16.1 million from the three months ended September 30, 2020, in which we facilitated $13.5 million more transaction volume than was captured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confirmed by our merchants. As of September 30, 2021 and over the multi-year life of our merchant partnership with Peloton, we had facilitated approximately $18.1 million more transaction volume than had been captured and confirmed by the merchant. As of September 30, 2020, we had not yet implemented the change in timing of when the transactions is considered captured.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on factors affecting our performance, see the section titled “Risk Factors” in Item 1A.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COVID-19 pandemic has had, and continues to have, a significant impact on the U.S. economy and the markets in which we operate. Our positive performance during this period demonstrates the value and effectiveness of our platform, the resiliency of our business model, and the capabilities of our risk management and underwriting approach. However, some of the COVID-19 related trends underlying this positive performance, in particular the significant revenue generated from certain types of merchants, may not continue at current levels.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Merchant Partners</w:t>
      </w:r>
    </w:p>
    <w:p>
      <w:pPr>
        <w:spacing w:after="0" w:line="1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a diversified set of merchant partners across industries, which allows us to capitalize on industry tailwinds and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significantly, but we saw a significant increase in revenue from merchant partners offering home fitness equipment, home office products, and home furnishings. While we have benefited as a result of such consumer spending trends, there can be no assurance that such trends will continue or that the levels of total revenue and merchant network revenue that we generate from merchants in fitness equipment, home office products, and home furnishings industries will continue; in fact, we have begun to see these trends begin to reverse as access to COVID-19 vaccinations has increased. The decline of sales by our merchants for any reason will generally result in lower credit sales and, therefore, lower loan volume and associated fee income for us. However, the beginnings of economic reopening and recovery present new opportunities for growth in our diverse merchant base, including early indications of strong recovery in the travel and hospitality sectors, in which we believe we are well positioned.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Risk Model</w:t>
      </w:r>
    </w:p>
    <w:p>
      <w:pPr>
        <w:spacing w:after="0" w:line="19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part of our risk mitigation platform, we closely track data and trends to measure risk and manage exposure, leveraging our flexibility to quickly adjust and adapt. In response to the macroeconomic impact of the COVID-19 pandemic, we initiated a series of refinements to our risk model based on our real-time data observations and analysis. We were able to respond, implement, and test the updates to our model quickly due to the adaptability of our infrastructure, underwriting, and risk management models. This resulted in decreases across both charge-offs and delinquencies. As macroeconomic conditions improved, the embedded flexibility of the model allowed our risk tolerances to return closer to pre-pandemic levels while still maintaining low losses. Our proprietary risk model was not designed to take into account the longer-term impacts of social, economic, and financial disruptions caused by the COVID-19 pandemic, and while we continue to make refinements to our risk model as new information becomes available to us, any changes to our risk model may be ineffective and the performance of our risk model may decline.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Resilient Allowance Model</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percentage loans held for investment reaching a high of 14.8% as of March 31, 2020. In the months subsequent to this and during fiscal year 2021, we saw stronger than expected repayment history in the portfolio and increased credit quality of loans held on our balance sheet from credit tightening, resulting in a release of the allowance over time. As the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reopening and recovery continues, we believe our allowance model is well equipped to forecast expected loss scenarios resulting from both the shifting product mix of loans on our balance sheet as well as a return to pre-pandemic credit levels over time. As of September 30, 2021 and June 30, 2021, the allowance for credit losses as a percentage of loans held for investment was 6.8% and 5.8%, respectively. Should macroeconomic factors or expected losses change, we may increase or decrease the allowance for credit losses.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Merchant partners are charged a fee on each transaction processed through the Affirm platform. The fees vary depending on the individual arrangement between us and each merchant and on the terms of the product offering. The fee is recognized at the point in time the terms of the executed merchant agreement have been fulfilled and the merchant successfully confirms the transaction.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order to continue to expand our consumer base, we may originate loans under certain merchant arrangements that we do not expect to achieve positive revenue. In these instances, the loss is recorded as sales and marketing expense. During the three months ended September 30, 2021 and 2020, we generated 34% and 54% of our revenue from merchant network fees,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Card Network Revenue</w:t>
      </w:r>
    </w:p>
    <w:p>
      <w:pPr>
        <w:spacing w:after="0" w:line="18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 smaller portion of our revenue comes from our Virtual Card product. 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which is ultimately funded and maintained by us. Our originating bank partner then originates a loan to the consumer once the transaction is confirmed by the merchant. The non-integrated merchants are charged interchange fees by the issuer processor for virtual debit card transactions, as with all debit card purchases,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 This revenue is recognized as a percentage of both our loan volume transacted on the payment processor network and net interchange income, and this revenue is presented net of associated processing fees. We generated 7% and 3% of our revenue from virtual card network fees for the three months ended September 30, 2021 and 2020,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also earn revenue through interest earned on loans facilitated by our platform. Interest income includes interest charged to consumers over the term of the consumers’ loans based on the principal outstanding and is calculated using the effective interest method. In addition, interest income includes the amortization of any discounts or premiums on loan receivables created upon either the purchase of a loan from our originating bank partners or the origination of a loan. These discounts and premiums are accreted or amortized over the life of the loan using the effective interest method and represented 33% and 27% of total interest income for the three months ended September 30, 2021 and 2020, respectively. During the three months ended September 30, 2021 and 2020, we generated 44% and 31% of our revenue from interest income,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Loans</w:t>
      </w:r>
    </w:p>
    <w:p>
      <w:pPr>
        <w:spacing w:after="0" w:line="18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sell a portion of the loans we purchase from our originating bank partners to third-party investors. We recognize a gain or loss on sale of such loans as the difference between the proceeds received, adjusted for initial recognition of servicing assets and liabilities obtained at the date of sale, and the carrying value of the loan. During the three months ended September 30, 2021 and 2020, we generated 11% and 9% of our revenue from gain on sales of loans,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earn a specified fee from providing professional services to manage loan portfolios on behalf of our third-party loan owners. Under the servicing agreements with our third party loan owners, we are entitled to collect servicing fees on the loans that we service, which are paid monthly based upon an annual fixed percentage of the outstanding loan portfolio balance. During the three months ended September 30, 2021 and 2020, we generated 4% and 2% of our revenue from servicing fees, respectively.</w:t>
      </w:r>
    </w:p>
    <w:p>
      <w:pPr>
        <w:spacing w:after="0" w:line="146"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We expect our revenue may vary from period to period based on, among other things, the timing and size of onboarding of new merchants, the mix of 0% APR loans versus interest-bearing loans with simple interest, type and mix of products that our merchants offer to their customers, the rate of repeat transactions, transaction volume, and seasonality of or fluctuations in usage of our platform.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Our operating expenses consist of the loss on loan purchase commitment made to our originating bank partners, the provision for credit losses, funding costs, processing and servicing, technology and data analytics, sales and marketing, and general and administrative expenses. Salaries and personnel-related costs, including benefits, bonuses, stock-based compensation expense and occupancy, comprise a significant component of several of these expense categories. An allocation of overhead, such as rent and other overhead, is based on employee headcount and included in processing and servicing, technology and data analytics, sales and marketing, and general and administrative expenses.</w:t>
      </w:r>
    </w:p>
    <w:p>
      <w:pPr>
        <w:spacing w:after="0" w:line="12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As of September 30, 2021, we had 1,876 employees, compared to 1,641 employees as of June 30, 2021. We increased our headcount and personnel related costs across our business in order to support our growth expansion strategy. We expect headcount to continue to increase during fiscal year 2022 given our focus on growth and expansion.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purchase certain loans from our originating bank partners that are processed through our platform and our originating bank partner puts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Provision for credit losses consists of amounts charged against income during the period to maintain an allowance for credit losses. Our allowance for credit losses represents our estimate of the credit losses inherent in our loans held for investment and is based on a variety of factors, including the composition and quality of the portfolio, loan specific information gathered through our collection efforts, current economic conditions, and our historical net charge-off and loss experience. These costs are incurred on a per loan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18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Funding costs consist of the interest expense we incur on our borrowings and amortization of fees and other costs incurred in connection with funding the purchases and origination of loans. Excluding the amortization of debt issuance costs, which totaled $5.2 million and $1.1 million for the three months ended September 30, 2021 and 2020, respectively, we incur an expense per loan pledged to our debt funding sources.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Processing and servicing expense consists primarily of payment processing fees, third-party customer support and collection expense salaries and personnel-related costs of our customer care team, and allocated overhead. Payment processing costs are primarily driven by the number and dollar value of consumer repayments which grow as the number of transactions and GMV processed on our platform increases. Customer care loan servicing costs are primarily staffing costs related to third-party and in-house loan servicing agents, the demand for which generally increases with the number of transactions on our platform. Collection fees are fees paid to agencies as percentages of the dollars of repayment they recuperate from borrowers whose loans had previously been charged off. Processing and servicing expenses are predominantly per transaction processing fees and third-party staffing fees that generally increase with consumer contact.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Technology and data analytics expense consists primarily of the salaries, stock-based compensation, and personnel-related costs of our engineering and product employees as well as our credit and analytics employees who develop our proprietary risk model, which totaled $50.5 million and $21.1 million for the three months ended September 30, 2021 and 2020, respectively.</w:t>
      </w:r>
    </w:p>
    <w:p>
      <w:pPr>
        <w:spacing w:after="0" w:line="143"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Additionally, for the three months ended September 30, 2021and 2020, $26.8 million and $5.1 million, respectively, of salaries and personnel costs that relate to the creation of internally-developed software were capitalized into property, equipment and software, net on the interim condensed consolidated balance sheets, and amortized into technology and data analytics expense over the useful life of the developed software. This amortization expense totaled $3.6 million and $2.6 million for the three months ended September 30, 2021 and 2020, respectively. Additional technology and data analytics expenses include platform infrastructure and hosting costs, third-party data acquisition expenses, and expenses related to the maintenance of existing technology assets and our technology platform as a whole.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9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Sales and marketing expense consists primarily of salaries and personnel-related costs, as well as costs of general marketing and promotional activities, promotional event programs, sponsorships, and allocated overhead. In July 2020, we recognized an asset in connection with a commercial agreement with Shopify in which we granted warrants in exchange for their promotion of the Affirm platform with potential new merchant partners. This asset represents the probable future economic benefit to be realized over the four-year expected benefit period and is valued based on the fair value of the warrants at the grant date. This value is amortized on a straight-line basis over the four-year expected benefit period into sales and marketing expense, due to the nature of the expected benefit.</w:t>
      </w:r>
    </w:p>
    <w:p>
      <w:pPr>
        <w:spacing w:after="0" w:line="15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Additionally, in order to continue to expand our consumer base, we may originate certain loans via our wholly-owned subsidiaries with zero or below market interest rates under certain merchant arrangements that we do not expect to achieve positive revenue. In these instances, the par value of the loans originated is in excess of the fair market value of such loans, which results in a loss. These losses are recorded as sales and marketing expense. These losses totaled $5.1 million during the three months ended September 30, 2021. We expect that our sales and marketing expense will increase as a percentage of revenue as we expand our sales and marketing efforts to drive our growth, expansion, and diversification.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and allocated overhead.</w:t>
      </w:r>
    </w:p>
    <w:p>
      <w:pPr>
        <w:spacing w:after="0" w:line="15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that our general and administrative expense will increase in absolute dollars as our business grows.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Other (expense) income, net consists of interest earned on our money market funds included in cash and cash equivalents and restricted cash, interest earned on securities available for sale, gains and losses incurred on both our interest rate caps, and fair value adjustments resulting from changes in the fair value of our contingent consideration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Our income tax expense consists of U.S. federal and state income taxes, Canadian federal and provincial income taxes, and income taxes attributable to other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tables set forth selected interim condensed consolidated statements of operations and comprehensive loss data for each of the periods presented in dollars: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72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22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6"/>
                <w:szCs w:val="16"/>
                <w:b w:val="1"/>
                <w:bCs w:val="1"/>
                <w:color w:val="auto"/>
              </w:rPr>
              <w:t>2020</w:t>
            </w:r>
          </w:p>
        </w:tc>
      </w:tr>
      <w:tr>
        <w:trPr>
          <w:trHeight w:val="184"/>
        </w:trPr>
        <w:tc>
          <w:tcPr>
            <w:tcW w:w="22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r>
      <w:tr>
        <w:trPr>
          <w:trHeight w:val="231"/>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Merchant network revenue</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92,244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93,265</w:t>
            </w: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Virtual card network revenue</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r>
      <w:tr>
        <w:trPr>
          <w:trHeight w:val="223"/>
        </w:trPr>
        <w:tc>
          <w:tcPr>
            <w:tcW w:w="7520" w:type="dxa"/>
            <w:vAlign w:val="bottom"/>
            <w:gridSpan w:val="2"/>
          </w:tcPr>
          <w:p>
            <w:pPr>
              <w:ind w:left="260"/>
              <w:spacing w:after="0"/>
              <w:rPr>
                <w:sz w:val="20"/>
                <w:szCs w:val="20"/>
                <w:color w:val="auto"/>
              </w:rPr>
            </w:pPr>
            <w:r>
              <w:rPr>
                <w:rFonts w:ascii="Arial" w:cs="Arial" w:eastAsia="Arial" w:hAnsi="Arial"/>
                <w:sz w:val="18"/>
                <w:szCs w:val="18"/>
                <w:color w:val="auto"/>
              </w:rPr>
              <w:t>Total network revenue</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111,639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99,223</w:t>
            </w:r>
          </w:p>
        </w:tc>
      </w:tr>
      <w:tr>
        <w:trPr>
          <w:trHeight w:val="230"/>
        </w:trPr>
        <w:tc>
          <w:tcPr>
            <w:tcW w:w="752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54,237</w:t>
            </w:r>
          </w:p>
        </w:tc>
      </w:tr>
      <w:tr>
        <w:trPr>
          <w:trHeight w:val="229"/>
        </w:trPr>
        <w:tc>
          <w:tcPr>
            <w:tcW w:w="75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Gain on sales of loans </w:t>
            </w:r>
            <w:r>
              <w:rPr>
                <w:rFonts w:ascii="Arial" w:cs="Arial" w:eastAsia="Arial" w:hAnsi="Arial"/>
                <w:sz w:val="23"/>
                <w:szCs w:val="23"/>
                <w:color w:val="auto"/>
                <w:vertAlign w:val="superscript"/>
              </w:rPr>
              <w:t>(1)</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16,434</w:t>
            </w: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Servicing income</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r>
      <w:tr>
        <w:trPr>
          <w:trHeight w:val="223"/>
        </w:trPr>
        <w:tc>
          <w:tcPr>
            <w:tcW w:w="7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Revenue, net</w:t>
            </w:r>
          </w:p>
        </w:tc>
        <w:tc>
          <w:tcPr>
            <w:tcW w:w="108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269,385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173,978</w:t>
            </w:r>
          </w:p>
        </w:tc>
      </w:tr>
      <w:tr>
        <w:trPr>
          <w:trHeight w:val="209"/>
        </w:trPr>
        <w:tc>
          <w:tcPr>
            <w:tcW w:w="75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23"/>
                <w:szCs w:val="23"/>
                <w:b w:val="1"/>
                <w:bCs w:val="1"/>
                <w:color w:val="auto"/>
                <w:vertAlign w:val="superscript"/>
              </w:rPr>
              <w:t>(2)</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Loss on loan purchase commitment</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51,678</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65,868</w:t>
            </w: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credit losses</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28,931</w:t>
            </w: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Funding costs</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10,352</w:t>
            </w: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Processing and servicing</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Technology and data analytics</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78,013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33,768</w:t>
            </w: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r>
      <w:tr>
        <w:trPr>
          <w:trHeight w:val="230"/>
        </w:trPr>
        <w:tc>
          <w:tcPr>
            <w:tcW w:w="7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136,204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32,273</w:t>
            </w: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435,456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207,272</w:t>
            </w:r>
          </w:p>
        </w:tc>
      </w:tr>
      <w:tr>
        <w:trPr>
          <w:trHeight w:val="223"/>
        </w:trPr>
        <w:tc>
          <w:tcPr>
            <w:tcW w:w="7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(166,071)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(33,294)</w:t>
            </w: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(140,373)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29,445</w:t>
            </w:r>
          </w:p>
        </w:tc>
      </w:tr>
      <w:tr>
        <w:trPr>
          <w:trHeight w:val="223"/>
        </w:trPr>
        <w:tc>
          <w:tcPr>
            <w:tcW w:w="7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108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(306,444)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(3,849)</w:t>
            </w: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7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Loss</w:t>
            </w:r>
          </w:p>
        </w:tc>
        <w:tc>
          <w:tcPr>
            <w:tcW w:w="108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(306,615)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(3,946)</w:t>
            </w:r>
          </w:p>
        </w:tc>
      </w:tr>
      <w:tr>
        <w:trPr>
          <w:trHeight w:val="21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 (loss) on securities available for sale, net</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Other Comprehensive Income (Loss)</w:t>
            </w: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w:t>
            </w:r>
          </w:p>
        </w:tc>
      </w:tr>
      <w:tr>
        <w:trPr>
          <w:trHeight w:val="248"/>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(310,696)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(3,541)</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240" w:type="dxa"/>
            <w:vAlign w:val="bottom"/>
            <w:tcBorders>
              <w:bottom w:val="single" w:sz="8" w:color="auto"/>
            </w:tcBorders>
          </w:tcPr>
          <w:p>
            <w:pPr>
              <w:spacing w:after="0"/>
              <w:rPr>
                <w:sz w:val="22"/>
                <w:szCs w:val="22"/>
                <w:color w:val="auto"/>
              </w:rPr>
            </w:pPr>
          </w:p>
        </w:tc>
        <w:tc>
          <w:tcPr>
            <w:tcW w:w="5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175" w:lineRule="exact"/>
        <w:rPr>
          <w:sz w:val="20"/>
          <w:szCs w:val="20"/>
          <w:color w:val="auto"/>
        </w:rPr>
      </w:pPr>
    </w:p>
    <w:p>
      <w:pPr>
        <w:ind w:left="340" w:right="20" w:hanging="332"/>
        <w:spacing w:after="0" w:line="243"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372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75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r>
      <w:tr>
        <w:trPr>
          <w:trHeight w:val="184"/>
        </w:trPr>
        <w:tc>
          <w:tcPr>
            <w:tcW w:w="7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53,177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87"/>
              </w:rPr>
              <w:t>28,659</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Additions from loans purchased, net of refunds</w:t>
            </w:r>
          </w:p>
        </w:tc>
        <w:tc>
          <w:tcPr>
            <w:tcW w:w="1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77,270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center"/>
              <w:ind w:left="512"/>
              <w:spacing w:after="0"/>
              <w:rPr>
                <w:sz w:val="20"/>
                <w:szCs w:val="20"/>
                <w:color w:val="auto"/>
              </w:rPr>
            </w:pPr>
            <w:r>
              <w:rPr>
                <w:rFonts w:ascii="Arial" w:cs="Arial" w:eastAsia="Arial" w:hAnsi="Arial"/>
                <w:sz w:val="18"/>
                <w:szCs w:val="18"/>
                <w:color w:val="auto"/>
                <w:w w:val="87"/>
              </w:rPr>
              <w:t>58,143</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(38,445)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2"/>
              </w:rPr>
              <w:t>(14,770)</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released on loans sold</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(38,345)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92"/>
              <w:spacing w:after="0"/>
              <w:rPr>
                <w:sz w:val="20"/>
                <w:szCs w:val="20"/>
                <w:color w:val="auto"/>
              </w:rPr>
            </w:pPr>
            <w:r>
              <w:rPr>
                <w:rFonts w:ascii="Arial" w:cs="Arial" w:eastAsia="Arial" w:hAnsi="Arial"/>
                <w:sz w:val="18"/>
                <w:szCs w:val="18"/>
                <w:color w:val="auto"/>
                <w:w w:val="92"/>
              </w:rPr>
              <w:t>(15,997)</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53,657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87"/>
              </w:rPr>
              <w:t>56,035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477456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7456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716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20" w:type="dxa"/>
            <w:vAlign w:val="bottom"/>
            <w:tcBorders>
              <w:bottom w:val="single" w:sz="8" w:color="auto"/>
            </w:tcBorders>
            <w:gridSpan w:val="7"/>
          </w:tcPr>
          <w:p>
            <w:pPr>
              <w:jc w:val="right"/>
              <w:ind w:right="511"/>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07"/>
        </w:trPr>
        <w:tc>
          <w:tcPr>
            <w:tcW w:w="53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gridSpan w:val="4"/>
            <w:shd w:val="clear" w:color="auto" w:fill="CCEEFF"/>
          </w:tcPr>
          <w:p>
            <w:pPr>
              <w:jc w:val="right"/>
              <w:ind w:right="595"/>
              <w:spacing w:after="0"/>
              <w:rPr>
                <w:sz w:val="20"/>
                <w:szCs w:val="20"/>
                <w:color w:val="auto"/>
              </w:rPr>
            </w:pPr>
            <w:r>
              <w:rPr>
                <w:rFonts w:ascii="Arial" w:cs="Arial" w:eastAsia="Arial" w:hAnsi="Arial"/>
                <w:sz w:val="14"/>
                <w:szCs w:val="14"/>
                <w:b w:val="1"/>
                <w:bCs w:val="1"/>
                <w:color w:val="auto"/>
              </w:rPr>
              <w:t>(in thousands)</w:t>
            </w: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67,742</w:t>
            </w:r>
          </w:p>
        </w:tc>
        <w:tc>
          <w:tcPr>
            <w:tcW w:w="1240" w:type="dxa"/>
            <w:vAlign w:val="bottom"/>
            <w:gridSpan w:val="3"/>
          </w:tcPr>
          <w:p>
            <w:pPr>
              <w:jc w:val="right"/>
              <w:ind w:right="87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93,189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104,879</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1"/>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Comparison of the Three Months Ended September 30, 2020 and 2021</w:t>
            </w: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5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60" w:type="dxa"/>
            <w:vAlign w:val="bottom"/>
          </w:tcPr>
          <w:p>
            <w:pPr>
              <w:spacing w:after="0"/>
              <w:rPr>
                <w:sz w:val="20"/>
                <w:szCs w:val="20"/>
                <w:color w:val="auto"/>
              </w:rPr>
            </w:pPr>
            <w:r>
              <w:rPr>
                <w:rFonts w:ascii="Arial" w:cs="Arial" w:eastAsia="Arial" w:hAnsi="Arial"/>
                <w:sz w:val="18"/>
                <w:szCs w:val="18"/>
                <w:b w:val="1"/>
                <w:bCs w:val="1"/>
                <w:i w:val="1"/>
                <w:iCs w:val="1"/>
                <w:color w:val="auto"/>
              </w:rPr>
              <w:t>Total Revenue, net</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w w:val="95"/>
              </w:rPr>
              <w:t>Three Months Ended September 30,</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215"/>
              <w:spacing w:after="0"/>
              <w:rPr>
                <w:sz w:val="20"/>
                <w:szCs w:val="20"/>
                <w:color w:val="auto"/>
              </w:rPr>
            </w:pPr>
            <w:r>
              <w:rPr>
                <w:rFonts w:ascii="Arial" w:cs="Arial" w:eastAsia="Arial" w:hAnsi="Arial"/>
                <w:sz w:val="16"/>
                <w:szCs w:val="16"/>
                <w:b w:val="1"/>
                <w:bCs w:val="1"/>
                <w:color w:val="auto"/>
              </w:rPr>
              <w:t>Change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ind w:right="5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20" w:type="dxa"/>
            <w:vAlign w:val="bottom"/>
            <w:gridSpan w:val="7"/>
          </w:tcPr>
          <w:p>
            <w:pPr>
              <w:jc w:val="right"/>
              <w:ind w:right="1095"/>
              <w:spacing w:after="0"/>
              <w:rPr>
                <w:sz w:val="20"/>
                <w:szCs w:val="20"/>
                <w:color w:val="auto"/>
              </w:rPr>
            </w:pPr>
            <w:r>
              <w:rPr>
                <w:rFonts w:ascii="Arial" w:cs="Arial" w:eastAsia="Arial" w:hAnsi="Arial"/>
                <w:sz w:val="14"/>
                <w:szCs w:val="14"/>
                <w:b w:val="1"/>
                <w:bCs w:val="1"/>
                <w:color w:val="auto"/>
                <w:w w:val="93"/>
              </w:rPr>
              <w:t>(in thousands, except percentage)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network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93,265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615"/>
              <w:spacing w:after="0"/>
              <w:rPr>
                <w:sz w:val="20"/>
                <w:szCs w:val="20"/>
                <w:color w:val="auto"/>
              </w:rPr>
            </w:pPr>
            <w:r>
              <w:rPr>
                <w:rFonts w:ascii="Arial" w:cs="Arial" w:eastAsia="Arial" w:hAnsi="Arial"/>
                <w:sz w:val="18"/>
                <w:szCs w:val="18"/>
                <w:color w:val="auto"/>
                <w:w w:val="91"/>
              </w:rPr>
              <w:t>(1,021)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Virtual card network revenue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gridSpan w:val="4"/>
          </w:tcPr>
          <w:p>
            <w:pPr>
              <w:jc w:val="right"/>
              <w:ind w:right="655"/>
              <w:spacing w:after="0"/>
              <w:rPr>
                <w:sz w:val="20"/>
                <w:szCs w:val="20"/>
                <w:color w:val="auto"/>
              </w:rPr>
            </w:pPr>
            <w:r>
              <w:rPr>
                <w:rFonts w:ascii="Arial" w:cs="Arial" w:eastAsia="Arial" w:hAnsi="Arial"/>
                <w:sz w:val="18"/>
                <w:szCs w:val="18"/>
                <w:color w:val="auto"/>
              </w:rPr>
              <w:t>13,437</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network revenue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99,223</w:t>
            </w:r>
          </w:p>
        </w:tc>
        <w:tc>
          <w:tcPr>
            <w:tcW w:w="10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jc w:val="right"/>
              <w:ind w:right="655"/>
              <w:spacing w:after="0"/>
              <w:rPr>
                <w:sz w:val="20"/>
                <w:szCs w:val="20"/>
                <w:color w:val="auto"/>
              </w:rPr>
            </w:pPr>
            <w:r>
              <w:rPr>
                <w:rFonts w:ascii="Arial" w:cs="Arial" w:eastAsia="Arial" w:hAnsi="Arial"/>
                <w:sz w:val="18"/>
                <w:szCs w:val="18"/>
                <w:color w:val="auto"/>
              </w:rPr>
              <w:t>12,416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117,302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54,237</w:t>
            </w:r>
          </w:p>
        </w:tc>
        <w:tc>
          <w:tcPr>
            <w:tcW w:w="100" w:type="dxa"/>
            <w:vAlign w:val="bottom"/>
          </w:tcPr>
          <w:p>
            <w:pPr>
              <w:spacing w:after="0"/>
              <w:rPr>
                <w:sz w:val="19"/>
                <w:szCs w:val="19"/>
                <w:color w:val="auto"/>
              </w:rPr>
            </w:pPr>
          </w:p>
        </w:tc>
        <w:tc>
          <w:tcPr>
            <w:tcW w:w="1880" w:type="dxa"/>
            <w:vAlign w:val="bottom"/>
            <w:gridSpan w:val="4"/>
          </w:tcPr>
          <w:p>
            <w:pPr>
              <w:jc w:val="right"/>
              <w:ind w:right="655"/>
              <w:spacing w:after="0"/>
              <w:rPr>
                <w:sz w:val="20"/>
                <w:szCs w:val="20"/>
                <w:color w:val="auto"/>
              </w:rPr>
            </w:pPr>
            <w:r>
              <w:rPr>
                <w:rFonts w:ascii="Arial" w:cs="Arial" w:eastAsia="Arial" w:hAnsi="Arial"/>
                <w:sz w:val="18"/>
                <w:szCs w:val="18"/>
                <w:color w:val="auto"/>
              </w:rPr>
              <w:t>63,065</w:t>
            </w:r>
          </w:p>
        </w:tc>
        <w:tc>
          <w:tcPr>
            <w:tcW w:w="74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sales of loans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16,434</w:t>
            </w:r>
          </w:p>
        </w:tc>
        <w:tc>
          <w:tcPr>
            <w:tcW w:w="10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jc w:val="right"/>
              <w:ind w:right="655"/>
              <w:spacing w:after="0"/>
              <w:rPr>
                <w:sz w:val="20"/>
                <w:szCs w:val="20"/>
                <w:color w:val="auto"/>
              </w:rPr>
            </w:pPr>
            <w:r>
              <w:rPr>
                <w:rFonts w:ascii="Arial" w:cs="Arial" w:eastAsia="Arial" w:hAnsi="Arial"/>
                <w:sz w:val="18"/>
                <w:szCs w:val="18"/>
                <w:color w:val="auto"/>
              </w:rPr>
              <w:t>14,545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Servicing income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gridSpan w:val="3"/>
          </w:tcPr>
          <w:p>
            <w:pPr>
              <w:jc w:val="right"/>
              <w:ind w:right="655"/>
              <w:spacing w:after="0"/>
              <w:rPr>
                <w:sz w:val="20"/>
                <w:szCs w:val="20"/>
                <w:color w:val="auto"/>
              </w:rPr>
            </w:pPr>
            <w:r>
              <w:rPr>
                <w:rFonts w:ascii="Arial" w:cs="Arial" w:eastAsia="Arial" w:hAnsi="Arial"/>
                <w:sz w:val="18"/>
                <w:szCs w:val="18"/>
                <w:color w:val="auto"/>
              </w:rPr>
              <w:t>5,381</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173,978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4"/>
            <w:shd w:val="clear" w:color="auto" w:fill="CCEEFF"/>
          </w:tcPr>
          <w:p>
            <w:pPr>
              <w:jc w:val="right"/>
              <w:ind w:right="655"/>
              <w:spacing w:after="0"/>
              <w:rPr>
                <w:sz w:val="20"/>
                <w:szCs w:val="20"/>
                <w:color w:val="auto"/>
              </w:rPr>
            </w:pPr>
            <w:r>
              <w:rPr>
                <w:rFonts w:ascii="Arial" w:cs="Arial" w:eastAsia="Arial" w:hAnsi="Arial"/>
                <w:sz w:val="18"/>
                <w:szCs w:val="18"/>
                <w:color w:val="auto"/>
              </w:rPr>
              <w:t>95,407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-1199515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-1199515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Total Revenue, net </w:t>
      </w:r>
      <w:r>
        <w:rPr>
          <w:rFonts w:ascii="Arial" w:cs="Arial" w:eastAsia="Arial" w:hAnsi="Arial"/>
          <w:sz w:val="17"/>
          <w:szCs w:val="17"/>
          <w:color w:val="auto"/>
        </w:rPr>
        <w:t>for the three months ended September 30, 2021 increased by $95.4 million or 55%, primarily due to an increase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$1,237.0 million or 84% in GMV on our platform, from $1,475.9 million for the three months ended September 30, 2020 to $2,712.9 million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September 30, 2021. This increase in GMV was driven by the strong network effects of the expansion of our active merchant base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102,217 as of September 30, 2021 compared with 6,519 as of September 30, 2020 and an increase in average transactions per consumer to 2.3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from 2.2 as of September 30, 2020.</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Merchant network revenue </w:t>
      </w:r>
      <w:r>
        <w:rPr>
          <w:rFonts w:ascii="Arial" w:cs="Arial" w:eastAsia="Arial" w:hAnsi="Arial"/>
          <w:sz w:val="18"/>
          <w:szCs w:val="18"/>
          <w:color w:val="auto"/>
        </w:rPr>
        <w:t>for the three months ended September 30, 2021 decreased by $1.0 million or 1%,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Merchant network revenue as a percentage of GMV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2021 decreased to 3% compared to 6% for the three months ended September 30, 2020.</w:t>
      </w:r>
    </w:p>
    <w:p>
      <w:pPr>
        <w:spacing w:after="0" w:line="18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Merchant network revenue growth is generally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AOV of our loans, and typically decreases with shorter duration and higher APR loans. Specifically, long-term 0% APR loans typically carry higher merchant fees as a percentage of GMV and have a higher AOV.</w:t>
      </w:r>
    </w:p>
    <w:p>
      <w:pPr>
        <w:spacing w:after="0" w:line="14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decrease in merchant network revenue during the three month period was primarily driven by reductions in the concentration of long-term 0% APR loans, our highest merchant fee category, and a corresponding decrease in AOV driven by the rapid adoption of our Split Pay product. For the</w:t>
      </w:r>
    </w:p>
    <w:p>
      <w:pPr>
        <w:ind w:right="40"/>
        <w:spacing w:after="0" w:line="253" w:lineRule="auto"/>
        <w:rPr>
          <w:sz w:val="20"/>
          <w:szCs w:val="20"/>
          <w:color w:val="auto"/>
        </w:rPr>
      </w:pPr>
      <w:r>
        <w:rPr>
          <w:rFonts w:ascii="Arial" w:cs="Arial" w:eastAsia="Arial" w:hAnsi="Arial"/>
          <w:sz w:val="18"/>
          <w:szCs w:val="18"/>
          <w:color w:val="auto"/>
        </w:rPr>
        <w:t>three months ended September 30, 2021, approximately 10% of total revenue was driven by our largest merchant partner, for which we facilitate long-term 0% APR loans with a higher merchant fee, compared with 30% of total revenue in the comparative period. More broadly, for the three months ended September 30, 2021 and 2020, loans with a term length greater than 12 months accounted for 20% and 39%, respectively. AOV was lower at $402 and $661 for the three months ended September 30, 2021 and 2020, respectively.</w:t>
      </w:r>
    </w:p>
    <w:p>
      <w:pPr>
        <w:spacing w:after="0" w:line="1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Additionally, we recorded a reduction of merchant network revenue of $11.9 million for the three months ended September 30, 2021, associated with the creation of discounts upon origination of loans with a par value in excess of the fair value of such loans, which was not material during the three months ended September 30, 2020.</w:t>
      </w:r>
    </w:p>
    <w:p>
      <w:pPr>
        <w:spacing w:after="0" w:line="14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Virtual card network revenue </w:t>
      </w:r>
      <w:r>
        <w:rPr>
          <w:rFonts w:ascii="Arial" w:cs="Arial" w:eastAsia="Arial" w:hAnsi="Arial"/>
          <w:sz w:val="18"/>
          <w:szCs w:val="18"/>
          <w:color w:val="auto"/>
        </w:rPr>
        <w:t>for the three months ended September 30, 2021 increased by $13.4 million or 226%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This increase was driven by an increase in GMV processed through our issuer processor of 210% for the three months September 30, 2021, due to increased activity on our virtual card-enabled mobile application as well as growth in existing and new merchants integrated using our virtual card platform.</w:t>
      </w:r>
    </w:p>
    <w:p>
      <w:pPr>
        <w:spacing w:after="0" w:line="16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for the three months ended September 30, 2021 increased by $63.1 million or 116%, compared to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Generally, interest income is correlated with the changes in the average balance of loans held for investment, as we recognize interest on loans held for investment using the effective interest method over the life of the loan. The average balance of loans held for investment increased by 74% to $2,133.6 million for the three months ended September 30, 2021, compared to the same period in the prior fiscal year.</w:t>
      </w:r>
    </w:p>
    <w:p>
      <w:pPr>
        <w:spacing w:after="0" w:line="13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As an annualized percentage of average loans held for investment, total interest income increased from approximately 18% during the three months ended September 30, 2020 to 22% during the three months ended September 30, 2021. This change was driven by an increase in the average proportion of 0% APR loans being held on our interim condensed consolidated balance sheet as a percentage of the total loans held for investment, which increased from 25% during the three months ended September 30, 2020 to 41% during the three months ended September 30, 2021. The shift was largely due to continued volume of longer-term 0% APR loans, including those being held on our balance sheet through our consolidated 2020-Z1 and 2020-Z2 securitizations, as well as growth in short-term Split Pay loans being held for investment.</w:t>
      </w:r>
    </w:p>
    <w:p>
      <w:pPr>
        <w:spacing w:after="0" w:line="13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While we do recognize interest income on 0% APR loans via the amortization of the loan discount, this is generally earned at a lower rate than consumer interest on interest-bearing loans. The total amortization of discounts on loans held for investment increased by $23.7 million or 160% for the three months ended September 30, 2021, compared with the three months ended September 30, 2020, and represented 33% of total interest income for the three months ended September 30, 2021, compared to 27% for the three months ended September 30, 2020. This increase included the amortization of discounts arising from self-originated loans held for investment of $16.4 million during the three months ended September 30, 2021, which was nil for the three months ended September 30, 2020.</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Gain on sales of loans </w:t>
      </w:r>
      <w:r>
        <w:rPr>
          <w:rFonts w:ascii="Arial" w:cs="Arial" w:eastAsia="Arial" w:hAnsi="Arial"/>
          <w:sz w:val="18"/>
          <w:szCs w:val="18"/>
          <w:color w:val="auto"/>
        </w:rPr>
        <w:t>for the three months ended September 30, 2021 increased by $14.5 million or 89%,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We sold loans with an unpaid balance of $1,093.1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the three months ended September 30, 2021 and $421.6 million for the three months ended and September 30, 2020, for which we retained servicing rights. This increase was primarily due to higher loan sale volume, favorable loan sale pricing terms, and optimizing the allocation of loans to loan buyers with higher pricing terms.</w:t>
      </w:r>
    </w:p>
    <w:p>
      <w:pPr>
        <w:spacing w:after="0" w:line="14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i w:val="1"/>
          <w:iCs w:val="1"/>
          <w:color w:val="auto"/>
        </w:rPr>
        <w:t xml:space="preserve">Servicing income </w:t>
      </w:r>
      <w:r>
        <w:rPr>
          <w:rFonts w:ascii="Arial" w:cs="Arial" w:eastAsia="Arial" w:hAnsi="Arial"/>
          <w:sz w:val="18"/>
          <w:szCs w:val="18"/>
          <w:color w:val="auto"/>
        </w:rPr>
        <w:t>for the three months ended September 30, 2021 increased by $5.4 million or 132%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This increase was primarily due to an increase in the average unpaid principal balance of loans owned by third-party loan owners and increases in negotiated servicing rates with new and existing third-party loan owners.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2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w w:val="91"/>
              </w:rPr>
              <w:t>Three Months Ended September 30,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33"/>
              <w:spacing w:after="0"/>
              <w:rPr>
                <w:sz w:val="20"/>
                <w:szCs w:val="20"/>
                <w:color w:val="auto"/>
              </w:rPr>
            </w:pPr>
            <w:r>
              <w:rPr>
                <w:rFonts w:ascii="Arial" w:cs="Arial" w:eastAsia="Arial" w:hAnsi="Arial"/>
                <w:sz w:val="14"/>
                <w:szCs w:val="14"/>
                <w:b w:val="1"/>
                <w:bCs w:val="1"/>
                <w:color w:val="auto"/>
                <w:w w:val="91"/>
              </w:rPr>
              <w:t>(in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loan purchase commitment</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center"/>
              <w:ind w:right="373"/>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63,647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28,931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costs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 and servicing</w:t>
            </w: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25,201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transaction costs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157,279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118,649</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Technology and data analytics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78,013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33,768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63,960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136,204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435,456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center"/>
              <w:ind w:right="373"/>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207,272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Loss on Loan Purchase Commitment</w:t>
            </w: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vMerge w:val="restart"/>
          </w:tcPr>
          <w:p>
            <w:pPr>
              <w:jc w:val="right"/>
              <w:ind w:right="932"/>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6"/>
                <w:szCs w:val="16"/>
                <w:b w:val="1"/>
                <w:bCs w:val="1"/>
                <w:color w:val="auto"/>
                <w:w w:val="91"/>
              </w:rPr>
              <w:t>September 30,</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80" w:type="dxa"/>
            <w:vAlign w:val="bottom"/>
            <w:gridSpan w:val="7"/>
          </w:tcPr>
          <w:p>
            <w:pPr>
              <w:ind w:left="320"/>
              <w:spacing w:after="0"/>
              <w:rPr>
                <w:sz w:val="20"/>
                <w:szCs w:val="20"/>
                <w:color w:val="auto"/>
              </w:rPr>
            </w:pPr>
            <w:r>
              <w:rPr>
                <w:rFonts w:ascii="Arial" w:cs="Arial" w:eastAsia="Arial" w:hAnsi="Arial"/>
                <w:sz w:val="14"/>
                <w:szCs w:val="14"/>
                <w:b w:val="1"/>
                <w:bCs w:val="1"/>
                <w:color w:val="auto"/>
                <w:w w:val="98"/>
              </w:rPr>
              <w:t>(in thousands, except percentage)</w:t>
            </w: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loan purchase commitment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51,678</w:t>
            </w:r>
          </w:p>
        </w:tc>
        <w:tc>
          <w:tcPr>
            <w:tcW w:w="66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65,868</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center"/>
              <w:ind w:left="59"/>
              <w:spacing w:after="0"/>
              <w:rPr>
                <w:sz w:val="20"/>
                <w:szCs w:val="20"/>
                <w:color w:val="auto"/>
              </w:rPr>
            </w:pPr>
            <w:r>
              <w:rPr>
                <w:rFonts w:ascii="Arial" w:cs="Arial" w:eastAsia="Arial" w:hAnsi="Arial"/>
                <w:sz w:val="18"/>
                <w:szCs w:val="18"/>
                <w:color w:val="auto"/>
                <w:w w:val="92"/>
              </w:rPr>
              <w:t>(14,190)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19 %</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-1645920</wp:posOffset>
            </wp:positionV>
            <wp:extent cx="477456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7456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32658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6580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-428625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-428625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Loss on loan purchase commitment for the three months ended September 30, 2021 decreased by $14.2 million or 22% compared to the</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three months ended September 30, 2020. This decrease was due to a decrease in the volume and concentration of long-term 0% APR loans purchased from our originating bank partners compared to the prior period, which are purchased above fair market value. During the three months ended September 30, 2021, we purchased $724.4 million of 0% APR loan receivables from our originating bank partners, representing a decrease of $13.2 million or 2%, compared to the three months ended September 30,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2"/>
              </w:rPr>
              <w:t>Three Months Ended</w:t>
            </w:r>
          </w:p>
        </w:tc>
        <w:tc>
          <w:tcPr>
            <w:tcW w:w="340" w:type="dxa"/>
            <w:vAlign w:val="bottom"/>
          </w:tcPr>
          <w:p>
            <w:pPr>
              <w:spacing w:after="0"/>
              <w:rPr>
                <w:sz w:val="16"/>
                <w:szCs w:val="16"/>
                <w:color w:val="auto"/>
              </w:rPr>
            </w:pPr>
          </w:p>
        </w:tc>
        <w:tc>
          <w:tcPr>
            <w:tcW w:w="1400" w:type="dxa"/>
            <w:vAlign w:val="bottom"/>
            <w:vMerge w:val="restart"/>
          </w:tcPr>
          <w:p>
            <w:pPr>
              <w:jc w:val="right"/>
              <w:ind w:right="76"/>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615"/>
              <w:spacing w:after="0"/>
              <w:rPr>
                <w:sz w:val="20"/>
                <w:szCs w:val="20"/>
                <w:color w:val="auto"/>
              </w:rPr>
            </w:pPr>
            <w:r>
              <w:rPr>
                <w:rFonts w:ascii="Arial" w:cs="Arial" w:eastAsia="Arial" w:hAnsi="Arial"/>
                <w:sz w:val="16"/>
                <w:szCs w:val="16"/>
                <w:b w:val="1"/>
                <w:bCs w:val="1"/>
                <w:color w:val="auto"/>
                <w:w w:val="89"/>
              </w:rPr>
              <w:t>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16"/>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560" w:type="dxa"/>
            <w:vAlign w:val="bottom"/>
            <w:gridSpan w:val="5"/>
          </w:tcPr>
          <w:p>
            <w:pPr>
              <w:jc w:val="right"/>
              <w:ind w:right="1096"/>
              <w:spacing w:after="0"/>
              <w:rPr>
                <w:sz w:val="20"/>
                <w:szCs w:val="20"/>
                <w:color w:val="auto"/>
              </w:rPr>
            </w:pPr>
            <w:r>
              <w:rPr>
                <w:rFonts w:ascii="Arial" w:cs="Arial" w:eastAsia="Arial" w:hAnsi="Arial"/>
                <w:sz w:val="14"/>
                <w:szCs w:val="14"/>
                <w:b w:val="1"/>
                <w:bCs w:val="1"/>
                <w:color w:val="auto"/>
              </w:rPr>
              <w:t>(in thousands, except percentage)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63,647</w:t>
            </w:r>
          </w:p>
        </w:tc>
        <w:tc>
          <w:tcPr>
            <w:tcW w:w="6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28,931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34,716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24 %</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2232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-428625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-428625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w:t>
      </w:r>
    </w:p>
    <w:p>
      <w:pPr>
        <w:spacing w:after="0" w:line="14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percentage of loans held for investment up to 14.6% at its peak as of March 31, 2020. In the months subsequent to this, we saw stronger than expected repayment history and increased credit quality in the portfolio, and during the three months ended September 30, 2020, this percentage decreased from 9.2% as of June 30, 2020 to 8.7%, resulting in a release of the allowance and in turn, a relatively reduced provision for credit losses for the period.</w:t>
      </w:r>
    </w:p>
    <w:p>
      <w:pPr>
        <w:spacing w:after="0" w:line="13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during the prior fiscal year, following the loss of our emerging growth company status, we adopted ASU 2016-13, “Financial Instruments — Credit Losses (Topic 326)” using the modified retrospective approach. The amendments replaced the incurred loss impairment methodology for computing our allowance for credit losses with the current expected credit loss model ("CECL"), effective July 1, 2020. As part of this modified retrospective approach to adoption, we recorded an adjustment further reducing the provision for credit losses by $11.3 million for the three months ended September 30, 2020.</w:t>
      </w:r>
    </w:p>
    <w:p>
      <w:pPr>
        <w:spacing w:after="0" w:line="14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During the three months ended September 30, 2021, the allowance for credit losses as a percentage of loans held for investment increased from 5.8% as of June 30, 2021 to 6.8%. This increase was driven by in part by a deconcentration of long-term, high-credit-quality 0% APR loans, rapid growth of new product lines with higher expected losses, and normalization of credit closer to pre-pandemic levels. The combination of reduced provision for credit losses due to release of stressed expected loss scenarios and the adoption of CECL in the prior year and normalization of credit levels in the current period resulted in an increase in provision for credit losses of $34.7 million or 120% compared to the three months ended September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320" w:type="dxa"/>
            <w:vAlign w:val="bottom"/>
          </w:tcPr>
          <w:p>
            <w:pPr>
              <w:spacing w:after="0"/>
              <w:rPr>
                <w:sz w:val="16"/>
                <w:szCs w:val="16"/>
                <w:color w:val="auto"/>
              </w:rPr>
            </w:pPr>
          </w:p>
        </w:tc>
        <w:tc>
          <w:tcPr>
            <w:tcW w:w="1380" w:type="dxa"/>
            <w:vAlign w:val="bottom"/>
            <w:vMerge w:val="restart"/>
          </w:tcPr>
          <w:p>
            <w:pPr>
              <w:jc w:val="right"/>
              <w:ind w:right="56"/>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635"/>
              <w:spacing w:after="0"/>
              <w:rPr>
                <w:sz w:val="20"/>
                <w:szCs w:val="20"/>
                <w:color w:val="auto"/>
              </w:rPr>
            </w:pPr>
            <w:r>
              <w:rPr>
                <w:rFonts w:ascii="Arial" w:cs="Arial" w:eastAsia="Arial" w:hAnsi="Arial"/>
                <w:sz w:val="16"/>
                <w:szCs w:val="16"/>
                <w:b w:val="1"/>
                <w:bCs w:val="1"/>
                <w:color w:val="auto"/>
                <w:w w:val="91"/>
              </w:rPr>
              <w:t>September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96"/>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500" w:type="dxa"/>
            <w:vAlign w:val="bottom"/>
            <w:gridSpan w:val="5"/>
          </w:tcPr>
          <w:p>
            <w:pPr>
              <w:jc w:val="right"/>
              <w:ind w:right="1056"/>
              <w:spacing w:after="0"/>
              <w:rPr>
                <w:sz w:val="20"/>
                <w:szCs w:val="20"/>
                <w:color w:val="auto"/>
              </w:rPr>
            </w:pPr>
            <w:r>
              <w:rPr>
                <w:rFonts w:ascii="Arial" w:cs="Arial" w:eastAsia="Arial" w:hAnsi="Arial"/>
                <w:sz w:val="14"/>
                <w:szCs w:val="14"/>
                <w:b w:val="1"/>
                <w:bCs w:val="1"/>
                <w:color w:val="auto"/>
              </w:rPr>
              <w:t>(in thousands, except percentage)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costs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16,753</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10,352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6,401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6 %</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2658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6580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-428625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-428625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Funding costs for the three months ended September 30, 2021 increased by $6.4 million or 62%, compared to the three months ended September 30, 2020. Funding costs for a given period are correlated with the sum of the average balance of funding debt and the average balance of notes issued by securitization trusts. This increase was primarily due to the introduction of notes issued by securitization trusts during the current fiscal year, which bear interest at fixed rates. The average balance of notes issued by securitization trusts during the three months ended September 30, 2021 was $1,399.2 million, compared with $249.5 million during the three months ended September 30, 2020. The average balance of funding debt for the three months ended September 30, 2021 decreased by $175.7 million or 23%, compared to the three months ended September 30, 2020 while the average reference interest rate decreased by 47% during each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16"/>
                <w:szCs w:val="16"/>
                <w:color w:val="auto"/>
              </w:rPr>
            </w:pPr>
          </w:p>
        </w:tc>
        <w:tc>
          <w:tcPr>
            <w:tcW w:w="1400" w:type="dxa"/>
            <w:vAlign w:val="bottom"/>
            <w:vMerge w:val="restart"/>
          </w:tcPr>
          <w:p>
            <w:pPr>
              <w:jc w:val="right"/>
              <w:ind w:right="76"/>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635"/>
              <w:spacing w:after="0"/>
              <w:rPr>
                <w:sz w:val="20"/>
                <w:szCs w:val="20"/>
                <w:color w:val="auto"/>
              </w:rPr>
            </w:pPr>
            <w:r>
              <w:rPr>
                <w:rFonts w:ascii="Arial" w:cs="Arial" w:eastAsia="Arial" w:hAnsi="Arial"/>
                <w:sz w:val="16"/>
                <w:szCs w:val="16"/>
                <w:b w:val="1"/>
                <w:bCs w:val="1"/>
                <w:color w:val="auto"/>
                <w:w w:val="91"/>
              </w:rPr>
              <w:t>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16"/>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560" w:type="dxa"/>
            <w:vAlign w:val="bottom"/>
            <w:gridSpan w:val="5"/>
          </w:tcPr>
          <w:p>
            <w:pPr>
              <w:jc w:val="right"/>
              <w:ind w:right="1076"/>
              <w:spacing w:after="0"/>
              <w:rPr>
                <w:sz w:val="20"/>
                <w:szCs w:val="20"/>
                <w:color w:val="auto"/>
              </w:rPr>
            </w:pPr>
            <w:r>
              <w:rPr>
                <w:rFonts w:ascii="Arial" w:cs="Arial" w:eastAsia="Arial" w:hAnsi="Arial"/>
                <w:sz w:val="14"/>
                <w:szCs w:val="14"/>
                <w:b w:val="1"/>
                <w:bCs w:val="1"/>
                <w:color w:val="auto"/>
              </w:rPr>
              <w:t>(in thousands, except percentage)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25,201</w:t>
            </w:r>
          </w:p>
        </w:tc>
        <w:tc>
          <w:tcPr>
            <w:tcW w:w="6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13,498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11,703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9 %</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231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-428625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-428625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Processing and servicing expense for the three months ended September 30, 2021 increased by $11.7 million or 87% compared to the</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three months ended September 30, 2020. This increase was primarily due to an $8.4 million or 140% increase in payment processing fees due to increased servicing activity and payments volume for the three months ended September 30, 2021. Additionally, processing fees paid to our customer referral partners decreased by $1.4 million or 233%, for the three months ended September 30, 2021. Personnel costs increased by $6.4 million or 119% for the three months ended September 30, 2021 driven by growth in headcount, while third-party loan servicing and collections spend remained relatively flat, increasing only 4% due to vendor cost improvements.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16"/>
                <w:szCs w:val="16"/>
                <w:color w:val="auto"/>
              </w:rPr>
            </w:pPr>
          </w:p>
        </w:tc>
        <w:tc>
          <w:tcPr>
            <w:tcW w:w="1400" w:type="dxa"/>
            <w:vAlign w:val="bottom"/>
            <w:vMerge w:val="restart"/>
          </w:tcPr>
          <w:p>
            <w:pPr>
              <w:jc w:val="right"/>
              <w:ind w:right="76"/>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635"/>
              <w:spacing w:after="0"/>
              <w:rPr>
                <w:sz w:val="20"/>
                <w:szCs w:val="20"/>
                <w:color w:val="auto"/>
              </w:rPr>
            </w:pPr>
            <w:r>
              <w:rPr>
                <w:rFonts w:ascii="Arial" w:cs="Arial" w:eastAsia="Arial" w:hAnsi="Arial"/>
                <w:sz w:val="16"/>
                <w:szCs w:val="16"/>
                <w:b w:val="1"/>
                <w:bCs w:val="1"/>
                <w:color w:val="auto"/>
                <w:w w:val="91"/>
              </w:rPr>
              <w:t>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16"/>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560" w:type="dxa"/>
            <w:vAlign w:val="bottom"/>
            <w:gridSpan w:val="5"/>
          </w:tcPr>
          <w:p>
            <w:pPr>
              <w:jc w:val="right"/>
              <w:ind w:right="1076"/>
              <w:spacing w:after="0"/>
              <w:rPr>
                <w:sz w:val="20"/>
                <w:szCs w:val="20"/>
                <w:color w:val="auto"/>
              </w:rPr>
            </w:pPr>
            <w:r>
              <w:rPr>
                <w:rFonts w:ascii="Arial" w:cs="Arial" w:eastAsia="Arial" w:hAnsi="Arial"/>
                <w:sz w:val="14"/>
                <w:szCs w:val="14"/>
                <w:b w:val="1"/>
                <w:bCs w:val="1"/>
                <w:color w:val="auto"/>
              </w:rPr>
              <w:t>(in thousands, except percentage)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78,013</w:t>
            </w:r>
          </w:p>
        </w:tc>
        <w:tc>
          <w:tcPr>
            <w:tcW w:w="6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33,768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44,245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29 %</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2315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-428625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-428625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Technology and data analytics expense for the three months ended September 30, 2021 increased by $44.2 million or 131% compared to the three months ended September 30, 2020. This increase was primarily due to a $29.4 million or 139% increase in engineering, product, and data science personnel costs for the three months ended September 30, 2021, compared to the three months ended September 30, 2020, net of capitalized costs for internally developed software, to continue to support our growth and technology platform as a whole. The largest component of these personnel costs was stock-based compensation, which accounted for $17.9 million of the increase compared to the three months ended September 30, 2020, largely due to vesting of RSUs.</w:t>
      </w:r>
    </w:p>
    <w:p>
      <w:pPr>
        <w:spacing w:after="0" w:line="1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Additionally, there was an $8.1 million or 119% increase in data infrastructure and hosting costs for the three months ended September 30, 2021, compared to the three months ended September 30, 2020, due to increased capacity requirements of our technology platform, as well as a $2.1 million or 68% increase in underwriting data provider costs for the three months ended September 30, 2021, compared to the three months ended September 30, 2020, due to cost improvements achieved as a result of contract renegotiations.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16"/>
                <w:szCs w:val="16"/>
                <w:color w:val="auto"/>
              </w:rPr>
            </w:pPr>
          </w:p>
        </w:tc>
        <w:tc>
          <w:tcPr>
            <w:tcW w:w="1400" w:type="dxa"/>
            <w:vAlign w:val="bottom"/>
            <w:vMerge w:val="restart"/>
          </w:tcPr>
          <w:p>
            <w:pPr>
              <w:jc w:val="right"/>
              <w:ind w:right="76"/>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635"/>
              <w:spacing w:after="0"/>
              <w:rPr>
                <w:sz w:val="20"/>
                <w:szCs w:val="20"/>
                <w:color w:val="auto"/>
              </w:rPr>
            </w:pPr>
            <w:r>
              <w:rPr>
                <w:rFonts w:ascii="Arial" w:cs="Arial" w:eastAsia="Arial" w:hAnsi="Arial"/>
                <w:sz w:val="16"/>
                <w:szCs w:val="16"/>
                <w:b w:val="1"/>
                <w:bCs w:val="1"/>
                <w:color w:val="auto"/>
                <w:w w:val="91"/>
              </w:rPr>
              <w:t>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16"/>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560" w:type="dxa"/>
            <w:vAlign w:val="bottom"/>
            <w:gridSpan w:val="5"/>
          </w:tcPr>
          <w:p>
            <w:pPr>
              <w:jc w:val="right"/>
              <w:ind w:right="1076"/>
              <w:spacing w:after="0"/>
              <w:rPr>
                <w:sz w:val="20"/>
                <w:szCs w:val="20"/>
                <w:color w:val="auto"/>
              </w:rPr>
            </w:pPr>
            <w:r>
              <w:rPr>
                <w:rFonts w:ascii="Arial" w:cs="Arial" w:eastAsia="Arial" w:hAnsi="Arial"/>
                <w:sz w:val="14"/>
                <w:szCs w:val="14"/>
                <w:b w:val="1"/>
                <w:bCs w:val="1"/>
                <w:color w:val="auto"/>
              </w:rPr>
              <w:t>(in thousands, except percentage)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63,960</w:t>
            </w:r>
          </w:p>
        </w:tc>
        <w:tc>
          <w:tcPr>
            <w:tcW w:w="6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22,582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41,378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24 %</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231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-428625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-428625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7"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Sales and marketing expense for the three months ended September 30, 2021 increased by $41.4 million or 183% compared to the three months ended September 30, 2020. This increase was primarily due to $2.8 million of expense incurred during the three months ended September 30, 2021 associated with the amortization of an asset associated with our commercial agreement with Shopify, which was recognized in July 2020. This asset represents the probable future economic benefit to be realized over the four-year expected benefit period and is valued based on the fair value of the warrants granted to Shopify under such commercial agreement at the grant date. This value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amortized on a straight-line basis over the four-year expected benefit period. Additionally, stock-based compensation related to employees in the sales and marketing functions increased $4.3 million or 561% compared to three months ended September 30, 2020, largely due to the vesting of RSUs.</w:t>
      </w:r>
    </w:p>
    <w:p>
      <w:pPr>
        <w:spacing w:after="0" w:line="8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Furthermore, there was a $10.9 million or 1,211% increase in brand and consumer marketing spend during the three months ended September 30, 2021 compared to the three months ended September 30, 2020, associated with our expanded brand-activation, holiday shopping, lifestyle, and travel marketing campaigns, as well as a $5.7 million or 1,425% increase in business-to-business marketing spend compared to the three months ended September 30,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3"/>
              </w:rPr>
              <w:t>Three Months Ended</w:t>
            </w:r>
          </w:p>
        </w:tc>
        <w:tc>
          <w:tcPr>
            <w:tcW w:w="320" w:type="dxa"/>
            <w:vAlign w:val="bottom"/>
          </w:tcPr>
          <w:p>
            <w:pPr>
              <w:spacing w:after="0"/>
              <w:rPr>
                <w:sz w:val="16"/>
                <w:szCs w:val="16"/>
                <w:color w:val="auto"/>
              </w:rPr>
            </w:pPr>
          </w:p>
        </w:tc>
        <w:tc>
          <w:tcPr>
            <w:tcW w:w="1420" w:type="dxa"/>
            <w:vAlign w:val="bottom"/>
            <w:vMerge w:val="restart"/>
          </w:tcPr>
          <w:p>
            <w:pPr>
              <w:ind w:left="72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left="635"/>
              <w:spacing w:after="0"/>
              <w:rPr>
                <w:sz w:val="20"/>
                <w:szCs w:val="20"/>
                <w:color w:val="auto"/>
              </w:rPr>
            </w:pPr>
            <w:r>
              <w:rPr>
                <w:rFonts w:ascii="Arial" w:cs="Arial" w:eastAsia="Arial" w:hAnsi="Arial"/>
                <w:sz w:val="16"/>
                <w:szCs w:val="16"/>
                <w:b w:val="1"/>
                <w:bCs w:val="1"/>
                <w:color w:val="auto"/>
                <w:w w:val="91"/>
              </w:rPr>
              <w:t>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56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 except percentage)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136,204</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32,273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103,931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51 %</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231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-428625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-428625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 for the three months ended September 30, 2021 increased by $103.9 million or 322% compared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September 30, 2020. This increase was primarily due to an increase of $81.8 million or 403% in personnel costs during the</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three months ended September 30, 2021 compared to the three months ended September 30, 2020, as a result of increased headcount as we continue to grow our finance, legal, operations, and administrative organizations. The largest component of these personnel costs was stock-based compensation, which increased by $64.5 million compared to the three months ended September 30, 2020. This was primarily due to $42.3 million of expense recognized during the three months ended September 30, 2021 based on a long-term, multi-year performance-based stock option award granted to our Chief Executive Officer prior to our IPO, as well as the vesting of RSUs for which the service-based condition had been met prior to the IPO and the performance-based condition that was met on the IPO date.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Additionally, professional fees increased by $3.4 million or 74% during the three months ended September 30, 2021 compared to the three months ended September 30, 2020, to support our acquisitions, international expansion, and regulatory compliance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16"/>
                <w:szCs w:val="16"/>
                <w:color w:val="auto"/>
              </w:rPr>
            </w:pPr>
          </w:p>
        </w:tc>
        <w:tc>
          <w:tcPr>
            <w:tcW w:w="1460" w:type="dxa"/>
            <w:vAlign w:val="bottom"/>
            <w:vMerge w:val="restart"/>
          </w:tcPr>
          <w:p>
            <w:pPr>
              <w:jc w:val="right"/>
              <w:ind w:right="76"/>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center"/>
              <w:ind w:left="635"/>
              <w:spacing w:after="0"/>
              <w:rPr>
                <w:sz w:val="20"/>
                <w:szCs w:val="20"/>
                <w:color w:val="auto"/>
              </w:rPr>
            </w:pPr>
            <w:r>
              <w:rPr>
                <w:rFonts w:ascii="Arial" w:cs="Arial" w:eastAsia="Arial" w:hAnsi="Arial"/>
                <w:sz w:val="16"/>
                <w:szCs w:val="16"/>
                <w:b w:val="1"/>
                <w:bCs w:val="1"/>
                <w:color w:val="auto"/>
                <w:w w:val="89"/>
              </w:rPr>
              <w:t>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16"/>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560" w:type="dxa"/>
            <w:vAlign w:val="bottom"/>
            <w:gridSpan w:val="5"/>
          </w:tcPr>
          <w:p>
            <w:pPr>
              <w:jc w:val="right"/>
              <w:ind w:right="1076"/>
              <w:spacing w:after="0"/>
              <w:rPr>
                <w:sz w:val="20"/>
                <w:szCs w:val="20"/>
                <w:color w:val="auto"/>
              </w:rPr>
            </w:pPr>
            <w:r>
              <w:rPr>
                <w:rFonts w:ascii="Arial" w:cs="Arial" w:eastAsia="Arial" w:hAnsi="Arial"/>
                <w:sz w:val="14"/>
                <w:szCs w:val="14"/>
                <w:b w:val="1"/>
                <w:bCs w:val="1"/>
                <w:color w:val="auto"/>
              </w:rPr>
              <w:t>(in thousands, except percentage)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(140,373)</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29,445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(169,818)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Percentage of total revenue, net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32061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-428625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-428625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67" w:lineRule="exact"/>
        <w:rPr>
          <w:sz w:val="20"/>
          <w:szCs w:val="20"/>
          <w:color w:val="auto"/>
        </w:rPr>
      </w:pPr>
    </w:p>
    <w:p>
      <w:pPr>
        <w:ind w:right="160" w:firstLine="364"/>
        <w:spacing w:after="0" w:line="263" w:lineRule="auto"/>
        <w:rPr>
          <w:sz w:val="20"/>
          <w:szCs w:val="20"/>
          <w:color w:val="auto"/>
        </w:rPr>
      </w:pPr>
      <w:r>
        <w:rPr>
          <w:rFonts w:ascii="Arial" w:cs="Arial" w:eastAsia="Arial" w:hAnsi="Arial"/>
          <w:sz w:val="18"/>
          <w:szCs w:val="18"/>
          <w:color w:val="auto"/>
        </w:rPr>
        <w:t>For the three months ended September 30, 2021, other (expense) income, net, was largely comprised of a loss of $141.6 million recognized based on the change in fair value of the contingent consideration liability associated with our acquisition of PayBright, driven by increases in the value of our common stock.</w:t>
      </w:r>
    </w:p>
    <w:p>
      <w:pPr>
        <w:spacing w:after="0" w:line="143" w:lineRule="exact"/>
        <w:rPr>
          <w:sz w:val="20"/>
          <w:szCs w:val="20"/>
          <w:color w:val="auto"/>
        </w:rPr>
      </w:pPr>
    </w:p>
    <w:p>
      <w:pPr>
        <w:jc w:val="both"/>
        <w:ind w:right="60" w:firstLine="364"/>
        <w:spacing w:after="0" w:line="259" w:lineRule="auto"/>
        <w:rPr>
          <w:sz w:val="20"/>
          <w:szCs w:val="20"/>
          <w:color w:val="auto"/>
        </w:rPr>
      </w:pPr>
      <w:r>
        <w:rPr>
          <w:rFonts w:ascii="Arial" w:cs="Arial" w:eastAsia="Arial" w:hAnsi="Arial"/>
          <w:sz w:val="18"/>
          <w:szCs w:val="18"/>
          <w:color w:val="auto"/>
        </w:rPr>
        <w:t>For the three months ended September 30, 2020, other (expense) income, net was primarily comprised of a gain of $30.1 million recognized upon the conversion of convertible notes into shares of Series G-1 preferred stock. The conversion of convertible notes was accounted for as a debt extinguishment since the number of shares of Series G-1 preferred stock issued upon conversion was variable and this gain represented the difference between the carrying value of the debt at the time of extinguishment and the allocated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8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have incurred losses since our inception, accumulating a deficit of $1.2 billion and $0.9 billion as of September 30, 2021 and June 30, 2021, respectively. We have historically financed the majority of our operating and capital needs through the private sales of equity securities, borrowings from debt facilities and convertible debt, third-party loan sale arrangements, and cash flows from operations. In September and October 2020, we issued an aggregate of 21,836,687 shares of Series G preferred stock for aggregate cash proceeds of $435.1 million. On January 15, 2021, we closed an initial public offering of our Class A common stock with cash proceeds, before expenses, of $1.3 billion.</w:t>
      </w:r>
    </w:p>
    <w:p>
      <w:pPr>
        <w:spacing w:after="0" w:line="14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of September 30, 2021, our principal sources of liquidity were cash and cash equivalents, available capacity from revolving debt facilities, revolving securitizations, forward flow loan sale arrangements, and certain cash flows from our operations. We believe that our existing cash balances, available capacity under our revolving debt facilities, revolving securitizations and off-balance sheet loan sale arrangements, and cash from operations, are sufficient to meet both our existing operating, working capital, and capital expenditure requirements and our currently planned growth for at least the next 12 months. We cannot provide assurance, however, that our business will generate sufficient cash flows from operations or that future borrowings will be available to us in an amount sufficient to enable us to fund our liquidity needs in the long-term. Our ability to do so depends on prevailing economic conditions and other factors, many of which are beyond our control. Our on- and off-balance sheet facilities provide funding subject to various constraining limits on the financed portfolios. These limits are generally tied to loan-level attributes such as loan term, credit quality, and interest rate, as well as borrower- and merchant-level attributes.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September 30, 2021, we had approximately $1.4 billion of cash to fund our future operations compared to approximately $1.5 billion as of June 30, 2021. Our cash and cash equivalents were held primarily for continued investment in our business, for working capital purposes, and to facilitate a portion of our lending activities. Our policy is to invest cash in excess of our immediate working capital requirements in short-term investments and deposit accounts to preserve the principal balance and maintain adequate liquidity.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Restricted cash consists primarily of: (i) deposits restricted by standby letters of credit for office leases; (ii) funds held in accounts as collateral for our originating bank partners; and (iii) servicing funds held in accounts contractually restricted by agreements with warehouse credit facilities and third-party loan owners. We have no ability to draw on such funds as long as they remain restricted under the applicable arrangements. Our policy is to invest restricted cash held in debt facility related accounts and cash deposited as collateral for leases in investments designed to preserve the principal balance and provide liquidity. Accordingly, such cash is invested primarily in money market instruments that offer daily purchase and redemption and provide competitive returns consistent with our policies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funding debt facilities as of September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gridSpan w:val="2"/>
          </w:tcPr>
          <w:p>
            <w:pPr>
              <w:ind w:left="20"/>
              <w:spacing w:after="0"/>
              <w:rPr>
                <w:sz w:val="20"/>
                <w:szCs w:val="20"/>
                <w:color w:val="auto"/>
              </w:rPr>
            </w:pPr>
            <w:r>
              <w:rPr>
                <w:rFonts w:ascii="Arial" w:cs="Arial" w:eastAsia="Arial" w:hAnsi="Arial"/>
                <w:sz w:val="16"/>
                <w:szCs w:val="16"/>
                <w:b w:val="1"/>
                <w:bCs w:val="1"/>
                <w:color w:val="auto"/>
              </w:rPr>
              <w:t>Maturity Fiscal Year</w:t>
            </w:r>
          </w:p>
        </w:tc>
        <w:tc>
          <w:tcPr>
            <w:tcW w:w="1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Capacity</w:t>
            </w:r>
          </w:p>
        </w:tc>
        <w:tc>
          <w:tcPr>
            <w:tcW w:w="12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6"/>
                <w:szCs w:val="16"/>
                <w:b w:val="1"/>
                <w:bCs w:val="1"/>
                <w:color w:val="auto"/>
                <w:w w:val="91"/>
              </w:rPr>
              <w:t>Principal Outstanding</w:t>
            </w:r>
          </w:p>
        </w:tc>
      </w:tr>
      <w:tr>
        <w:trPr>
          <w:trHeight w:val="184"/>
        </w:trPr>
        <w:tc>
          <w:tcPr>
            <w:tcW w:w="7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gridSpan w:val="4"/>
          </w:tcPr>
          <w:p>
            <w:pPr>
              <w:jc w:val="right"/>
              <w:ind w:right="1351"/>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267,240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137,153</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246,647</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111,266</w:t>
            </w:r>
          </w:p>
        </w:tc>
      </w:tr>
      <w:tr>
        <w:trPr>
          <w:trHeight w:val="28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2,242,240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468058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80585" cy="15430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These trusts are consolidated variable interest entities (“VIEs”), and each trust entered into a credit agreement and security agreement with a commercial bank as administrative agent and a national banking association as collateral trustee and paying agent. Borrowings under these agreements are referred to as funding debt. These credit agreements contain operating covenants, including limitations on the incurrence of certain indebtedness and liens, restrictions on certain intercompany transactions, and limitations on the amount of dividends and stock repurchases. Our funding debt facilities include concentration limits for various loan characteristics including credit quality, product mix, geography, and merchant concentration. As of September 30, 2021, we were in compliance with all applicable covenants in the agreements. Refer to Note 10. Debt in the notes to the interim consolidated financial statements included elsewhere in this Form 10-Q for additional information.</w:t>
      </w:r>
    </w:p>
    <w:p>
      <w:pPr>
        <w:spacing w:after="0" w:line="13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These revolving facilities mature between 2022 and 2027, and subject to covenant compliance generally permit borrowings up to 12 months prior to the final maturity date. Borrowings under these facilities generally occur multiple times per week, and generally coincide with the purchase of loans from our originating bank partners. We manage liquidity by accessing diversified pools of capital and avoid concentration with any single counterparty; we are diversified across different types of investors including investment banks, asset managers, and insurance companies.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these facilities bear interest at an annual benchmark rate of LIBOR or at an alternative commercial paper rate (which is either</w:t>
      </w:r>
    </w:p>
    <w:p>
      <w:pPr>
        <w:spacing w:after="0" w:line="46" w:lineRule="exact"/>
        <w:rPr>
          <w:sz w:val="20"/>
          <w:szCs w:val="20"/>
          <w:color w:val="auto"/>
        </w:rPr>
      </w:pPr>
    </w:p>
    <w:p>
      <w:pPr>
        <w:jc w:val="both"/>
        <w:ind w:right="40" w:firstLine="8"/>
        <w:spacing w:after="0" w:line="253"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1.65% to 4.00%. Interest is payable monthly. In addition, these agreements require payment of a monthly unused commitment fee ranging from 0.10% to 0.75% per annum on the undrawn portion available.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Funding Facilities</w:t>
      </w:r>
    </w:p>
    <w:p>
      <w:pPr>
        <w:spacing w:after="0" w:line="18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Prior to our acquisition of PayBright on January 1, 2021, PayBright entered into various credit facilities utilized to finance the origination of loans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2022, and bear interest based on a commercial paper rate plus a spread ranging from 1.25% to 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January 19, 2021, we entered into a revolving credit agreement with a syndicate of commercial banks for a $185.0 million unsecured revolving credit facility. This facility bears interest at a rate equal to, at our option, either (a) a Eurodollar rate determined by reference to adjusted LIBOR for the interest period, plus an applicable margin of 0.25% per annum or (b) a base rate determined by reference to the highest of (i) the federal funds rate plus 0.50% per annum, (ii) the rate last quoted by The Wall Street Journal as the U.S. prime rate, and (iii) the one-month adjusted LIBOR plus 1.00% per annum, in each case, plus an applicable margin of 1.50% per annum. The revolving credit agreement has a final maturity date of January 19, 2024. The facility contains certain covenants and restrictions, including certain financial maintenance covenants, and requires payment of a monthly unused commitment fee of 0.35% per annum on the undrawn balance available. There are no borrowings outstanding under the facility at September 30, 2021. Refer to Note 10.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connection with asset-backed securitizations, we sponsor and establish trusts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The assets are transferred into a trust such that the assets are legally isolated from the creditors of Affirm and are not available to satisfy our obligations. These assets can only be used to settle obligations of the underlying trusts. Each securitization trust issued senior notes and residual certificates to finance the purchase of the loans facilitated by our platform. The 2020-Z1, 2020-Z2, and 2021-Z1 securitizations are secured by static pools of loans contributed at closing, whereas the 2020-A, 2021-A and 2021-B securitizations are revolving and we may contribute additional loans from time to time until the end of the revolving period. Refer to Note 11. Securitization and Variable Interest Entities.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54" w:lineRule="exact"/>
        <w:rPr>
          <w:sz w:val="20"/>
          <w:szCs w:val="20"/>
          <w:color w:val="auto"/>
        </w:rPr>
      </w:pPr>
    </w:p>
    <w:p>
      <w:pPr>
        <w:jc w:val="center"/>
        <w:ind w:left="7500"/>
        <w:spacing w:after="0"/>
        <w:rPr>
          <w:sz w:val="20"/>
          <w:szCs w:val="20"/>
          <w:color w:val="auto"/>
        </w:rPr>
      </w:pPr>
      <w:r>
        <w:rPr>
          <w:rFonts w:ascii="Arial" w:cs="Arial" w:eastAsia="Arial" w:hAnsi="Arial"/>
          <w:sz w:val="16"/>
          <w:szCs w:val="16"/>
          <w:b w:val="1"/>
          <w:bCs w:val="1"/>
          <w:color w:val="auto"/>
        </w:rPr>
        <w:t>Three Months Ended</w:t>
      </w:r>
    </w:p>
    <w:p>
      <w:pPr>
        <w:jc w:val="center"/>
        <w:ind w:left="750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r>
      <w:tr>
        <w:trPr>
          <w:trHeight w:val="184"/>
        </w:trPr>
        <w:tc>
          <w:tcPr>
            <w:tcW w:w="22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r>
      <w:tr>
        <w:trPr>
          <w:trHeight w:val="231"/>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16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right="575"/>
              <w:spacing w:after="0"/>
              <w:rPr>
                <w:sz w:val="20"/>
                <w:szCs w:val="20"/>
                <w:color w:val="auto"/>
              </w:rPr>
            </w:pPr>
            <w:r>
              <w:rPr>
                <w:rFonts w:ascii="Arial" w:cs="Arial" w:eastAsia="Arial" w:hAnsi="Arial"/>
                <w:sz w:val="18"/>
                <w:szCs w:val="18"/>
                <w:color w:val="auto"/>
                <w:w w:val="89"/>
              </w:rPr>
              <w:t>365,150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jc w:val="center"/>
              <w:ind w:right="615"/>
              <w:spacing w:after="0"/>
              <w:rPr>
                <w:sz w:val="20"/>
                <w:szCs w:val="20"/>
                <w:color w:val="auto"/>
              </w:rPr>
            </w:pPr>
            <w:r>
              <w:rPr>
                <w:rFonts w:ascii="Arial" w:cs="Arial" w:eastAsia="Arial" w:hAnsi="Arial"/>
                <w:sz w:val="18"/>
                <w:szCs w:val="18"/>
                <w:color w:val="auto"/>
                <w:w w:val="90"/>
              </w:rPr>
              <w:t>(629,510)</w:t>
            </w:r>
          </w:p>
        </w:tc>
        <w:tc>
          <w:tcPr>
            <w:tcW w:w="1240" w:type="dxa"/>
            <w:vAlign w:val="bottom"/>
          </w:tcPr>
          <w:p>
            <w:pPr>
              <w:jc w:val="right"/>
              <w:spacing w:after="0"/>
              <w:rPr>
                <w:sz w:val="20"/>
                <w:szCs w:val="20"/>
                <w:color w:val="auto"/>
              </w:rPr>
            </w:pPr>
            <w:r>
              <w:rPr>
                <w:rFonts w:ascii="Arial" w:cs="Arial" w:eastAsia="Arial" w:hAnsi="Arial"/>
                <w:sz w:val="18"/>
                <w:szCs w:val="18"/>
                <w:color w:val="auto"/>
              </w:rPr>
              <w:t>(357,761)</w:t>
            </w:r>
          </w:p>
        </w:tc>
      </w:tr>
      <w:tr>
        <w:trPr>
          <w:trHeight w:val="243"/>
        </w:trPr>
        <w:tc>
          <w:tcPr>
            <w:tcW w:w="7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Cash Provided by Financing Activities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575"/>
              <w:spacing w:after="0"/>
              <w:rPr>
                <w:sz w:val="20"/>
                <w:szCs w:val="20"/>
                <w:color w:val="auto"/>
              </w:rPr>
            </w:pPr>
            <w:r>
              <w:rPr>
                <w:rFonts w:ascii="Arial" w:cs="Arial" w:eastAsia="Arial" w:hAnsi="Arial"/>
                <w:sz w:val="18"/>
                <w:szCs w:val="18"/>
                <w:color w:val="auto"/>
                <w:w w:val="89"/>
              </w:rPr>
              <w:t>243,953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817,811</w:t>
            </w:r>
          </w:p>
        </w:tc>
      </w:tr>
      <w:tr>
        <w:trPr>
          <w:trHeight w:val="175"/>
        </w:trPr>
        <w:tc>
          <w:tcPr>
            <w:tcW w:w="2240" w:type="dxa"/>
            <w:vAlign w:val="bottom"/>
            <w:tcBorders>
              <w:bottom w:val="single" w:sz="8" w:color="auto"/>
            </w:tcBorders>
          </w:tcPr>
          <w:p>
            <w:pPr>
              <w:spacing w:after="0"/>
              <w:rPr>
                <w:sz w:val="15"/>
                <w:szCs w:val="15"/>
                <w:color w:val="auto"/>
              </w:rPr>
            </w:pPr>
          </w:p>
        </w:tc>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Amounts include net cash provided by the issuance of redeemable convertible preferred stock and convertible debt as follows:</w:t>
      </w:r>
    </w:p>
    <w:p>
      <w:pPr>
        <w:spacing w:after="0" w:line="117" w:lineRule="exact"/>
        <w:rPr>
          <w:sz w:val="20"/>
          <w:szCs w:val="20"/>
          <w:color w:val="auto"/>
        </w:rPr>
      </w:pPr>
    </w:p>
    <w:p>
      <w:pPr>
        <w:jc w:val="center"/>
        <w:ind w:left="7480"/>
        <w:spacing w:after="0"/>
        <w:rPr>
          <w:sz w:val="20"/>
          <w:szCs w:val="20"/>
          <w:color w:val="auto"/>
        </w:rPr>
      </w:pPr>
      <w:r>
        <w:rPr>
          <w:rFonts w:ascii="Arial" w:cs="Arial" w:eastAsia="Arial" w:hAnsi="Arial"/>
          <w:sz w:val="16"/>
          <w:szCs w:val="16"/>
          <w:b w:val="1"/>
          <w:bCs w:val="1"/>
          <w:color w:val="auto"/>
        </w:rPr>
        <w:t>Three Months Ended</w:t>
      </w:r>
    </w:p>
    <w:p>
      <w:pPr>
        <w:jc w:val="center"/>
        <w:ind w:left="748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4"/>
        </w:trPr>
        <w:tc>
          <w:tcPr>
            <w:tcW w:w="7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5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w w:val="93"/>
              </w:rPr>
              <w:t>Proceeds from issuance of redeemable convertible preferred stock, net of repurchases and issuance</w:t>
            </w:r>
          </w:p>
        </w:tc>
        <w:tc>
          <w:tcPr>
            <w:tcW w:w="1100" w:type="dxa"/>
            <w:vAlign w:val="bottom"/>
            <w:vMerge w:val="restart"/>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434,434</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1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issuance of common stock, net of repurchases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37,466</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equity-related financing activities</w:t>
            </w: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435,591</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Net cash provided by debt-related financing activities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246,304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382,220</w:t>
            </w:r>
          </w:p>
        </w:tc>
        <w:tc>
          <w:tcPr>
            <w:tcW w:w="0" w:type="dxa"/>
            <w:vAlign w:val="bottom"/>
          </w:tcPr>
          <w:p>
            <w:pPr>
              <w:spacing w:after="0"/>
              <w:rPr>
                <w:sz w:val="1"/>
                <w:szCs w:val="1"/>
                <w:color w:val="auto"/>
              </w:rPr>
            </w:pPr>
          </w:p>
        </w:tc>
      </w:tr>
      <w:tr>
        <w:trPr>
          <w:trHeight w:val="24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tax withholding for stock-based compensation</w:t>
            </w:r>
          </w:p>
        </w:tc>
        <w:tc>
          <w:tcPr>
            <w:tcW w:w="1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(39,817)</w:t>
            </w:r>
          </w:p>
        </w:tc>
        <w:tc>
          <w:tcPr>
            <w:tcW w:w="1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243,953</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817,811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4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Cash provided in operating activities for the three months ended September 30, 2021 was $365.2 million, an increase of $367.5 million from cash used in operating activities of $2.3 million for the three months ended September 30, 2020. This reflects our net loss of $306.6 million, adjusted for non-cash charges of $268.8 million, net cash outflows of $8.2 million from the purchase and sale of loans held for sale, and net cash inflows of $411.2 million provided by changes in our operating assets and liabilities.</w:t>
      </w:r>
    </w:p>
    <w:p>
      <w:pPr>
        <w:spacing w:after="0" w:line="14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Non-cash charges primarily consisted of: provision for credit losses, which increased by $34.7 million or 120% due to an increase on loans held for investment, partially offset by lower than expected credit losses and improved credit quality of the portfolio; gain on sales of loans, which increased by $14.5 million from $16.4 million for the three months ended September 30, 2020 due to improved loan sale economics and increased loan sales since the first quarter of the prior fiscal year; and amortization of premiums and discounts, which increased by $24.6 million or 221% due to increased amortization of discounts related to loans purchased from our originating bank partners at a price above fair market value. Furthermore, we incurred $93.2 million of stock-based compensation, up from $6.2 million due to accelerated vesting of RSUs for which the service-based condition had been met prior to the IPO and the performance-based condition was met on the IPO date, and losses of $141.6 million due to the increase in the fair value of our contingent consideration liability, driven by changes in the value of our common stock.</w:t>
      </w:r>
    </w:p>
    <w:p>
      <w:pPr>
        <w:spacing w:after="0" w:line="15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net cash inflows resulting from changes in operating assets and liabilities increased to $411.2 million for the three months ended September 30, 2021 compared to net cash inflows of $12.5 million for the three months ended September 30, 2020. This shift was primarily due to increases to accounts payable driven by $395.2 million of employee option exercise taxes payable, associated with the timing of significant employee stock option exercises during the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Cash used in investing activities for the three months ended September 30, 2021 was $629.5 million, an increase of $271.7 million from $357.8 million for the three months ended September 30, 2020. The main driver of this was $1,847.5 million of purchases of loans, representing an increase of $669.7 million or 57% compared to the first quarter of the prior year, due partly to continued growth in GMV. Additionally, we recorded cash outflows of approximately $443.6 million related to purchases of available for sale securities in the current period. These cash outflows were partially offset by $1,486 million of repayments of loans, representing an increase of $737.0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 98%, compared to the first quarter of the prior year, due to a higher average balance of loans held for investment and generally increasing credit quality of the portfolio.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provided by financing activities for the three months ended September 30, 2021 was $244.0 million, a decrease of $573.9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$817.8 million during the three months ended September 30, 2020. A main driver of this was the issuance of notes by our newly formed securitization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2021 resulted in net cash inflows of $444.6 million, net of in-period principal repayments. This cash inflow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represented new financing activities compared to the three months ended September 30, 2020 but was partially offset by $191.7 million of net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outflows from funding debt as principal repayments on debt exceeded proceeds from draws on these revolving credit facilities. This net cash outflow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funding debt was in contrast to a net cash inflow from the conversion of convertible notes of $434.4 million during the three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The shift between periods is largely due to the availability of new funding sources in our securitization trusts. Additionally, we recorded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$39.8 million for tax withholding associated with stock-based compensation during the three months ended September 30, 2021 which did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occur in the prior periods as the vesting of RSUs was triggered by the initial public offering in January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Risks and Requirements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There are numerous risks to our financial results, liquidity, capital raising, and debt refinancing plans, some of which may not be quantified in our current liquidity forecasts. The principal factors that could impact our liquidity and capital needs are customer delinquencies and defaults, a prolonged inability to adequately access capital market funding, declines in loan purchases and therefore revenue, fluctuations in our financial performance, the timing and extent of spending to support development efforts, the expansion of sales and marketing activities, the introduction of new and enhanced products, and the continuing market adoption of our platform. We intend to support our liquidity and capital position by pursuing diversified debt financings (including new securitizations and revolving debt facilities) and extending existing secured revolving facilities to provide committed liquidity in case of prolonged market fluctuations.</w:t>
      </w:r>
    </w:p>
    <w:p>
      <w:pPr>
        <w:spacing w:after="0" w:line="15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may, in the future, enter into arrangements to acquire or invest in complementary businesses, products, and technologies. We may be required to seek additional equity or debt financing in connection with those efforts.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additional collateral as security. If we are unable to raise additional capital or generate cash flows necessary to expand our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our significant judgments or estimates could prove to be materially incorrect.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Revenue</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the three months ended September 30, 2021 and 2020 approximately 10% and 30% of total revenue, respectively, was driven by one merchant partner, Peloton. We believe we have a strong relationship with Peloton and, in September 2020, we entered into a renewed merchant agreement with Peloton with an initial three-year term ending in September 2023, which automatically renews for additional and successive one-year terms until terminated. While we believe our growth will facilitate both revenue growth and merchant diversification as we continue to integrate with a wide range of merchants, our revenue concentration may cause our financial performance to fluctuate significantly from period to period based on the revenue from such merchant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There were no material changes outside of the ordinary course of business in our commitments and contractual obligations for the three months ended September 30, 2021 from the commitments and contractual obligations disclosed in the section titled “Management's Discussion and Analysis of Financial Condition and Results of Operations,” set forth in our Annual Report on Form 10-K for the fiscal year ended June 30, 2021, which was filed with the SEC on September 17,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Off-balance sheet loans relate to unconsolidated securitization transactions and loans sold to third-party investors for which we have some form of continuing involvement, including as servicer. For an off-balance sheet loan where servicing is the only form of continuing involvement, we would only experience a loss if we were required to repurchase such a loan due to a breach in representations and warranties associated with our loan sale or servicing contracts. As of September 30, 2021, the aggregate outstanding balance of loans held by third-party investors or off-balance sheet VIEs was $2.6 billion. As of September 30, 2021, we had one off-balance sheet VIE, the 2021-Z1 securitization. In the unlikely event principal payments on the loans backing any off-balance sheet securitization are insufficient to pay senior note holders, including any retained interest, then any amounts the Company contributed to the securitization reserve accounts may be depleted. See Note 11. Securitization and Variable Interest Entities of the accompanying notes to our interim condensed consolidated financial statements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U.S. GAAP requires us to make certain estimates and judgments that affect the amounts reported in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will be affected.</w:t>
      </w:r>
    </w:p>
    <w:p>
      <w:pPr>
        <w:spacing w:after="0" w:line="13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evaluate our significant estimates on an ongoing basis, including, but not limited to, estimates related to merchant network revenue, loss on loan purchase commitment, allowance for credit losses, stock-based compensation, and income taxes. We believe these estimates have the greatest potential effect on our consolidated financial statements. Therefore, we consider these to be our critical accounting policies and estimates.</w:t>
      </w:r>
    </w:p>
    <w:p>
      <w:pPr>
        <w:spacing w:after="0" w:line="13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further information, our significant accounting policies are described in Note 2. Summary of Significant Accounting Policies within the notes to the interim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Refer to Note 2. Summary of Significant Accounting Policies within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operations both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cash and cash equivalents as of September 30, 2021 were held primarily in checking, money market, and savings accounts. As of September 30, 2021, we had $403.5 million of cash equivalents invested in money market funds, certificates of deposit, corporate bonds, and other commercial paper with maturities less than three months. Our cash and cash equivalents are held for working capital purposes. The fair value of our cash and cash equivalents would not be significantly affected by either an increase or decrease in interest rates due mainly to the short-term nature of a majority of these instruments.</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securities available for sale at fair value as of September 30, 2021 included $440.5 million of marketable debt securities with maturities greater than three months. Within the portfolio, fixed rate securities may have their fair market values adversely impacted due to a rise in interest rates, while floating rate securities may produce less income than expected if interest rates fall. Because our investment policy is to invest in conservative, interest-bearing investments and because our business strategy does not rely on generating material returns from our investment portfolio, we do not expect our market risk exposure on marketable debt securities to be material.</w:t>
      </w:r>
    </w:p>
    <w:p>
      <w:pPr>
        <w:spacing w:after="0" w:line="161"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Interest rates may adversely impact our customers’ spending levels and ability and willingness to pay outstanding amounts owed to us. Higher interest rates often lead to higher payment obligations by customers of our credit products to us, or to lenders under mortgage, credit card, and other consumer and merchant loans, which may reduce our customers’ ability to remain current on their obligations to us. Therefore, higher interest rates may lead to increased delinquencies, charge-offs, and allowances for loans and interest receivable, which could have an adverse effect on our operating results.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Certain of our funding arrangements bear a variable interest rate. Given the fixed interest rates charged on the loans that we purchase from our originating bank partners, a rising variable interest rate would reduce our interest margin earned in these funding arrangements. Dramatic increases in interest rates may make these forms of funding nonviable. Additionally, certain of our loan sale agreements are repriced on a recurring basis using a mechanism tied to interest rates as well as loan performance. We maintain an interest rate hedging program which eliminates some, but not all, of the interest rate risk. As of September 30, 2021, a hypothetical 10% relative change in interest rates would not have a material impact on our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this evaluation, our Chief Executive Officer and our Chief Financial Officer concluded that our disclosure controls and procedures were effective as of September 30,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w:t>
      </w:r>
    </w:p>
    <w:p>
      <w:pPr>
        <w:spacing w:after="0" w:line="24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3239"/>
        <w:spacing w:after="0"/>
        <w:rPr>
          <w:sz w:val="20"/>
          <w:szCs w:val="20"/>
          <w:color w:val="auto"/>
        </w:rPr>
      </w:pPr>
      <w:r>
        <w:rPr>
          <w:rFonts w:ascii="Arial" w:cs="Arial" w:eastAsia="Arial" w:hAnsi="Arial"/>
          <w:sz w:val="22"/>
          <w:szCs w:val="22"/>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risks described under the heading “Risk Factors” in our Annual Report on Form 10-K for the fiscal year ended June 30, 2021 could materially and adversely affect our business, financial condition, and results of operations, and the trading price of our Class A common stock could decline. Those risks are not the only risks that we face—our operations could also be affected by factors that are not presently known to us or that we currently consider to be immaterial to our operations. In addition, you should carefully read and consider such risks, together with all of the other information in our Annual Report on Form 10-K for the fiscal year ended June 30, 2021, in this Quarterly Report on Form 10-Q (including the disclosures below, in the section titled “Management’s Discussion and Analysis of Financial Condition and Results of Operations” and in our condensed consolidated financial statements and related notes), and in the other documents that we file with the SEC.</w:t>
      </w:r>
    </w:p>
    <w:p>
      <w:pPr>
        <w:spacing w:after="0" w:line="204"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Except as may be reflected in the updated risk factors included below, there have been no material changes from the risk factors previously disclosed under the heading “Risk Factors” in our Annual Report on Form 10-K for the fiscal year ended June 30, 2021.</w:t>
      </w:r>
    </w:p>
    <w:p>
      <w:pPr>
        <w:spacing w:after="0" w:line="17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are unable to attract additional merchant partners, retain our existing merchant partners, and grow and develop our relationships with new and existing merchant partners, our business, results of operations, financial condition, and future prospects would be materially and adversely affected, as could the market price of our Class A common stock.</w:t>
      </w:r>
    </w:p>
    <w:p>
      <w:pPr>
        <w:spacing w:after="0" w:line="14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continued success is dependent on our ability to expand our merchant base and to grow our merchants’ revenue on our platform. We derive a significant portion of our revenue from merchant network fees earned from our merchant partners. The network fees are generally charged as a percentage of the transaction volume on our platform. In addition, as more merchants are integrated into our network, there are more reasons for consumers to shop with us.</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we are not able to attract additional merchants and to expand revenue and volume of transactions from existing merchants, we will not be able to continue to attract consumers or grow our business. 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Furthermore, having a diversified mix of merchant partners is important to mitigate risk associated with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but we saw a significant increase in revenue from merchant partners offering home fitness equipment, home office products, and home furnishings. We have begun to see these trends reverse as access to COVID-19 vaccinations has increased, but it is difficult to predict the impact that the continuing spread of the Delta variant and potential additional waves of the pandemic will have on our merchant partners and our business.</w:t>
      </w:r>
    </w:p>
    <w:p>
      <w:pPr>
        <w:spacing w:after="0" w:line="20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continued success also is dependent on our ability to successfully grow and develop relationships with our merchant partners, particularly early-stage relationships with large e-commerce retailers such as Amazon.com, Inc. Some of our agreements with our merchant partners are non-exclusive and lack any transaction volume commitments. The pace of development, integration and rollout of these early-stage relationships is often unpredictable and is generally not within our control. In addition, these merchant partners may have, or may enter into in the future, similar agreements with our competitors, which could adversely affect our ability to drive the level of transaction volume and revenue growth that we seek to achieve or to otherwise satisfy the high expectations of our investors and financial analysts relating to those relationships. In addition, our agreements with our merchant partners generally have terms that range from approximately 12 months to 36 months, and our merchants can generally terminate these agreements without cause upon 30 to 90 days’ prior written notice. We may, therefore,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compelled to renegotiate our agreements with merchant partners from time to time, possibly upon terms significantly less favorable to us than the terms included in our existing agreements with those merchant partners.</w:t>
      </w:r>
    </w:p>
    <w:p>
      <w:pPr>
        <w:spacing w:after="0" w:line="19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fail to retain any of our larger merchant partners or a substantial number of our smaller merchant partners, if we do not acquire new merchant partners, if we do not successfully grow and develop our relationships with our larger merchant partners, if we do not continually expand revenue and volume from the merchants on our platform, or if we do not attract and retain a diverse mix of merchant partners, our business, results of operations, financial condition, and future prospects would be materially and adversely affected. In addition, should investor expectations relating to the growth, development and retention of our merchant partners, particularly those expectations relating to our relationships with Amazon and Shopify Inc., not be achieved, the market price of our Class A common stock could decline.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by us of additional equity securities may dilute your ownership and adversely affect the market price of our Class A common stock.</w:t>
      </w:r>
    </w:p>
    <w:p>
      <w:pPr>
        <w:spacing w:after="0" w:line="27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us to issue additional shares of Class A common stock and rights relating to Class A common stock for the consideration and on the terms and conditions established by our board of directors in its sole discretion, whether in connection with acquisitions or otherwise. Any Class A common stock or securities convertible into shares of our Class A common stock that we issue from time to time, including in connection with a financing, acquisition, investment or under any equity incentive plans or otherwise that we may adopt in the future, will dilute your percentage ownership.</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In addition, as we did when we initially formed our partnership with Shopify and when we entered into the Amended and Restated Installment Financing Services Agreement with Amazon, we may issue additional shares of our Class A common stock or securities convertible into shares of Class A common stock as a means of initiating, developing, strengthening or preserving key merchant relationships.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July 1, 2021, in connection with the closing of the transaction contemplated by the Asset Purchase Agreement entered into with Yroo Inc., a developer of technologies that enable and enhance consumer e-commerce shopping intelligence and experience (“ShopBrain”), and the shareholder representative party thereto to acquire certain assets and assume certain liabilities of ShopBrain, we issued an aggregate of 151,745 shares of our Class A common stock to ShopBrain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believe this transaction was exempt from registration under the Securities Act in reliance upon Section 4(a)(2) of the Securities Act and/or Regulation D promulgated thereunder or Regulation S under the Securities Act. The recipients of the securities in this transaction represented their intentions to acquire the securities for investment only and not with a view to or for sale in connection with any distribution thereof. All recipients had adequate access, through their relationships with us, to information about 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Equity Securities</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information with respect to the Company’s repurchases of shares of Class A common stock during the quarter ended September 30,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 Purchased</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Total Number of 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2"/>
            <w:vMerge w:val="continue"/>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2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 Share</w:t>
            </w:r>
          </w:p>
        </w:tc>
        <w:tc>
          <w:tcPr>
            <w:tcW w:w="23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89"/>
        </w:trPr>
        <w:tc>
          <w:tcPr>
            <w:tcW w:w="2080" w:type="dxa"/>
            <w:vAlign w:val="bottom"/>
            <w:gridSpan w:val="2"/>
            <w:vMerge w:val="continue"/>
          </w:tcPr>
          <w:p>
            <w:pPr>
              <w:spacing w:after="0"/>
              <w:rPr>
                <w:sz w:val="16"/>
                <w:szCs w:val="16"/>
                <w:color w:val="auto"/>
              </w:rPr>
            </w:pPr>
          </w:p>
        </w:tc>
        <w:tc>
          <w:tcPr>
            <w:tcW w:w="1860" w:type="dxa"/>
            <w:vAlign w:val="bottom"/>
          </w:tcPr>
          <w:p>
            <w:pPr>
              <w:jc w:val="center"/>
              <w:ind w:left="308"/>
              <w:spacing w:after="0" w:line="189" w:lineRule="exact"/>
              <w:rPr>
                <w:sz w:val="20"/>
                <w:szCs w:val="20"/>
                <w:color w:val="auto"/>
              </w:rPr>
            </w:pPr>
            <w:r>
              <w:rPr>
                <w:rFonts w:ascii="Arial" w:cs="Arial" w:eastAsia="Arial" w:hAnsi="Arial"/>
                <w:sz w:val="14"/>
                <w:szCs w:val="14"/>
                <w:b w:val="1"/>
                <w:bCs w:val="1"/>
                <w:color w:val="auto"/>
                <w:w w:val="88"/>
              </w:rPr>
              <w:t>Purchased</w:t>
            </w:r>
            <w:r>
              <w:rPr>
                <w:rFonts w:ascii="Arial" w:cs="Arial" w:eastAsia="Arial" w:hAnsi="Arial"/>
                <w:sz w:val="18"/>
                <w:szCs w:val="18"/>
                <w:b w:val="1"/>
                <w:bCs w:val="1"/>
                <w:color w:val="auto"/>
                <w:w w:val="88"/>
                <w:vertAlign w:val="superscript"/>
              </w:rPr>
              <w:t>(1)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Plans or Programs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1 - 31</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August 1 - 31</w:t>
            </w:r>
          </w:p>
        </w:tc>
        <w:tc>
          <w:tcPr>
            <w:tcW w:w="1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23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220" w:type="dxa"/>
            <w:vAlign w:val="bottom"/>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1 - 30</w:t>
            </w:r>
          </w:p>
        </w:tc>
        <w:tc>
          <w:tcPr>
            <w:tcW w:w="18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2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20" w:hanging="328"/>
        <w:spacing w:after="0" w:line="234"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shares purchased were repurchases of unvested shares of our Class A common stock that had been issued upon early exercise of stock options. Pursuant to the associated option award agreements, upon termination of employment of a person holding unvested shares, we were entitled to repurchase the unvested shares.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Corrected Financial Information</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tables showing the correction of prior period amounts should be read in conjunction with Note 2. Summary of Significant Accounting Policies to our interim condensed consolidated financial statements in this Quarterly Report on Form 10-Q. This correction affected our consolidated balance sheet, consolidated statement of operations and comprehensive loss, consolidated statement of redeemable convertible preferred stock and stockholders’ equity (deficit) and consolidated statement of cash flows for the year ended June 30, 2021.</w:t>
      </w:r>
    </w:p>
    <w:p>
      <w:pPr>
        <w:spacing w:after="0" w:line="19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We determined, based on consideration of quantitative and qualitative factors, that the error had an immaterial impact, individually and in aggregate, on our previously issued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correction does not impact the consolidated statement of operations and comprehensive loss or consolidated statement of cash flows for the three months ended September 30, 2021 as presented within this Quarterly Report on Form 10-Q. The following tables show the affected line items within the consolidated financial statements (in thousands) that are impacted by these misstatements.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As of June 30, 2021</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8"/>
                <w:szCs w:val="18"/>
                <w:color w:val="auto"/>
              </w:rPr>
            </w:pPr>
          </w:p>
        </w:tc>
        <w:tc>
          <w:tcPr>
            <w:tcW w:w="152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323,577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2,285,814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2,291,440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3,467,236</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(888,381)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(898,485)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2,581,153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2,575,527</w:t>
            </w:r>
          </w:p>
        </w:tc>
        <w:tc>
          <w:tcPr>
            <w:tcW w:w="0" w:type="dxa"/>
            <w:vAlign w:val="bottom"/>
          </w:tcPr>
          <w:p>
            <w:pPr>
              <w:spacing w:after="0"/>
              <w:rPr>
                <w:sz w:val="1"/>
                <w:szCs w:val="1"/>
                <w:color w:val="auto"/>
              </w:rPr>
            </w:pPr>
          </w:p>
        </w:tc>
      </w:tr>
      <w:tr>
        <w:trPr>
          <w:trHeight w:val="573"/>
        </w:trPr>
        <w:tc>
          <w:tcPr>
            <w:tcW w:w="56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June 30, 2021</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8"/>
                <w:szCs w:val="18"/>
                <w:color w:val="auto"/>
              </w:rPr>
            </w:pPr>
          </w:p>
        </w:tc>
        <w:tc>
          <w:tcPr>
            <w:tcW w:w="152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c>
          <w:tcPr>
            <w:tcW w:w="0" w:type="dxa"/>
            <w:vAlign w:val="bottom"/>
          </w:tcPr>
          <w:p>
            <w:pPr>
              <w:spacing w:after="0"/>
              <w:rPr>
                <w:sz w:val="1"/>
                <w:szCs w:val="1"/>
                <w:color w:val="auto"/>
              </w:rPr>
            </w:pPr>
          </w:p>
        </w:tc>
      </w:tr>
      <w:tr>
        <w:trPr>
          <w:trHeight w:val="21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and Comprehensive Loss</w:t>
            </w:r>
          </w:p>
        </w:tc>
        <w:tc>
          <w:tcPr>
            <w:tcW w:w="5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Processing and servicing</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73,578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249,336</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184,279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182,190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383,749</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1,249,657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1,254,131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(59,703)</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(433,266)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(443,370)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(441,027)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Comprehensive Income</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(423,852)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(433,952)</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0"/>
              </w:rPr>
              <w:t>Net loss per share attributable to common stockholders for Class A and</w:t>
            </w: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 B:</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20"/>
              <w:spacing w:after="0"/>
              <w:rPr>
                <w:sz w:val="20"/>
                <w:szCs w:val="20"/>
                <w:color w:val="auto"/>
              </w:rPr>
            </w:pPr>
            <w:r>
              <w:rPr>
                <w:rFonts w:ascii="Arial" w:cs="Arial" w:eastAsia="Arial" w:hAnsi="Arial"/>
                <w:sz w:val="18"/>
                <w:szCs w:val="18"/>
                <w:color w:val="auto"/>
              </w:rPr>
              <w:t>Basic</w:t>
            </w:r>
          </w:p>
        </w:tc>
        <w:tc>
          <w:tcPr>
            <w:tcW w:w="560" w:type="dxa"/>
            <w:vAlign w:val="bottom"/>
          </w:tcPr>
          <w:p>
            <w:pPr>
              <w:jc w:val="right"/>
              <w:ind w:right="355"/>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564"/>
        </w:trPr>
        <w:tc>
          <w:tcPr>
            <w:tcW w:w="56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June 30, 2021</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8"/>
                <w:szCs w:val="18"/>
                <w:color w:val="auto"/>
              </w:rPr>
            </w:pPr>
          </w:p>
        </w:tc>
        <w:tc>
          <w:tcPr>
            <w:tcW w:w="152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c>
          <w:tcPr>
            <w:tcW w:w="0" w:type="dxa"/>
            <w:vAlign w:val="bottom"/>
          </w:tcPr>
          <w:p>
            <w:pPr>
              <w:spacing w:after="0"/>
              <w:rPr>
                <w:sz w:val="1"/>
                <w:szCs w:val="1"/>
                <w:color w:val="auto"/>
              </w:rPr>
            </w:pPr>
          </w:p>
        </w:tc>
      </w:tr>
      <w:tr>
        <w:trPr>
          <w:trHeight w:val="158"/>
        </w:trPr>
        <w:tc>
          <w:tcPr>
            <w:tcW w:w="562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b w:val="1"/>
                <w:bCs w:val="1"/>
                <w:color w:val="auto"/>
                <w:w w:val="95"/>
              </w:rPr>
              <w:t>Consolidated Statement of Redeemable Convertible Preferred Stock</w:t>
            </w:r>
          </w:p>
        </w:tc>
        <w:tc>
          <w:tcPr>
            <w:tcW w:w="5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and Stockholders’ Equity</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Stock-based compensation - Additional Paid-In Capital</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302,032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306,506</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 adjustments - Accumulated Other</w:t>
            </w:r>
          </w:p>
        </w:tc>
        <w:tc>
          <w:tcPr>
            <w:tcW w:w="5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5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Net Loss - Accumulated Deficit</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(430,923)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(441,027)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2021 - Total Stockholders' Equity</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2,581,153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2,575,527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w w:val="96"/>
              </w:rPr>
              <w:t>Year Ended June 30, 2021</w:t>
            </w:r>
          </w:p>
        </w:tc>
        <w:tc>
          <w:tcPr>
            <w:tcW w:w="180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4"/>
              </w:rPr>
              <w:t>As Previously Reported</w:t>
            </w:r>
          </w:p>
        </w:tc>
        <w:tc>
          <w:tcPr>
            <w:tcW w:w="120" w:type="dxa"/>
            <w:vAlign w:val="bottom"/>
          </w:tcPr>
          <w:p>
            <w:pPr>
              <w:spacing w:after="0"/>
              <w:rPr>
                <w:sz w:val="18"/>
                <w:szCs w:val="18"/>
                <w:color w:val="auto"/>
              </w:rPr>
            </w:pPr>
          </w:p>
        </w:tc>
        <w:tc>
          <w:tcPr>
            <w:tcW w:w="1900" w:type="dxa"/>
            <w:vAlign w:val="bottom"/>
            <w:gridSpan w:val="2"/>
          </w:tcPr>
          <w:p>
            <w:pPr>
              <w:ind w:left="460"/>
              <w:spacing w:after="0"/>
              <w:rPr>
                <w:sz w:val="20"/>
                <w:szCs w:val="20"/>
                <w:color w:val="auto"/>
              </w:rPr>
            </w:pPr>
            <w:r>
              <w:rPr>
                <w:rFonts w:ascii="Arial" w:cs="Arial" w:eastAsia="Arial" w:hAnsi="Arial"/>
                <w:sz w:val="16"/>
                <w:szCs w:val="16"/>
                <w:b w:val="1"/>
                <w:bCs w:val="1"/>
                <w:color w:val="auto"/>
              </w:rPr>
              <w:t>Adjustments</w:t>
            </w:r>
          </w:p>
        </w:tc>
        <w:tc>
          <w:tcPr>
            <w:tcW w:w="1800" w:type="dxa"/>
            <w:vAlign w:val="bottom"/>
          </w:tcPr>
          <w:p>
            <w:pPr>
              <w:jc w:val="right"/>
              <w:ind w:right="352"/>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Cash Flows</w:t>
            </w: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(430,923)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(441,027)</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fair value of assets and liabilities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57,285</w:t>
            </w:r>
          </w:p>
        </w:tc>
      </w:tr>
      <w:tr>
        <w:trPr>
          <w:trHeight w:val="230"/>
        </w:trPr>
        <w:tc>
          <w:tcPr>
            <w:tcW w:w="56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800" w:type="dxa"/>
            <w:vAlign w:val="bottom"/>
          </w:tcPr>
          <w:p>
            <w:pPr>
              <w:jc w:val="right"/>
              <w:spacing w:after="0"/>
              <w:rPr>
                <w:sz w:val="20"/>
                <w:szCs w:val="20"/>
                <w:color w:val="auto"/>
              </w:rPr>
            </w:pPr>
            <w:r>
              <w:rPr>
                <w:rFonts w:ascii="Arial" w:cs="Arial" w:eastAsia="Arial" w:hAnsi="Arial"/>
                <w:sz w:val="18"/>
                <w:szCs w:val="18"/>
                <w:color w:val="auto"/>
              </w:rPr>
              <w:t>288,033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292,507</w:t>
            </w:r>
          </w:p>
        </w:tc>
      </w:tr>
      <w:tr>
        <w:trPr>
          <w:trHeight w:val="229"/>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Cash Used in Operating Activities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(193,130)</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(193,130)</w:t>
            </w:r>
          </w:p>
        </w:tc>
      </w:tr>
    </w:tbl>
    <w:p>
      <w:pPr>
        <w:spacing w:after="0" w:line="32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following tables showing the correction of prior period amounts should be read in conjunction with Note 2. Summary of Significant Accounting Policies. We also determined that stock based compensation recorded during the three and nine months ended March 31, 2021 was understated by $25.0 million, as the estimated fair value of RSUs granted during the three months ended December 31, 2020 did not reflect an increase in share value due to the anticipated IPO. As a result, the accompanying unaudited interim financial information for the three and nine months ended March 31, 2021 has been adjusted to reflect the combined increase in stock based compensation expense of $40.0 million from amounts previously reported.</w:t>
      </w:r>
    </w:p>
    <w:p>
      <w:pPr>
        <w:spacing w:after="0" w:line="18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determined, based on consideration of quantitative and qualitative factors, that the errors had an immaterial impact, individually and in aggregate, on our previously issued financial statements. The following tables show the affected line items (in thousands) within the interim condensed 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6"/>
          </w:tcPr>
          <w:p>
            <w:pPr>
              <w:jc w:val="center"/>
              <w:ind w:left="751"/>
              <w:spacing w:after="0"/>
              <w:rPr>
                <w:sz w:val="20"/>
                <w:szCs w:val="20"/>
                <w:color w:val="auto"/>
              </w:rPr>
            </w:pPr>
            <w:r>
              <w:rPr>
                <w:rFonts w:ascii="Arial" w:cs="Arial" w:eastAsia="Arial" w:hAnsi="Arial"/>
                <w:sz w:val="16"/>
                <w:szCs w:val="16"/>
                <w:b w:val="1"/>
                <w:bCs w:val="1"/>
                <w:color w:val="auto"/>
                <w:w w:val="93"/>
              </w:rPr>
              <w:t>Three Months Ended March 31, 2021</w:t>
            </w:r>
          </w:p>
        </w:tc>
        <w:tc>
          <w:tcPr>
            <w:tcW w:w="144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920" w:type="dxa"/>
            <w:vAlign w:val="bottom"/>
            <w:gridSpan w:val="3"/>
          </w:tcPr>
          <w:p>
            <w:pPr>
              <w:ind w:left="80"/>
              <w:spacing w:after="0"/>
              <w:rPr>
                <w:sz w:val="20"/>
                <w:szCs w:val="20"/>
                <w:color w:val="auto"/>
              </w:rPr>
            </w:pPr>
            <w:r>
              <w:rPr>
                <w:rFonts w:ascii="Arial" w:cs="Arial" w:eastAsia="Arial" w:hAnsi="Arial"/>
                <w:sz w:val="16"/>
                <w:szCs w:val="16"/>
                <w:b w:val="1"/>
                <w:bCs w:val="1"/>
                <w:color w:val="auto"/>
              </w:rPr>
              <w:t>As Previously Reported</w:t>
            </w: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360" w:type="dxa"/>
            <w:vAlign w:val="bottom"/>
          </w:tcPr>
          <w:p>
            <w:pPr>
              <w:spacing w:after="0"/>
              <w:rPr>
                <w:sz w:val="18"/>
                <w:szCs w:val="18"/>
                <w:color w:val="auto"/>
              </w:rPr>
            </w:pPr>
          </w:p>
        </w:tc>
        <w:tc>
          <w:tcPr>
            <w:tcW w:w="1440" w:type="dxa"/>
            <w:vAlign w:val="bottom"/>
          </w:tcPr>
          <w:p>
            <w:pPr>
              <w:jc w:val="right"/>
              <w:ind w:right="351"/>
              <w:spacing w:after="0"/>
              <w:rPr>
                <w:sz w:val="20"/>
                <w:szCs w:val="20"/>
                <w:color w:val="auto"/>
              </w:rPr>
            </w:pPr>
            <w:r>
              <w:rPr>
                <w:rFonts w:ascii="Arial" w:cs="Arial" w:eastAsia="Arial" w:hAnsi="Arial"/>
                <w:sz w:val="16"/>
                <w:szCs w:val="16"/>
                <w:b w:val="1"/>
                <w:bCs w:val="1"/>
                <w:color w:val="auto"/>
                <w:w w:val="97"/>
              </w:rPr>
              <w:t>As Corrected</w:t>
            </w:r>
          </w:p>
        </w:tc>
      </w:tr>
      <w:tr>
        <w:trPr>
          <w:trHeight w:val="21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and Comprehensive Loss</w:t>
            </w:r>
          </w:p>
        </w:tc>
        <w:tc>
          <w:tcPr>
            <w:tcW w:w="6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Processing and servicing</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21,368</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104,806</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58,184</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179,999</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400,121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39,892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440,013</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(247,229)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(287,121)</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(247,159)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(39,892)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(287,051)</w:t>
            </w: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0"/>
              </w:rPr>
              <w:t>Net loss per share attributable to common stockholders for Class A and</w:t>
            </w:r>
          </w:p>
        </w:tc>
        <w:tc>
          <w:tcPr>
            <w:tcW w:w="6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 B:</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620" w:type="dxa"/>
            <w:vAlign w:val="bottom"/>
          </w:tcPr>
          <w:p>
            <w:pPr>
              <w:ind w:left="120"/>
              <w:spacing w:after="0"/>
              <w:rPr>
                <w:sz w:val="20"/>
                <w:szCs w:val="20"/>
                <w:color w:val="auto"/>
              </w:rPr>
            </w:pPr>
            <w:r>
              <w:rPr>
                <w:rFonts w:ascii="Arial" w:cs="Arial" w:eastAsia="Arial" w:hAnsi="Arial"/>
                <w:sz w:val="18"/>
                <w:szCs w:val="18"/>
                <w:color w:val="auto"/>
              </w:rPr>
              <w:t>Basic</w:t>
            </w:r>
          </w:p>
        </w:tc>
        <w:tc>
          <w:tcPr>
            <w:tcW w:w="600" w:type="dxa"/>
            <w:vAlign w:val="bottom"/>
          </w:tcPr>
          <w:p>
            <w:pPr>
              <w:jc w:val="right"/>
              <w:ind w:right="39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 of Operations and Comprehensive Loss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Processing and servicing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Technology and data analytics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Operating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Loss Before Income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Loss Attributable to Common Stockholders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 per share attributable to common stockholders for Class A and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Class B:</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right="240"/>
        <w:spacing w:after="0" w:line="237" w:lineRule="auto"/>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1" w:lineRule="exact"/>
        <w:rPr>
          <w:sz w:val="20"/>
          <w:szCs w:val="20"/>
          <w:color w:val="auto"/>
        </w:rPr>
      </w:pPr>
    </w:p>
    <w:p>
      <w:pPr>
        <w:ind w:left="20" w:right="1500"/>
        <w:spacing w:after="0" w:line="266" w:lineRule="auto"/>
        <w:rPr>
          <w:sz w:val="20"/>
          <w:szCs w:val="20"/>
          <w:color w:val="auto"/>
        </w:rPr>
      </w:pPr>
      <w:r>
        <w:rPr>
          <w:rFonts w:ascii="Arial" w:cs="Arial" w:eastAsia="Arial" w:hAnsi="Arial"/>
          <w:sz w:val="18"/>
          <w:szCs w:val="18"/>
          <w:color w:val="auto"/>
        </w:rPr>
        <w:t>Stock-based compensation - Additional Paid-In Capital Net Loss - Accumulated Deficit</w:t>
      </w:r>
    </w:p>
    <w:p>
      <w:pPr>
        <w:ind w:left="20"/>
        <w:spacing w:after="0"/>
        <w:rPr>
          <w:sz w:val="20"/>
          <w:szCs w:val="20"/>
          <w:color w:val="auto"/>
        </w:rPr>
      </w:pPr>
      <w:r>
        <w:rPr>
          <w:rFonts w:ascii="Arial" w:cs="Arial" w:eastAsia="Arial" w:hAnsi="Arial"/>
          <w:sz w:val="18"/>
          <w:szCs w:val="18"/>
          <w:b w:val="1"/>
          <w:bCs w:val="1"/>
          <w:color w:val="auto"/>
        </w:rPr>
        <w:t>Balance as of March 31, 2021 - Total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20" w:right="2520"/>
        <w:spacing w:after="0" w:line="267" w:lineRule="auto"/>
        <w:rPr>
          <w:sz w:val="20"/>
          <w:szCs w:val="20"/>
          <w:color w:val="auto"/>
        </w:rPr>
      </w:pPr>
      <w:r>
        <w:rPr>
          <w:rFonts w:ascii="Arial" w:cs="Arial" w:eastAsia="Arial" w:hAnsi="Arial"/>
          <w:sz w:val="18"/>
          <w:szCs w:val="18"/>
          <w:b w:val="1"/>
          <w:bCs w:val="1"/>
          <w:color w:val="auto"/>
        </w:rPr>
        <w:t xml:space="preserve">Consolidated Statement of Cash Flows Cash Flows from Operating Activities </w:t>
      </w:r>
      <w:r>
        <w:rPr>
          <w:rFonts w:ascii="Arial" w:cs="Arial" w:eastAsia="Arial" w:hAnsi="Arial"/>
          <w:sz w:val="18"/>
          <w:szCs w:val="18"/>
          <w:color w:val="auto"/>
        </w:rPr>
        <w:t>Net Loss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March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As Previously Reported</w:t>
            </w: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3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97"/>
              </w:rPr>
              <w:t>As Corrected</w:t>
            </w:r>
          </w:p>
        </w:tc>
      </w:tr>
      <w:tr>
        <w:trPr>
          <w:trHeight w:val="441"/>
        </w:trPr>
        <w:tc>
          <w:tcPr>
            <w:tcW w:w="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51,635</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51,668</w:t>
            </w:r>
          </w:p>
        </w:tc>
      </w:tr>
      <w:tr>
        <w:trPr>
          <w:trHeight w:val="229"/>
        </w:trPr>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180,208</w:t>
            </w:r>
          </w:p>
        </w:tc>
      </w:tr>
      <w:tr>
        <w:trPr>
          <w:trHeight w:val="229"/>
        </w:trPr>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119,243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119,878</w:t>
            </w:r>
          </w:p>
        </w:tc>
      </w:tr>
      <w:tr>
        <w:trPr>
          <w:trHeight w:val="226"/>
        </w:trPr>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253,188</w:t>
            </w:r>
          </w:p>
        </w:tc>
      </w:tr>
      <w:tr>
        <w:trPr>
          <w:trHeight w:val="229"/>
        </w:trPr>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838,206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39,892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878,098</w:t>
            </w:r>
          </w:p>
        </w:tc>
      </w:tr>
      <w:tr>
        <w:trPr>
          <w:trHeight w:val="229"/>
        </w:trPr>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(277,610)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(39,892)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(317,502)</w:t>
            </w:r>
          </w:p>
        </w:tc>
      </w:tr>
      <w:tr>
        <w:trPr>
          <w:trHeight w:val="234"/>
        </w:trPr>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(277,715)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(39,892)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(317,607)</w:t>
            </w:r>
          </w:p>
        </w:tc>
      </w:tr>
      <w:tr>
        <w:trPr>
          <w:trHeight w:val="634"/>
        </w:trPr>
        <w:tc>
          <w:tcPr>
            <w:tcW w:w="560" w:type="dxa"/>
            <w:vAlign w:val="bottom"/>
          </w:tcPr>
          <w:p>
            <w:pPr>
              <w:jc w:val="right"/>
              <w:ind w:right="355"/>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560" w:type="dxa"/>
            <w:vAlign w:val="bottom"/>
          </w:tcPr>
          <w:p>
            <w:pPr>
              <w:jc w:val="right"/>
              <w:ind w:right="355"/>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658"/>
        </w:trPr>
        <w:tc>
          <w:tcPr>
            <w:tcW w:w="5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center"/>
              <w:ind w:left="791"/>
              <w:spacing w:after="0"/>
              <w:rPr>
                <w:sz w:val="20"/>
                <w:szCs w:val="20"/>
                <w:color w:val="auto"/>
              </w:rPr>
            </w:pPr>
            <w:r>
              <w:rPr>
                <w:rFonts w:ascii="Arial" w:cs="Arial" w:eastAsia="Arial" w:hAnsi="Arial"/>
                <w:sz w:val="16"/>
                <w:szCs w:val="16"/>
                <w:b w:val="1"/>
                <w:bCs w:val="1"/>
                <w:color w:val="auto"/>
                <w:w w:val="93"/>
              </w:rPr>
              <w:t>Three Months Ended March 31, 2021</w:t>
            </w:r>
          </w:p>
        </w:tc>
        <w:tc>
          <w:tcPr>
            <w:tcW w:w="1440" w:type="dxa"/>
            <w:vAlign w:val="bottom"/>
            <w:tcBorders>
              <w:bottom w:val="single" w:sz="8" w:color="auto"/>
            </w:tcBorders>
          </w:tcPr>
          <w:p>
            <w:pPr>
              <w:spacing w:after="0"/>
              <w:rPr>
                <w:sz w:val="24"/>
                <w:szCs w:val="24"/>
                <w:color w:val="auto"/>
              </w:rPr>
            </w:pPr>
          </w:p>
        </w:tc>
      </w:tr>
      <w:tr>
        <w:trPr>
          <w:trHeight w:val="210"/>
        </w:trPr>
        <w:tc>
          <w:tcPr>
            <w:tcW w:w="1920" w:type="dxa"/>
            <w:vAlign w:val="bottom"/>
            <w:gridSpan w:val="3"/>
          </w:tcPr>
          <w:p>
            <w:pPr>
              <w:ind w:left="80"/>
              <w:spacing w:after="0"/>
              <w:rPr>
                <w:sz w:val="20"/>
                <w:szCs w:val="20"/>
                <w:color w:val="auto"/>
              </w:rPr>
            </w:pPr>
            <w:r>
              <w:rPr>
                <w:rFonts w:ascii="Arial" w:cs="Arial" w:eastAsia="Arial" w:hAnsi="Arial"/>
                <w:sz w:val="16"/>
                <w:szCs w:val="16"/>
                <w:b w:val="1"/>
                <w:bCs w:val="1"/>
                <w:color w:val="auto"/>
              </w:rPr>
              <w:t>As Previously Reported</w:t>
            </w: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360" w:type="dxa"/>
            <w:vAlign w:val="bottom"/>
          </w:tcPr>
          <w:p>
            <w:pPr>
              <w:spacing w:after="0"/>
              <w:rPr>
                <w:sz w:val="18"/>
                <w:szCs w:val="18"/>
                <w:color w:val="auto"/>
              </w:rPr>
            </w:pPr>
          </w:p>
        </w:tc>
        <w:tc>
          <w:tcPr>
            <w:tcW w:w="1440" w:type="dxa"/>
            <w:vAlign w:val="bottom"/>
          </w:tcPr>
          <w:p>
            <w:pPr>
              <w:jc w:val="right"/>
              <w:ind w:right="352"/>
              <w:spacing w:after="0"/>
              <w:rPr>
                <w:sz w:val="20"/>
                <w:szCs w:val="20"/>
                <w:color w:val="auto"/>
              </w:rPr>
            </w:pPr>
            <w:r>
              <w:rPr>
                <w:rFonts w:ascii="Arial" w:cs="Arial" w:eastAsia="Arial" w:hAnsi="Arial"/>
                <w:sz w:val="16"/>
                <w:szCs w:val="16"/>
                <w:b w:val="1"/>
                <w:bCs w:val="1"/>
                <w:color w:val="auto"/>
                <w:w w:val="97"/>
              </w:rPr>
              <w:t>As Corrected</w:t>
            </w:r>
          </w:p>
        </w:tc>
      </w:tr>
      <w:tr>
        <w:trPr>
          <w:trHeight w:val="616"/>
        </w:trPr>
        <w:tc>
          <w:tcPr>
            <w:tcW w:w="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146,314</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41,569</w:t>
            </w: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187,883</w:t>
            </w:r>
          </w:p>
        </w:tc>
      </w:tr>
      <w:tr>
        <w:trPr>
          <w:trHeight w:val="225"/>
        </w:trPr>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(247,159)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(287,051)</w:t>
            </w:r>
          </w:p>
        </w:tc>
      </w:tr>
      <w:tr>
        <w:trPr>
          <w:trHeight w:val="234"/>
        </w:trPr>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2,404,021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1,677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2,405,698</w:t>
            </w:r>
          </w:p>
        </w:tc>
      </w:tr>
      <w:tr>
        <w:trPr>
          <w:trHeight w:val="577"/>
        </w:trPr>
        <w:tc>
          <w:tcPr>
            <w:tcW w:w="5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center"/>
              <w:ind w:left="791"/>
              <w:spacing w:after="0"/>
              <w:rPr>
                <w:sz w:val="20"/>
                <w:szCs w:val="20"/>
                <w:color w:val="auto"/>
              </w:rPr>
            </w:pPr>
            <w:r>
              <w:rPr>
                <w:rFonts w:ascii="Arial" w:cs="Arial" w:eastAsia="Arial" w:hAnsi="Arial"/>
                <w:sz w:val="16"/>
                <w:szCs w:val="16"/>
                <w:b w:val="1"/>
                <w:bCs w:val="1"/>
                <w:color w:val="auto"/>
                <w:w w:val="93"/>
              </w:rPr>
              <w:t>Nine Months Ended March 31, 2021</w:t>
            </w:r>
          </w:p>
        </w:tc>
        <w:tc>
          <w:tcPr>
            <w:tcW w:w="1440" w:type="dxa"/>
            <w:vAlign w:val="bottom"/>
            <w:tcBorders>
              <w:bottom w:val="single" w:sz="8" w:color="auto"/>
            </w:tcBorders>
          </w:tcPr>
          <w:p>
            <w:pPr>
              <w:spacing w:after="0"/>
              <w:rPr>
                <w:sz w:val="24"/>
                <w:szCs w:val="24"/>
                <w:color w:val="auto"/>
              </w:rPr>
            </w:pPr>
          </w:p>
        </w:tc>
      </w:tr>
      <w:tr>
        <w:trPr>
          <w:trHeight w:val="210"/>
        </w:trPr>
        <w:tc>
          <w:tcPr>
            <w:tcW w:w="1920" w:type="dxa"/>
            <w:vAlign w:val="bottom"/>
            <w:gridSpan w:val="3"/>
          </w:tcPr>
          <w:p>
            <w:pPr>
              <w:ind w:left="80"/>
              <w:spacing w:after="0"/>
              <w:rPr>
                <w:sz w:val="20"/>
                <w:szCs w:val="20"/>
                <w:color w:val="auto"/>
              </w:rPr>
            </w:pPr>
            <w:r>
              <w:rPr>
                <w:rFonts w:ascii="Arial" w:cs="Arial" w:eastAsia="Arial" w:hAnsi="Arial"/>
                <w:sz w:val="16"/>
                <w:szCs w:val="16"/>
                <w:b w:val="1"/>
                <w:bCs w:val="1"/>
                <w:color w:val="auto"/>
              </w:rPr>
              <w:t>As Previously Reported</w:t>
            </w: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360" w:type="dxa"/>
            <w:vAlign w:val="bottom"/>
          </w:tcPr>
          <w:p>
            <w:pPr>
              <w:spacing w:after="0"/>
              <w:rPr>
                <w:sz w:val="18"/>
                <w:szCs w:val="18"/>
                <w:color w:val="auto"/>
              </w:rPr>
            </w:pPr>
          </w:p>
        </w:tc>
        <w:tc>
          <w:tcPr>
            <w:tcW w:w="1440" w:type="dxa"/>
            <w:vAlign w:val="bottom"/>
          </w:tcPr>
          <w:p>
            <w:pPr>
              <w:jc w:val="right"/>
              <w:ind w:right="352"/>
              <w:spacing w:after="0"/>
              <w:rPr>
                <w:sz w:val="20"/>
                <w:szCs w:val="20"/>
                <w:color w:val="auto"/>
              </w:rPr>
            </w:pPr>
            <w:r>
              <w:rPr>
                <w:rFonts w:ascii="Arial" w:cs="Arial" w:eastAsia="Arial" w:hAnsi="Arial"/>
                <w:sz w:val="16"/>
                <w:szCs w:val="16"/>
                <w:b w:val="1"/>
                <w:bCs w:val="1"/>
                <w:color w:val="auto"/>
                <w:w w:val="97"/>
              </w:rPr>
              <w:t>As Corrected</w:t>
            </w:r>
          </w:p>
        </w:tc>
      </w:tr>
      <w:tr>
        <w:trPr>
          <w:trHeight w:val="671"/>
        </w:trPr>
        <w:tc>
          <w:tcPr>
            <w:tcW w:w="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(277,715)</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(39,892)</w:t>
            </w: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(317,607)</w:t>
            </w:r>
          </w:p>
        </w:tc>
      </w:tr>
      <w:tr>
        <w:trPr>
          <w:trHeight w:val="454"/>
        </w:trPr>
        <w:tc>
          <w:tcPr>
            <w:tcW w:w="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152,471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39,892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192,363</w:t>
            </w:r>
          </w:p>
        </w:tc>
      </w:tr>
      <w:tr>
        <w:trPr>
          <w:trHeight w:val="234"/>
        </w:trPr>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(173,217)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(173,217)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-4362450</wp:posOffset>
            </wp:positionV>
            <wp:extent cx="713232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-4071620</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-3779520</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-3488055</wp:posOffset>
            </wp:positionV>
            <wp:extent cx="713232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-3196590</wp:posOffset>
            </wp:positionV>
            <wp:extent cx="7132320" cy="257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-2794000</wp:posOffset>
            </wp:positionV>
            <wp:extent cx="71323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-2082800</wp:posOffset>
            </wp:positionV>
            <wp:extent cx="7132320" cy="2571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-1679575</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-873760</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-582295</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-290830</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120"/>
            <w:col w:w="562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60" w:type="dxa"/>
        <w:tblCellMar>
          <w:top w:w="0" w:type="dxa"/>
          <w:left w:w="0" w:type="dxa"/>
          <w:bottom w:w="0" w:type="dxa"/>
          <w:right w:w="0" w:type="dxa"/>
        </w:tblCellMar>
      </w:tblPr>
      <w:tr>
        <w:trPr>
          <w:trHeight w:val="162"/>
        </w:trPr>
        <w:tc>
          <w:tcPr>
            <w:tcW w:w="800" w:type="dxa"/>
            <w:vAlign w:val="bottom"/>
          </w:tcPr>
          <w:p>
            <w:pPr>
              <w:jc w:val="center"/>
              <w:ind w:right="188"/>
              <w:spacing w:after="0"/>
              <w:rPr>
                <w:sz w:val="20"/>
                <w:szCs w:val="20"/>
                <w:color w:val="auto"/>
              </w:rPr>
            </w:pPr>
            <w:r>
              <w:rPr>
                <w:rFonts w:ascii="Arial" w:cs="Arial" w:eastAsia="Arial" w:hAnsi="Arial"/>
                <w:sz w:val="14"/>
                <w:szCs w:val="14"/>
                <w:b w:val="1"/>
                <w:bCs w:val="1"/>
                <w:color w:val="auto"/>
                <w:w w:val="98"/>
              </w:rPr>
              <w:t>Exhibit</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800" w:type="dxa"/>
            <w:vAlign w:val="bottom"/>
          </w:tcPr>
          <w:p>
            <w:pPr>
              <w:jc w:val="center"/>
              <w:ind w:right="188"/>
              <w:spacing w:after="0"/>
              <w:rPr>
                <w:sz w:val="20"/>
                <w:szCs w:val="20"/>
                <w:color w:val="auto"/>
              </w:rPr>
            </w:pPr>
            <w:r>
              <w:rPr>
                <w:rFonts w:ascii="Arial" w:cs="Arial" w:eastAsia="Arial" w:hAnsi="Arial"/>
                <w:sz w:val="14"/>
                <w:szCs w:val="14"/>
                <w:b w:val="1"/>
                <w:bCs w:val="1"/>
                <w:color w:val="auto"/>
                <w:w w:val="94"/>
              </w:rPr>
              <w:t>Number</w:t>
            </w: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8"/>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188"/>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2"/>
              </w:rPr>
              <w:t>3.1</w:t>
            </w:r>
          </w:p>
        </w:tc>
        <w:tc>
          <w:tcPr>
            <w:tcW w:w="4600" w:type="dxa"/>
            <w:vAlign w:val="bottom"/>
            <w:gridSpan w:val="10"/>
          </w:tcPr>
          <w:p>
            <w:pPr>
              <w:spacing w:after="0"/>
              <w:rPr>
                <w:rFonts w:ascii="Arial" w:cs="Arial" w:eastAsia="Arial" w:hAnsi="Arial"/>
                <w:sz w:val="14"/>
                <w:szCs w:val="14"/>
                <w:color w:val="0000FF"/>
              </w:rPr>
            </w:pPr>
            <w:hyperlink r:id="rId148">
              <w:r>
                <w:rPr>
                  <w:rFonts w:ascii="Arial" w:cs="Arial" w:eastAsia="Arial" w:hAnsi="Arial"/>
                  <w:sz w:val="14"/>
                  <w:szCs w:val="14"/>
                  <w:color w:val="0000FF"/>
                </w:rPr>
                <w:t>Amended and Restated Certificate of Incorporation</w:t>
              </w:r>
            </w:hyperlink>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2"/>
              </w:rPr>
              <w:t>3.2</w:t>
            </w:r>
          </w:p>
        </w:tc>
        <w:tc>
          <w:tcPr>
            <w:tcW w:w="180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91"/>
              </w:rPr>
            </w:pPr>
            <w:hyperlink r:id="rId149">
              <w:r>
                <w:rPr>
                  <w:rFonts w:ascii="Arial" w:cs="Arial" w:eastAsia="Arial" w:hAnsi="Arial"/>
                  <w:sz w:val="14"/>
                  <w:szCs w:val="14"/>
                  <w:color w:val="0000FF"/>
                  <w:w w:val="91"/>
                </w:rPr>
                <w:t>Amended and Restated Bylaws</w:t>
              </w:r>
            </w:hyperlink>
          </w:p>
        </w:tc>
        <w:tc>
          <w:tcPr>
            <w:tcW w:w="1140" w:type="dxa"/>
            <w:vAlign w:val="bottom"/>
            <w:tcBorders>
              <w:top w:val="single" w:sz="8" w:color="0000FF"/>
            </w:tcBorders>
          </w:tcPr>
          <w:p>
            <w:pPr>
              <w:spacing w:after="0"/>
              <w:rPr>
                <w:sz w:val="17"/>
                <w:szCs w:val="17"/>
                <w:color w:val="auto"/>
              </w:rPr>
            </w:pPr>
          </w:p>
        </w:tc>
        <w:tc>
          <w:tcPr>
            <w:tcW w:w="1660" w:type="dxa"/>
            <w:vAlign w:val="bottom"/>
            <w:gridSpan w:val="7"/>
          </w:tcPr>
          <w:p>
            <w:pPr>
              <w:spacing w:after="0"/>
              <w:rPr>
                <w:sz w:val="17"/>
                <w:szCs w:val="17"/>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31.1</w:t>
            </w:r>
          </w:p>
        </w:tc>
        <w:tc>
          <w:tcPr>
            <w:tcW w:w="4600" w:type="dxa"/>
            <w:vAlign w:val="bottom"/>
            <w:gridSpan w:val="10"/>
          </w:tcPr>
          <w:p>
            <w:pPr>
              <w:spacing w:after="0"/>
              <w:rPr>
                <w:rFonts w:ascii="Arial" w:cs="Arial" w:eastAsia="Arial" w:hAnsi="Arial"/>
                <w:sz w:val="14"/>
                <w:szCs w:val="14"/>
                <w:color w:val="0000FF"/>
                <w:w w:val="98"/>
              </w:rPr>
            </w:pPr>
            <w:hyperlink w:anchor="page85">
              <w:r>
                <w:rPr>
                  <w:rFonts w:ascii="Arial" w:cs="Arial" w:eastAsia="Arial" w:hAnsi="Arial"/>
                  <w:sz w:val="14"/>
                  <w:szCs w:val="14"/>
                  <w:color w:val="0000FF"/>
                  <w:w w:val="98"/>
                </w:rPr>
                <w:t>Certification of Principal Executive Officer Pursuant to Rules 13a-14(a) and</w:t>
              </w:r>
            </w:hyperlink>
          </w:p>
        </w:tc>
      </w:tr>
      <w:tr>
        <w:trPr>
          <w:trHeight w:val="20"/>
        </w:trPr>
        <w:tc>
          <w:tcPr>
            <w:tcW w:w="80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4600" w:type="dxa"/>
            <w:vAlign w:val="bottom"/>
            <w:gridSpan w:val="10"/>
          </w:tcPr>
          <w:p>
            <w:pPr>
              <w:spacing w:after="0" w:line="142" w:lineRule="exact"/>
              <w:rPr>
                <w:rFonts w:ascii="Arial" w:cs="Arial" w:eastAsia="Arial" w:hAnsi="Arial"/>
                <w:sz w:val="14"/>
                <w:szCs w:val="14"/>
                <w:color w:val="0000FF"/>
                <w:w w:val="94"/>
              </w:rPr>
            </w:pPr>
            <w:hyperlink w:anchor="page85">
              <w:r>
                <w:rPr>
                  <w:rFonts w:ascii="Arial" w:cs="Arial" w:eastAsia="Arial" w:hAnsi="Arial"/>
                  <w:sz w:val="14"/>
                  <w:szCs w:val="14"/>
                  <w:color w:val="0000FF"/>
                  <w:w w:val="94"/>
                </w:rPr>
                <w:t>15d-14(a) under the Exchange Act, as Adopted Pursuant to Section 302 of the</w:t>
              </w:r>
            </w:hyperlink>
          </w:p>
        </w:tc>
      </w:tr>
      <w:tr>
        <w:trPr>
          <w:trHeight w:val="142"/>
        </w:trPr>
        <w:tc>
          <w:tcPr>
            <w:tcW w:w="800" w:type="dxa"/>
            <w:vAlign w:val="bottom"/>
          </w:tcPr>
          <w:p>
            <w:pPr>
              <w:spacing w:after="0"/>
              <w:rPr>
                <w:sz w:val="12"/>
                <w:szCs w:val="12"/>
                <w:color w:val="auto"/>
              </w:rPr>
            </w:pPr>
          </w:p>
        </w:tc>
        <w:tc>
          <w:tcPr>
            <w:tcW w:w="164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2"/>
              </w:rPr>
            </w:pPr>
            <w:hyperlink w:anchor="page85">
              <w:r>
                <w:rPr>
                  <w:rFonts w:ascii="Arial" w:cs="Arial" w:eastAsia="Arial" w:hAnsi="Arial"/>
                  <w:sz w:val="14"/>
                  <w:szCs w:val="14"/>
                  <w:color w:val="0000FF"/>
                  <w:w w:val="92"/>
                </w:rPr>
                <w:t>Sarbanes-Oxley Act of 2002</w:t>
              </w:r>
            </w:hyperlink>
          </w:p>
        </w:tc>
        <w:tc>
          <w:tcPr>
            <w:tcW w:w="2840" w:type="dxa"/>
            <w:vAlign w:val="bottom"/>
            <w:tcBorders>
              <w:top w:val="single" w:sz="8" w:color="0000FF"/>
            </w:tcBorders>
            <w:gridSpan w:val="7"/>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31.2</w:t>
            </w:r>
          </w:p>
        </w:tc>
        <w:tc>
          <w:tcPr>
            <w:tcW w:w="4600" w:type="dxa"/>
            <w:vAlign w:val="bottom"/>
            <w:gridSpan w:val="10"/>
          </w:tcPr>
          <w:p>
            <w:pPr>
              <w:spacing w:after="0"/>
              <w:rPr>
                <w:rFonts w:ascii="Arial" w:cs="Arial" w:eastAsia="Arial" w:hAnsi="Arial"/>
                <w:sz w:val="14"/>
                <w:szCs w:val="14"/>
                <w:color w:val="0000FF"/>
                <w:w w:val="99"/>
              </w:rPr>
            </w:pPr>
            <w:hyperlink w:anchor="page86">
              <w:r>
                <w:rPr>
                  <w:rFonts w:ascii="Arial" w:cs="Arial" w:eastAsia="Arial" w:hAnsi="Arial"/>
                  <w:sz w:val="14"/>
                  <w:szCs w:val="14"/>
                  <w:color w:val="0000FF"/>
                  <w:w w:val="99"/>
                </w:rPr>
                <w:t>Certification of Principal Financial Officer Pursuant to Rules 13a-14(a) and</w:t>
              </w:r>
            </w:hyperlink>
          </w:p>
        </w:tc>
      </w:tr>
      <w:tr>
        <w:trPr>
          <w:trHeight w:val="142"/>
        </w:trPr>
        <w:tc>
          <w:tcPr>
            <w:tcW w:w="800" w:type="dxa"/>
            <w:vAlign w:val="bottom"/>
          </w:tcPr>
          <w:p>
            <w:pPr>
              <w:spacing w:after="0"/>
              <w:rPr>
                <w:sz w:val="12"/>
                <w:szCs w:val="12"/>
                <w:color w:val="auto"/>
              </w:rPr>
            </w:pPr>
          </w:p>
        </w:tc>
        <w:tc>
          <w:tcPr>
            <w:tcW w:w="4380" w:type="dxa"/>
            <w:vAlign w:val="bottom"/>
            <w:tcBorders>
              <w:top w:val="single" w:sz="8" w:color="0000FF"/>
            </w:tcBorders>
            <w:gridSpan w:val="6"/>
          </w:tcPr>
          <w:p>
            <w:pPr>
              <w:spacing w:after="0" w:line="142" w:lineRule="exact"/>
              <w:rPr>
                <w:rFonts w:ascii="Arial" w:cs="Arial" w:eastAsia="Arial" w:hAnsi="Arial"/>
                <w:sz w:val="14"/>
                <w:szCs w:val="14"/>
                <w:color w:val="0000FF"/>
                <w:w w:val="94"/>
              </w:rPr>
            </w:pPr>
            <w:hyperlink w:anchor="page86">
              <w:r>
                <w:rPr>
                  <w:rFonts w:ascii="Arial" w:cs="Arial" w:eastAsia="Arial" w:hAnsi="Arial"/>
                  <w:sz w:val="14"/>
                  <w:szCs w:val="14"/>
                  <w:color w:val="0000FF"/>
                  <w:w w:val="94"/>
                </w:rPr>
                <w:t>15d-14(a) under the Exchange Act, as Adopted Pursuant to Section 302 of</w:t>
              </w:r>
            </w:hyperlink>
          </w:p>
        </w:tc>
        <w:tc>
          <w:tcPr>
            <w:tcW w:w="220" w:type="dxa"/>
            <w:vAlign w:val="bottom"/>
            <w:gridSpan w:val="4"/>
          </w:tcPr>
          <w:p>
            <w:pPr>
              <w:spacing w:after="0" w:line="142" w:lineRule="exact"/>
              <w:rPr>
                <w:rFonts w:ascii="Arial" w:cs="Arial" w:eastAsia="Arial" w:hAnsi="Arial"/>
                <w:sz w:val="14"/>
                <w:szCs w:val="14"/>
                <w:color w:val="0000FF"/>
              </w:rPr>
            </w:pPr>
            <w:hyperlink w:anchor="page86">
              <w:r>
                <w:rPr>
                  <w:rFonts w:ascii="Arial" w:cs="Arial" w:eastAsia="Arial" w:hAnsi="Arial"/>
                  <w:sz w:val="14"/>
                  <w:szCs w:val="14"/>
                  <w:color w:val="0000FF"/>
                </w:rPr>
                <w:t>the</w:t>
              </w:r>
            </w:hyperlink>
          </w:p>
        </w:tc>
      </w:tr>
      <w:tr>
        <w:trPr>
          <w:trHeight w:val="142"/>
        </w:trPr>
        <w:tc>
          <w:tcPr>
            <w:tcW w:w="800" w:type="dxa"/>
            <w:vAlign w:val="bottom"/>
          </w:tcPr>
          <w:p>
            <w:pPr>
              <w:spacing w:after="0"/>
              <w:rPr>
                <w:sz w:val="12"/>
                <w:szCs w:val="12"/>
                <w:color w:val="auto"/>
              </w:rPr>
            </w:pPr>
          </w:p>
        </w:tc>
        <w:tc>
          <w:tcPr>
            <w:tcW w:w="164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2"/>
              </w:rPr>
            </w:pPr>
            <w:hyperlink w:anchor="page86">
              <w:r>
                <w:rPr>
                  <w:rFonts w:ascii="Arial" w:cs="Arial" w:eastAsia="Arial" w:hAnsi="Arial"/>
                  <w:sz w:val="14"/>
                  <w:szCs w:val="14"/>
                  <w:color w:val="0000FF"/>
                  <w:w w:val="92"/>
                </w:rPr>
                <w:t>Sarbanes-Oxley Act of 2002</w:t>
              </w:r>
            </w:hyperlink>
          </w:p>
        </w:tc>
        <w:tc>
          <w:tcPr>
            <w:tcW w:w="2840" w:type="dxa"/>
            <w:vAlign w:val="bottom"/>
            <w:tcBorders>
              <w:top w:val="single" w:sz="8" w:color="0000FF"/>
            </w:tcBorders>
            <w:gridSpan w:val="7"/>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32.1</w:t>
            </w:r>
          </w:p>
        </w:tc>
        <w:tc>
          <w:tcPr>
            <w:tcW w:w="4260" w:type="dxa"/>
            <w:vAlign w:val="bottom"/>
            <w:tcBorders>
              <w:bottom w:val="single" w:sz="8" w:color="0000FF"/>
            </w:tcBorders>
            <w:gridSpan w:val="5"/>
          </w:tcPr>
          <w:p>
            <w:pPr>
              <w:spacing w:after="0"/>
              <w:rPr>
                <w:rFonts w:ascii="Arial" w:cs="Arial" w:eastAsia="Arial" w:hAnsi="Arial"/>
                <w:sz w:val="14"/>
                <w:szCs w:val="14"/>
                <w:color w:val="0000FF"/>
                <w:w w:val="94"/>
              </w:rPr>
            </w:pPr>
            <w:hyperlink w:anchor="page87">
              <w:r>
                <w:rPr>
                  <w:rFonts w:ascii="Arial" w:cs="Arial" w:eastAsia="Arial" w:hAnsi="Arial"/>
                  <w:sz w:val="14"/>
                  <w:szCs w:val="14"/>
                  <w:color w:val="0000FF"/>
                  <w:w w:val="94"/>
                </w:rPr>
                <w:t>Certification of Principal Executive Officer Pursuant to 18 U.S.C. Section</w:t>
              </w:r>
            </w:hyperlink>
          </w:p>
        </w:tc>
        <w:tc>
          <w:tcPr>
            <w:tcW w:w="340" w:type="dxa"/>
            <w:vAlign w:val="bottom"/>
            <w:gridSpan w:val="5"/>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600" w:type="dxa"/>
            <w:vAlign w:val="bottom"/>
            <w:gridSpan w:val="10"/>
          </w:tcPr>
          <w:p>
            <w:pPr>
              <w:spacing w:after="0" w:line="142" w:lineRule="exact"/>
              <w:rPr>
                <w:rFonts w:ascii="Arial" w:cs="Arial" w:eastAsia="Arial" w:hAnsi="Arial"/>
                <w:sz w:val="14"/>
                <w:szCs w:val="14"/>
                <w:color w:val="0000FF"/>
                <w:w w:val="95"/>
              </w:rPr>
            </w:pPr>
            <w:hyperlink w:anchor="page87">
              <w:r>
                <w:rPr>
                  <w:rFonts w:ascii="Arial" w:cs="Arial" w:eastAsia="Arial" w:hAnsi="Arial"/>
                  <w:sz w:val="14"/>
                  <w:szCs w:val="14"/>
                  <w:color w:val="0000FF"/>
                  <w:w w:val="95"/>
                </w:rPr>
                <w:t>1350, 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32.2</w:t>
            </w:r>
          </w:p>
        </w:tc>
        <w:tc>
          <w:tcPr>
            <w:tcW w:w="4600" w:type="dxa"/>
            <w:vAlign w:val="bottom"/>
            <w:gridSpan w:val="10"/>
          </w:tcPr>
          <w:p>
            <w:pPr>
              <w:spacing w:after="0"/>
              <w:rPr>
                <w:rFonts w:ascii="Arial" w:cs="Arial" w:eastAsia="Arial" w:hAnsi="Arial"/>
                <w:sz w:val="14"/>
                <w:szCs w:val="14"/>
                <w:color w:val="0000FF"/>
                <w:w w:val="95"/>
              </w:rPr>
            </w:pPr>
            <w:hyperlink w:anchor="page88">
              <w:r>
                <w:rPr>
                  <w:rFonts w:ascii="Arial" w:cs="Arial" w:eastAsia="Arial" w:hAnsi="Arial"/>
                  <w:sz w:val="14"/>
                  <w:szCs w:val="14"/>
                  <w:color w:val="0000FF"/>
                  <w:w w:val="95"/>
                </w:rPr>
                <w:t>Certification of Principal Financial Officer Pursuant to 18 U.S.C. Section 1350,</w:t>
              </w:r>
            </w:hyperlink>
          </w:p>
        </w:tc>
      </w:tr>
      <w:tr>
        <w:trPr>
          <w:trHeight w:val="142"/>
        </w:trPr>
        <w:tc>
          <w:tcPr>
            <w:tcW w:w="800" w:type="dxa"/>
            <w:vAlign w:val="bottom"/>
          </w:tcPr>
          <w:p>
            <w:pPr>
              <w:spacing w:after="0"/>
              <w:rPr>
                <w:sz w:val="12"/>
                <w:szCs w:val="12"/>
                <w:color w:val="auto"/>
              </w:rPr>
            </w:pPr>
          </w:p>
        </w:tc>
        <w:tc>
          <w:tcPr>
            <w:tcW w:w="4580" w:type="dxa"/>
            <w:vAlign w:val="bottom"/>
            <w:tcBorders>
              <w:top w:val="single" w:sz="8" w:color="0000FF"/>
            </w:tcBorders>
            <w:gridSpan w:val="9"/>
          </w:tcPr>
          <w:p>
            <w:pPr>
              <w:spacing w:after="0" w:line="142" w:lineRule="exact"/>
              <w:rPr>
                <w:rFonts w:ascii="Arial" w:cs="Arial" w:eastAsia="Arial" w:hAnsi="Arial"/>
                <w:sz w:val="14"/>
                <w:szCs w:val="14"/>
                <w:color w:val="0000FF"/>
              </w:rPr>
            </w:pPr>
            <w:hyperlink w:anchor="page88">
              <w:r>
                <w:rPr>
                  <w:rFonts w:ascii="Arial" w:cs="Arial" w:eastAsia="Arial" w:hAnsi="Arial"/>
                  <w:sz w:val="14"/>
                  <w:szCs w:val="14"/>
                  <w:color w:val="0000FF"/>
                </w:rPr>
                <w:t>as Adopted Pursuant to Section 906 of the Sarbanes-Oxley Act of 2002</w:t>
              </w:r>
            </w:hyperlink>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r>
      <w:tr>
        <w:trPr>
          <w:trHeight w:val="204"/>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4"/>
              </w:rPr>
              <w:t>101.INS</w:t>
            </w:r>
          </w:p>
        </w:tc>
        <w:tc>
          <w:tcPr>
            <w:tcW w:w="4600" w:type="dxa"/>
            <w:vAlign w:val="bottom"/>
            <w:gridSpan w:val="10"/>
          </w:tcPr>
          <w:p>
            <w:pPr>
              <w:spacing w:after="0"/>
              <w:rPr>
                <w:sz w:val="20"/>
                <w:szCs w:val="20"/>
                <w:color w:val="auto"/>
              </w:rPr>
            </w:pPr>
            <w:r>
              <w:rPr>
                <w:rFonts w:ascii="Arial" w:cs="Arial" w:eastAsia="Arial" w:hAnsi="Arial"/>
                <w:sz w:val="14"/>
                <w:szCs w:val="14"/>
                <w:color w:val="auto"/>
                <w:w w:val="99"/>
              </w:rPr>
              <w:t>XBRL Instance Document – the instance document does not appear in the</w:t>
            </w:r>
          </w:p>
        </w:tc>
      </w:tr>
      <w:tr>
        <w:trPr>
          <w:trHeight w:val="162"/>
        </w:trPr>
        <w:tc>
          <w:tcPr>
            <w:tcW w:w="800" w:type="dxa"/>
            <w:vAlign w:val="bottom"/>
          </w:tcPr>
          <w:p>
            <w:pPr>
              <w:spacing w:after="0"/>
              <w:rPr>
                <w:sz w:val="14"/>
                <w:szCs w:val="14"/>
                <w:color w:val="auto"/>
              </w:rPr>
            </w:pPr>
          </w:p>
        </w:tc>
        <w:tc>
          <w:tcPr>
            <w:tcW w:w="4600" w:type="dxa"/>
            <w:vAlign w:val="bottom"/>
            <w:gridSpan w:val="10"/>
          </w:tcPr>
          <w:p>
            <w:pPr>
              <w:spacing w:after="0"/>
              <w:rPr>
                <w:sz w:val="20"/>
                <w:szCs w:val="20"/>
                <w:color w:val="auto"/>
              </w:rPr>
            </w:pPr>
            <w:r>
              <w:rPr>
                <w:rFonts w:ascii="Arial" w:cs="Arial" w:eastAsia="Arial" w:hAnsi="Arial"/>
                <w:sz w:val="14"/>
                <w:szCs w:val="14"/>
                <w:color w:val="auto"/>
                <w:w w:val="98"/>
              </w:rPr>
              <w:t>Interactive Data File because its XBRL tags are embedded within the Inline</w:t>
            </w:r>
          </w:p>
        </w:tc>
      </w:tr>
      <w:tr>
        <w:trPr>
          <w:trHeight w:val="182"/>
        </w:trPr>
        <w:tc>
          <w:tcPr>
            <w:tcW w:w="800" w:type="dxa"/>
            <w:vAlign w:val="bottom"/>
          </w:tcPr>
          <w:p>
            <w:pPr>
              <w:spacing w:after="0"/>
              <w:rPr>
                <w:sz w:val="15"/>
                <w:szCs w:val="15"/>
                <w:color w:val="auto"/>
              </w:rPr>
            </w:pPr>
          </w:p>
        </w:tc>
        <w:tc>
          <w:tcPr>
            <w:tcW w:w="4600" w:type="dxa"/>
            <w:vAlign w:val="bottom"/>
            <w:gridSpan w:val="10"/>
          </w:tcPr>
          <w:p>
            <w:pPr>
              <w:spacing w:after="0"/>
              <w:rPr>
                <w:sz w:val="20"/>
                <w:szCs w:val="20"/>
                <w:color w:val="auto"/>
              </w:rPr>
            </w:pPr>
            <w:r>
              <w:rPr>
                <w:rFonts w:ascii="Arial" w:cs="Arial" w:eastAsia="Arial" w:hAnsi="Arial"/>
                <w:sz w:val="14"/>
                <w:szCs w:val="14"/>
                <w:color w:val="auto"/>
              </w:rPr>
              <w:t>XBRL document</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4"/>
              </w:rPr>
              <w:t>101.SCH</w:t>
            </w:r>
          </w:p>
        </w:tc>
        <w:tc>
          <w:tcPr>
            <w:tcW w:w="460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9"/>
              </w:rPr>
              <w:t>101.CAL</w:t>
            </w:r>
          </w:p>
        </w:tc>
        <w:tc>
          <w:tcPr>
            <w:tcW w:w="4600" w:type="dxa"/>
            <w:vAlign w:val="bottom"/>
            <w:gridSpan w:val="10"/>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1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4"/>
              </w:rPr>
              <w:t>101.DEF</w:t>
            </w:r>
          </w:p>
        </w:tc>
        <w:tc>
          <w:tcPr>
            <w:tcW w:w="4600" w:type="dxa"/>
            <w:vAlign w:val="bottom"/>
            <w:gridSpan w:val="10"/>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rPr>
              <w:t>101.LAB</w:t>
            </w:r>
          </w:p>
        </w:tc>
        <w:tc>
          <w:tcPr>
            <w:tcW w:w="4600" w:type="dxa"/>
            <w:vAlign w:val="bottom"/>
            <w:gridSpan w:val="10"/>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1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2"/>
              </w:rPr>
              <w:t>101.PRE</w:t>
            </w:r>
          </w:p>
        </w:tc>
        <w:tc>
          <w:tcPr>
            <w:tcW w:w="4600" w:type="dxa"/>
            <w:vAlign w:val="bottom"/>
            <w:gridSpan w:val="10"/>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34" w:lineRule="exact"/>
        <w:rPr>
          <w:sz w:val="20"/>
          <w:szCs w:val="20"/>
          <w:color w:val="auto"/>
        </w:rPr>
      </w:pPr>
    </w:p>
    <w:p>
      <w:pPr>
        <w:ind w:left="960" w:right="120" w:hanging="642"/>
        <w:spacing w:after="0" w:line="273" w:lineRule="auto"/>
        <w:tabs>
          <w:tab w:leader="none" w:pos="9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Incorporated by Reference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6"/>
        </w:trPr>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20" w:type="dxa"/>
            <w:vAlign w:val="bottom"/>
            <w:gridSpan w:val="2"/>
          </w:tcPr>
          <w:p>
            <w:pPr>
              <w:jc w:val="center"/>
              <w:ind w:left="268"/>
              <w:spacing w:after="0" w:line="147" w:lineRule="exact"/>
              <w:rPr>
                <w:sz w:val="20"/>
                <w:szCs w:val="20"/>
                <w:color w:val="auto"/>
              </w:rPr>
            </w:pPr>
            <w:r>
              <w:rPr>
                <w:rFonts w:ascii="Arial" w:cs="Arial" w:eastAsia="Arial" w:hAnsi="Arial"/>
                <w:sz w:val="14"/>
                <w:szCs w:val="14"/>
                <w:b w:val="1"/>
                <w:bCs w:val="1"/>
                <w:color w:val="auto"/>
                <w:w w:val="91"/>
              </w:rPr>
              <w:t>Filed</w:t>
            </w:r>
          </w:p>
        </w:tc>
      </w:tr>
      <w:tr>
        <w:trPr>
          <w:trHeight w:val="186"/>
        </w:trPr>
        <w:tc>
          <w:tcPr>
            <w:tcW w:w="7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Form</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Filing Date</w:t>
            </w:r>
          </w:p>
        </w:tc>
        <w:tc>
          <w:tcPr>
            <w:tcW w:w="92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auto"/>
                <w:w w:val="98"/>
              </w:rPr>
              <w:t>Herewith</w:t>
            </w:r>
          </w:p>
        </w:tc>
      </w:tr>
      <w:tr>
        <w:trPr>
          <w:trHeight w:val="229"/>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40" w:type="dxa"/>
            <w:vAlign w:val="bottom"/>
          </w:tcPr>
          <w:p>
            <w:pPr>
              <w:jc w:val="center"/>
              <w:ind w:left="8"/>
              <w:spacing w:after="0"/>
              <w:rPr>
                <w:sz w:val="20"/>
                <w:szCs w:val="20"/>
                <w:color w:val="auto"/>
              </w:rPr>
            </w:pPr>
            <w:r>
              <w:rPr>
                <w:rFonts w:ascii="Arial" w:cs="Arial" w:eastAsia="Arial" w:hAnsi="Arial"/>
                <w:sz w:val="14"/>
                <w:szCs w:val="14"/>
                <w:color w:val="auto"/>
                <w:w w:val="92"/>
              </w:rPr>
              <w:t>3.1</w:t>
            </w:r>
          </w:p>
        </w:tc>
        <w:tc>
          <w:tcPr>
            <w:tcW w:w="1620" w:type="dxa"/>
            <w:vAlign w:val="bottom"/>
          </w:tcPr>
          <w:p>
            <w:pPr>
              <w:jc w:val="center"/>
              <w:ind w:right="48"/>
              <w:spacing w:after="0"/>
              <w:rPr>
                <w:sz w:val="20"/>
                <w:szCs w:val="20"/>
                <w:color w:val="auto"/>
              </w:rPr>
            </w:pPr>
            <w:r>
              <w:rPr>
                <w:rFonts w:ascii="Arial" w:cs="Arial" w:eastAsia="Arial" w:hAnsi="Arial"/>
                <w:sz w:val="14"/>
                <w:szCs w:val="14"/>
                <w:color w:val="auto"/>
                <w:w w:val="90"/>
              </w:rPr>
              <w:t>January 15, 2021</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89"/>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40" w:type="dxa"/>
            <w:vAlign w:val="bottom"/>
          </w:tcPr>
          <w:p>
            <w:pPr>
              <w:jc w:val="center"/>
              <w:ind w:left="8"/>
              <w:spacing w:after="0"/>
              <w:rPr>
                <w:sz w:val="20"/>
                <w:szCs w:val="20"/>
                <w:color w:val="auto"/>
              </w:rPr>
            </w:pPr>
            <w:r>
              <w:rPr>
                <w:rFonts w:ascii="Arial" w:cs="Arial" w:eastAsia="Arial" w:hAnsi="Arial"/>
                <w:sz w:val="14"/>
                <w:szCs w:val="14"/>
                <w:color w:val="auto"/>
                <w:w w:val="92"/>
              </w:rPr>
              <w:t>3.2</w:t>
            </w:r>
          </w:p>
        </w:tc>
        <w:tc>
          <w:tcPr>
            <w:tcW w:w="1620" w:type="dxa"/>
            <w:vAlign w:val="bottom"/>
          </w:tcPr>
          <w:p>
            <w:pPr>
              <w:jc w:val="center"/>
              <w:ind w:right="28"/>
              <w:spacing w:after="0"/>
              <w:rPr>
                <w:sz w:val="20"/>
                <w:szCs w:val="20"/>
                <w:color w:val="auto"/>
              </w:rPr>
            </w:pPr>
            <w:r>
              <w:rPr>
                <w:rFonts w:ascii="Arial" w:cs="Arial" w:eastAsia="Arial" w:hAnsi="Arial"/>
                <w:sz w:val="14"/>
                <w:szCs w:val="14"/>
                <w:color w:val="auto"/>
                <w:w w:val="90"/>
              </w:rPr>
              <w:t>September 8, 2021</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r>
    </w:tbl>
    <w:p>
      <w:pPr>
        <w:spacing w:after="0" w:line="47"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3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3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37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auto"/>
        </w:rPr>
        <w:t>X</w:t>
      </w:r>
    </w:p>
    <w:p>
      <w:pPr>
        <w:spacing w:after="0" w:line="405" w:lineRule="exact"/>
        <w:rPr>
          <w:sz w:val="20"/>
          <w:szCs w:val="20"/>
          <w:color w:val="auto"/>
        </w:rPr>
      </w:pPr>
    </w:p>
    <w:p>
      <w:pPr>
        <w:sectPr>
          <w:pgSz w:w="11900" w:h="16838" w:orient="portrait"/>
          <w:cols w:equalWidth="0" w:num="2">
            <w:col w:w="5540" w:space="140"/>
            <w:col w:w="5380"/>
          </w:cols>
          <w:pgMar w:left="320" w:top="1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2"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260" w:type="dxa"/>
            <w:vAlign w:val="bottom"/>
            <w:gridSpan w:val="2"/>
          </w:tcPr>
          <w:p>
            <w:pPr>
              <w:ind w:left="1260"/>
              <w:spacing w:after="0"/>
              <w:rPr>
                <w:sz w:val="20"/>
                <w:szCs w:val="20"/>
                <w:color w:val="auto"/>
              </w:rPr>
            </w:pPr>
            <w:r>
              <w:rPr>
                <w:rFonts w:ascii="Arial" w:cs="Arial" w:eastAsia="Arial" w:hAnsi="Arial"/>
                <w:sz w:val="18"/>
                <w:szCs w:val="18"/>
                <w:b w:val="1"/>
                <w:bCs w:val="1"/>
                <w:color w:val="auto"/>
              </w:rPr>
              <w:t>AFFIRM HOLDINGS, INC.</w:t>
            </w:r>
          </w:p>
        </w:tc>
      </w:tr>
      <w:tr>
        <w:trPr>
          <w:trHeight w:val="540"/>
        </w:trPr>
        <w:tc>
          <w:tcPr>
            <w:tcW w:w="3140" w:type="dxa"/>
            <w:vAlign w:val="bottom"/>
          </w:tcPr>
          <w:p>
            <w:pPr>
              <w:spacing w:after="0"/>
              <w:rPr>
                <w:sz w:val="20"/>
                <w:szCs w:val="20"/>
                <w:color w:val="auto"/>
              </w:rPr>
            </w:pPr>
            <w:r>
              <w:rPr>
                <w:rFonts w:ascii="Arial" w:cs="Arial" w:eastAsia="Arial" w:hAnsi="Arial"/>
                <w:sz w:val="18"/>
                <w:szCs w:val="18"/>
                <w:color w:val="auto"/>
              </w:rPr>
              <w:t>Date: November 15, 2021</w:t>
            </w:r>
          </w:p>
        </w:tc>
        <w:tc>
          <w:tcPr>
            <w:tcW w:w="1860" w:type="dxa"/>
            <w:vAlign w:val="bottom"/>
          </w:tcPr>
          <w:p>
            <w:pPr>
              <w:ind w:left="126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Max Levchin</w:t>
            </w:r>
          </w:p>
        </w:tc>
      </w:tr>
      <w:tr>
        <w:trPr>
          <w:trHeight w:val="250"/>
        </w:trPr>
        <w:tc>
          <w:tcPr>
            <w:tcW w:w="3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Max Levchin</w:t>
            </w:r>
          </w:p>
        </w:tc>
      </w:tr>
      <w:tr>
        <w:trPr>
          <w:trHeight w:val="270"/>
        </w:trPr>
        <w:tc>
          <w:tcPr>
            <w:tcW w:w="3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3140" w:type="dxa"/>
            <w:vAlign w:val="bottom"/>
          </w:tcPr>
          <w:p>
            <w:pPr>
              <w:spacing w:after="0"/>
              <w:rPr>
                <w:sz w:val="24"/>
                <w:szCs w:val="24"/>
                <w:color w:val="auto"/>
              </w:rPr>
            </w:pPr>
          </w:p>
        </w:tc>
        <w:tc>
          <w:tcPr>
            <w:tcW w:w="1860" w:type="dxa"/>
            <w:vAlign w:val="bottom"/>
          </w:tcPr>
          <w:p>
            <w:pPr>
              <w:ind w:left="126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Linford</w:t>
            </w:r>
          </w:p>
        </w:tc>
      </w:tr>
      <w:tr>
        <w:trPr>
          <w:trHeight w:val="250"/>
        </w:trPr>
        <w:tc>
          <w:tcPr>
            <w:tcW w:w="3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Michael Linford</w:t>
            </w:r>
          </w:p>
        </w:tc>
      </w:tr>
      <w:tr>
        <w:trPr>
          <w:trHeight w:val="270"/>
        </w:trPr>
        <w:tc>
          <w:tcPr>
            <w:tcW w:w="3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125" w:right="4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00" w:right="440" w:firstLine="156"/>
        <w:spacing w:after="0" w:line="277" w:lineRule="auto"/>
        <w:tabs>
          <w:tab w:leader="none" w:pos="13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300" w:firstLine="166"/>
        <w:spacing w:after="0" w:line="263" w:lineRule="auto"/>
        <w:tabs>
          <w:tab w:leader="none" w:pos="19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40" w:firstLine="166"/>
        <w:spacing w:after="0" w:line="259" w:lineRule="auto"/>
        <w:tabs>
          <w:tab w:leader="none" w:pos="19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80" w:firstLine="166"/>
        <w:spacing w:after="0" w:line="277" w:lineRule="auto"/>
        <w:tabs>
          <w:tab w:leader="none" w:pos="19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31750</wp:posOffset>
            </wp:positionV>
            <wp:extent cx="25031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69"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00" w:right="440" w:firstLine="156"/>
        <w:spacing w:after="0" w:line="277" w:lineRule="auto"/>
        <w:tabs>
          <w:tab w:leader="none" w:pos="13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300" w:firstLine="166"/>
        <w:spacing w:after="0" w:line="263" w:lineRule="auto"/>
        <w:tabs>
          <w:tab w:leader="none" w:pos="19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40" w:firstLine="166"/>
        <w:spacing w:after="0" w:line="259" w:lineRule="auto"/>
        <w:tabs>
          <w:tab w:leader="none" w:pos="19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80" w:firstLine="166"/>
        <w:spacing w:after="0" w:line="277" w:lineRule="auto"/>
        <w:tabs>
          <w:tab w:leader="none" w:pos="19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25031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769"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15, 2021</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69"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15, 2021</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04"/>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48" Type="http://schemas.openxmlformats.org/officeDocument/2006/relationships/hyperlink" Target="https://www.sec.gov/Archives/edgar/data/0001820953/000110465921004835/a20-26663_24ex3d1.htm#Exhibit3_1_013332" TargetMode="External"/><Relationship Id="rId149" Type="http://schemas.openxmlformats.org/officeDocument/2006/relationships/hyperlink" Target="https://www.sec.gov/Archives/edgar/data/0001820953/000162828021018253/affirmholdings-arbylawsl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2021-11-15T16:24:30Z</dcterms:created>
  <dcterms:modified xsi:type="dcterms:W3CDTF">2021-11-15T16:24:30Z</dcterms:modified>
</cp:coreProperties>
</file>