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99060</wp:posOffset>
            </wp:positionV>
            <wp:extent cx="14217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29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7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5, 2026</w:t>
      </w:r>
    </w:p>
    <w:p>
      <w:pPr>
        <w:spacing w:after="0" w:line="2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Affirm Holdings, Inc.</w:t>
      </w:r>
    </w:p>
    <w:p>
      <w:pPr>
        <w:spacing w:after="0" w:line="4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040"/>
          </w:cols>
          <w:pgMar w:left="300" w:top="1222" w:right="559" w:bottom="1440" w:gutter="0" w:footer="0" w:header="0"/>
        </w:sectPr>
      </w:pPr>
    </w:p>
    <w:p>
      <w:pPr>
        <w:spacing w:after="0" w:line="19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3"/>
          <w:szCs w:val="13"/>
          <w:b w:val="1"/>
          <w:bCs w:val="1"/>
          <w:color w:val="auto"/>
        </w:rPr>
        <w:t>Nevada</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001-39888</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84-2224323</w:t>
      </w:r>
    </w:p>
    <w:p>
      <w:pPr>
        <w:spacing w:after="0" w:line="48" w:lineRule="exact"/>
        <w:rPr>
          <w:sz w:val="24"/>
          <w:szCs w:val="24"/>
          <w:color w:val="auto"/>
        </w:rPr>
      </w:pPr>
    </w:p>
    <w:p>
      <w:pPr>
        <w:sectPr>
          <w:pgSz w:w="11900" w:h="16838" w:orient="portrait"/>
          <w:cols w:equalWidth="0" w:num="3">
            <w:col w:w="4640" w:space="720"/>
            <w:col w:w="1480" w:space="720"/>
            <w:col w:w="3480"/>
          </w:cols>
          <w:pgMar w:left="300" w:top="1222" w:right="559" w:bottom="1440" w:gutter="0" w:footer="0" w:header="0"/>
          <w:type w:val="continuous"/>
        </w:sectPr>
      </w:pPr>
    </w:p>
    <w:p>
      <w:pPr>
        <w:jc w:val="center"/>
        <w:ind w:left="220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20" w:lineRule="exact"/>
        <w:rPr>
          <w:sz w:val="24"/>
          <w:szCs w:val="24"/>
          <w:color w:val="auto"/>
        </w:rPr>
      </w:pPr>
    </w:p>
    <w:p>
      <w:pPr>
        <w:jc w:val="center"/>
        <w:ind w:left="220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2740"/>
        <w:spacing w:after="0"/>
        <w:rPr>
          <w:sz w:val="20"/>
          <w:szCs w:val="20"/>
          <w:color w:val="auto"/>
        </w:rPr>
      </w:pPr>
      <w:r>
        <w:rPr>
          <w:rFonts w:ascii="Times New Roman" w:cs="Times New Roman" w:eastAsia="Times New Roman" w:hAnsi="Times New Roman"/>
          <w:sz w:val="11"/>
          <w:szCs w:val="11"/>
          <w:color w:val="auto"/>
        </w:rPr>
        <w:t>(IRS Employer</w:t>
      </w:r>
    </w:p>
    <w:p>
      <w:pPr>
        <w:spacing w:after="0" w:line="20"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200" w:lineRule="exact"/>
        <w:rPr>
          <w:sz w:val="24"/>
          <w:szCs w:val="24"/>
          <w:color w:val="auto"/>
        </w:rPr>
      </w:pPr>
    </w:p>
    <w:p>
      <w:pPr>
        <w:sectPr>
          <w:pgSz w:w="11900" w:h="16838" w:orient="portrait"/>
          <w:cols w:equalWidth="0" w:num="3">
            <w:col w:w="4620" w:space="720"/>
            <w:col w:w="1400" w:space="720"/>
            <w:col w:w="3580"/>
          </w:cols>
          <w:pgMar w:left="300" w:top="1222" w:right="559" w:bottom="1440" w:gutter="0" w:footer="0" w:header="0"/>
          <w:type w:val="continuous"/>
        </w:sectPr>
      </w:pPr>
    </w:p>
    <w:p>
      <w:pPr>
        <w:spacing w:after="0" w:line="15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650 California Street</w:t>
      </w:r>
    </w:p>
    <w:p>
      <w:pPr>
        <w:sectPr>
          <w:pgSz w:w="11900" w:h="16838" w:orient="portrait"/>
          <w:cols w:equalWidth="0" w:num="1">
            <w:col w:w="11040"/>
          </w:cols>
          <w:pgMar w:left="300" w:top="1222" w:right="559" w:bottom="1440" w:gutter="0" w:footer="0" w:header="0"/>
          <w:type w:val="continuous"/>
        </w:sectPr>
      </w:pPr>
    </w:p>
    <w:p>
      <w:pPr>
        <w:spacing w:after="0" w:line="7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94108</w:t>
      </w:r>
    </w:p>
    <w:p>
      <w:pPr>
        <w:spacing w:after="0" w:line="80" w:lineRule="exact"/>
        <w:rPr>
          <w:sz w:val="24"/>
          <w:szCs w:val="24"/>
          <w:color w:val="auto"/>
        </w:rPr>
      </w:pPr>
    </w:p>
    <w:p>
      <w:pPr>
        <w:sectPr>
          <w:pgSz w:w="11900" w:h="16838" w:orient="portrait"/>
          <w:cols w:equalWidth="0" w:num="2">
            <w:col w:w="6380" w:space="720"/>
            <w:col w:w="3940"/>
          </w:cols>
          <w:pgMar w:left="300" w:top="1222" w:right="559" w:bottom="1440" w:gutter="0" w:footer="0" w:header="0"/>
          <w:type w:val="continuous"/>
        </w:sectPr>
      </w:pPr>
    </w:p>
    <w:p>
      <w:pPr>
        <w:ind w:left="38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200" w:lineRule="exact"/>
        <w:rPr>
          <w:sz w:val="24"/>
          <w:szCs w:val="24"/>
          <w:color w:val="auto"/>
        </w:rPr>
      </w:pPr>
    </w:p>
    <w:p>
      <w:pPr>
        <w:sectPr>
          <w:pgSz w:w="11900" w:h="16838" w:orient="portrait"/>
          <w:cols w:equalWidth="0" w:num="2">
            <w:col w:w="6280" w:space="720"/>
            <w:col w:w="4040"/>
          </w:cols>
          <w:pgMar w:left="300" w:top="1222" w:right="559" w:bottom="1440" w:gutter="0" w:footer="0" w:header="0"/>
          <w:type w:val="continuous"/>
        </w:sectPr>
      </w:pPr>
    </w:p>
    <w:p>
      <w:pPr>
        <w:spacing w:after="0" w:line="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(415) 960-1518</w:t>
      </w:r>
    </w:p>
    <w:p>
      <w:pPr>
        <w:spacing w:after="0" w:line="17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8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94" w:lineRule="exact"/>
        <w:rPr>
          <w:rFonts w:ascii="MS PGothic" w:cs="MS PGothic" w:eastAsia="MS PGothic" w:hAnsi="MS PGothic"/>
          <w:sz w:val="13"/>
          <w:szCs w:val="13"/>
          <w:color w:val="auto"/>
        </w:rPr>
      </w:pPr>
    </w:p>
    <w:p>
      <w:pPr>
        <w:ind w:left="260" w:hanging="255"/>
        <w:spacing w:after="0"/>
        <w:tabs>
          <w:tab w:leader="none" w:pos="2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94" w:lineRule="exact"/>
        <w:rPr>
          <w:rFonts w:ascii="MS PGothic" w:cs="MS PGothic" w:eastAsia="MS PGothic" w:hAnsi="MS PGothic"/>
          <w:sz w:val="13"/>
          <w:szCs w:val="13"/>
          <w:color w:val="auto"/>
        </w:rPr>
      </w:pPr>
    </w:p>
    <w:p>
      <w:pPr>
        <w:ind w:left="240" w:hanging="235"/>
        <w:spacing w:after="0"/>
        <w:tabs>
          <w:tab w:leader="none" w:pos="2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94" w:lineRule="exact"/>
        <w:rPr>
          <w:rFonts w:ascii="MS PGothic" w:cs="MS PGothic" w:eastAsia="MS PGothic" w:hAnsi="MS PGothic"/>
          <w:sz w:val="13"/>
          <w:szCs w:val="13"/>
          <w:color w:val="auto"/>
        </w:rPr>
      </w:pPr>
    </w:p>
    <w:p>
      <w:pPr>
        <w:ind w:left="240" w:hanging="235"/>
        <w:spacing w:after="0"/>
        <w:tabs>
          <w:tab w:leader="none" w:pos="2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06" w:lineRule="exact"/>
        <w:rPr>
          <w:sz w:val="24"/>
          <w:szCs w:val="24"/>
          <w:color w:val="auto"/>
        </w:rPr>
      </w:pPr>
    </w:p>
    <w:tbl>
      <w:tblPr>
        <w:tblLayout w:type="fixed"/>
        <w:tblInd w:w="510" w:type="dxa"/>
        <w:tblCellMar>
          <w:top w:w="0" w:type="dxa"/>
          <w:left w:w="0" w:type="dxa"/>
          <w:bottom w:w="0" w:type="dxa"/>
          <w:right w:w="0" w:type="dxa"/>
        </w:tblCellMar>
      </w:tblPr>
      <w:tr>
        <w:trPr>
          <w:trHeight w:val="194"/>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12529"/>
                <w:w w:val="97"/>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12529"/>
                <w:w w:val="95"/>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12529"/>
                <w:w w:val="97"/>
              </w:rPr>
              <w:t>Name of exchange on which registered</w:t>
            </w:r>
          </w:p>
        </w:tc>
      </w:tr>
      <w:tr>
        <w:trPr>
          <w:trHeight w:val="182"/>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12529"/>
                <w:w w:val="97"/>
              </w:rPr>
              <w:t>Class A common stock, $0.00001 par value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12529"/>
                <w:w w:val="97"/>
              </w:rPr>
              <w:t>AFRM</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12529"/>
                <w:w w:val="97"/>
              </w:rPr>
              <w:t>Nasdaq Global Select Market</w:t>
            </w:r>
          </w:p>
        </w:tc>
      </w:tr>
    </w:tbl>
    <w:p>
      <w:pPr>
        <w:spacing w:after="0" w:line="74" w:lineRule="exact"/>
        <w:rPr>
          <w:sz w:val="24"/>
          <w:szCs w:val="24"/>
          <w:color w:val="auto"/>
        </w:rPr>
      </w:pPr>
    </w:p>
    <w:p>
      <w:pPr>
        <w:jc w:val="both"/>
        <w:ind w:right="220"/>
        <w:spacing w:after="0" w:line="24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0"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913765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22"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4"/>
          <w:szCs w:val="14"/>
          <w:color w:val="auto"/>
        </w:rPr>
        <w:t>On February 5, 2026, the Company issued a Shareholder Letter (the “Letter”) regarding its financial results for the second fiscal quarter ended December 31, 2025. A copy of the Letter is attached hereto as Exhibit 99.1, and the information in Exhibit 99.1 is incorporated herein by reference.</w:t>
      </w:r>
    </w:p>
    <w:p>
      <w:pPr>
        <w:spacing w:after="0" w:line="53"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Letter attached hereto as Exhibit 99.1 includes certain non-GAAP financial measures. Reconciliations of these non-GAAP financial measures to the comparable GAAP financial measures are contained in the Letter and the financial tables attached thereto.</w:t>
      </w:r>
    </w:p>
    <w:p>
      <w:pPr>
        <w:spacing w:after="0" w:line="124"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information in this Item 2.02 and in Exhibit 99.1 attached hereto shall not be deemed “filed” for the purposes of Section 18 of the Securities Exchange Act of 1934, as amended, or otherwise subject to the liabilities of that section, nor shall it be deemed incorporated by reference into any filing under the Securities Act of 1933, as amended.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p>
      <w:pPr>
        <w:ind w:left="720" w:hanging="206"/>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680" w:type="dxa"/>
            <w:vAlign w:val="bottom"/>
          </w:tcPr>
          <w:p>
            <w:pPr>
              <w:spacing w:after="0"/>
              <w:rPr>
                <w:sz w:val="11"/>
                <w:szCs w:val="11"/>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3980" w:type="dxa"/>
            <w:vAlign w:val="bottom"/>
            <w:gridSpan w:val="2"/>
          </w:tcPr>
          <w:p>
            <w:pPr>
              <w:spacing w:after="0"/>
              <w:rPr>
                <w:sz w:val="11"/>
                <w:szCs w:val="11"/>
                <w:color w:val="auto"/>
              </w:rPr>
            </w:pPr>
          </w:p>
        </w:tc>
      </w:tr>
      <w:tr>
        <w:trPr>
          <w:trHeight w:val="19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1680" w:type="dxa"/>
            <w:vAlign w:val="bottom"/>
          </w:tcPr>
          <w:p>
            <w:pPr>
              <w:spacing w:after="0"/>
              <w:rPr>
                <w:sz w:val="16"/>
                <w:szCs w:val="16"/>
                <w:color w:val="auto"/>
              </w:rPr>
            </w:pPr>
          </w:p>
        </w:tc>
        <w:tc>
          <w:tcPr>
            <w:tcW w:w="2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Shareholder Letter, dated February 5, 2026</w:t>
            </w:r>
          </w:p>
        </w:tc>
        <w:tc>
          <w:tcPr>
            <w:tcW w:w="2100" w:type="dxa"/>
            <w:vAlign w:val="bottom"/>
          </w:tcPr>
          <w:p>
            <w:pPr>
              <w:spacing w:after="0"/>
              <w:rPr>
                <w:sz w:val="16"/>
                <w:szCs w:val="16"/>
                <w:color w:val="auto"/>
              </w:rPr>
            </w:pPr>
          </w:p>
        </w:tc>
      </w:tr>
      <w:tr>
        <w:trPr>
          <w:trHeight w:val="22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68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141" w:right="5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65" w:lineRule="exact"/>
        <w:rPr>
          <w:sz w:val="20"/>
          <w:szCs w:val="20"/>
          <w:color w:val="auto"/>
        </w:rPr>
      </w:pPr>
    </w:p>
    <w:p>
      <w:pPr>
        <w:ind w:left="6940"/>
        <w:spacing w:after="0"/>
        <w:tabs>
          <w:tab w:leader="none" w:pos="74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28575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4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color w:val="auto"/>
        </w:rPr>
        <w:t>Name: Rob O'Hare</w:t>
      </w:r>
    </w:p>
    <w:p>
      <w:pPr>
        <w:spacing w:after="0" w:line="5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5,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800"/>
          </w:cols>
          <w:pgMar w:left="300" w:top="1152" w:right="7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2026-02-05T15:18:35Z</dcterms:created>
  <dcterms:modified xsi:type="dcterms:W3CDTF">2026-02-05T15:18:35Z</dcterms:modified>
</cp:coreProperties>
</file>