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1540" w:right="1260" w:hanging="328"/>
        <w:spacing w:after="0" w:line="255" w:lineRule="auto"/>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1" w:lineRule="exact"/>
        <w:rPr>
          <w:sz w:val="24"/>
          <w:szCs w:val="24"/>
          <w:color w:val="auto"/>
        </w:rPr>
      </w:pPr>
    </w:p>
    <w:p>
      <w:pPr>
        <w:ind w:left="1540" w:right="1240" w:hanging="328"/>
        <w:spacing w:after="0" w:line="255" w:lineRule="auto"/>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001-39888</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320" w:type="dxa"/>
            <w:vAlign w:val="bottom"/>
          </w:tcPr>
          <w:p>
            <w:pPr>
              <w:jc w:val="center"/>
              <w:ind w:left="61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organization)</w:t>
            </w:r>
          </w:p>
        </w:tc>
        <w:tc>
          <w:tcPr>
            <w:tcW w:w="3320" w:type="dxa"/>
            <w:vAlign w:val="bottom"/>
          </w:tcPr>
          <w:p>
            <w:pPr>
              <w:spacing w:after="0"/>
              <w:rPr>
                <w:sz w:val="20"/>
                <w:szCs w:val="20"/>
                <w:color w:val="auto"/>
              </w:rPr>
            </w:pPr>
          </w:p>
        </w:tc>
      </w:tr>
      <w:tr>
        <w:trPr>
          <w:trHeight w:val="306"/>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650 California Street</w:t>
            </w:r>
          </w:p>
        </w:tc>
        <w:tc>
          <w:tcPr>
            <w:tcW w:w="3320" w:type="dxa"/>
            <w:vAlign w:val="bottom"/>
          </w:tcPr>
          <w:p>
            <w:pPr>
              <w:spacing w:after="0"/>
              <w:rPr>
                <w:sz w:val="24"/>
                <w:szCs w:val="24"/>
                <w:color w:val="auto"/>
              </w:rPr>
            </w:pPr>
          </w:p>
        </w:tc>
      </w:tr>
      <w:tr>
        <w:trPr>
          <w:trHeight w:val="279"/>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3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984-0490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Pr>
          <w:p>
            <w:pPr>
              <w:spacing w:after="0"/>
              <w:rPr>
                <w:sz w:val="17"/>
                <w:szCs w:val="17"/>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AFRM</w:t>
            </w:r>
          </w:p>
        </w:tc>
        <w:tc>
          <w:tcPr>
            <w:tcW w:w="100" w:type="dxa"/>
            <w:vAlign w:val="bottom"/>
          </w:tcPr>
          <w:p>
            <w:pPr>
              <w:spacing w:after="0"/>
              <w:rPr>
                <w:sz w:val="17"/>
                <w:szCs w:val="17"/>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4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1" w:lineRule="exact"/>
        <w:rPr>
          <w:sz w:val="24"/>
          <w:szCs w:val="24"/>
          <w:color w:val="auto"/>
        </w:rPr>
      </w:pPr>
    </w:p>
    <w:p>
      <w:pPr>
        <w:ind w:right="400"/>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5"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8"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88" w:lineRule="exact"/>
        <w:rPr>
          <w:sz w:val="24"/>
          <w:szCs w:val="24"/>
          <w:color w:val="auto"/>
        </w:rPr>
      </w:pPr>
    </w:p>
    <w:p>
      <w:pPr>
        <w:ind w:right="180"/>
        <w:spacing w:after="0" w:line="351" w:lineRule="auto"/>
        <w:rPr>
          <w:sz w:val="20"/>
          <w:szCs w:val="20"/>
          <w:color w:val="auto"/>
        </w:rPr>
      </w:pPr>
      <w:r>
        <w:rPr>
          <w:rFonts w:ascii="Times New Roman" w:cs="Times New Roman" w:eastAsia="Times New Roman" w:hAnsi="Times New Roman"/>
          <w:sz w:val="16"/>
          <w:szCs w:val="16"/>
          <w:color w:val="auto"/>
        </w:rPr>
        <w:t>As of November 3, 2022, the number of shares of the registrant’s Class A common stock outstanding was 230,046,307 and the number of shares of the registrant's Class B common stock outstanding was 60,103,756.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13"/>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8"/>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5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134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0000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Cover</w:t>
            </w: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02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Table of Contents</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FF"/>
              </w:rPr>
              <w:t>Item 1. Unaudited Financial Statements</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20" w:type="dxa"/>
            <w:vAlign w:val="bottom"/>
            <w:tcBorders>
              <w:bottom w:val="single" w:sz="8" w:color="0000FF"/>
            </w:tcBorders>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4820" w:type="dxa"/>
            <w:vAlign w:val="bottom"/>
            <w:tcBorders>
              <w:bottom w:val="single" w:sz="8" w:color="CCEEFF"/>
            </w:tcBorders>
            <w:gridSpan w:val="8"/>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CONT. (Unaudited)</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FF"/>
            </w:tcBorders>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OPERATIONS AND COMPREHENSIVE LOSS (Unaudited)</w:t>
            </w:r>
          </w:p>
        </w:tc>
        <w:tc>
          <w:tcPr>
            <w:tcW w:w="1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0000FF"/>
            </w:tcBorders>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780" w:type="dxa"/>
            <w:vAlign w:val="bottom"/>
            <w:tcBorders>
              <w:bottom w:val="single" w:sz="8" w:color="CCEEFF"/>
            </w:tcBorders>
            <w:gridSpan w:val="5"/>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CONT. (Unaudited)</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80" w:type="dxa"/>
            <w:vAlign w:val="bottom"/>
            <w:tcBorders>
              <w:right w:val="single" w:sz="8" w:color="CCEEFF"/>
            </w:tcBorders>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95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Business Description</w:t>
            </w:r>
          </w:p>
        </w:tc>
        <w:tc>
          <w:tcPr>
            <w:tcW w:w="7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2.  Summary of Significant Accounting Policies</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80" w:type="dxa"/>
            <w:vAlign w:val="bottom"/>
            <w:tcBorders>
              <w:right w:val="single" w:sz="8" w:color="CCEEFF"/>
            </w:tcBorders>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95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Interest Income</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4. Loans Held for Investment and Allowance for Credit Losses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5. Business Combinations</w:t>
            </w:r>
          </w:p>
        </w:tc>
        <w:tc>
          <w:tcPr>
            <w:tcW w:w="7960" w:type="dxa"/>
            <w:vAlign w:val="bottom"/>
            <w:gridSpan w:val="23"/>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6. Balance Sheet Components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7. Leases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8. Commitments and Contingencies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 Transactions with Related Parties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10. Debt</w:t>
            </w:r>
          </w:p>
        </w:tc>
        <w:tc>
          <w:tcPr>
            <w:tcW w:w="7260" w:type="dxa"/>
            <w:vAlign w:val="bottom"/>
            <w:gridSpan w:val="19"/>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11. Securitization and Variable Interest Entities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95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Investments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52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13. Fair Value of Financial Assets and Liabilities</w:t>
            </w:r>
          </w:p>
        </w:tc>
        <w:tc>
          <w:tcPr>
            <w:tcW w:w="6320" w:type="dxa"/>
            <w:vAlign w:val="bottom"/>
            <w:gridSpan w:val="14"/>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14. Redeemable Convertible Preferred Stock and Stockholders' Equity</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15. Equity Incentive Plans</w:t>
            </w:r>
          </w:p>
        </w:tc>
        <w:tc>
          <w:tcPr>
            <w:tcW w:w="7940" w:type="dxa"/>
            <w:vAlign w:val="bottom"/>
            <w:gridSpan w:val="22"/>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16. Income Taxes</w:t>
            </w:r>
          </w:p>
        </w:tc>
        <w:tc>
          <w:tcPr>
            <w:tcW w:w="7940" w:type="dxa"/>
            <w:vAlign w:val="bottom"/>
            <w:gridSpan w:val="22"/>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17. Net Loss per Share Attributable to Common Stockholders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18. Segments and Geographical Information</w:t>
            </w:r>
          </w:p>
        </w:tc>
        <w:tc>
          <w:tcPr>
            <w:tcW w:w="5400" w:type="dxa"/>
            <w:vAlign w:val="bottom"/>
            <w:gridSpan w:val="12"/>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3"/>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60" w:type="dxa"/>
            <w:vAlign w:val="bottom"/>
            <w:gridSpan w:val="3"/>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160" w:type="dxa"/>
            <w:vAlign w:val="bottom"/>
            <w:gridSpan w:val="25"/>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160" w:type="dxa"/>
            <w:vAlign w:val="bottom"/>
            <w:gridSpan w:val="25"/>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160" w:type="dxa"/>
            <w:vAlign w:val="bottom"/>
            <w:gridSpan w:val="10"/>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740" w:type="dxa"/>
            <w:vAlign w:val="bottom"/>
            <w:gridSpan w:val="21"/>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Exhibits</w:t>
            </w:r>
          </w:p>
        </w:tc>
        <w:tc>
          <w:tcPr>
            <w:tcW w:w="8900" w:type="dxa"/>
            <w:vAlign w:val="bottom"/>
            <w:gridSpan w:val="32"/>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-5819775</wp:posOffset>
            </wp:positionV>
            <wp:extent cx="6463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revenue, expenses, and other operating results and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merchants and commerce partners and retain and grow our relationships with existing merchants and commerce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a highly competitive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consumers and retain and grow our relationships with our existing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innovation, introduction of, and demand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engage new originating bank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funding sources to support our business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and score credit risk using our proprietary risk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loans facilitated and originated through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rate of our revenue and related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laws and regulations that currently apply or become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proprietary, or sensitive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acquisitions, investments, and other strategic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regulatory inquiries, and proceedings;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on our business, including the impacts of inflation and a rising interest rate environment;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rates of the markets in which we compete.</w:t>
      </w:r>
    </w:p>
    <w:p>
      <w:pPr>
        <w:spacing w:after="0" w:line="11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and our most recently filed Annual Report on Form 10-K for the year ended June 30, 2022 (the "Annual Report"). Other sections of this Form 10-Q may include additional factors that could harm our business and financial performance. Moreover, we operate in a very competitive, heavily regulated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current beliefs and opinions on the relevant subject. These</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25"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1,530,132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1,255,171</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295,636</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1,237,291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1,595,373</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2,681,637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2,503,561</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(155,392)</w:t>
            </w:r>
          </w:p>
        </w:tc>
        <w:tc>
          <w:tcPr>
            <w:tcW w:w="0" w:type="dxa"/>
            <w:vAlign w:val="bottom"/>
          </w:tcPr>
          <w:p>
            <w:pPr>
              <w:spacing w:after="0"/>
              <w:rPr>
                <w:sz w:val="1"/>
                <w:szCs w:val="1"/>
                <w:color w:val="auto"/>
              </w:rPr>
            </w:pPr>
          </w:p>
        </w:tc>
      </w:tr>
      <w:tr>
        <w:trPr>
          <w:trHeight w:val="189"/>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2,528,612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2,348,169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142,052</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171,482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539,534</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78,942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263,196</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284,614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281,567</w:t>
            </w:r>
          </w:p>
        </w:tc>
        <w:tc>
          <w:tcPr>
            <w:tcW w:w="0" w:type="dxa"/>
            <w:vAlign w:val="bottom"/>
          </w:tcPr>
          <w:p>
            <w:pPr>
              <w:spacing w:after="0"/>
              <w:rPr>
                <w:sz w:val="1"/>
                <w:szCs w:val="1"/>
                <w:color w:val="auto"/>
              </w:rPr>
            </w:pPr>
          </w:p>
        </w:tc>
      </w:tr>
      <w:tr>
        <w:trPr>
          <w:trHeight w:val="228"/>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7,165,060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6,973,792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71,383</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237,598</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1,707,724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1,706,668</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1,720,812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1,627,580</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792,637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672,577</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4,601,622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4,355,537</w:t>
            </w:r>
          </w:p>
        </w:tc>
        <w:tc>
          <w:tcPr>
            <w:tcW w:w="0" w:type="dxa"/>
            <w:vAlign w:val="bottom"/>
          </w:tcPr>
          <w:p>
            <w:pPr>
              <w:spacing w:after="0"/>
              <w:rPr>
                <w:sz w:val="1"/>
                <w:szCs w:val="1"/>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56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229,388,460 shares issued and</w:t>
            </w: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outstanding as of September 30, 2022; 3,030,000,000 shares authorized, 227,255,529 shares issued and outstanding as of</w:t>
            </w:r>
          </w:p>
        </w:tc>
        <w:tc>
          <w:tcPr>
            <w:tcW w:w="1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June 30, 2022</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56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60,103,756 shares issued and</w:t>
            </w:r>
          </w:p>
        </w:tc>
        <w:tc>
          <w:tcPr>
            <w:tcW w:w="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outstanding as of September 30, 2022; 140,000,000 authorized, 60,109,844 shares issued and outstanding as of June 30,</w:t>
            </w: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4,454,829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4,231,303</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(1,605,902)</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(7,149)</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2,563,438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2,618,255</w:t>
            </w:r>
          </w:p>
        </w:tc>
        <w:tc>
          <w:tcPr>
            <w:tcW w:w="0" w:type="dxa"/>
            <w:vAlign w:val="bottom"/>
          </w:tcPr>
          <w:p>
            <w:pPr>
              <w:spacing w:after="0"/>
              <w:rPr>
                <w:sz w:val="1"/>
                <w:szCs w:val="1"/>
                <w:color w:val="auto"/>
              </w:rPr>
            </w:pP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7,165,060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6,973,792</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p>
      <w:pPr>
        <w:ind w:right="80" w:firstLine="177"/>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3"/>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231,353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164,530</w:t>
            </w: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2,309,638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2,179,026</w:t>
            </w:r>
          </w:p>
        </w:tc>
      </w:tr>
      <w:tr>
        <w:trPr>
          <w:trHeight w:val="196"/>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(124,052)</w:t>
            </w:r>
          </w:p>
        </w:tc>
      </w:tr>
      <w:tr>
        <w:trPr>
          <w:trHeight w:val="20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2,185,638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2,054,974</w:t>
            </w: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8,195</w:t>
            </w:r>
          </w:p>
        </w:tc>
      </w:tr>
      <w:tr>
        <w:trPr>
          <w:trHeight w:val="20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w:t>
            </w:r>
          </w:p>
        </w:tc>
      </w:tr>
      <w:tr>
        <w:trPr>
          <w:trHeight w:val="203"/>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2,442,825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2,242,269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15,494</w:t>
            </w: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1,720,812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1,627,580</w:t>
            </w:r>
          </w:p>
        </w:tc>
      </w:tr>
      <w:tr>
        <w:trPr>
          <w:trHeight w:val="196"/>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514,033</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2,364,808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2,166,529</w:t>
            </w: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78,017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75,740</w:t>
            </w: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Merchant network revenue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113,149</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92,244</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Virtual card network revenue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19,395</w:t>
            </w:r>
          </w:p>
        </w:tc>
        <w:tc>
          <w:tcPr>
            <w:tcW w:w="0" w:type="dxa"/>
            <w:vAlign w:val="bottom"/>
          </w:tcPr>
          <w:p>
            <w:pPr>
              <w:spacing w:after="0"/>
              <w:rPr>
                <w:sz w:val="1"/>
                <w:szCs w:val="1"/>
                <w:color w:val="auto"/>
              </w:rPr>
            </w:pPr>
          </w:p>
        </w:tc>
      </w:tr>
      <w:tr>
        <w:trPr>
          <w:trHeight w:val="189"/>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network revenue</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111,639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117,302</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sales of loans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income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361,624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269,385</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35,610</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63,647</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Funding costs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Processing and servicing</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25,201</w:t>
            </w: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63,960</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160,972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136,204</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649,091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435,456</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(287,467)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(166,071)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(140,373)</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(251,449)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(306,444)</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(251,269)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(306,615)</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securities available for sale, net</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Loss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(27,074)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(4,081)</w:t>
            </w:r>
          </w:p>
        </w:tc>
        <w:tc>
          <w:tcPr>
            <w:tcW w:w="0" w:type="dxa"/>
            <w:vAlign w:val="bottom"/>
          </w:tcPr>
          <w:p>
            <w:pPr>
              <w:spacing w:after="0"/>
              <w:rPr>
                <w:sz w:val="1"/>
                <w:szCs w:val="1"/>
                <w:color w:val="auto"/>
              </w:rPr>
            </w:pPr>
          </w:p>
        </w:tc>
      </w:tr>
      <w:tr>
        <w:trPr>
          <w:trHeight w:val="22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(278,343)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(310,696)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attributable to common stockholders for Class A and Class B</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290,929,270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271,677,516</w:t>
            </w:r>
          </w:p>
        </w:tc>
        <w:tc>
          <w:tcPr>
            <w:tcW w:w="0" w:type="dxa"/>
            <w:vAlign w:val="bottom"/>
          </w:tcPr>
          <w:p>
            <w:pPr>
              <w:spacing w:after="0"/>
              <w:rPr>
                <w:sz w:val="1"/>
                <w:szCs w:val="1"/>
                <w:color w:val="auto"/>
              </w:rPr>
            </w:pPr>
          </w:p>
        </w:tc>
      </w:tr>
      <w:tr>
        <w:trPr>
          <w:trHeight w:val="188"/>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290,929,270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271,677,516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3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00" w:type="dxa"/>
            <w:vAlign w:val="bottom"/>
            <w:gridSpan w:val="3"/>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0" w:type="dxa"/>
            <w:vAlign w:val="bottom"/>
            <w:gridSpan w:val="3"/>
            <w:vMerge w:val="continue"/>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10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287,365,373</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4,231,303</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(1,605,902)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2,618,255</w:t>
            </w:r>
          </w:p>
        </w:tc>
        <w:tc>
          <w:tcPr>
            <w:tcW w:w="0" w:type="dxa"/>
            <w:vAlign w:val="bottom"/>
          </w:tcPr>
          <w:p>
            <w:pPr>
              <w:spacing w:after="0"/>
              <w:rPr>
                <w:sz w:val="1"/>
                <w:szCs w:val="1"/>
                <w:color w:val="auto"/>
              </w:rPr>
            </w:pPr>
          </w:p>
        </w:tc>
      </w:tr>
      <w:tr>
        <w:trPr>
          <w:trHeight w:val="139"/>
        </w:trPr>
        <w:tc>
          <w:tcPr>
            <w:tcW w:w="28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215,949</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19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Forfeiture of common stock related to</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(243,384)</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1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2,166,715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108,742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108,742</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141,012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141,012</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(251,269)</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(251,269)</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289,492,216</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4,454,829</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(1,857,171)</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(34,223)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2,563,438</w:t>
            </w:r>
          </w:p>
        </w:tc>
        <w:tc>
          <w:tcPr>
            <w:tcW w:w="0" w:type="dxa"/>
            <w:vAlign w:val="bottom"/>
          </w:tcPr>
          <w:p>
            <w:pPr>
              <w:spacing w:after="0"/>
              <w:rPr>
                <w:sz w:val="1"/>
                <w:szCs w:val="1"/>
                <w:color w:val="auto"/>
              </w:rPr>
            </w:pPr>
          </w:p>
        </w:tc>
      </w:tr>
      <w:tr>
        <w:trPr>
          <w:trHeight w:val="634"/>
        </w:trPr>
        <w:tc>
          <w:tcPr>
            <w:tcW w:w="2880" w:type="dxa"/>
            <w:vAlign w:val="bottom"/>
          </w:tcPr>
          <w:p>
            <w:pPr>
              <w:spacing w:after="0"/>
              <w:rPr>
                <w:sz w:val="24"/>
                <w:szCs w:val="24"/>
                <w:color w:val="auto"/>
              </w:rPr>
            </w:pPr>
          </w:p>
        </w:tc>
        <w:tc>
          <w:tcPr>
            <w:tcW w:w="23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320" w:type="dxa"/>
            <w:vAlign w:val="bottom"/>
            <w:gridSpan w:val="2"/>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2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0" w:type="dxa"/>
            <w:vAlign w:val="bottom"/>
            <w:tcBorders>
              <w:bottom w:val="single" w:sz="8" w:color="auto"/>
            </w:tcBorders>
            <w:gridSpan w:val="3"/>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269,358,104</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3,467,236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(898,485)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2,575,527</w:t>
            </w: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7,403,503</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37,470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37,470</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in acquisition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183,733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772,653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104,879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104,879</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8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(306,615)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(306,615)</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277,717,172</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3,579,763</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(1,205,100)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2,692</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2,377,358</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(251,269)</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(306,615)</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63,647</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premiums and discounts on loans, net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(35,708)</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on sales of loans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(30,979)</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fair value of assets and liabilities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139,884</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commercial agreement assets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18,971</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5,231</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discount on securities available for sale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agreement warrant expense</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93,189</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10,541</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loans held for sale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(1,655,213)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(896,786)</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the sale of loans held for sale</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1,707,838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888,580</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(12,076)</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78,086</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368,096</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(11,618)</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(11,848)</w:t>
            </w:r>
          </w:p>
        </w:tc>
      </w:tr>
      <w:tr>
        <w:trPr>
          <w:trHeight w:val="19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365,150</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and origination of loans held for investment</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(2,744,825)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(1,847,458)</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sale of loans held for investment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195,039</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repayments and other loan servicing activity</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2,206,725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1,486,099</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net of cash and restricted cash acquired</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to property, equipment and software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(16,347)</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(443,560)</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maturities and repayments of securities available for sale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cash inflows (outflows)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r>
      <w:tr>
        <w:trPr>
          <w:trHeight w:val="19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117,273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(629,510)</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funding debt</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1,193,761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682,106</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(6,609)</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repayments of funding debt</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(1,059,607)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(873,778)</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notes and residual trust certificates by securitization trusts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499,789</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repayments of notes issued by securitization trusts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(55,204)</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common stock options and warrants and contributions to ESPP</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37,470</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tax withholding for stock-based compensation</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(39,817)</w:t>
            </w:r>
          </w:p>
        </w:tc>
      </w:tr>
      <w:tr>
        <w:trPr>
          <w:trHeight w:val="189"/>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243,953</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362,731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(16,819)</w:t>
            </w: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1,550,807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1,692,632</w:t>
            </w: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1,913,538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1,675,813</w:t>
            </w: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1,530,132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1,439,531</w:t>
            </w:r>
          </w:p>
        </w:tc>
      </w:tr>
      <w:tr>
        <w:trPr>
          <w:trHeight w:val="20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383,406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236,282</w:t>
            </w: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1,913,538</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1,675,813</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7"/>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22,819</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21,204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11,690</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in connection with acquisition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88"/>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to property and equipment included in accrued expenses</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2022. The balance sheet as of June 30, 2022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variable consideration for revenue, the allowance for credit losses, capitalized internal-use software development costs, valuation allowance for deferred tax assets, loss on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purchase commitment, the fair value of servicing assets and liabilities, discount on directly originated loans, the fair value of assets acquired and any contingent consideration transferred in business combinations, the evaluation for impairment of intangible assets and goodwill,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market-based inputs, historical experience, current events, and other factors we believe to be reasonable under the circumstances. These estimates are subjective in nature and to the extent that there are differences between these estimates and actual results, our financial condition or operating results in future periods may be affected.</w:t>
      </w:r>
    </w:p>
    <w:p>
      <w:pPr>
        <w:spacing w:after="0" w:line="193" w:lineRule="exact"/>
        <w:rPr>
          <w:sz w:val="20"/>
          <w:szCs w:val="20"/>
          <w:color w:val="auto"/>
        </w:rPr>
      </w:pPr>
    </w:p>
    <w:p>
      <w:pPr>
        <w:ind w:right="380" w:firstLine="648"/>
        <w:spacing w:after="0" w:line="297"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7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significant accounting policies as disclosed in Note 2. Summary of Significant Accounting Policies of our Annual Report on Form 10-K for the fiscal year ended June 30, 2022, which was filed with the SEC on August 29,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252" w:lineRule="exact"/>
        <w:rPr>
          <w:sz w:val="20"/>
          <w:szCs w:val="20"/>
          <w:color w:val="auto"/>
        </w:rPr>
      </w:pPr>
    </w:p>
    <w:p>
      <w:pPr>
        <w:ind w:right="40" w:firstLine="180"/>
        <w:spacing w:after="0" w:line="253" w:lineRule="auto"/>
        <w:rPr>
          <w:sz w:val="20"/>
          <w:szCs w:val="20"/>
          <w:color w:val="auto"/>
        </w:rPr>
      </w:pPr>
      <w:r>
        <w:rPr>
          <w:rFonts w:ascii="Times New Roman" w:cs="Times New Roman" w:eastAsia="Times New Roman" w:hAnsi="Times New Roman"/>
          <w:sz w:val="18"/>
          <w:szCs w:val="18"/>
          <w:color w:val="auto"/>
        </w:rPr>
        <w:t xml:space="preserve">In March 2022, the FASB issued ASU 2022-02, </w:t>
      </w:r>
      <w:r>
        <w:rPr>
          <w:rFonts w:ascii="Times New Roman" w:cs="Times New Roman" w:eastAsia="Times New Roman" w:hAnsi="Times New Roman"/>
          <w:sz w:val="18"/>
          <w:szCs w:val="18"/>
          <w:i w:val="1"/>
          <w:iCs w:val="1"/>
          <w:color w:val="auto"/>
        </w:rPr>
        <w:t>“Financial Instruments— 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which addresses areas identified by the FASB as part of its post-implementation review of the current expected credit losses model or “CECL”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previously issued in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The amendments in this ASU eliminate the accounting guidance for troubled debt restructurings by creditors while enhancing the disclosure requirements for loan refinancing and restructurings made with borrowers experiencing financial difficulty. In addition, the amendments require a public business entity to disclose current-period gross write-offs by year of origination for financing receivables and net investment in leases in the vintage disclosures. For entities that have adopted ASU 2016-13, ASU 2022-02 is effective for fiscal years beginning after December 15, 2022, including interim periods within those fiscal years. Early adoption is permitted if an entity has adopted ASU 2016-13. Amendments in this ASU should be applied prospectively except for the transition method related to the accounting for troubled debt restructurings in which an entity has the option to apply a modified retrospective transition method resulting in a cumulative-effect adjustment to retained earnings in the period of adoption. We early adopted the new standard effective July 1, 2022 on a prospective basis. The adoption of the guidance did not have a material impact on our interim condensed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6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which requires contract assets and contract liabilities, such as deferred revenue, acquired in a business combination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and measured in accordance with Topic 606 (Revenue from Contracts with Customers). ASU 2021-08 is expected to reduce diversity in practice and increase comparability for both the recognition and measurement of acquired revenue contracts with customers at the date of and after a business combination. The ASU is effective for fiscal years beginning after December 15, 2022 and should be applied prospectively to acquisitions occurring on or after the effective date. Early adoption is permitted, including for interim periods, and is applicable to all business combinations for which the acquisition date occurs within the beginning of the fiscal year of adoption.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Reporting”. </w:t>
      </w:r>
      <w:r>
        <w:rPr>
          <w:rFonts w:ascii="Times New Roman" w:cs="Times New Roman" w:eastAsia="Times New Roman" w:hAnsi="Times New Roman"/>
          <w:sz w:val="18"/>
          <w:szCs w:val="18"/>
          <w:color w:val="auto"/>
        </w:rPr>
        <w:t>Subject to meeting certain criteria, the new guidance provides optional expedients and exceptions to applying contract modification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under existing U.S. GAAP, to address the expected phase out of the London Interbank Offered Rate (“LIBOR”). This ASU is effective for all entities upon issuance as of March 12, 2020 through December 31, 2022. In January 2021, the FASB also issued ASU 2021-01, “Reference Rate Reform (Topic 848),” which provides additional optional expedients and exceptions applicable to all entities that have derivative instruments that use an interest rate for margining, discounting, or contract price alignment that is modified as a result of reference rate reform. This ASU is effective for all entities upon issuance as of January 7, 2021 through December 31, 2022 and can be applied prospectively. We have reviewed all our financial agreements that utilize LIBOR as the reference rate and determined there is no impact to our interim condensed consolidated financial statements as of September 30, 2022. Throughout the remaining effective period for ASU 2020-04 and ASU 2021-01, we will continue to evaluate the available relief measures within each of these amendments and will determine any impact on our consolidated financial statements and disclosures, as applicable.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revenue source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540" w:type="dxa"/>
            <w:vAlign w:val="bottom"/>
            <w:tcBorders>
              <w:bottom w:val="single" w:sz="8" w:color="auto"/>
            </w:tcBorders>
            <w:gridSpan w:val="5"/>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76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network revenue</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92,244</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117,302</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loans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361,624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269,385</w:t>
            </w: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4877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w:t>
      </w:r>
    </w:p>
    <w:p>
      <w:pPr>
        <w:spacing w:after="0" w:line="25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certain cases, the losses incurred on loans originated for a merchant may exceed the total network revenue earned on those loans. To the extent we do not expect to recover the losses in future periods, we record the excess loss amounts as a sales and marketing expense.</w:t>
      </w:r>
    </w:p>
    <w:p>
      <w:pPr>
        <w:spacing w:after="0" w:line="20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both the three months ended September 30, 2022 and 2021, there were no merchants that exceeded 10%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 Card Network Revenue</w:t>
      </w:r>
    </w:p>
    <w:p>
      <w:pPr>
        <w:spacing w:after="0" w:line="254"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8"/>
          <w:szCs w:val="18"/>
          <w:color w:val="auto"/>
        </w:rPr>
        <w:t>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Our originating bank partner then originates a loan to the consumer once the transaction is confirmed by the merchant. The non-integrated merchants are charged interchange fees by the issuer processor for virtual debit card transactions,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consisted of the following components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3660" w:type="dxa"/>
            <w:vAlign w:val="bottom"/>
            <w:tcBorders>
              <w:bottom w:val="single" w:sz="8" w:color="auto"/>
            </w:tcBorders>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75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unpaid principal balance</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discount on loans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receivable charged-off, net of recoveries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September 30, 2022 and June 30, 2022, the balance of loans held for investment on non-accrual status was $2.4 million and $1.7 million, respectively.</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34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as the difference between the proceeds received and the carrying value of the loan, adjusted for the initial recognition of any assets or liabilities incurred upon sale, which generally include a net servicing asset or liability in connection with our ongoing obligation to continue to service the loans and a recourse liability based on our estimate of future losses in connection with our obligation to repurchase loans that do not meet certain contractual requirements and such information about the loan was unknown at the time of sale.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34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Loans held for investment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2,706,883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2,516,733</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loan purchase commitment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(20,692)</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directly originated loans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(20,443)</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Fair value adjustment on loans acquired through business combination</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2,681,637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2,503,561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$3,491.9 million and $2,244.2 million during the three months ended September 30, 2022 and 2021, respectively.</w:t>
      </w:r>
    </w:p>
    <w:p>
      <w:pPr>
        <w:spacing w:after="0" w:line="20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These loans have a variety of lending terms as well as maturities ranging from one to sixty months. Given that our loan portfolio focuses on one product segment, point-of-sale unsecured installment loans, we generally evaluate the entire portfolio as a single homogeneous loan portfolio and make merchant or program specific adjustments as necessary.</w:t>
      </w:r>
    </w:p>
    <w:p>
      <w:pPr>
        <w:spacing w:after="0" w:line="20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an analysis of the credit quality, by ITACS score, of the amortized cost basis excluding accrued interest receivable, by fiscal year of origination on loans held for investment and loans held for sale (in thousands) as of September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1,539,374</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94-96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663,923</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161,883</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34,795</w:t>
            </w:r>
          </w:p>
        </w:tc>
      </w:tr>
      <w:tr>
        <w:trPr>
          <w:trHeight w:val="229"/>
        </w:trPr>
        <w:tc>
          <w:tcPr>
            <w:tcW w:w="2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 score</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265,409</w:t>
            </w: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1,419,342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30,501</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2,665,384</w:t>
            </w: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17" w:lineRule="exact"/>
        <w:rPr>
          <w:sz w:val="20"/>
          <w:szCs w:val="20"/>
          <w:color w:val="auto"/>
        </w:rPr>
      </w:pPr>
    </w:p>
    <w:p>
      <w:pPr>
        <w:ind w:left="660" w:right="360" w:hanging="328"/>
        <w:spacing w:after="0" w:line="229" w:lineRule="auto"/>
        <w:tabs>
          <w:tab w:leader="none" w:pos="6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balance represents loan receivables in new markets without sufficient data currently available for use by the Affirm scoring methodology including loan receivables originated in Canada and Australia.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9"/>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6"/>
        </w:trPr>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charge-offs</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(3,709)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(71,036)</w:t>
            </w: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period recoveries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1,858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48"/>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net charge-offs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(1,851)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(64,236)</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00" w:type="dxa"/>
            <w:vAlign w:val="bottom"/>
          </w:tcPr>
          <w:p>
            <w:pPr>
              <w:spacing w:after="0"/>
              <w:rPr>
                <w:sz w:val="18"/>
                <w:szCs w:val="18"/>
                <w:color w:val="auto"/>
              </w:rPr>
            </w:pP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2,473,859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2,322,919</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77,963</w:t>
            </w: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34,669</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w:t>
            </w:r>
          </w:p>
        </w:tc>
      </w:tr>
      <w:tr>
        <w:trPr>
          <w:trHeight w:val="229"/>
        </w:trPr>
        <w:tc>
          <w:tcPr>
            <w:tcW w:w="7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90 – 119 calendar days past due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23,064</w:t>
            </w: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2,665,384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2,485,534</w:t>
            </w:r>
          </w:p>
        </w:tc>
      </w:tr>
      <w:tr>
        <w:trPr>
          <w:trHeight w:val="20"/>
        </w:trPr>
        <w:tc>
          <w:tcPr>
            <w:tcW w:w="2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9"/>
        </w:trPr>
        <w:tc>
          <w:tcPr>
            <w:tcW w:w="2240" w:type="dxa"/>
            <w:vAlign w:val="bottom"/>
            <w:tcBorders>
              <w:bottom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spacing w:after="0" w:line="103" w:lineRule="exact"/>
        <w:rPr>
          <w:sz w:val="20"/>
          <w:szCs w:val="20"/>
          <w:color w:val="auto"/>
        </w:rPr>
      </w:pPr>
    </w:p>
    <w:p>
      <w:pPr>
        <w:ind w:left="660" w:right="240" w:hanging="328"/>
        <w:spacing w:after="0" w:line="22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$29.0 million and $22.7 million of loan receivables as of September 30, 2022 and June 30, 2022, respectively, that are 90 days or more past due, but are not on nonaccrual status.</w:t>
      </w:r>
    </w:p>
    <w:p>
      <w:pPr>
        <w:spacing w:after="0" w:line="225"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We maintain an allowance for credit losses at a level sufficient to absorb expected credit losses based on evaluating known and inherent risks in our loan portfolio. The allowance for credit losses is determined based on our current estimate of expected credit losses over the remaining contractual term, historical credit losses, consumer payment trends, estimates of recoveries, and future expectations as of each balance sheet date. Adjustments to the allowance each period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against the allowance for credit losses. Loans are charged-off in accordance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charge-off policy, as the contractual principal becomes 120 days past due. Subsequent recoveries of the unpaid principal balance, if any, are credited to the allowance for credit losses.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activity in the allowance for credit losses (in thousands):</w:t>
      </w:r>
    </w:p>
    <w:p>
      <w:pPr>
        <w:spacing w:after="0" w:line="14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were no acquisitions accounted for as business combinations completed in the three months ended September 30, 2022. During the three months ended September 30, 2021, we completed one acquisition accounted for as business combinations, discussed further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completed during the three months ended September 30,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ShopBrain</w:t>
      </w:r>
    </w:p>
    <w:p>
      <w:pPr>
        <w:spacing w:after="0" w:line="243"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On July 1, 2021, Affirm completed the acquisition of technology and intellectual property from Yroo, Inc. and entered into employment arrangements with certain of its employees (“the ShopBrain acquisition”). Yroo, Inc. is a data aggregation and cataloging technology company based in Canada (“ShopBrain”). The purchase price was comprised of (i) $30.0 million in cash and (ii) 151,745 shares of our Class A common stock issued to the shareholders of ShopBrain at closing.</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was approximately $40.0 million, which consisted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Class A common stock transferred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and the value of the assembled workforce. The goodwill is expected to be deductible for income tax purposes.</w:t>
      </w:r>
    </w:p>
    <w:p>
      <w:pPr>
        <w:spacing w:after="0" w:line="20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allocation of the consideration paid of approximately $40.0 million to the fair values of the assets acquired and liabilities assumed at the acquisition date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214"/>
        </w:trPr>
        <w:tc>
          <w:tcPr>
            <w:tcW w:w="7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25"/>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intangible assets were determined by applying the replacement cost method. The fair value measurements are based on significant unobservable inputs, including management estimates and assumptions, and thus represents Level 3 measurements.</w:t>
      </w:r>
    </w:p>
    <w:p>
      <w:pPr>
        <w:spacing w:after="0" w:line="17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transaction costs associated with the acquisition were approximately $0.1 million for the three months ended September 30, 2021, which are included in general and administrative expense within the interim condensed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Fast</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April 19, 2022, Affirm completed the closing of the transaction contemplated by a Release and Waiver Agreement entered into with Fast AF, Inc., (“Fast”) relating to the hiring of certain of its employees or service providers and an option to acquire certain of its assets. The purchase price was comprised of (i) $10.0 million in cash and (ii) forgiveness of a $15.0 million senior secured note issued to Fast in April 2022 prior to the closing.</w:t>
      </w:r>
    </w:p>
    <w:p>
      <w:pPr>
        <w:spacing w:after="0" w:line="176"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acquisition was accounted for as an asset acquisition in accordance with ASC 805 since the assets acquired do not meet the definition of a business. The acquired identifiable intangible assets have been recorded at a total cost of $25.4 million, which includes approximately $0.4 million of transaction costs associated with the acquisition. The excess of the total cost of the assets over their total fair value was allocated between the assets on the basis of their relative fair values. The fair values of the intangible assets were determined by applying the replacement cost method. The fair value measurements are based on significant unobservable inputs, including management estimates and assumptions, and thus represent Level 3 measurements.</w:t>
      </w:r>
    </w:p>
    <w:p>
      <w:pPr>
        <w:spacing w:after="0" w:line="22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identifiable intangible assets acquired and the cost allocated to each asset as of the date of acquisition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 to purchase developed technology</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assembled workforce intangible asset has an expected useful life of 1.5 years. The developed technology asset will be amortized over its expected useful life if the associated assets are purchased and entered into service.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accounts receivable consist primarily of amounts due from payment processors, merchant partners, affiliate network partners and servicing fees due from third-party loan owners. We evaluate accounts receivable to determine management’s current estimate of expected credit losses based on historical experience and future expectations and record an allowance for credit losses, as applicable. Our allowance for credit losses with respect to accounts receivable was $10.2 million and $13.9 million as of September 30, 2022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200,621</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at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231,820</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(60,338)</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$13.5 million and $5.1 million for the three months ended September 30, 2022 and 2021, respectively. Depreciation expense on leasehold improvements, furniture and equipment, and computer equipment is allocated between general and administrative, technology and data analytics, sales and marketing, and processing and servicing based on employee headcount in the interim condensed consolidated statements of operations and comprehensive loss. Amortization expense on internally developed software is included as a component of technology and data analytics in the interim condensed consolidated statements of operations and comprehensive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property, equipment and software were recorded during the three months ended September 30, 2022 and 2021.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three months ended September 30, 2022 were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539,534</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0"/>
        </w:trPr>
        <w:tc>
          <w:tcPr>
            <w:tcW w:w="9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goodwill were recorded during the three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left="313"/>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40" w:type="dxa"/>
            <w:vAlign w:val="bottom"/>
            <w:tcBorders>
              <w:top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domains, indefinite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40" w:type="dxa"/>
            <w:vAlign w:val="bottom"/>
            <w:tcBorders>
              <w:top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28,090</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1.9</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domains, indefinite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141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right="120" w:hanging="328"/>
        <w:spacing w:after="0" w:line="235"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an intangible asset in the amount of $12.9 million which represents the right to purchase developed technology in connection with the Fast asset acquisition. Amortization of this asset will begin when the purchase of the developed technology assets is complete and are placed into service. Refer to Note 5. Acquisitions for more information.</w:t>
      </w:r>
    </w:p>
    <w:p>
      <w:pPr>
        <w:spacing w:after="0" w:line="227"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$7.4 million and $5.5 million for the three months ended September 30, 2022 and 2021, respectively. No impairment losses related to intangible assets were recorded during the three months ended September 30, 2022 and 2021.</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future amortization expense of these intangible assets as of September 30, 2022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55,616</w:t>
            </w:r>
          </w:p>
        </w:tc>
      </w:tr>
      <w:tr>
        <w:trPr>
          <w:trHeight w:val="20"/>
        </w:trPr>
        <w:tc>
          <w:tcPr>
            <w:tcW w:w="9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 Assets</w:t>
      </w:r>
    </w:p>
    <w:p>
      <w:pPr>
        <w:spacing w:after="0" w:line="24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During the year ended June 30, 2022,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approximate 3.2 year remaining initial term of the commercial agreement at the grant date. For the three months ended September 30, 2022, we recognized amortization expense of $10.4 million in our interim condensed consolidated statements of operations and comprehensive loss as a component of sales and marketing expense. Refer to Note 14. Stockholders’ Equity for further discussion of the warrants.</w:t>
      </w:r>
    </w:p>
    <w:p>
      <w:pPr>
        <w:spacing w:after="0" w:line="19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During the year ended June 30, 2021,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September 30, 2022. The expected benefit period of the asset was initially estimated to be four years, and the remaining useful life of the asset is reevaluated each reporting period. During fiscal year 2022, the remaining expected benefit period was extended by two years upon the execution of an amendment to the commercial agreement with Shopify which extended the term of the agreement. During the three months ended September 30, 2022 and 2021, we recorded amortization expense related to the commercial agreement asset of $9.0 million and $17.0 million, respectively, in our interim condensed consolidated statements of operations and comprehensive loss as a component of sales and marketing expense.</w:t>
      </w:r>
    </w:p>
    <w:p>
      <w:pPr>
        <w:spacing w:after="0" w:line="218"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During the year ended June 30,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months ended September 30, 2022 and 2021, we recorded amortization expense related to the asset of $2.1 million and $1.9 million, respectively, in our interim condensed consolidated statements of operations and comprehensive loss as a component of sales and marketing expense.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Pr>
          <w:p>
            <w:pPr>
              <w:spacing w:after="0"/>
              <w:rPr>
                <w:sz w:val="18"/>
                <w:szCs w:val="18"/>
                <w:color w:val="auto"/>
              </w:rPr>
            </w:pPr>
          </w:p>
        </w:tc>
        <w:tc>
          <w:tcPr>
            <w:tcW w:w="17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49,983</w:t>
            </w: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50,671</w:t>
            </w:r>
          </w:p>
        </w:tc>
      </w:tr>
      <w:tr>
        <w:trPr>
          <w:trHeight w:val="22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cost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37,497</w:t>
            </w:r>
          </w:p>
        </w:tc>
      </w:tr>
      <w:tr>
        <w:trPr>
          <w:trHeight w:val="23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reserves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26,483</w:t>
            </w: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Prepaid payroll taxes for stock-based compensation</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35,172</w:t>
            </w:r>
          </w:p>
        </w:tc>
      </w:tr>
      <w:tr>
        <w:trPr>
          <w:trHeight w:val="23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17,221</w:t>
            </w:r>
          </w:p>
        </w:tc>
      </w:tr>
      <w:tr>
        <w:trPr>
          <w:trHeight w:val="229"/>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21,368</w:t>
            </w:r>
          </w:p>
        </w:tc>
      </w:tr>
      <w:tr>
        <w:trPr>
          <w:trHeight w:val="248"/>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281,567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Pr>
          <w:p>
            <w:pPr>
              <w:spacing w:after="0"/>
              <w:rPr>
                <w:sz w:val="18"/>
                <w:szCs w:val="18"/>
                <w:color w:val="auto"/>
              </w:rPr>
            </w:pPr>
          </w:p>
        </w:tc>
        <w:tc>
          <w:tcPr>
            <w:tcW w:w="17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held for derivative instruments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55,779</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67,343</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237,598</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180 days to one year. As of September 30, 2022, we have not considered such provisions in the determination of the lease term, as it is not reasonably certain these options will be exercised. Leases have remaining terms that range from less than one year to eight years.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$9.7 million as of both September 30, 2022 and June 30, 2022.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impairment expense incurred related to leases during the three months ended September 30, 2022 and 2021.</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expenses are as follows (in thousands):</w:t>
      </w:r>
    </w:p>
    <w:p>
      <w:pPr>
        <w:spacing w:after="0" w:line="5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82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$3,800</w:t>
            </w:r>
          </w:p>
        </w:tc>
      </w:tr>
    </w:tbl>
    <w:p>
      <w:pPr>
        <w:spacing w:after="0" w:line="306" w:lineRule="exact"/>
        <w:rPr>
          <w:sz w:val="20"/>
          <w:szCs w:val="20"/>
          <w:color w:val="auto"/>
        </w:rPr>
      </w:pPr>
    </w:p>
    <w:p>
      <w:pPr>
        <w:jc w:val="both"/>
        <w:ind w:right="660" w:firstLine="648"/>
        <w:spacing w:after="0" w:line="282" w:lineRule="auto"/>
        <w:rPr>
          <w:sz w:val="20"/>
          <w:szCs w:val="20"/>
          <w:color w:val="auto"/>
        </w:rPr>
      </w:pPr>
      <w:r>
        <w:rPr>
          <w:rFonts w:ascii="Times New Roman" w:cs="Times New Roman" w:eastAsia="Times New Roman" w:hAnsi="Times New Roman"/>
          <w:sz w:val="18"/>
          <w:szCs w:val="18"/>
          <w:color w:val="auto"/>
        </w:rPr>
        <w:t>We have subleased a portion of our leased facilities. Sublease income totaled $0.9 million and $0.6 million during the three months ended September 30, 2022 and 2021,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term and discount rate information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26"/>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September 30, 2022 are as follows (in thousands) for the years ended:</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21"/>
        </w:trPr>
        <w:tc>
          <w:tcPr>
            <w:tcW w:w="9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12,243</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9"/>
                <w:szCs w:val="19"/>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16,304</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16,119</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15,270</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10,368</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60" w:type="dxa"/>
            <w:vAlign w:val="bottom"/>
          </w:tcPr>
          <w:p>
            <w:pPr>
              <w:spacing w:after="0"/>
              <w:rPr>
                <w:sz w:val="19"/>
                <w:szCs w:val="19"/>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70,304</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(8,044)</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62,260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Obligation</w:t>
      </w:r>
    </w:p>
    <w:p>
      <w:pPr>
        <w:spacing w:after="0" w:line="25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Under the normal terms of our whole loans sales to third-party investors, we may become obligated to repurchase loans from investors in certain instances where a breach in representation and warranties is identified. Generally, a breach in representation and warranties would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This amount was not material as of September 30,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Toole v. Affirm Holdings, Inc.</w:t>
      </w:r>
    </w:p>
    <w:p>
      <w:pPr>
        <w:spacing w:after="0" w:line="25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February 28, 2022, plaintiff Jeffrey Toole filed a putative class action against Affirm and Max Levchin in the U.S. District Court for the Northern District of California (the “Toole action”). The Toole action alleged that Affirm violated Sections 10(b) and 20(a) of the Exchange Act, and Rule 10b-5 promulgated thereunder by issuing and then subsequently deleting a tweet from its official Twitter account on February 10, 2022, which omitted full details of Affirm’s second quarter fiscal 2022 financial results. Plaintiff sought class certification, unspecified compensatory and punitive damages, and costs and expenses. On September 28, 2022, the Court granted Affirm’s motion to dismiss for failure to state a claim with leave to amend within 21 days. No amended complaint was filed by the deadline. On October 20, 2022, the Court dismissed the putative class action and entered judgment in Affirm's favor.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Vallieres v Levchin, et al.</w:t>
      </w:r>
    </w:p>
    <w:p>
      <w:pPr>
        <w:spacing w:after="0" w:line="254"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On April 25, 2022, plaintiff Michael Vallieres filed a shareholder derivative lawsuit in the U.S. District Court for the Northern District of California (the "Vallieres action") against Affirm, as a nominal defendant, and certain of Affirm’s current officers and directors as defendants based on allegations substantially similar to those in the Toole action. The Vallieres complaint purports to assert claims on Affirm's behalf for breach of fiduciary duty, gross mismanagement, abuse of control, unjust enrichment, and contribution under the federal securities laws, and seeks corporate reforms, unspecified damages and restitution, and fees and costs. On June 10, 2022, the Court stayed this derivative action pending final disposition of the Toole action and any appeals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Williams v. Levchin, et al.</w:t>
      </w:r>
    </w:p>
    <w:p>
      <w:pPr>
        <w:spacing w:after="0" w:line="25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September 16, 2022, plaintiff Ron Williams filed a shareholder derivative lawsuit in the U.S. District Court for the Northern District of California (the "Williams action") against Affirm, as a nominal defendant, and certain of Affirm’s current and former officers and directors as defendants based on allegations substantially similar to those in the Vallieres action. The Williams complaint purports to assert six causes of action on Affirm's behalf —violation of Section 14(a) of the Exchange Act, breach of fiduciary duty, unjust enrichment, abuse of control, gross mismanagement, and waste of corporate assets. The plaintiff in the Williams action also alleges a cause of action against defendant Levchin for contribution under 10(b) and 21D of the Exchange Act. The Williams complaint seeks corporate reforms, unspecified damages and restitution, and fees and costs. On October 18, 2022, the Court ordered that the Vallieres and Williams actions be deemed related and stayed the Williams action pending the final disposition of the Toole action and any appeals related thereto.</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determined, based on current knowledge, that the aggregate amount or range of losses that are estimable with respect to the our legal proceedings, including the matters described above, would not have a material adverse effect on our consolidated financial position, results of operations or cash flows. Amounts accrued as of September 30, 2022 were not material. The ultimate outcome of legal proceedings involves judgments, estimates and inherent uncertainties, and cannot be predicted with certainty.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Transactions with Related Parties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As of September 30, 2022, the outstanding balance and interest earned on such accounts is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encompasses funding debt, convertible senior notes and our revolving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Funding debt and its aggregate future maturities consists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60" w:type="dxa"/>
            <w:vAlign w:val="bottom"/>
          </w:tcPr>
          <w:p>
            <w:pPr>
              <w:spacing w:after="0"/>
              <w:rPr>
                <w:sz w:val="18"/>
                <w:szCs w:val="18"/>
                <w:color w:val="auto"/>
              </w:rPr>
            </w:pPr>
          </w:p>
        </w:tc>
        <w:tc>
          <w:tcPr>
            <w:tcW w:w="180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158,547</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421,484</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34,428</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68,936</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683,395</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(10,818)</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672,577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54"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8"/>
          <w:szCs w:val="18"/>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proceeds from the borrowings can only be used for the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of facilitating loan funding and origination, with advance rates ranging from 82% to 88% of the total collateralized balance. These trusts are bankruptcy-remote special-purpose vehicles in which creditors do not have recourse against the general credit of Affirm. These revolving facilities mature between fiscal years 2023 and 2029, and subject to covenant compliance, generally permit borrowings up to 12 months prior to the final maturity date of each respective facility. As of September 30, 2022, the aggregate commitment amount of these facilities was $3,415.9 million on a revolving basis, of which $770.7 million was drawn, with $2,645.2 million remaining available. Some of the loans originated by us or purchased from the originating bank partners are pledged as collateral for borrowings in our facilities. The unpaid principal balance of these loans totaled $897.9 million and $759.7 million as of September 30, 2022 and June 30, 2022, respectively.</w:t>
      </w:r>
    </w:p>
    <w:p>
      <w:pPr>
        <w:spacing w:after="0" w:line="22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accrue monthly interest expense on each warehouse based on the contractual terms set forth in the applicable credit agreement. Interest expense also includes capitalized transaction fees which are amortized on a straight-line basis over the term of the warehouse agreement. The contractual interest rate varies across each warehouse facility and is either based on a benchmark interest rate (such as LIBOR, SOFR, Canadian Prime Rate, CDOR, or the Government of Canada Central Bank Rate), or an alternative commercial paper rate (which is the per annum rate equivalent to the weighted-average of the per annum rates at which all commercial paper notes were issued by certain lenders to fund advances or maintain loans), plus a spread ranging from 1.25% to 4.25%. In addition, these agreements require payment of a monthly unused commitment fee ranging from 0.00% to 0.75% per annum on the undrawn portion available.</w:t>
      </w:r>
    </w:p>
    <w:p>
      <w:pPr>
        <w:spacing w:after="0" w:line="21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These agreements contain certain customary negative covenants and financial covenants including maintaining certain levels of minimum liquidity, maximum leverage, and minimum tangible net worth. As of September 30, 2022, we were in compliance with all applicable covenants in the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Repurchase Agreements</w:t>
      </w:r>
    </w:p>
    <w:p>
      <w:pPr>
        <w:spacing w:after="0" w:line="2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a repurchase date extension for an additional three month term at market interest rates on such extension date. As of September 30, 2022, the interest rates were 4.06% on the senior pledged securities and 5.71% on the residual certificate pledged securities. We had $34.0 million and $27.0 million in debt outstanding under our repurchase agreements disclosed within funding debt on the interim condensed consolidated balance sheets as of September 30, 2022 and June 30, 2022, respectively. The debt will be amortized through regular principal and interest payments on the pledged securities. The outstanding debt relates to $41.5 million and $32.4 million in pledged securities disclosed within securities available for sale at fair value on the interim condensed consolidated balance sheets as of September 30, 2022 and June 30, 2022,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spacing w:after="0" w:line="20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option prior to the close of business on the business day immediately preceding August 15, 2026, only under the following circumstances:</w:t>
      </w:r>
    </w:p>
    <w:p>
      <w:pPr>
        <w:spacing w:after="0" w:line="252" w:lineRule="exact"/>
        <w:rPr>
          <w:sz w:val="20"/>
          <w:szCs w:val="20"/>
          <w:color w:val="auto"/>
        </w:rPr>
      </w:pPr>
    </w:p>
    <w:p>
      <w:pPr>
        <w:ind w:left="580" w:right="40" w:hanging="5"/>
        <w:spacing w:after="0" w:line="261"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6" w:lineRule="exact"/>
        <w:rPr>
          <w:rFonts w:ascii="Times New Roman" w:cs="Times New Roman" w:eastAsia="Times New Roman" w:hAnsi="Times New Roman"/>
          <w:sz w:val="18"/>
          <w:szCs w:val="18"/>
          <w:color w:val="auto"/>
        </w:rPr>
      </w:pPr>
    </w:p>
    <w:p>
      <w:pPr>
        <w:jc w:val="both"/>
        <w:ind w:left="580" w:right="60" w:hanging="5"/>
        <w:spacing w:after="0" w:line="289" w:lineRule="auto"/>
        <w:tabs>
          <w:tab w:leader="none" w:pos="7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84" w:lineRule="exact"/>
        <w:rPr>
          <w:rFonts w:ascii="Times New Roman" w:cs="Times New Roman" w:eastAsia="Times New Roman" w:hAnsi="Times New Roman"/>
          <w:sz w:val="17"/>
          <w:szCs w:val="17"/>
          <w:color w:val="auto"/>
        </w:rPr>
      </w:pPr>
    </w:p>
    <w:p>
      <w:pPr>
        <w:ind w:left="580" w:right="200" w:hanging="5"/>
        <w:spacing w:after="0" w:line="282"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03"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convertible senior notes outstanding as of September 30, 2022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60" w:type="dxa"/>
            <w:vAlign w:val="bottom"/>
          </w:tcPr>
          <w:p>
            <w:pPr>
              <w:spacing w:after="0"/>
              <w:rPr>
                <w:sz w:val="16"/>
                <w:szCs w:val="16"/>
                <w:color w:val="auto"/>
              </w:rPr>
            </w:pP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Unamortized Discount and</w:t>
            </w:r>
          </w:p>
        </w:tc>
        <w:tc>
          <w:tcPr>
            <w:tcW w:w="120" w:type="dxa"/>
            <w:vAlign w:val="bottom"/>
          </w:tcPr>
          <w:p>
            <w:pPr>
              <w:spacing w:after="0"/>
              <w:rPr>
                <w:sz w:val="16"/>
                <w:szCs w:val="16"/>
                <w:color w:val="auto"/>
              </w:rPr>
            </w:pPr>
          </w:p>
        </w:tc>
        <w:tc>
          <w:tcPr>
            <w:tcW w:w="168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Issuance Cost</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1,707,724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8"/>
          <w:szCs w:val="18"/>
          <w:color w:val="auto"/>
        </w:rPr>
        <w:t>The 2026 Notes do not bear interest. In the three months ended September 30, 2022, we recognized $1.1 million of interest expense related to the amortization of debt discount and issuance costs in the interim condensed consolidated statement of operations and comprehensive loss within other (expense) income, net. As of September 30, 2022, the remaining life of the 2026 Notes is approximately 50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56"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7"/>
          <w:szCs w:val="17"/>
          <w:color w:val="auto"/>
        </w:rPr>
        <w:t>On February 4, 2022, we entered into a revolving credit agreement with a syndicate of commercial banks for a $165.0 million unsecured revolving credit facility. On May 16, 2022, we increased unsecured revolving commitments under the facility to $205.0 million. This facility bears interest at a rate equal to, at our option, either (a) 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per annum, in each case, plus an applicable margin of 0.85% per annum. The revolving credit agreement has a final maturity date of February 4,</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2025. The facility contains certain covenants and restrictions, including certain financial maintenance covenants, and requires payment of a monthly unused commitment fee of 0.20% per annum on the undrawn balance available. There are no borrowings outstanding under the facility as of September 30,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Securitization and Variable Interest Entities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68" w:lineRule="exact"/>
        <w:rPr>
          <w:sz w:val="20"/>
          <w:szCs w:val="20"/>
          <w:color w:val="auto"/>
        </w:rPr>
      </w:pPr>
    </w:p>
    <w:p>
      <w:pPr>
        <w:ind w:right="420" w:firstLine="648"/>
        <w:spacing w:after="0" w:line="262" w:lineRule="auto"/>
        <w:rPr>
          <w:sz w:val="20"/>
          <w:szCs w:val="20"/>
          <w:color w:val="auto"/>
        </w:rPr>
      </w:pPr>
      <w:r>
        <w:rPr>
          <w:rFonts w:ascii="Times New Roman" w:cs="Times New Roman" w:eastAsia="Times New Roman" w:hAnsi="Times New Roman"/>
          <w:sz w:val="18"/>
          <w:szCs w:val="18"/>
          <w:color w:val="auto"/>
        </w:rPr>
        <w:t>We established certain entities, deemed to be VIEs, to enter into warehouse credit facilities for the purpose of purchasing loans from our originating bank partners and funding directly originated loans. Refer to Note 10. Debt for additional information. The creditors of the VIEs have no recourse to the general credit of Affirm and the liabilities of the VIEs can only be settled by the respective VIEs’assets;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Securitizations</w:t>
      </w:r>
    </w:p>
    <w:p>
      <w:pPr>
        <w:spacing w:after="0" w:line="25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0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color w:val="auto"/>
        </w:rPr>
        <w:t>For each securitization, the residual certificates represent the right to receive excess cash on the loans each collection period after all fees and required distributions have been made to the note holders on the related payment date. For the majority of consolidated securitization VIEs, we retain 100% of the residual trust certificates issued by the securitization trust. Any portion of the residual trust certificates sold to third-party investors are measured at fair value, using a discounted cash flow model, and presented within accrued expenses and other liabilities on the interim condensed consolidated balance sheets. In addition to the retained residual certificates, our continued involvement includes loan servicing responsibilities over the life of the underlying loans.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defer and amortize debt issuance costs for consolidated securitization trusts on a straight-line basis over the expected life of the notes.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aggregate carrying value of financial assets and liabilities within consolidated VIEs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642,229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35,296</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1,765,300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1,722,579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42,721</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78,017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52"/>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1,632,107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46,955</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2,242,269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2,166,529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7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transactions with unconsolidated VIEs include securitization trusts where we did not retain significant economic exposure through our variable interests and therefore we determined that we are not the primary beneficiary as of September 30, 2022.</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unconsolidated VIEs where we hold a variable interest but are not the primary beneficiary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820,361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797,639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41,344</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820,361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797,639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996,242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965,909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242424"/>
        </w:rPr>
        <w:t xml:space="preserve">Maximum </w:t>
      </w:r>
      <w:r>
        <w:rPr>
          <w:rFonts w:ascii="Times New Roman" w:cs="Times New Roman" w:eastAsia="Times New Roman" w:hAnsi="Times New Roman"/>
          <w:sz w:val="18"/>
          <w:szCs w:val="18"/>
          <w:color w:val="000000"/>
        </w:rPr>
        <w:t>exposure to losses represents our exposure through our continuing involvement as servicer and through our retained interests. For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unconsolidated VIEs, this includes $41.5 million in retained notes and residual certificates disclosed within securities available for sale at fair value in our interim condensed consolidated balance sheets and $0.2 million related to our servicing liabilities disclosed within other assets in our interim condensed consolidated balance sheets as of September 30, 2022.</w:t>
      </w:r>
    </w:p>
    <w:p>
      <w:pPr>
        <w:spacing w:after="0" w:line="21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experience a loss due to future repurchase obligations resulting from breaches in representations and warranties in our securitization and third-party sale agreements. This amount was not material as of September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Retained Beneficial Interests in Unconsolidated VIEs</w:t>
      </w:r>
    </w:p>
    <w:p>
      <w:pPr>
        <w:spacing w:after="0" w:line="270" w:lineRule="exact"/>
        <w:rPr>
          <w:sz w:val="20"/>
          <w:szCs w:val="20"/>
          <w:color w:val="auto"/>
        </w:rPr>
      </w:pPr>
    </w:p>
    <w:p>
      <w:pPr>
        <w:jc w:val="both"/>
        <w:ind w:right="260" w:firstLine="648"/>
        <w:spacing w:after="0" w:line="297" w:lineRule="auto"/>
        <w:rPr>
          <w:sz w:val="20"/>
          <w:szCs w:val="20"/>
          <w:color w:val="auto"/>
        </w:rPr>
      </w:pPr>
      <w:r>
        <w:rPr>
          <w:rFonts w:ascii="Times New Roman" w:cs="Times New Roman" w:eastAsia="Times New Roman" w:hAnsi="Times New Roman"/>
          <w:sz w:val="17"/>
          <w:szCs w:val="17"/>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interim condensed consolidated balance sheets.</w:t>
      </w:r>
    </w:p>
    <w:p>
      <w:pPr>
        <w:spacing w:after="0" w:line="17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8"/>
          <w:szCs w:val="18"/>
          <w:color w:val="auto"/>
        </w:rPr>
        <w:t>See Note 12. Investments and Note 13. Fair Value of Financial Assets and Liabilities for additional information on the fair value sensitivity of the notes receivable and residual certificates. Additionally, as of September 30, 2022, we have pledged each of our retained beneficial interests as collateral in a sale and repurchase agreement as described in Note 10. Debt.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4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306,461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162,483</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229,272</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300,390</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368,671</w:t>
            </w: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478,294</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r>
      <w:tr>
        <w:trPr>
          <w:trHeight w:val="229"/>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378,386</w:t>
            </w:r>
          </w:p>
        </w:tc>
      </w:tr>
      <w:tr>
        <w:trPr>
          <w:trHeight w:val="230"/>
        </w:trPr>
        <w:tc>
          <w:tcPr>
            <w:tcW w:w="6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51,678</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2,061,696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814705</wp:posOffset>
            </wp:positionV>
            <wp:extent cx="1414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have been pledged as collateral in connection with sale and repurchase agreements as discussed within Note 10. Debt.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 at Fair Value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amortized cost, gross unrealized gains and losses, allowance for credit losses, and fair value of securities available for sale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June 30, 2022 were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310,352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326,860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418,608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545,136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1,666,992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1,653,213</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368,671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436,927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1,899,212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280" w:hanging="328"/>
        <w:spacing w:after="0" w:line="235"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Certificates of deposit, corporate bonds, US government bonds, and commercial paper include $415.9 million and $303.8 million as of September 30, 2022 and June 30, 2022, respectively, classified as cash and cash equivalents within the interim condensed consolidated balance sheets.</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6" w:lineRule="auto"/>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have been pledged as collateral in connection with sale and repurchase agreements as discussed within Note 10. Debt</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0" w:firstLine="648"/>
        <w:spacing w:after="0" w:line="274" w:lineRule="auto"/>
        <w:rPr>
          <w:sz w:val="20"/>
          <w:szCs w:val="20"/>
          <w:color w:val="auto"/>
        </w:rPr>
      </w:pPr>
      <w:r>
        <w:rPr>
          <w:rFonts w:ascii="Times New Roman" w:cs="Times New Roman" w:eastAsia="Times New Roman" w:hAnsi="Times New Roman"/>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September 30, 2022 and June 30, 2022,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31"/>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35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221,231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291,843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317,803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340,812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340,812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234,060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23,696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257,756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1,090,027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59,507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1,149,534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5"/>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290,169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290,169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679,272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 notes receivable and certificates</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1,771,109</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b w:val="1"/>
          <w:bCs w:val="1"/>
          <w:i w:val="1"/>
          <w:iCs w:val="1"/>
          <w:color w:val="auto"/>
          <w:vertAlign w:val="superscript"/>
        </w:rPr>
      </w:pPr>
      <w:r>
        <w:rPr>
          <w:rFonts w:ascii="Times New Roman" w:cs="Times New Roman" w:eastAsia="Times New Roman" w:hAnsi="Times New Roman"/>
          <w:sz w:val="18"/>
          <w:szCs w:val="18"/>
          <w:color w:val="auto"/>
        </w:rPr>
        <w:t>The number of positions with unrealized losses totaled 193 and 270 as of September 30, 2022 and June 30, 2022, respectively.</w:t>
      </w:r>
    </w:p>
    <w:p>
      <w:pPr>
        <w:spacing w:after="0" w:line="200" w:lineRule="exact"/>
        <w:rPr>
          <w:rFonts w:ascii="Times New Roman" w:cs="Times New Roman" w:eastAsia="Times New Roman" w:hAnsi="Times New Roman"/>
          <w:sz w:val="23"/>
          <w:szCs w:val="23"/>
          <w:b w:val="1"/>
          <w:bCs w:val="1"/>
          <w:i w:val="1"/>
          <w:iCs w:val="1"/>
          <w:color w:val="auto"/>
          <w:vertAlign w:val="superscript"/>
        </w:rPr>
      </w:pPr>
    </w:p>
    <w:p>
      <w:pPr>
        <w:spacing w:after="0" w:line="200" w:lineRule="exact"/>
        <w:rPr>
          <w:rFonts w:ascii="Times New Roman" w:cs="Times New Roman" w:eastAsia="Times New Roman" w:hAnsi="Times New Roman"/>
          <w:sz w:val="23"/>
          <w:szCs w:val="23"/>
          <w:b w:val="1"/>
          <w:bCs w:val="1"/>
          <w:i w:val="1"/>
          <w:iCs w:val="1"/>
          <w:color w:val="auto"/>
          <w:vertAlign w:val="superscript"/>
        </w:rPr>
      </w:pPr>
    </w:p>
    <w:p>
      <w:pPr>
        <w:spacing w:after="0" w:line="200" w:lineRule="exact"/>
        <w:rPr>
          <w:rFonts w:ascii="Times New Roman" w:cs="Times New Roman" w:eastAsia="Times New Roman" w:hAnsi="Times New Roman"/>
          <w:sz w:val="23"/>
          <w:szCs w:val="23"/>
          <w:b w:val="1"/>
          <w:bCs w:val="1"/>
          <w:i w:val="1"/>
          <w:iCs w:val="1"/>
          <w:color w:val="auto"/>
          <w:vertAlign w:val="superscript"/>
        </w:rPr>
      </w:pPr>
    </w:p>
    <w:p>
      <w:pPr>
        <w:spacing w:after="0" w:line="200" w:lineRule="exact"/>
        <w:rPr>
          <w:rFonts w:ascii="Times New Roman" w:cs="Times New Roman" w:eastAsia="Times New Roman" w:hAnsi="Times New Roman"/>
          <w:sz w:val="23"/>
          <w:szCs w:val="23"/>
          <w:b w:val="1"/>
          <w:bCs w:val="1"/>
          <w:i w:val="1"/>
          <w:iCs w:val="1"/>
          <w:color w:val="auto"/>
          <w:vertAlign w:val="superscript"/>
        </w:rPr>
      </w:pPr>
    </w:p>
    <w:p>
      <w:pPr>
        <w:spacing w:after="0" w:line="261" w:lineRule="exact"/>
        <w:rPr>
          <w:rFonts w:ascii="Times New Roman" w:cs="Times New Roman" w:eastAsia="Times New Roman" w:hAnsi="Times New Roman"/>
          <w:sz w:val="23"/>
          <w:szCs w:val="23"/>
          <w:b w:val="1"/>
          <w:bCs w:val="1"/>
          <w:i w:val="1"/>
          <w:iCs w:val="1"/>
          <w:color w:val="auto"/>
          <w:vertAlign w:val="superscript"/>
        </w:rPr>
      </w:pPr>
    </w:p>
    <w:p>
      <w:pPr>
        <w:ind w:left="5540"/>
        <w:spacing w:after="0"/>
        <w:rPr>
          <w:rFonts w:ascii="Times New Roman" w:cs="Times New Roman" w:eastAsia="Times New Roman" w:hAnsi="Times New Roman"/>
          <w:sz w:val="23"/>
          <w:szCs w:val="23"/>
          <w:b w:val="1"/>
          <w:bCs w:val="1"/>
          <w:i w:val="1"/>
          <w:iCs w:val="1"/>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20" w:firstLine="648"/>
        <w:spacing w:after="0" w:line="275" w:lineRule="auto"/>
        <w:rPr>
          <w:sz w:val="20"/>
          <w:szCs w:val="20"/>
          <w:color w:val="auto"/>
        </w:rPr>
      </w:pPr>
      <w:r>
        <w:rPr>
          <w:rFonts w:ascii="Times New Roman" w:cs="Times New Roman" w:eastAsia="Times New Roman" w:hAnsi="Times New Roman"/>
          <w:sz w:val="18"/>
          <w:szCs w:val="18"/>
          <w:color w:val="auto"/>
        </w:rPr>
        <w:t>The length of time to contractual maturities of securities available for sale as of September 30, 2022 and June 30, 2022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8"/>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(2)</w:t>
            </w:r>
          </w:p>
        </w:tc>
        <w:tc>
          <w:tcPr>
            <w:tcW w:w="280" w:type="dxa"/>
            <w:vAlign w:val="bottom"/>
            <w:tcBorders>
              <w:top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310,352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310,352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419,587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80" w:type="dxa"/>
            <w:vAlign w:val="bottom"/>
            <w:tcBorders>
              <w:top w:val="single" w:sz="8" w:color="auto"/>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1,379,969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1,373,837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1,666,992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8"/>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(2)</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316,416</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316,416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371,907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368,671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708,694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707,565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3320" w:type="dxa"/>
            <w:vAlign w:val="bottom"/>
          </w:tcPr>
          <w:p>
            <w:pPr>
              <w:ind w:left="12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436,927</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51,678</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1,604,885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1,599,650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299,562</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1,907,255</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1,899,212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life of expected cash flows as of September 30, 2022 and June 30, 2022, respectively.</w:t>
      </w:r>
    </w:p>
    <w:p>
      <w:pPr>
        <w:spacing w:after="0" w:line="1" w:lineRule="exact"/>
        <w:rPr>
          <w:rFonts w:ascii="Times New Roman" w:cs="Times New Roman" w:eastAsia="Times New Roman" w:hAnsi="Times New Roman"/>
          <w:sz w:val="23"/>
          <w:szCs w:val="23"/>
          <w:color w:val="auto"/>
          <w:vertAlign w:val="superscript"/>
        </w:rPr>
      </w:pPr>
    </w:p>
    <w:p>
      <w:pPr>
        <w:ind w:left="660" w:right="280" w:hanging="328"/>
        <w:spacing w:after="0" w:line="228"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Certificates of deposit, corporate bonds, US government bonds, and commercial paper include $415.9 million and $303.8 million as of September 30, 2022 and June 30, 2022, respectively, classified as cash and cash equivalents within the interim condensed consolidated balance sheets.</w:t>
      </w:r>
    </w:p>
    <w:p>
      <w:pPr>
        <w:spacing w:after="0" w:line="22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Gross proceeds from matured or redeemed securities were $1,681.1 million and $50.7 million for the three months ended September 30, 2022 and 2021, respectively.</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available for sale securities realized gains and losses from portfolio sales were not material for the three months ended September 30, 2022 and there were no portfolio sales or associated realized gains or losses for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held at cost were $43.2 million as of September 30, 2022 and June 30, 2022 and are included in other assets within the interim condensed consolidated balance sheets.</w:t>
      </w:r>
    </w:p>
    <w:p>
      <w:pPr>
        <w:spacing w:after="0" w:line="18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unrealized or realized gains and losses due to observable changes in orderly transactions and we did not record any impairment for the three months ended September 30, 2022 or for the three months ended September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of Financial Assets and Liabilities</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ASC Topic 820, “Fair Value Measurement” (“ASC 820”) establishes a fair value hierarchy that prioritizes the use of inputs used in valuation methodologies into the following three levels:</w:t>
      </w:r>
    </w:p>
    <w:p>
      <w:pPr>
        <w:spacing w:after="0" w:line="187" w:lineRule="exact"/>
        <w:rPr>
          <w:sz w:val="20"/>
          <w:szCs w:val="20"/>
          <w:color w:val="auto"/>
        </w:rPr>
      </w:pPr>
    </w:p>
    <w:p>
      <w:pPr>
        <w:ind w:left="660" w:right="4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market provides the most reliable evidence of fair value and shall be used to measure fair value whenever available.</w:t>
      </w:r>
    </w:p>
    <w:p>
      <w:pPr>
        <w:spacing w:after="0" w:line="185"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to the valuation methodology include quoted prices for similar assets or liabilities in active markets; inputs to the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200" w:lineRule="exact"/>
        <w:rPr>
          <w:rFonts w:ascii="Times New Roman" w:cs="Times New Roman" w:eastAsia="Times New Roman" w:hAnsi="Times New Roman"/>
          <w:sz w:val="18"/>
          <w:szCs w:val="18"/>
          <w:color w:val="auto"/>
        </w:rPr>
      </w:pPr>
    </w:p>
    <w:p>
      <w:pPr>
        <w:jc w:val="both"/>
        <w:ind w:left="660" w:right="10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to the valuation methodology are unobservable and significant to the fair value measurement. Level 3 assets and liabilities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whose value is determined using discounted cash flow methodologies,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Recorded at Fair Value</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September 30, 2022 and June 30, 2022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306,461</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111,048</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 - 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287,379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291,679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326,860</w:t>
            </w: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257,757</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70,769</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2,031,585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Residual trust certificates, held by third-parties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162,483</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229,272</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 - 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300,390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368,671</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478,293</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378,386</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2,112,870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Residual trust certificates, held by third-parties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30,095</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30,095</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levels during the periods ended September 30, 2022 and June 30,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(Level 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Available for Sale</w:t>
      </w:r>
    </w:p>
    <w:p>
      <w:pPr>
        <w:spacing w:after="0" w:line="2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we held marketable securities classified as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Instruments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primary objective in holding derivatives is to reduce the volatility in cash flows associated with our funding activities, arising from changes in interest rates. We do not employ derivatives for trading or speculative purposes.</w:t>
      </w:r>
    </w:p>
    <w:p>
      <w:pPr>
        <w:spacing w:after="0" w:line="17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we used a combination of interest rate cap agreements and interest rate swaps to manage interest costs and the risk associated with variable interest rates. Neither the interest rate caps or the interest rate swaps have been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As of September 30, 2022 and June 30, 2022, the interest rate caps and interest rate swaps are in a net asset position, and classified as Level 2 within the fair value hierarchy, based on prices quoted for similar financial instruments in markets that are not active. The fair values are presented gross within other assets and offsetting collateral received by the counterparty is presented as a liability within accrued expenses and other liabilities on the interim condensed consolidated balance sheets. Any changes in the fair value of these financial instruments are reflected in other (expense) income, net, on the interim condensed consolidated statements of operations and comprehensive loss.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25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contingent consideration, and profit share liability do not trade in an active market with readily observable prices, we use significant unobservable inputs to measure fair value. This determination requires significant judgments to be made.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25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sold loans with an unpaid balance of $2.0 billion and $1.1 billion for the three months ended September 30, 2022 and 2021, respectively, for which we retained servicing rights.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2022 and June 30, 2022, we serviced loans which we sold with a remaining unpaid principal balance of $4.5 billion for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w:t>
      </w:r>
    </w:p>
    <w:p>
      <w:pPr>
        <w:spacing w:after="0" w:line="234"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Significant assumptions used in the valuation of our servicing rights are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Adequate Compensation</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estimate adequate compensation as the rate a willing market participant would require for servicing loans with similar characteristics as those in the serviced portfolio.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5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Default Rate</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earned $21.4 million and $9.5 million of servicing income for the three months ended September 30, 2022 and 2021, respectively.</w:t>
      </w:r>
    </w:p>
    <w:p>
      <w:pPr>
        <w:spacing w:after="0" w:line="25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and June 30, 2022, the aggregate fair value of the servicing assets was measured at $1.1 million and $1.2 million, respectively, and presented within other assets on the interim condensed consolidated balance sheets. As of September 30, 2022 and June 30, 2022, the aggregate fair value of the servicing liabilities was measured at $3.2 million and $2.7 million, respectively,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5"/>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6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29"/>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6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1"/>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47"/>
        </w:trPr>
        <w:tc>
          <w:tcPr>
            <w:tcW w:w="96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liabilities (in thousands):</w:t>
            </w:r>
          </w:p>
        </w:tc>
        <w:tc>
          <w:tcPr>
            <w:tcW w:w="1580" w:type="dxa"/>
            <w:vAlign w:val="bottom"/>
          </w:tcPr>
          <w:p>
            <w:pPr>
              <w:spacing w:after="0"/>
              <w:rPr>
                <w:sz w:val="24"/>
                <w:szCs w:val="24"/>
                <w:color w:val="auto"/>
              </w:rPr>
            </w:pPr>
          </w:p>
        </w:tc>
      </w:tr>
      <w:tr>
        <w:trPr>
          <w:trHeight w:val="240"/>
        </w:trPr>
        <w:tc>
          <w:tcPr>
            <w:tcW w:w="6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6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center"/>
              <w:ind w:left="973"/>
              <w:spacing w:after="0"/>
              <w:rPr>
                <w:sz w:val="20"/>
                <w:szCs w:val="20"/>
                <w:color w:val="auto"/>
              </w:rPr>
            </w:pPr>
            <w:r>
              <w:rPr>
                <w:rFonts w:ascii="Times New Roman" w:cs="Times New Roman" w:eastAsia="Times New Roman" w:hAnsi="Times New Roman"/>
                <w:sz w:val="18"/>
                <w:szCs w:val="18"/>
                <w:color w:val="auto"/>
                <w:w w:val="98"/>
              </w:rPr>
              <w:t>2,673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30"/>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500" w:type="dxa"/>
            <w:vAlign w:val="bottom"/>
          </w:tcPr>
          <w:p>
            <w:pPr>
              <w:spacing w:after="0"/>
              <w:rPr>
                <w:sz w:val="19"/>
                <w:szCs w:val="19"/>
                <w:color w:val="auto"/>
              </w:rPr>
            </w:pPr>
          </w:p>
        </w:tc>
        <w:tc>
          <w:tcPr>
            <w:tcW w:w="162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w w:val="98"/>
              </w:rPr>
              <w:t>1,988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933"/>
              <w:spacing w:after="0"/>
              <w:rPr>
                <w:sz w:val="20"/>
                <w:szCs w:val="20"/>
                <w:color w:val="auto"/>
              </w:rPr>
            </w:pPr>
            <w:r>
              <w:rPr>
                <w:rFonts w:ascii="Times New Roman" w:cs="Times New Roman" w:eastAsia="Times New Roman" w:hAnsi="Times New Roman"/>
                <w:sz w:val="18"/>
                <w:szCs w:val="18"/>
                <w:color w:val="auto"/>
                <w:w w:val="98"/>
              </w:rPr>
              <w:t>(1,509)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2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5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w w:val="98"/>
              </w:rPr>
              <w:t>3,152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presents quantitative information about the significant unobservable inputs used for our Level 3 fair value measurement of servicing assets and liabilities as of September 30, 2022 and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760" w:type="dxa"/>
            <w:vAlign w:val="bottom"/>
            <w:tcBorders>
              <w:bottom w:val="single" w:sz="8" w:color="auto"/>
            </w:tcBorders>
          </w:tcPr>
          <w:p>
            <w:pPr>
              <w:spacing w:after="0"/>
              <w:rPr>
                <w:sz w:val="18"/>
                <w:szCs w:val="18"/>
                <w:color w:val="auto"/>
              </w:rPr>
            </w:pPr>
          </w:p>
        </w:tc>
      </w:tr>
      <w:tr>
        <w:trPr>
          <w:trHeight w:val="214"/>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312"/>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14.55 %</w:t>
            </w:r>
          </w:p>
        </w:tc>
      </w:tr>
      <w:tr>
        <w:trPr>
          <w:trHeight w:val="344"/>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760" w:type="dxa"/>
            <w:vAlign w:val="bottom"/>
            <w:tcBorders>
              <w:bottom w:val="single" w:sz="8" w:color="auto"/>
            </w:tcBorders>
          </w:tcPr>
          <w:p>
            <w:pPr>
              <w:spacing w:after="0"/>
              <w:rPr>
                <w:sz w:val="24"/>
                <w:szCs w:val="24"/>
                <w:color w:val="auto"/>
              </w:rPr>
            </w:pPr>
          </w:p>
        </w:tc>
      </w:tr>
      <w:tr>
        <w:trPr>
          <w:trHeight w:val="214"/>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0" w:type="dxa"/>
            <w:vAlign w:val="bottom"/>
            <w:tcBorders>
              <w:top w:val="single" w:sz="8" w:color="auto"/>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3"/>
                <w:szCs w:val="23"/>
                <w:color w:val="auto"/>
                <w:vertAlign w:val="superscript"/>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2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306"/>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5"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Annualized estimated cost of servicing a loan as a percentage of unpaid principal balance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Annualized estimated gross charge-offs as a percentage of unpaid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Pr>
          <w:p>
            <w:pPr>
              <w:spacing w:after="0"/>
              <w:rPr>
                <w:sz w:val="18"/>
                <w:szCs w:val="18"/>
                <w:color w:val="auto"/>
              </w:rPr>
            </w:pPr>
          </w:p>
        </w:tc>
        <w:tc>
          <w:tcPr>
            <w:tcW w:w="17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2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40" w:type="dxa"/>
            <w:vAlign w:val="bottom"/>
          </w:tcPr>
          <w:p>
            <w:pPr>
              <w:spacing w:after="0"/>
              <w:rPr>
                <w:sz w:val="18"/>
                <w:szCs w:val="18"/>
                <w:color w:val="auto"/>
              </w:rPr>
            </w:pPr>
          </w:p>
        </w:tc>
        <w:tc>
          <w:tcPr>
            <w:tcW w:w="37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11"/>
        </w:trPr>
        <w:tc>
          <w:tcPr>
            <w:tcW w:w="68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40" w:type="dxa"/>
            <w:vAlign w:val="bottom"/>
            <w:shd w:val="clear" w:color="auto" w:fill="CCEEFF"/>
          </w:tcPr>
          <w:p>
            <w:pPr>
              <w:jc w:val="right"/>
              <w:ind w:right="12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loans</w:t>
            </w: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40" w:type="dxa"/>
            <w:vAlign w:val="bottom"/>
            <w:tcBorders>
              <w:bottom w:val="single" w:sz="8" w:color="auto"/>
            </w:tcBorders>
          </w:tcPr>
          <w:p>
            <w:pPr>
              <w:jc w:val="right"/>
              <w:ind w:right="12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0"/>
        </w:trPr>
        <w:tc>
          <w:tcPr>
            <w:tcW w:w="6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performance fee liability as of September 30, 2022 and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40" w:type="dxa"/>
            <w:vAlign w:val="bottom"/>
            <w:tcBorders>
              <w:bottom w:val="single" w:sz="8" w:color="auto"/>
            </w:tcBorders>
          </w:tcPr>
          <w:p>
            <w:pPr>
              <w:spacing w:after="0"/>
              <w:rPr>
                <w:sz w:val="18"/>
                <w:szCs w:val="18"/>
                <w:color w:val="auto"/>
              </w:rPr>
            </w:pP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1.94%</w:t>
            </w:r>
          </w:p>
        </w:tc>
      </w:tr>
      <w:tr>
        <w:trPr>
          <w:trHeight w:val="413"/>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tcBorders>
              <w:bottom w:val="single" w:sz="8" w:color="auto"/>
            </w:tcBorders>
          </w:tcPr>
          <w:p>
            <w:pPr>
              <w:spacing w:after="0"/>
              <w:rPr>
                <w:sz w:val="24"/>
                <w:szCs w:val="24"/>
                <w:color w:val="auto"/>
              </w:rPr>
            </w:pP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Residual Trust Certificates Held by Third-Parties in Consolidated VIEs</w:t>
      </w:r>
    </w:p>
    <w:p>
      <w:pPr>
        <w:spacing w:after="0" w:line="25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residual trust certificates held by third-parties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r>
      <w:tr>
        <w:trPr>
          <w:trHeight w:val="211"/>
        </w:trPr>
        <w:tc>
          <w:tcPr>
            <w:tcW w:w="68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540" w:type="dxa"/>
            <w:vAlign w:val="bottom"/>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w:t>
            </w:r>
          </w:p>
        </w:tc>
        <w:tc>
          <w:tcPr>
            <w:tcW w:w="1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5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540" w:type="dxa"/>
            <w:vAlign w:val="bottom"/>
            <w:tcBorders>
              <w:bottom w:val="single" w:sz="8" w:color="auto"/>
            </w:tcBorders>
          </w:tcPr>
          <w:p>
            <w:pPr>
              <w:jc w:val="right"/>
              <w:ind w:right="13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0"/>
        </w:trPr>
        <w:tc>
          <w:tcPr>
            <w:tcW w:w="6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 quantitative information about the significant unobservable inputs used for our Level 3 fair value measurement of the residual trust certificates held by third-parties as of September 30, 2022 and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40" w:type="dxa"/>
            <w:vAlign w:val="bottom"/>
            <w:tcBorders>
              <w:bottom w:val="single" w:sz="8" w:color="auto"/>
            </w:tcBorders>
          </w:tcPr>
          <w:p>
            <w:pPr>
              <w:spacing w:after="0"/>
              <w:rPr>
                <w:sz w:val="18"/>
                <w:szCs w:val="18"/>
                <w:color w:val="auto"/>
              </w:rPr>
            </w:pPr>
          </w:p>
        </w:tc>
      </w:tr>
      <w:tr>
        <w:trPr>
          <w:trHeight w:val="21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r>
      <w:tr>
        <w:trPr>
          <w:trHeight w:val="23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r>
      <w:tr>
        <w:trPr>
          <w:trHeight w:val="57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40" w:type="dxa"/>
            <w:vAlign w:val="bottom"/>
            <w:tcBorders>
              <w:bottom w:val="single" w:sz="8" w:color="auto"/>
            </w:tcBorders>
          </w:tcPr>
          <w:p>
            <w:pPr>
              <w:spacing w:after="0"/>
              <w:rPr>
                <w:sz w:val="24"/>
                <w:szCs w:val="24"/>
                <w:color w:val="auto"/>
              </w:rPr>
            </w:pPr>
          </w:p>
        </w:tc>
      </w:tr>
      <w:tr>
        <w:trPr>
          <w:trHeight w:val="21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Retained Beneficial Interests in Unconsolidated VIEs</w:t>
      </w:r>
    </w:p>
    <w:p>
      <w:pPr>
        <w:spacing w:after="0" w:line="26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held notes receivable and residual trust certificates with an aggregate fair value of $41.5 million in connection with unconsolidated securitizations. The balances correspond to the 5% economic risk retention the Company is required to maintain as the securitization sponsor.</w:t>
      </w:r>
    </w:p>
    <w:p>
      <w:pPr>
        <w:spacing w:after="0" w:line="21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on the interim condensed consolidated balance sheets. Changes in the fair value, other than declines in fair value due to credit recognized as an allowance, are reflected in other comprehensive income (loss) on the interim condensed consolidated statements of operations and comprehensive loss. Declines in fair value due to credit are reflected in other (expense) income, net on the interim condensed consolidated statements of operations and comprehensive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residual trust certificates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40" w:type="dxa"/>
            <w:vAlign w:val="bottom"/>
            <w:shd w:val="clear" w:color="auto" w:fill="CCEEFF"/>
          </w:tcPr>
          <w:p>
            <w:pPr>
              <w:jc w:val="right"/>
              <w:ind w:right="12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received (due to payments or sales)</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Reversal of (impairment on) securities available for sale</w:t>
            </w: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40" w:type="dxa"/>
            <w:vAlign w:val="bottom"/>
            <w:tcBorders>
              <w:bottom w:val="single" w:sz="8" w:color="auto"/>
            </w:tcBorders>
          </w:tcPr>
          <w:p>
            <w:pPr>
              <w:jc w:val="right"/>
              <w:ind w:right="12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w:t>
            </w:r>
          </w:p>
        </w:tc>
      </w:tr>
      <w:tr>
        <w:trPr>
          <w:trHeight w:val="20"/>
        </w:trPr>
        <w:tc>
          <w:tcPr>
            <w:tcW w:w="6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0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residual trust certificates as of September 30, 2022 and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40" w:type="dxa"/>
            <w:vAlign w:val="bottom"/>
            <w:tcBorders>
              <w:bottom w:val="single" w:sz="8" w:color="auto"/>
            </w:tcBorders>
          </w:tcPr>
          <w:p>
            <w:pPr>
              <w:spacing w:after="0"/>
              <w:rPr>
                <w:sz w:val="18"/>
                <w:szCs w:val="18"/>
                <w:color w:val="auto"/>
              </w:rPr>
            </w:pP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26.38%</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6.64%</w:t>
            </w: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2.04%</w:t>
            </w: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18.53%</w:t>
            </w:r>
          </w:p>
        </w:tc>
      </w:tr>
      <w:tr>
        <w:trPr>
          <w:trHeight w:val="332"/>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tcBorders>
              <w:bottom w:val="single" w:sz="8" w:color="auto"/>
            </w:tcBorders>
          </w:tcPr>
          <w:p>
            <w:pPr>
              <w:spacing w:after="0"/>
              <w:rPr>
                <w:sz w:val="24"/>
                <w:szCs w:val="24"/>
                <w:color w:val="auto"/>
              </w:rPr>
            </w:pP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22.50%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5.37%</w:t>
            </w: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10.95%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2.65%</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18.48%</w:t>
            </w:r>
          </w:p>
        </w:tc>
      </w:tr>
    </w:tbl>
    <w:p>
      <w:pPr>
        <w:spacing w:after="0" w:line="306" w:lineRule="exact"/>
        <w:rPr>
          <w:sz w:val="20"/>
          <w:szCs w:val="20"/>
          <w:color w:val="auto"/>
        </w:rPr>
      </w:pPr>
    </w:p>
    <w:p>
      <w:pPr>
        <w:ind w:right="560" w:firstLine="648"/>
        <w:spacing w:after="0" w:line="283"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securitization residual trust certificates given hypothetical changes in significant unobservable inputs (in thousands):</w:t>
      </w: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w:t>
      </w:r>
    </w:p>
    <w:p>
      <w:pPr>
        <w:spacing w:after="0" w:line="2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acquisition of PayBright, Inc. (“PayBright”) on January 1, 2021 included consideration transferred and 2,587,362 shares of our common stock held in escrow, contingent upon the achievement of future milestones. At the acquisition date, we classified the contingent consideration as a liability and estimated its fair value using a Monte Carlo simulation utilizing assumptions of simulated revenue, equity volatility, and a discount rate. The liability is remeasured to its fair value at each reporting date, utilizing a Monte Carlo simulation for periods in which actual revenues are unknown, until the contingency is resolved. During the year ended June 30, 2022, one of these milestones was achieved and 1,293,681 shares of our Class A common stock were released from escrow, resulting in a reduction to the contingent liability. During the three months ended September 30, 2022, an additional milestone was achieved and the fair value was estimated based on the shares expected to be released from escrow multiplied by the estimated share price. The fair value estimate represents a Level 3 measurement, as the revenue milestone represents a significant unobservable input. The change in fair value of the contingent consideration at each reporting date is recognized as a component of other (expense) income, net in the interim condensed consolidated statements of operations and comprehensive loss for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PayBright contingent consideration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80" w:type="dxa"/>
            <w:vAlign w:val="bottom"/>
            <w:tcBorders>
              <w:bottom w:val="single" w:sz="8" w:color="auto"/>
            </w:tcBorders>
          </w:tcPr>
          <w:p>
            <w:pPr>
              <w:spacing w:after="0"/>
              <w:rPr>
                <w:sz w:val="18"/>
                <w:szCs w:val="18"/>
                <w:color w:val="auto"/>
              </w:rPr>
            </w:pPr>
          </w:p>
        </w:tc>
      </w:tr>
      <w:tr>
        <w:trPr>
          <w:trHeight w:val="211"/>
        </w:trPr>
        <w:tc>
          <w:tcPr>
            <w:tcW w:w="68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2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153,447</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141,592</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20" w:type="dxa"/>
            <w:vAlign w:val="bottom"/>
            <w:tcBorders>
              <w:bottom w:val="single" w:sz="8" w:color="auto"/>
            </w:tcBorders>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290,719</w:t>
            </w:r>
          </w:p>
        </w:tc>
      </w:tr>
      <w:tr>
        <w:trPr>
          <w:trHeight w:val="20"/>
        </w:trPr>
        <w:tc>
          <w:tcPr>
            <w:tcW w:w="6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Profit Share Liability</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profit share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392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80" w:type="dxa"/>
            <w:vAlign w:val="bottom"/>
            <w:tcBorders>
              <w:bottom w:val="single" w:sz="8" w:color="auto"/>
            </w:tcBorders>
          </w:tcPr>
          <w:p>
            <w:pPr>
              <w:spacing w:after="0"/>
              <w:rPr>
                <w:sz w:val="18"/>
                <w:szCs w:val="18"/>
                <w:color w:val="auto"/>
              </w:rPr>
            </w:pPr>
          </w:p>
        </w:tc>
      </w:tr>
      <w:tr>
        <w:trPr>
          <w:trHeight w:val="211"/>
        </w:trPr>
        <w:tc>
          <w:tcPr>
            <w:tcW w:w="65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r>
      <w:tr>
        <w:trPr>
          <w:trHeight w:val="22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520" w:type="dxa"/>
            <w:vAlign w:val="bottom"/>
            <w:shd w:val="clear" w:color="auto" w:fill="CCEEFF"/>
          </w:tcPr>
          <w:p>
            <w:pPr>
              <w:jc w:val="right"/>
              <w:ind w:right="13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1,987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Facilitation of loans</w:t>
            </w:r>
          </w:p>
        </w:tc>
        <w:tc>
          <w:tcPr>
            <w:tcW w:w="1520" w:type="dxa"/>
            <w:vAlign w:val="bottom"/>
          </w:tcPr>
          <w:p>
            <w:pPr>
              <w:spacing w:after="0"/>
              <w:rPr>
                <w:sz w:val="19"/>
                <w:szCs w:val="19"/>
                <w:color w:val="auto"/>
              </w:rPr>
            </w:pPr>
          </w:p>
        </w:tc>
        <w:tc>
          <w:tcPr>
            <w:tcW w:w="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1,133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performance</w:t>
            </w: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8"/>
              </w:rPr>
              <w:t>1,632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48"/>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520" w:type="dxa"/>
            <w:vAlign w:val="bottom"/>
            <w:tcBorders>
              <w:bottom w:val="single" w:sz="8" w:color="auto"/>
            </w:tcBorders>
            <w:shd w:val="clear" w:color="auto" w:fill="CCEEFF"/>
          </w:tcPr>
          <w:p>
            <w:pPr>
              <w:jc w:val="right"/>
              <w:ind w:right="13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our Level 3 fair value measurement of the profit sharing liability as of September 30, 2022 and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6"/>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 profitability</w:t>
            </w:r>
          </w:p>
        </w:tc>
        <w:tc>
          <w:tcPr>
            <w:tcW w:w="16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financial assets and liabilities not recorded at fair value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2,528,612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2,529,253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2,548,591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2,529,253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(1)</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1,707,724</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1,061,540</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1,061,540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1,720,812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1,429,045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804,743</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804,830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804,830</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4,233,279</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3,295,415</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40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60" w:type="dxa"/>
            <w:vAlign w:val="bottom"/>
          </w:tcPr>
          <w:p>
            <w:pPr>
              <w:spacing w:after="0"/>
              <w:rPr>
                <w:sz w:val="19"/>
                <w:szCs w:val="19"/>
                <w:color w:val="auto"/>
              </w:rPr>
            </w:pPr>
          </w:p>
        </w:tc>
        <w:tc>
          <w:tcPr>
            <w:tcW w:w="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2,348,169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2,412,871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top w:val="single" w:sz="8" w:color="auto"/>
              <w:bottom w:val="single" w:sz="8" w:color="auto"/>
            </w:tcBorders>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2,363,500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2,428,202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(1)</w:t>
            </w:r>
          </w:p>
        </w:tc>
        <w:tc>
          <w:tcPr>
            <w:tcW w:w="4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1,706,668</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984,285</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984,285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1,627,580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1,529,401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683,388</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top w:val="single" w:sz="8" w:color="auto"/>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4,017,643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3,197,074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ind w:left="660" w:right="360" w:hanging="328"/>
        <w:spacing w:after="0" w:line="21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30, 2022 and June 30, 2022, debt issuance costs in the amount of $12.1 million and $10.8 million, respectively, was included within funding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shares of common stock reserved for issuance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1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outstanding under stock option plan</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56,092,119</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53,158,233</w:t>
            </w:r>
          </w:p>
        </w:tc>
      </w:tr>
      <w:tr>
        <w:trPr>
          <w:trHeight w:val="22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for future grant under stock option plan</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40,241,788</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31,156,746</w:t>
            </w:r>
          </w:p>
        </w:tc>
      </w:tr>
      <w:tr>
        <w:trPr>
          <w:trHeight w:val="248"/>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96,333,907</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84,314,979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warrants are included as a component of additional paid in capital within the interim condensed consolidated balance sheets.</w:t>
      </w:r>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2021, we granted warrants to purchase 22,000,000 shares of common stock in connection with our commercial agreements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We recognized an asset of $133.5 million associated with the portion of the warrants that were fully vested at the grant date. Refer to Note 6. Balance Sheet Components for more information on the asset and related amortization during the period. The remaining grant-date fair value of the warrants will be recognized within our interim condensed consolidated statements of operations and comprehensive loss as a component of sales and marketing expense as the warrants vest, based upon Amazon’s satisfaction of the vesting conditions. In connection with the warrants, a total of $119.1 million was recognized within sales and marketing expense during the three months ended September 30, 2022, which included $10.4 million in amortization expense of the commercial agreement asset and $108.7 million in expense based upon the grant-date fair value of the warrant shares that vested during the period.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Stock Plan</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Under our Amended and Restated 2012 Stock Plan (the “Plan”), we may grant incentive and nonqualified stock options, restricted stock, and restricted stock units (“RSUs”) to employees, officers, directors, and consultants. As of September 30, 2022, the maximum number of shares of common stock which may be issued under the Plan is 146,209,197 Class A shares. As of September 30, 2022 and June 30, 2022, there were 40,241,788 and 31,156,746 shares of Class A common stock, respectively, available for future grants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three months ended September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19,310,706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2022</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5.87</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152,400</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12,696,602</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Vested and exercisable, and expected to vest thereafter</w:t>
            </w:r>
            <w:r>
              <w:rPr>
                <w:rFonts w:ascii="Times New Roman" w:cs="Times New Roman" w:eastAsia="Times New Roman" w:hAnsi="Times New Roman"/>
                <w:sz w:val="20"/>
                <w:szCs w:val="20"/>
                <w:color w:val="auto"/>
                <w:vertAlign w:val="superscript"/>
              </w:rPr>
              <w:t>(1)</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19,870,531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expected to vest reflect the application of an estimated forfeiture rate.</w:t>
      </w:r>
    </w:p>
    <w:p>
      <w:pPr>
        <w:spacing w:after="0" w:line="22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September 30, 2022 was $11.59. As of September 30, 2022, unrecognized compensation expense related to unvested stock options was approximately $70.0 million, which is expected to be recognized over a remaining weighted-average period of 2.2 years.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an employee exercises stock options, we collect and remit taxes on the employee’s behalf to applicable taxing authorities.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June 30, 2022, the balance of equity exercise taxes payable was $12.7 million and $10.9 million, respectively, which is included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on the interim condensed consolidated balance sheets.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with Early Exercise Rights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Plan, for certain stock options issued prior to the IPO, we allow for early exercise of the options while retaining the right to repurchase any unvested options upon termination of employment at the original exercise price. The proceeds received from early exercise of stock options have been recorded within accrued expenses and other liabilities on the interim condensed consolidated balance sheets. As of September 30, 2022 and June 30, 2022, the early exercise liability totaled $0.1 million and $0.3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Creation Award</w:t>
      </w:r>
    </w:p>
    <w:p>
      <w:pPr>
        <w:spacing w:after="0" w:line="25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Company's Board of Directors approved a long-term, multi-year performance-based stock option grant providing Mr. Levchin with the opportunity to earn the right to purchase up to 12,500,000 shares of the Company's Class A common stock (the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Award”). We recognize stock-based compensation on these awards based on the grant date fair value using an accelerated attribution method over the requisite service period, and only if performance-based conditions are considered probable of being satisfied. During the three months ended September 30, 2022 and 2021, we incurred stock-based compensation expense of $27.5 million and $42.3 million, respectively, associated with the Value Creation Award as a component of general and administrative expense within the interim condensed consolidated statements of operations and comprehensive loss.</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unrecognized compensation expense related to the Value Creation Award was approximately $180.0 million, which is expected to be recognized over a remaining weighted-average period of 3.3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three months ended September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214"/>
        </w:trPr>
        <w:tc>
          <w:tcPr>
            <w:tcW w:w="750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June 30, 2022</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21,387,592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6,494,711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(3,430,973)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(1,110,205)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September 30,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23,341,125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unrecognized compensation expense related to unvested RSUs was approximately $763.4 million, which is expected to be recognized over a remaining weighted-average period of 2.1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11.8 million shares of Class A common stock are reserved and available for issuance under the ESPP and 149,137 shares have been issued as of September 30, 2022. The ESPP provides for six-month offering periods beginning December 1 and June 1 of each year. The first offering period began on December 1, 2021, and the second offering period began on June 1, 2022.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76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67,742</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93,189</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Returnly on May 1, 2021, we issued 304,364 shares of our Class A common stock, which are held in escrow. Because the future payment of the escrowed shares is contingent on continued employment of certain employees, the arrangement represents stock-based compensation in the post combination period. The grant-date fair value was estimated based on the value of the shares at the date of closing. The escrowed shares have a requisite service period of two years and contain a performance-based vesting condition (i.e., the achievement of certain revenue targets). We record stock-based compensation expense on a straight-line basis for each tranche over the requisite service period, as long as the performance-based conditions are considered probable of being satisfied. During the three months ended September 30, 2022, the arrangement was modified, resulting in the release of 45,459 shares from escrow and the remittance of 243,384 shares back to the Company. The modification resulted in the recognition of $2.0 million of incremental compensation cost within general and administrative expenses in our interim condensed statement of operations. As of September 30, 2022, 15,521 shares remain in escrow.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the current estimate of the annual effective income tax rate and the tax effect of discrete items occurring during the quarter. The Company’s quarterly provision and the estimate of the annual effective tax rate are subject to significant variation due to several factors, including variability in the pre-tax jurisdictional mix of earnings and the impact of discrete items.</w:t>
      </w:r>
    </w:p>
    <w:p>
      <w:pPr>
        <w:spacing w:after="0" w:line="20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we recorded income tax expense (benefit) of $(0.2) million which was primarily attributable to the effects of foreign income taxes on our Canadian subsidiary and partially offset by various U.S state and other foreign income taxes, as well as the tax amortization of certain intangibles. For the three months ended September 30, 2021, we recorded income tax expense (benefit) of $0.2 million, which was primarily attributable to various U.S. state and foreign income taxes and the tax amortization of certain intangibles.</w:t>
      </w:r>
    </w:p>
    <w:p>
      <w:pPr>
        <w:spacing w:after="0" w:line="207"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we continue to recognize a full valuation allowance against our U.S. federal and state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prior three fiscal years. The presence of a three-year cumulative loss limits the ability to consider other subjective evidence, such as our expectations of future taxable income and projections for growth.</w:t>
      </w:r>
    </w:p>
    <w:p>
      <w:pPr>
        <w:spacing w:after="0" w:line="21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integration and consolidation of our PayBright business into and with Affirm’s Canadian business and the expansion of our overall business in Canada, as well as other objectively verifiable positive evidence, all of which we have concluded is sufficient to outweigh the existing negative evidence –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presence of a three-year cumulative loss attributable to the related foreign jurisdiction, we have determined that it is more likely than not that our Canadian deferred tax assets will be realized and a valuation allowance is not required.</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was enacted into U.S. federal law. The Company does not currently expect that the Inflation Reduction Act will have a material impact on its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Share Attributable to Common Stockholders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basic and diluted net loss per share attributable to common stockholders for Class A and Class B common stock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0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00" w:type="dxa"/>
            <w:vAlign w:val="bottom"/>
          </w:tcPr>
          <w:p>
            <w:pPr>
              <w:spacing w:after="0"/>
              <w:rPr>
                <w:sz w:val="18"/>
                <w:szCs w:val="18"/>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(51,914)</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(94,533)</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230,821,045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60,108,225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187,916,455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83,761,061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230,821,045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60,108,225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187,916,455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83,761,061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3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w w:val="99"/>
              </w:rPr>
              <w:t>As of September 30,</w:t>
            </w:r>
          </w:p>
        </w:tc>
        <w:tc>
          <w:tcPr>
            <w:tcW w:w="960" w:type="dxa"/>
            <w:vAlign w:val="bottom"/>
            <w:tcBorders>
              <w:bottom w:val="single" w:sz="8" w:color="auto"/>
            </w:tcBorders>
          </w:tcPr>
          <w:p>
            <w:pPr>
              <w:spacing w:after="0"/>
              <w:rPr>
                <w:sz w:val="18"/>
                <w:szCs w:val="18"/>
                <w:color w:val="auto"/>
              </w:rPr>
            </w:pPr>
          </w:p>
        </w:tc>
      </w:tr>
      <w:tr>
        <w:trPr>
          <w:trHeight w:val="211"/>
        </w:trPr>
        <w:tc>
          <w:tcPr>
            <w:tcW w:w="79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23,341,125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14,003,905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including early exercise of options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20,235,040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36,354,746</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5,870,677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524,596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49,971,438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50,358,651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 and Geographical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conduct our operations through a single operating segment and, therefore, one reportable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geography is based on the billing addresses of the borrower or the location of the merchant’s national headquarters. The following table sets forth revenue by geographic area (in thousands):</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3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2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261,603</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r>
      <w:tr>
        <w:trPr>
          <w:trHeight w:val="23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361,624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269,385</w:t>
            </w:r>
          </w:p>
        </w:tc>
      </w:tr>
      <w:tr>
        <w:trPr>
          <w:trHeight w:val="21"/>
        </w:trPr>
        <w:tc>
          <w:tcPr>
            <w:tcW w:w="7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56" w:lineRule="exact"/>
        <w:rPr>
          <w:sz w:val="20"/>
          <w:szCs w:val="20"/>
          <w:color w:val="auto"/>
        </w:rPr>
      </w:pPr>
    </w:p>
    <w:p>
      <w:pPr>
        <w:jc w:val="both"/>
        <w:ind w:right="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our long-lived assets, consisting of property, equipment and software, net and operating lease right-of-use assets, by geographic area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Pr>
          <w:p>
            <w:pPr>
              <w:spacing w:after="0"/>
              <w:rPr>
                <w:sz w:val="18"/>
                <w:szCs w:val="18"/>
                <w:color w:val="auto"/>
              </w:rPr>
            </w:pPr>
          </w:p>
        </w:tc>
        <w:tc>
          <w:tcPr>
            <w:tcW w:w="17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217,532</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222,153</w:t>
            </w: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2022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building the next generation platform for digital and mobile-first commerce. We believe that by using modern technology, the very best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3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manage payments, open a high-yield savings account, and access a personalized marketplace.</w:t>
      </w:r>
    </w:p>
    <w:p>
      <w:pPr>
        <w:spacing w:after="0" w:line="15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thereby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14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have achieved significant growth in recent periods. Our total revenue, net was approximately $361.6 million and $269.4 million for the three months ended September 30, 2022 and 2021, respectively.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net losses of $251.3 million and $306.6 million for the three months ended September 30, 2022 and 2021, respectively.</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business is designed to scale efficiently. Our partnerships with banks and other funding relationships have allowed us to remain equity capital efficient. Since July 1, 2016, we have processed approximately $37.4 billion of GMV on our platform. As of September 30, 2022, we had over $11.1 billion in funding capacity from a diverse set of capital partners, including through our warehouse facilities, securitization trusts, and forward flow arrangements, an increase of $0.5 billion from $10.6 billion as of June 30, 2022.</w:t>
      </w:r>
    </w:p>
    <w:p>
      <w:pPr>
        <w:spacing w:after="0" w:line="15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Through the diversity of these funding relationships, the equity capital required to build our total platform portfolio has declined from approximately 3% of the total platform portfolio as of June 30, 2022, to approximately 2% as of September 30, 2022. This metric measures the equity intensity of our business or the amount of capital used in relation to the scale of our enterprise. We define our total platform portfolio as the unpaid principal balance outstanding of all loans facilitated through our platform as of the balance sheet date, including both those loans held for investment and those loans owned by third-parties. This amount totaled $7.3 billion and $7.1 billion as of September 30, 2022 and June 30, 2022, respectively. Additionally, we define the equity capital required as the balance of loans held for investment plus loans held for sale less funding debt and notes issued by securitization trusts, per our interim condensed consolidated balance sheet. This amount totaled $175.3 million and $206.1 million as of September 30, 2022 and June 30, 2022, respectively. Equity capital required as a percent of the last twelve months’ GMV was 1% as of both September 30, 2022 and June 30, 2022.</w:t>
      </w:r>
    </w:p>
    <w:p>
      <w:pPr>
        <w:spacing w:after="0" w:line="1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continued success will depend on many factors, including our ability to attract additional merchant partners, retain our existing merchant partners, and grow and develop our relationships with new and existing merchant partners, help our merchants grow their revenue on our platform, and develop new innovative solutions to establish the ubiquity of our network and breadth of our platform.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w:t>
      </w:r>
    </w:p>
    <w:p>
      <w:pPr>
        <w:spacing w:after="0" w:line="189" w:lineRule="exact"/>
        <w:rPr>
          <w:sz w:val="20"/>
          <w:szCs w:val="20"/>
          <w:color w:val="auto"/>
        </w:rPr>
      </w:pPr>
    </w:p>
    <w:p>
      <w:pPr>
        <w:ind w:right="300" w:firstLine="648"/>
        <w:spacing w:after="0" w:line="274" w:lineRule="auto"/>
        <w:rPr>
          <w:sz w:val="20"/>
          <w:szCs w:val="20"/>
          <w:color w:val="auto"/>
        </w:rPr>
      </w:pPr>
      <w:r>
        <w:rPr>
          <w:rFonts w:ascii="Times New Roman" w:cs="Times New Roman" w:eastAsia="Times New Roman" w:hAnsi="Times New Roman"/>
          <w:sz w:val="17"/>
          <w:szCs w:val="17"/>
          <w:color w:val="auto"/>
        </w:rPr>
        <w:t>From merchants, we earn a fee when we help them convert a sale and facilitate a transaction. While merchant fees depend on the individual arrangement between us and each merchant and vary based on the terms of the product offering, we generally earn larger merchant fees on 0% APR financing products. We have two loan product offerings: Pay-in-4 and Core loans. Pay-in-4 is a short-term payment plan with four biweekly 0% APR installments, while Core loans include all interest bearing installment loans and 0% APR monthly installment loans. For the three months ended September 30, 2022, Pay-in-4 and Core 0% loans represented 18% and 19%, respectively, of total GMV facilitated through our platform. For the three months ended September 30, 2021, Pay-in-4 and Core 0% loans represented 15% and 28%, respectively, of total GMV facilitated through our platform.</w:t>
      </w:r>
    </w:p>
    <w:p>
      <w:pPr>
        <w:spacing w:after="0" w:line="146"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w:t>
      </w:r>
    </w:p>
    <w:p>
      <w:pPr>
        <w:spacing w:after="0" w:line="1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8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for the loan, the consumer then selects his/her/their preferred repayment option. The substantial majority of these loans are funded and issued by our originating bank partners.</w:t>
      </w:r>
    </w:p>
    <w:p>
      <w:pPr>
        <w:spacing w:after="0" w:line="1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portion of the loan volume facilitated through our platform are originated through our originating bank partners: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our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13. Fair Value of Financial Assets and Liabilities for more information on the performance fee liability.</w:t>
      </w:r>
    </w:p>
    <w:p>
      <w:pPr>
        <w:spacing w:after="0" w:line="15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and across various states in the U.S. through our consolidated subsidiaries. For the three months ended September 30, 2022, we originated approximately $169.1 million or 4% of loans in Canada compared to approximately $136.3 million or 5% of loans for the three months ended September 30, 2021. For the three months ended September 30, 2022, we directly originated $704.7 million or 16% of loans in the U.S. pursuant to our state licenses, compared to approximately $386.3 million or 14% of loans for the three months ended September 30, 2021.</w:t>
      </w:r>
    </w:p>
    <w:p>
      <w:pPr>
        <w:spacing w:after="0" w:line="1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ind w:right="520" w:firstLine="648"/>
        <w:spacing w:after="0" w:line="312" w:lineRule="auto"/>
        <w:rPr>
          <w:sz w:val="20"/>
          <w:szCs w:val="20"/>
          <w:color w:val="auto"/>
        </w:rPr>
      </w:pPr>
      <w:r>
        <w:rPr>
          <w:rFonts w:ascii="Times New Roman" w:cs="Times New Roman" w:eastAsia="Times New Roman" w:hAnsi="Times New Roman"/>
          <w:sz w:val="17"/>
          <w:szCs w:val="17"/>
          <w:color w:val="auto"/>
        </w:rPr>
        <w:t>We focus on several key operating metrics to measure the performance of our business and help determine strategic direction. In addition to revenue, net (loss) income, and other results under U.S. GAAP, the following tables set forth key operating metrics we use to evaluate our business.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2"/>
          </w:tcPr>
          <w:p>
            <w:pPr>
              <w:jc w:val="center"/>
              <w:ind w:left="55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4"/>
        </w:trPr>
        <w:tc>
          <w:tcPr>
            <w:tcW w:w="5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center"/>
              <w:ind w:left="53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9"/>
        </w:trPr>
        <w:tc>
          <w:tcPr>
            <w:tcW w:w="5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5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720" w:type="dxa"/>
            <w:vAlign w:val="bottom"/>
            <w:gridSpan w:val="5"/>
            <w:shd w:val="clear" w:color="auto" w:fill="CCEEFF"/>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 except per consumer data)</w:t>
            </w:r>
          </w:p>
        </w:tc>
        <w:tc>
          <w:tcPr>
            <w:tcW w:w="1420" w:type="dxa"/>
            <w:vAlign w:val="bottom"/>
            <w:shd w:val="clear" w:color="auto" w:fill="CCEEFF"/>
          </w:tcPr>
          <w:p>
            <w:pPr>
              <w:spacing w:after="0"/>
              <w:rPr>
                <w:sz w:val="17"/>
                <w:szCs w:val="17"/>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Merchandise Volume (GMV)</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4,389,417</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2,712,939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Consumers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14,722</w:t>
            </w: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per Active Consumer</w:t>
            </w:r>
          </w:p>
        </w:tc>
        <w:tc>
          <w:tcPr>
            <w:tcW w:w="40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GMV</w:t>
      </w:r>
    </w:p>
    <w:p>
      <w:pPr>
        <w:spacing w:after="0" w:line="121"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We measure GMV to assess the volume of transactions that take place on our platform. We define GMV as the total dollar amount of all transactions on the Affirm platform during the applicable period, net of refunds. GMV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does not represent revenue earned by us. However, the GMV processed through our platform is an indicator of the success of our merchants and the strength of our platform. For the three months ended September 30, 2022, GMV was $4.4 billion, which represented an increase of approximately 62% as compared to $2.7 billion for the three months ended September 30,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Consumers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September 30, 2022, we had 14.7 million active consumers, representing an increase of approximately 69% compared to 8.7 million as of September 30,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per Active Consumer</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As of September 30, 2022, we had approximately 3.3 transactions per active consumer, an increase of approximately 39% compared to September 30,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Network, Diversity, and Mix of Funding Relationships</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We have continued to reduce the percentage of our equity capital required to fund our total platform portfolio from approximately 3% as of June 30, 2022, to approximately 2% as of September 30, 2022. The mix of on-balance sheet and off-balance sheet funding is a function of both how we choose to allocate loan volume and the available supply of capital, both of which may also impact our results in any given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Mix of Business on Our Platform</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mix of products that our merchants offer and our consumers purchase in any period affects our operating results. In addition, shifts in volume among merchants in any period also affects our operating results. These mix impacts affect GMV, revenue, our financial results, and our key operating metric performance for that period. Differences in product mix relate to different loan durations, APR mix, and varying proportion of 0% APR versus interest-bearing financings.</w:t>
      </w:r>
    </w:p>
    <w:p>
      <w:pPr>
        <w:spacing w:after="0" w:line="14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Product and economic terms of commercial agreements vary among our merchants.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the merchant is fully integrated within our network, and general economic conditions affecting consumer demand. Our revenue as a percentage of GMV in any given period varies across products. As such, as we continue to expand our network to include more merchants, revenue as a percentage of GMV will vary. In addition, our commercial agreement with Shopify to offer Shop Pay Installments powered by Affirm and our Pay-in-4 offering will continue to impact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Pay-in-4 and other low-AOV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89"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We experience seasonal fluctuations in our revenue as a result of consumer spending patterns. Historically, our revenue has been the strongest during the second quarter of our fiscal year due to increases in retail commerce during the holiday season. Adverse events that occur during these months could have a disproportionate effect on our financial results for the fiscal 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interim condensed consolidated statements of operations and comprehensive loss data for each of the periods presented in dollars: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6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100" w:type="dxa"/>
            <w:vAlign w:val="bottom"/>
          </w:tcPr>
          <w:p>
            <w:pPr>
              <w:spacing w:after="0"/>
              <w:rPr>
                <w:sz w:val="18"/>
                <w:szCs w:val="18"/>
                <w:color w:val="auto"/>
              </w:rPr>
            </w:pP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r>
      <w:tr>
        <w:trPr>
          <w:trHeight w:val="192"/>
        </w:trPr>
        <w:tc>
          <w:tcPr>
            <w:tcW w:w="2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6"/>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29"/>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Merchant network revenue</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113,149</w:t>
            </w:r>
          </w:p>
        </w:tc>
        <w:tc>
          <w:tcPr>
            <w:tcW w:w="8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92,244</w:t>
            </w:r>
          </w:p>
        </w:tc>
        <w:tc>
          <w:tcPr>
            <w:tcW w:w="100" w:type="dxa"/>
            <w:vAlign w:val="bottom"/>
          </w:tcPr>
          <w:p>
            <w:pPr>
              <w:spacing w:after="0"/>
              <w:rPr>
                <w:sz w:val="19"/>
                <w:szCs w:val="19"/>
                <w:color w:val="auto"/>
              </w:rPr>
            </w:pPr>
          </w:p>
        </w:tc>
        <w:tc>
          <w:tcPr>
            <w:tcW w:w="110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10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network revenue</w:t>
            </w: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139,857</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Gain on sales of loans </w:t>
            </w:r>
            <w:r>
              <w:rPr>
                <w:rFonts w:ascii="Times New Roman" w:cs="Times New Roman" w:eastAsia="Times New Roman" w:hAnsi="Times New Roman"/>
                <w:sz w:val="23"/>
                <w:szCs w:val="23"/>
                <w:color w:val="auto"/>
                <w:vertAlign w:val="superscript"/>
              </w:rPr>
              <w:t>(1)</w:t>
            </w: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63,595</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income</w:t>
            </w:r>
          </w:p>
        </w:tc>
        <w:tc>
          <w:tcPr>
            <w:tcW w:w="10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108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361,624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269,385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92,239</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r>
      <w:tr>
        <w:trPr>
          <w:trHeight w:val="209"/>
        </w:trPr>
        <w:tc>
          <w:tcPr>
            <w:tcW w:w="344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23"/>
                <w:szCs w:val="23"/>
                <w:b w:val="1"/>
                <w:bCs w:val="1"/>
                <w:color w:val="auto"/>
                <w:vertAlign w:val="superscript"/>
              </w:rPr>
              <w:t>(2)</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loan purchase commitment</w:t>
            </w: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35,610</w:t>
            </w:r>
          </w:p>
        </w:tc>
        <w:tc>
          <w:tcPr>
            <w:tcW w:w="8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100" w:type="dxa"/>
            <w:vAlign w:val="bottom"/>
          </w:tcPr>
          <w:p>
            <w:pPr>
              <w:spacing w:after="0"/>
              <w:rPr>
                <w:sz w:val="19"/>
                <w:szCs w:val="19"/>
                <w:color w:val="auto"/>
              </w:rPr>
            </w:pPr>
          </w:p>
        </w:tc>
        <w:tc>
          <w:tcPr>
            <w:tcW w:w="110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Funding costs</w:t>
            </w: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144,961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160,972</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136,204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649,091</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435,456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213,635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r>
      <w:tr>
        <w:trPr>
          <w:trHeight w:val="223"/>
        </w:trPr>
        <w:tc>
          <w:tcPr>
            <w:tcW w:w="3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8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(287,467)</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(166,071)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(121,396)</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r>
      <w:tr>
        <w:trPr>
          <w:trHeight w:val="22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(140,373)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176,391</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3"/>
        </w:trPr>
        <w:tc>
          <w:tcPr>
            <w:tcW w:w="3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8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(251,449)</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(306,444)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54,995</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2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23"/>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(251,269)</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(306,615)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55,346</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50"/>
        </w:trPr>
        <w:tc>
          <w:tcPr>
            <w:tcW w:w="2240" w:type="dxa"/>
            <w:vAlign w:val="bottom"/>
            <w:tcBorders>
              <w:bottom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184" w:lineRule="exact"/>
        <w:rPr>
          <w:sz w:val="20"/>
          <w:szCs w:val="20"/>
          <w:color w:val="auto"/>
        </w:rPr>
      </w:pPr>
    </w:p>
    <w:p>
      <w:pPr>
        <w:ind w:left="340" w:right="20" w:hanging="332"/>
        <w:spacing w:after="0" w:line="243"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the release of discount into gain on sales of loans, together net to zero over the life of the loan. The following table details activity for the discount, included in loans held for investment,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356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76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7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r>
      <w:tr>
        <w:trPr>
          <w:trHeight w:val="23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0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53,177</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from loans purchased or originated, net of refunds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77,270</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(38,445)</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released on loans sold</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(38,345)</w:t>
            </w:r>
          </w:p>
        </w:tc>
      </w:tr>
      <w:tr>
        <w:trPr>
          <w:trHeight w:val="24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0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53,657</w:t>
            </w: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486029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6029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716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60" w:type="dxa"/>
            <w:vAlign w:val="bottom"/>
          </w:tcPr>
          <w:p>
            <w:pPr>
              <w:spacing w:after="0"/>
              <w:rPr>
                <w:sz w:val="17"/>
                <w:szCs w:val="17"/>
                <w:color w:val="auto"/>
              </w:rPr>
            </w:pPr>
          </w:p>
        </w:tc>
        <w:tc>
          <w:tcPr>
            <w:tcW w:w="356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8"/>
        </w:trPr>
        <w:tc>
          <w:tcPr>
            <w:tcW w:w="76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shd w:val="clear" w:color="auto" w:fill="CCEEFF"/>
          </w:tcPr>
          <w:p>
            <w:pPr>
              <w:spacing w:after="0"/>
              <w:rPr>
                <w:sz w:val="17"/>
                <w:szCs w:val="17"/>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67,742</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119,808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93,189</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141,012</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104,879</w:t>
            </w:r>
          </w:p>
        </w:tc>
      </w:tr>
      <w:tr>
        <w:trPr>
          <w:trHeight w:val="21"/>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2022 and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net</w:t>
      </w:r>
    </w:p>
    <w:p>
      <w:pPr>
        <w:spacing w:after="0" w:line="360" w:lineRule="exact"/>
        <w:rPr>
          <w:sz w:val="20"/>
          <w:szCs w:val="20"/>
          <w:color w:val="auto"/>
        </w:rPr>
      </w:pPr>
    </w:p>
    <w:p>
      <w:pPr>
        <w:ind w:right="6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Total Revenue, net </w:t>
      </w:r>
      <w:r>
        <w:rPr>
          <w:rFonts w:ascii="Times New Roman" w:cs="Times New Roman" w:eastAsia="Times New Roman" w:hAnsi="Times New Roman"/>
          <w:sz w:val="17"/>
          <w:szCs w:val="17"/>
          <w:color w:val="auto"/>
        </w:rPr>
        <w:t>increased by $92.2 million or 34% for the three months ended September 30, 2022, compared to the same period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attributable to an increase of $1.7 billion in GMV on our platform, from $2.7 billion for the three months ended September 30, 2021 to</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$4.4 billion for the three months ended September 30, 2022. The increase in GMV was driven by the strong network effects of the expansion of our active merchant base from 102,217 as of September 30, 2021 to 244,920 as of September 30, 2022, an increase in active consumers from 8.7 million as of September 30, 2021 to 14.7 million as of September 30, 2022, and an increase in average transactions per consumer from 2.3 as of September 30, 2021 to 3.3 as of September 30, 2022.</w:t>
      </w:r>
    </w:p>
    <w:p>
      <w:pPr>
        <w:spacing w:after="0" w:line="14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Merchant network revenue </w:t>
      </w:r>
      <w:r>
        <w:rPr>
          <w:rFonts w:ascii="Times New Roman" w:cs="Times New Roman" w:eastAsia="Times New Roman" w:hAnsi="Times New Roman"/>
          <w:sz w:val="18"/>
          <w:szCs w:val="18"/>
          <w:color w:val="auto"/>
        </w:rPr>
        <w:t>increased by $20.9 million or 23% for the three months ended September 30, 2022 compared to the same period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Merchant network revenue growth is generally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AOV of our loans, and typically decreases with shorter duration and higher APR loans. Specifically, long-term 0% APR loans typically carry higher merchant fees as a percentage of GMV and have higher AOVs.</w:t>
      </w:r>
    </w:p>
    <w:p>
      <w:pPr>
        <w:spacing w:after="0" w:line="145"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The increase in merchant network revenue during the three month period was primarily driven by an increase in GMV, partially offset by reductions in the concentration of long-term 0% APR loans, our highest merchant fee category, which decreased from 13% of total GMV during the three months ended September 30, 2021 to 5% during the three months ended September 30, 2022. Approximately 2% of total revenue was driven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largest merchant partner by merchant network revenue for the three months ended September 30, 2022, for which we facilitate long-term 0% APR loans with higher merchant fees, compared with 10% of total revenue in the comparative period. More broadly, for the three months ended September 30, 2022 and 2021, loans with term lengths greater than 12 months accounted for 17% and 20% of GMV, respectively, and AOV was lower at $331 and $402 for the three months ended September 30, 2022 and 2021, respectively, primarily as a result of the increased adoption of our Pay-in-4 product during the period.</w:t>
      </w:r>
    </w:p>
    <w:p>
      <w:pPr>
        <w:spacing w:after="0" w:line="125"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Additionally, during the three months ended September 30, 2022, there was a reduction of merchant fee revenue of $1.7 million associated with the creation of discounts upon directly origination of loans with par values in excess of the fair value of such loans. For the three months ended September 30, 2022, we directly originated $0.9 billion of loans, an increase of 67.3% compared to $0.5 billion during the three months ended September 30, 2021. While the discounts created upon the origination of a loan reduce merchant network revenue at the time of origination, the discounts are amortized into interest income over the life of the respective loans when retained on the balance sheet and any unamortized discount is reflected in the cost basis when determining gain on sale of loans.</w:t>
      </w:r>
    </w:p>
    <w:p>
      <w:pPr>
        <w:spacing w:after="0" w:line="15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Virtual card network revenue </w:t>
      </w:r>
      <w:r>
        <w:rPr>
          <w:rFonts w:ascii="Times New Roman" w:cs="Times New Roman" w:eastAsia="Times New Roman" w:hAnsi="Times New Roman"/>
          <w:sz w:val="18"/>
          <w:szCs w:val="18"/>
          <w:color w:val="auto"/>
        </w:rPr>
        <w:t>increased by $7.3 million or 38% for the three months ended September 30, 2022,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primarily driven by an increase in GMV processed through our issuer processor as a result of increased activity on our virtual card-enabled mobile application, as well as growth in existing and new merchants integrated using our virtual card platform, growing from 859 merchants as of September 30, 2021 to 1,120 merchants as of September 30, 2022. Virtual card network revenue is also impacted by the mix of merchants as different merchants can have different interchange rates depending on their industry or size, among other factors.</w:t>
      </w:r>
    </w:p>
    <w:p>
      <w:pPr>
        <w:spacing w:after="0" w:line="1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increased by $19.5 million or 17% for the three months ended September 30, 2022 compared to the same period 2021.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 is correlated with the changes in the average balance of loans held for investment, as we recognize interest on loans held for investment using the effective interest method over the life of the loan. The average balance of loans held for investment increased by 22% to $2.6 billion for the three months ended September 30, 2022, compared to the same period 2021.</w:t>
      </w:r>
    </w:p>
    <w:p>
      <w:pPr>
        <w:spacing w:after="0" w:line="153" w:lineRule="exact"/>
        <w:rPr>
          <w:sz w:val="20"/>
          <w:szCs w:val="20"/>
          <w:color w:val="auto"/>
        </w:rPr>
      </w:pPr>
    </w:p>
    <w:p>
      <w:pPr>
        <w:ind w:lef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Gain on sales of loans </w:t>
      </w:r>
      <w:r>
        <w:rPr>
          <w:rFonts w:ascii="Times New Roman" w:cs="Times New Roman" w:eastAsia="Times New Roman" w:hAnsi="Times New Roman"/>
          <w:sz w:val="18"/>
          <w:szCs w:val="18"/>
          <w:color w:val="auto"/>
        </w:rPr>
        <w:t>increased by $32.6 million or 105% for the three months ended September 30, 2022, compared to the same period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driven by increased loan sale activity to third-party loan buyers. We sold loans with an unpaid balance of $2.0 billion for the three months ended September 30, 2022 and $1.1 billion for the three months ended September 30, 2021, for which we retained servicing rights. This increase was driven by higher loan sale volume to third-party loan buyers and off-balance sheet securitizations, favorable loan sale pricing terms, and optimizing the allocation of loans to loan buyers with higher pricing terms.</w:t>
      </w:r>
    </w:p>
    <w:p>
      <w:pPr>
        <w:spacing w:after="0" w:line="14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Servicing income </w:t>
      </w:r>
      <w:r>
        <w:rPr>
          <w:rFonts w:ascii="Times New Roman" w:cs="Times New Roman" w:eastAsia="Times New Roman" w:hAnsi="Times New Roman"/>
          <w:sz w:val="18"/>
          <w:szCs w:val="18"/>
          <w:color w:val="auto"/>
        </w:rPr>
        <w:t>increased by $11.9 million or 126% for the three months ended September 30, 2022 compared to the same period 2021,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an increase in the average unpaid principal balance of loans owned by third-party loan owners, which increased from $2.6 billion during the three months ended September 30, 2021 to $4.6 billion during the three months ended September 30, 2022. Additionally, during the three months ended September 30, 2022, an increase of $2.4 million related to the changes in fair value of servicing assets and liabilities contributed to the overall increase in servicing income, compared to the same period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Loan Purchase Commitment</w:t>
      </w:r>
    </w:p>
    <w:p>
      <w:pPr>
        <w:spacing w:after="0" w:line="119"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8"/>
          <w:szCs w:val="18"/>
          <w:color w:val="auto"/>
        </w:rPr>
        <w:t>We purchase certain loans from our originating bank partners that are processed through our platform and our originating bank partners put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8"/>
          <w:szCs w:val="18"/>
          <w:color w:val="auto"/>
        </w:rPr>
        <w:t>Loss on loan purchase commitment decreased by $16.1 million or 31% for the three months ended September 30, 2022 compared to the same period 2021. This decrease was due to a decrease in the volume of long-term 0% APR loans purchased from our originating bank partners compared to the prior period, which are purchased above fair market value. The difference between fair value and purchase price for our loans is generally correlated with the term length. As such, the reduction in long term 0% loans purchased from our bank partner contributed to the decline in loss on loan purchase commitment. During the three months ended September 30, 2022, we purchased $396.6 million of long-term 0% APR loan receivables from our originating bank partners, representing a decrease of $61.5 million or 13% compared to the same period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generally represents the amount of expense required to maintain the allowance for credit losses on our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1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Provision for credit losses expense remained relatively comparable period over period with a slight increase of $0.6 million for the three months ended September 30, 2022, compared to the same period 2021, primarily due to growth in the volume of loans held for investment, offset by improvements in the credit quality of loans outstanding and updates to the assumptions used in our credit loss valuation model, including a refinement to the application of our stress loss multiple. Total loans held for investment was $2.7 billion and $2.2 billion as of September 30, 2022 and 2021, respectively. The allowance for credit losses as a percentage of loans held for investment decreased from 6.8% as of September 30, 2021 to 5.7% as of September 30,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Costs</w:t>
      </w:r>
    </w:p>
    <w:p>
      <w:pPr>
        <w:spacing w:after="0" w:line="11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Funding costs consist of interest expense and the amortization of fees for certain borrowings including on balance sheet VIEs and sale and repurchase agreements, and other costs incurred in connection with funding the purchases and originations of loans.</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Funding costs increased by $8.3 million or 50% for the three months ended September 30, 2022, compared to the same period 2021. Funding costs for a given period are correlated with the sum of the average balance of funding debt and the average balance of notes issued by securitization trusts. The increase was primarily due to increased interest rates and the increase of notes issued by securitization trusts during the current fiscal year, which bear interest at fixed rates. Additionally, the increase is attributable to a larger volume of on-balance sheet loans being retained during the period. The average balance of notes issued by securitization trusts during the three months ended September 30, 2022 was $1.7 billion compared with $1.4 billion during the same period 2021. The average balance of funding debt for the three months ended September 30, 2022 was $732.6 million compared with $582.7 million during the same period 2021. Combined, average total debt for the three months ended September 30, 2022 increased by $424.9 million or 21% compared to the three months ended September 30, 2021, while the average reference interest rate during each period increased by 239 basis points. The average loan balance on-balance sheet was $4.6 billion and $2.6 billion for the three months ended September 30, 2022 and 2021,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Processing and servicing expense increased by $29.2 million or 116% for the three months ended September 30, 2022, compared to the same period 2021. This increase was primarily driven by a $14.5 million or 101% increase in payment processing fees related to increased payment volume, and an increase of $8.1 million in processing fees paid to our platform partners due to platform integrations as well as short term promotions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prior period. Additionally, during the three months ended September 30, 2022, third-party loan servicing and collections spend increased $4.7 million or 66%, compared to the same period 2021 due to increased loan volume and transaction growth during the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Data Analytics</w:t>
      </w:r>
    </w:p>
    <w:p>
      <w:pPr>
        <w:spacing w:after="0" w:line="119"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Technology and data analytics expense consists primarily of the salaries, stock-based compensation, and personnel-related costs of our engineering and product employees as well as our credit and analytics employees who develop our proprietary risk model and internally-developed software.</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Technology and data analytics expense increased by $66.9 million or 86% for the three months ended September 30, 2022, compared to the same period 2021. This increase is primarily due to an increase of $35.1 million or 69% in employee-related costs resulting from increased headcount as we continue to support our growth and technology platform as a whole. Additionally, data infrastructure and hosting costs increased by $15.8 million or 106%, compared to the same period 2021, due to increased capacity requirements of our technology platform driven by increases in active users and transactions per active consumer.</w:t>
      </w:r>
    </w:p>
    <w:p>
      <w:pPr>
        <w:spacing w:after="0" w:line="1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Furthermore, amortization of internally-developed software increased by $8.3 million or 230%, compared to the same period 2021, primarily as a result of an increase in the number of capitalized projects during the period due to our ongoing investment in software development. Capitalized projects grew by 136% from 141 projects to 333 projects for the three months ended September 30, 2022, compared to the same period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 increased by $99.9 million or 156% for the three months ended September 30, 2022, compared to the same period 2021, primarily driven by $119.1 million of increased expense related to warrants granted to Amazon in the second quarter of fiscal 2021. The increase was partially offset by, a $8.4 million or 72% decrease in brand and consumer marketing spend during the three months ended September 30, 2022 compared to the three months ended September 30, 2021, associated with our brand-activation, holiday shopping, lifestyle, and travel marketing campaigns, as well as a $4.5 million or 74% decrease in business-to-business marketing spend compared to the three months ended September 30, 2021. The decreases were primarily due to reduced number of marketing and brand partnerships, as well as reduced spending on existing partnerships.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$24.8 million or 18% for the three months ended September 30, 2022, compared to the same period 2021 primarily due to an increase of $18.1 million related to employee-related costs resulting from increased headcount during the period compared to the same prior period. Additionally, professional fees increased by $6.1 million or 76% during the three months ended September 30, 2022 compared to the same period 2021 to support our international expansion, and regulatory compliance programs.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consists primarily of interest earned on our money market funds included in cash and cash equivalents and restricted cash, interest earned on securities available for sale, gains and losses incurred on derivative agreements, amortization of convertible debt issuance cost and revolving credit facility issuance costs, and fair value adjustments resulting from changes in the fair value of our contingent consideration liability, primarily driven by changes in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Other (expense) income, net increased by $176.4 million or 126% for the three months ended September 30, 2022, compared to the same period 2021. This increase was largely due to changes in the fair value of our contingent consideration liability associated with our acquisition of PayBright of $138.8 million during the period compared to the same period 2021, driven by changes in the value of our common stock. Additionally, a gain of $30.7 million on derivative instruments contributed to the overall increase of other (expenses) income, net due to additional derivative instruments being entered into during the period, and increases in their fair value associated with upward shifts in forward curves and higher market volatility.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the market environment and our ability to access capital markets. With rising interest rates and inflation, our excess funding capacity and committed and long-term relationships with a diverse group of existing funding partners help provide flexibility as we optimize our funding to support the continued growth of originations.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for sale securities, available capacity from warehouse and revolving credit facilities, revolving securitizations, forward flow loan sale arrangements, and certain cash flows from our operations. As of September 30, 2022, we had $2.8 billion in cash and cash equivalents and available for sale securities, $2.6 billion in funding capacity remaining across our primary funding channels and $205.0 million in borrowing capacity available under our revolving credit facility.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investments in debt securities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4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23"/>
        </w:trPr>
        <w:tc>
          <w:tcPr>
            <w:tcW w:w="68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1,530,132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1,255,171</w:t>
            </w:r>
          </w:p>
        </w:tc>
      </w:tr>
      <w:tr>
        <w:trPr>
          <w:trHeight w:val="230"/>
        </w:trPr>
        <w:tc>
          <w:tcPr>
            <w:tcW w:w="6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short-term debt securities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1,295,811</w:t>
            </w:r>
          </w:p>
        </w:tc>
      </w:tr>
      <w:tr>
        <w:trPr>
          <w:trHeight w:val="230"/>
        </w:trPr>
        <w:tc>
          <w:tcPr>
            <w:tcW w:w="6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long-term debt securities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299,562</w:t>
            </w:r>
          </w:p>
        </w:tc>
      </w:tr>
      <w:tr>
        <w:trPr>
          <w:trHeight w:val="223"/>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cash equivalent and investments in debt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2,767,423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2,850,544</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consist of bank accounts, money market funds, certificates of deposits, other commercial paper, and government bonds with maturities less than three months.</w:t>
      </w:r>
    </w:p>
    <w:p>
      <w:pPr>
        <w:ind w:left="660" w:right="200" w:hanging="328"/>
        <w:spacing w:after="0" w:line="255" w:lineRule="auto"/>
        <w:tabs>
          <w:tab w:leader="none" w:pos="651"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Securities available for sale at fair value primarily consist of certificates of deposits, corporate bonds, commercial paper, and government bonds. Short-term securities have maturities less than or equal to one year, and long-term securities range from greater than one year to less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Credit and Funding Debt</w:t>
      </w:r>
    </w:p>
    <w:p>
      <w:pPr>
        <w:spacing w:after="0" w:line="18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available capacity as of September 30, 2022 primarily include warehouse credit facilities, convertible senior notes, revolving credit facilities and repurchase liabilities. A detailed description of each of our borrowing arrangements is included in Note 10. Debt in the notes to the interim condensed consolidated financial statements.</w:t>
      </w:r>
    </w:p>
    <w:p>
      <w:pPr>
        <w:spacing w:after="0" w:line="14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funding credit facilities as of September 30, 2022. The funding debt consists of warehouse credit facilities, revolving credit facilities, and repurchase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2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200" w:type="dxa"/>
            <w:vAlign w:val="bottom"/>
          </w:tcPr>
          <w:p>
            <w:pPr>
              <w:spacing w:after="0"/>
              <w:rPr>
                <w:sz w:val="18"/>
                <w:szCs w:val="18"/>
                <w:color w:val="auto"/>
              </w:rPr>
            </w:pPr>
          </w:p>
        </w:tc>
        <w:tc>
          <w:tcPr>
            <w:tcW w:w="1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Principal Outstanding</w:t>
            </w:r>
          </w:p>
        </w:tc>
      </w:tr>
      <w:tr>
        <w:trPr>
          <w:trHeight w:val="193"/>
        </w:trPr>
        <w:tc>
          <w:tcPr>
            <w:tcW w:w="6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gridSpan w:val="4"/>
          </w:tcPr>
          <w:p>
            <w:pPr>
              <w:jc w:val="right"/>
              <w:ind w:right="163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170,991</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342,631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46,579</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164,145</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29,853</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50,544</w:t>
            </w:r>
          </w:p>
        </w:tc>
      </w:tr>
      <w:tr>
        <w:trPr>
          <w:trHeight w:val="22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3,415,905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804,743</w:t>
            </w:r>
          </w:p>
        </w:tc>
      </w:tr>
      <w:tr>
        <w:trPr>
          <w:trHeight w:val="20"/>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warehouse credit facilities, which allow us to borrow up to an aggregate of $3.4 billion, mature between 2023 and 2029 and, subject to covenant compliance, generally permit borrowings up to 12 months prior to the final maturity date. As of September 30, 2022, we have drawn an aggregate of $770.7 million on our warehouse facilities. As of September 30, 2022, we were in compliance with all applicable covenants in the agreements. Refer to Note 10. Debt in the notes to the interim condensed consolidated financial statements included elsewhere in this Form 10-Q for further details on our warehouse credit facilities.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closed on the issuance of $1.7 billion aggregate principal amount of a convertible senior note which does not bear regular interest, and will mature on November 15, 2026 unless earlier converted, redeemed, or repurchased in accordance with their terms. Refer to Note 10. Debt in the notes to the interim condensed consolidated financial statements for further details on our convertible debt note.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0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February 2022, we entered into a revolving credit agreement for a $165.0 million unsecured revolving credit facility, maturing on February 4, 2025, which was subsequently amended to increase the unsecured revolving commitments to $205.0 million. The facility contains certain covenants and restrictions, including certain financial maintenance covenants. As of September 30, 2022, we were in compliance with all applicable covenants in the agreements. To date, there are no borrowings outstanding under the facility. Refer to Note 10. Debt in the notes to the interim condensed consolidated financial statements for further details on our revolving credit facilities.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18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the loans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securitization trusts are included in loans held for investment, and the notes sold to third-party investors are recorded in notes issued by securitization trusts in the interim condensed consolidated balance sheets. Refer to Note 11. Securitization and Variable Interest Entities.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Impacting Liquidity</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current levels of cash, cash equivalents, marketable debt securities, available borrowing capacity under our revolving credit facilities and other liquidity actions currently available to us are sufficient to meet our liquidity requirements for at least the next 12 months. However, we cannot provide assurance that our business will generate sufficient cash flows from operations or that future borrowings will be available to us in an amount sufficient to enable us to fund our liquidity needs in the long-term. Our ability to do so depends on prevailing economic conditions and other factors, many of which are beyond our control.</w:t>
      </w:r>
    </w:p>
    <w:p>
      <w:pPr>
        <w:spacing w:after="0" w:line="1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principal factors that could impact our liquidity and capital needs are customer delinquencies and defaults, a prolonged inability to adequately access capital market funding, declines in loan purchases and therefore revenue, and fluctuations in our financial performance. If our available cash balances are insufficient to satisfy our liquidity requirements, we will seek additional equity or debt financing. In a rising interest rate environment, our ability to issue additional equity or incur debt may be impaired and our borrowing costs may increase. Additionally, we may be subject to restrictions and covenants in the agreements governing these transactions that may place limitations on us, and we may be required to pledge additional collateral as security. If we are unable to raise additional capital or generate the necessary cash flows, our results of operations and financial condition could be materially and adversely impacted.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during the periods indicated:</w:t>
      </w:r>
    </w:p>
    <w:p>
      <w:pPr>
        <w:spacing w:after="0" w:line="158"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5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1"/>
        </w:trPr>
        <w:tc>
          <w:tcPr>
            <w:tcW w:w="7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r>
      <w:tr>
        <w:trPr>
          <w:trHeight w:val="236"/>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51,215</w:t>
            </w:r>
          </w:p>
        </w:tc>
        <w:tc>
          <w:tcPr>
            <w:tcW w:w="12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9"/>
              </w:rPr>
              <w:t>365,150</w:t>
            </w: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117,273</w:t>
            </w:r>
          </w:p>
        </w:tc>
        <w:tc>
          <w:tcPr>
            <w:tcW w:w="12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rPr>
              <w:t>(629,510)</w:t>
            </w: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199,542</w:t>
            </w:r>
          </w:p>
        </w:tc>
        <w:tc>
          <w:tcPr>
            <w:tcW w:w="12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9"/>
              </w:rPr>
              <w:t>243,953</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3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2022, net cash used in operating activities of $51.2 million stemmed from a net loss of $251.4 million and change in our operating assets net of operating liabilities of $13.4 million, partially offset by favorable change in net proceeds from sale and purchase of loans of $52.6 million and a positive adjustment for non-cash items of $236.5 million. The change in operating assets net of operating liabilities was primarily a result of our purchase and sale of loans held for sale activities. We purchased loans of $1.7 billion, which was largely offset by proceeds from loan sales of $1.7 billion. The positive adjustment for non-cash items was primarily driven by commercial agreement assets of $108.7 million which increased compared to the first quarter of the prior year as a result of our commercial agreements with Amazon, gain on sale of loans of $63.6 million which increased by $32.6 million compared to the first quarter of the prior year as a result of improved loan sale economics and increased loan sales, and stock-based compensation of $119.8 million which increased by $26.6 million resulting from incremental compensation recognized from award modifications and increased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2021, net cash provided by operating activities was $365.2 million stemmed from a net loss of $306.6 million, partially offset by a favorable change in our operating assets net of operating liabilities of $403.0 million and a positive adjustment for non-cash items of $268.8 million. The change in operating assets net of operating liabilities was primarily a result of changes in accounts payable of $368.1 million. The changes in non-cash items was primarily driven by changes in fair value of assets and liabilities of $139.9 million related to increase in the fair value of our contingent consideration liability, driven by changes in the value of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net cash provided by investing activities of $117.3 million was primarily attributable to purchases and origination of loans held for investment of $2.7 billion, partially offset by repayments of loans of $2.5 billion. During the period we originated loans of $0.8 billion and purchased loans of $1.9 billion, representing an increase of $0.9 billion compared to the first quarter of the prior year, due partly to continued growth in GMV. The repayments on loans of $2.5 billion during the period, represented an increase of $0.9 billion, compared to the first quarter of the prior year, due to a higher average balance of loans held for investment and generally increasing credit quality of the portfolio. The additional offset during the three months ended September 30, 2022 related to the net proceeds from maturities of securities available for sale of $0.4 billion, representing an increase of $0.8 billion compared to the first quarter of the prior year.</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2021, net cash used in investing activities of $629.5 million was primarily attributable to purchases and origination of loans held for investment of $1.8 billion and purchases of securities available for sale of $0.4 billion, offset by repayments on loans and proceeds from maturities of securities available for sale of $1.7 billion. We originated loans of $0.5 billion and also purchased loans of $1.3 billion.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0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net cash provided by financing activities of $199.5 million, was primarily attributable to net cash sources from funding debt and notes and residual trust certificates for the securitization trusts of $1.4 billion. These were partially offset by our debt repayments related to our lending activities of $1.2 billion, of which $1.1 billion were related to our warehouse facilities. Our payments of debt issuance costs were in the normal course of business and reflective of our recurring debt warehouse facility activity, which involves securing new warehouse facilities and extending existing warehouse facilities. Finally, we paid taxes related to RSU vesting of $27.3 million.</w:t>
      </w:r>
    </w:p>
    <w:p>
      <w:pPr>
        <w:spacing w:after="0" w:line="1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2021, net cash provided by financing activities of $244.0 million. We received $1.2 billion of proceeds from debt financing activities related to our lending activities. These debt proceeds were more than offset by $0.9 billion of debt repayments, of which $0.7 billion were related to our warehouse facilities. Our payments of debt issuance costs were in the normal course of business and reflective of our recurring debt warehouse facility activity, which involves securing new warehouse facilities and extending existing warehouse facilities. We also paid taxes related to RSU vesting of $39.8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in our commitments and contractual obligations for the three months ended September 30, 2022 from the commitments and contractual obligations disclosed in the section titled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 Contractual Obligations</w:t>
      </w:r>
      <w:r>
        <w:rPr>
          <w:rFonts w:ascii="Times New Roman" w:cs="Times New Roman" w:eastAsia="Times New Roman" w:hAnsi="Times New Roman"/>
          <w:sz w:val="18"/>
          <w:szCs w:val="18"/>
          <w:color w:val="auto"/>
        </w:rPr>
        <w:t>,” set forth in our Annual Report on Form 10-K for the fiscal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which was filed with the SEC on August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Off-balance sheet loans relate to unconsolidated securitization transactions and loans sold to third-party investors for which we have some form of continuing involvement, including as servicer. For off-balance sheet loan sales where servicing is the only form of continuing involvement, we would only experience a loss if we were required to repurchase such a loan due to a breach in representations and warranties associated with our loan sale or servicing contracts. For unconsolidated securitization transactions where Affirm is the sponsor and risk retention holder, Affirm could experience a loss of up to 5% of both the senior notes and residual certificates. As of September 30, 2022, the aggregate outstanding balance of loans held by third-party investors or off-balance sheet VIEs was $4.5 billion. In the unlikely event principal payments on the loans backing any off-balance sheet securitization are insufficient to pay note holders, including any retained interest, then any amounts the Company contributed to the securitization reserve accounts may be depleted. Refer to Note 11. Securitization and Variable Interest Entities of the accompanying notes to our interim condensed consolidated financial statements for more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accounting principles generally accepted in the United States. In preparing our condensed consolidated financial statements, we make judgments, estimates and assumptions that affect reported amounts of assets and liabilities, as well as revenues and expenses. We base our assumptions, judgments and estimates on historical experience and various other factors that we believe to be reasonable under the circumstances. The results involve judgments about the carrying values of assets and liabilities not readily apparent from other sources. Actual results could differ materially from these estimates under different assumptions or conditions. We regularly evaluate our estimates, assumptions and judgments, particularly those that include the most difficult, subjective or complex judgments and are often about matters that are inherently uncertain.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months ended September 30, 2022.</w:t>
      </w:r>
    </w:p>
    <w:p>
      <w:pPr>
        <w:spacing w:after="0" w:line="148"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and critical accounting estimates, refer to our Annual Report on Form 10-K for the year ended June 30, 2022 within Note 2 to the Notes to Consolidated Financial Statements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Critical Accounting Policies and Estimates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Issued, But Not Yet Adopted</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within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within the United States, Canada and Australia,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cash and cash equivalents and certain of our restricted cash as of September 30, 2022 were held primarily in checking, money market, and savings accounts. As of September 30, 2022, we had $306.5 million of cash equivalents invested in money market funds, certificates of deposit, government bonds, and other commercial paper with maturities less than three months. Our cash and cash equivalents are held for working capital purposes. The fair value of our cash and cash equivalents and certain restricted cash would not be significantly affected by a change in interest rates due to their short-term nature.</w:t>
      </w:r>
    </w:p>
    <w:p>
      <w:pPr>
        <w:spacing w:after="0" w:line="14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securities available for sale at fair value as of September 30, 2022 included $1,237.3 million of marketable debt securities with maturities greater than three months. A rise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Continued volatility in interest rates and potentially inflation, which may persist longer than previously expected, may adversely impact our customers’ spending levels and ability and willingness to pay outstanding amounts owed to us. Higher interest rates may lead to higher payment obligations on our future credit products, or to their lenders under mortgage, credit card, and other loans. Therefore, higher interest rates may lead to increased delinquencies, charge-offs, and allowances for loans and interest receivable, which could have an adverse effect on our operating results.</w:t>
      </w:r>
    </w:p>
    <w:p>
      <w:pPr>
        <w:spacing w:after="0" w:line="13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Increases in interest rates may result in higher coupons and therefore lower interest income received on securitizations where we retain the residual interest and a lower gain on sale for securitizations in which we sell the equity interest. We maintain an interest rate hedging program which eliminates some, but not all, of the interest rate risk. Factoring in this program, as of September 30, 2022, we estimate that a hypothetical instantaneous 100 basis point upward parallel shock to interest rates would have a less than $35.0 million adverse impact on our annual financial results over the next 12 months.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ITACs models to underwrite, score, and price loans in a manner that we believe is reflective of the credit risk. Other credit levers such as user limits and/or down payment requirements are used to ensure a sufficient expectation of a customer’s ability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To monitor portfolio performance, we utilize a wide range of internal and external metrics to review user and loan populations. Each week management reviews performance for each customer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0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and June 30, 2022 we were exposed to credit risk on $2.7 billion and $2.5 billion, respectively, of loans held on our interim condensed consolidated balance sheet. Loan receivables are diversified geographically. As of September 30, 2022 and June 30, 2022, approximately 12% of loan receivables related to customers residing in the state of California. No other states or provinces exceeded 10%.</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 established financial institutions, diversifying our counterparties and having guidelines regarding credit rating and investment maturities to safeguard liquidity. We have not historically experienced any credit losses related to these financial instruments and do not believe we are exposed to significant credit risk in these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September 30,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8. “Commitments and Contingencies” of the accompanying notes to our interim condensed consolidated financial statements.</w:t>
      </w:r>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risks described under the heading “Risk Factors” in our Annual Report on Form 10-K for the fiscal year ended June 30, 2022 could materially and adversely affect our business, financial condition, and results of operations, future prospects, and the trading price of our Class A common stock could decline.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You should carefully read and consider such risks, together with all of the other information in our Annual Report on Form 10-K for the fiscal year ended June 30, 2022,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under the heading “Risk Factors” in our Annual Report on Form 10-K for the fiscal year ended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the Company’s repurchases of shares of Class A common stock during the quarter ended September 30,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203"/>
        </w:trPr>
        <w:tc>
          <w:tcPr>
            <w:tcW w:w="2080" w:type="dxa"/>
            <w:vAlign w:val="bottom"/>
            <w:gridSpan w:val="2"/>
            <w:vMerge w:val="continue"/>
          </w:tcPr>
          <w:p>
            <w:pPr>
              <w:spacing w:after="0"/>
              <w:rPr>
                <w:sz w:val="17"/>
                <w:szCs w:val="17"/>
                <w:color w:val="auto"/>
              </w:rPr>
            </w:pPr>
          </w:p>
        </w:tc>
        <w:tc>
          <w:tcPr>
            <w:tcW w:w="23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16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1 - 31</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3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w:t>
            </w:r>
          </w:p>
        </w:tc>
        <w:tc>
          <w:tcPr>
            <w:tcW w:w="2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20" w:hanging="328"/>
        <w:spacing w:after="0" w:line="235"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shares purchased were repurchases of unvested shares of our Class A common stock that had been issued upon early exercise of stock options. Pursuant to the associated option award agreements, upon termination of employment of a person holding unvested shares, we were entitled to repurchase the unvested 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tcPr>
          <w:p>
            <w:pPr>
              <w:spacing w:after="0"/>
              <w:rPr>
                <w:sz w:val="17"/>
                <w:szCs w:val="17"/>
                <w:color w:val="auto"/>
              </w:rPr>
            </w:pPr>
          </w:p>
        </w:tc>
        <w:tc>
          <w:tcPr>
            <w:tcW w:w="308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5"/>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Amendment No. 1, dated August 15, 2022, to Revolving Credit Agreement</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32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4"/>
                <w:szCs w:val="14"/>
                <w:color w:val="0000FF"/>
              </w:rPr>
              <w:t>among Affirm, Inc., Affirm Loan Services LLC, Affirm Opportunity Fund</w:t>
            </w:r>
          </w:p>
        </w:tc>
        <w:tc>
          <w:tcPr>
            <w:tcW w:w="40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color w:val="0000FF"/>
              </w:rPr>
              <w:t>I</w:t>
            </w: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rPr>
              <w:t>LLC, certain lenders identified therein, and Barclays Bank PLC</w:t>
            </w:r>
          </w:p>
        </w:tc>
        <w:tc>
          <w:tcPr>
            <w:tcW w:w="700" w:type="dxa"/>
            <w:vAlign w:val="bottom"/>
            <w:tcBorders>
              <w:top w:val="single" w:sz="8" w:color="0000FF"/>
            </w:tcBorders>
            <w:gridSpan w:val="5"/>
          </w:tcPr>
          <w:p>
            <w:pPr>
              <w:spacing w:after="0"/>
              <w:rPr>
                <w:sz w:val="13"/>
                <w:szCs w:val="13"/>
                <w:color w:val="auto"/>
              </w:rPr>
            </w:pPr>
          </w:p>
        </w:tc>
        <w:tc>
          <w:tcPr>
            <w:tcW w:w="36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31.1</w:t>
            </w:r>
          </w:p>
        </w:tc>
        <w:tc>
          <w:tcPr>
            <w:tcW w:w="4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34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80" w:type="dxa"/>
            <w:vAlign w:val="bottom"/>
            <w:tcBorders>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 the</w:t>
            </w:r>
          </w:p>
        </w:tc>
        <w:tc>
          <w:tcPr>
            <w:tcW w:w="2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11"/>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31.2</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w:t>
            </w:r>
          </w:p>
        </w:tc>
        <w:tc>
          <w:tcPr>
            <w:tcW w:w="140" w:type="dxa"/>
            <w:vAlign w:val="bottom"/>
            <w:tcBorders>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FF"/>
                <w:w w:val="75"/>
              </w:rPr>
              <w:t>the</w:t>
            </w:r>
          </w:p>
        </w:tc>
        <w:tc>
          <w:tcPr>
            <w:tcW w:w="2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11"/>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32.1</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26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32.2</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460" w:type="dxa"/>
            <w:vAlign w:val="bottom"/>
            <w:tcBorders>
              <w:top w:val="single" w:sz="8" w:color="0000FF"/>
            </w:tcBorders>
            <w:gridSpan w:val="8"/>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101.INS</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101.SCH</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101.CAL</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101.DEF</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101.LAB</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101.PRE</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104</w:t>
            </w: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Exhibit 101)</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3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AFFIRM HOLDINGS, INC.</w:t>
            </w:r>
          </w:p>
        </w:tc>
      </w:tr>
      <w:tr>
        <w:trPr>
          <w:trHeight w:val="54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19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Levchin</w:t>
            </w:r>
          </w:p>
        </w:tc>
      </w:tr>
      <w:tr>
        <w:trPr>
          <w:trHeight w:val="250"/>
        </w:trPr>
        <w:tc>
          <w:tcPr>
            <w:tcW w:w="3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Levchin</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3080" w:type="dxa"/>
            <w:vAlign w:val="bottom"/>
          </w:tcPr>
          <w:p>
            <w:pPr>
              <w:spacing w:after="0"/>
              <w:rPr>
                <w:sz w:val="24"/>
                <w:szCs w:val="24"/>
                <w:color w:val="auto"/>
              </w:rPr>
            </w:pPr>
          </w:p>
        </w:tc>
        <w:tc>
          <w:tcPr>
            <w:tcW w:w="19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Linford</w:t>
            </w:r>
          </w:p>
        </w:tc>
      </w:tr>
      <w:tr>
        <w:trPr>
          <w:trHeight w:val="250"/>
        </w:trPr>
        <w:tc>
          <w:tcPr>
            <w:tcW w:w="3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Linford</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121" w:right="439" w:bottom="1440" w:gutter="0" w:footer="0" w:header="0"/>
        </w:sectPr>
      </w:pPr>
    </w:p>
    <w:bookmarkStart w:id="72" w:name="page73"/>
    <w:bookmarkEnd w:id="7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AMENDMENT NO. 1</w:t>
      </w:r>
      <w:r>
        <w:rPr>
          <w:rFonts w:ascii="Times New Roman" w:cs="Times New Roman" w:eastAsia="Times New Roman" w:hAnsi="Times New Roman"/>
          <w:sz w:val="22"/>
          <w:szCs w:val="22"/>
          <w:color w:val="auto"/>
        </w:rPr>
        <w:t>, dated as of August 15, 2022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to the Credit Agreement, dated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4, 2022, among Affirm, Inc., a Delaware corporation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Affirm Holdings, Inc., a Delaware corporation, the Lenders party thereto, and Barclays Bank PLC, as Administrative Agent (the “</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(as heretofore amended, restated, modified and supplemented, the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capitalized terms used and not otherwise defined herein shall have the meanings assigned to such terms in the Credit Agreement.</w:t>
      </w:r>
    </w:p>
    <w:p>
      <w:pPr>
        <w:spacing w:after="0" w:line="151" w:lineRule="exact"/>
        <w:rPr>
          <w:sz w:val="20"/>
          <w:szCs w:val="20"/>
          <w:color w:val="auto"/>
        </w:rPr>
      </w:pPr>
    </w:p>
    <w:p>
      <w:pPr>
        <w:ind w:right="20" w:firstLine="1304"/>
        <w:spacing w:after="0" w:line="236" w:lineRule="auto"/>
        <w:tabs>
          <w:tab w:leader="none" w:pos="193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that the Administrative Agent and the Lenders agree to certain amendments to the Credit Agreement in the manner provided for herein.</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party hereto constitute Required Lenders under the Credit Agreement, and pursuant to Section 9.02 of the Credit Agreement, the Administrative Agent and the Required Lenders are willing to agree to the terms of this Amendment and the amendments to the Credit Agreement effected hereby.</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Accordingly,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The Borrower, the Required Lenders and the Administrative Agent hereby agree that the Credit Agreement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double-underlined text (indicated textually in the same manner as the following example: </w:t>
      </w:r>
      <w:r>
        <w:rPr>
          <w:rFonts w:ascii="Times New Roman" w:cs="Times New Roman" w:eastAsia="Times New Roman" w:hAnsi="Times New Roman"/>
          <w:sz w:val="22"/>
          <w:szCs w:val="22"/>
          <w:u w:val="single" w:color="auto"/>
          <w:color w:val="0070C0"/>
        </w:rPr>
        <w:t>double-underlined text</w:t>
      </w:r>
      <w:r>
        <w:rPr>
          <w:rFonts w:ascii="Times New Roman" w:cs="Times New Roman" w:eastAsia="Times New Roman" w:hAnsi="Times New Roman"/>
          <w:sz w:val="22"/>
          <w:szCs w:val="22"/>
          <w:color w:val="auto"/>
        </w:rPr>
        <w:t>) as set forth in Exhibit A hereto.</w:t>
      </w:r>
    </w:p>
    <w:p>
      <w:pPr>
        <w:spacing w:after="0" w:line="14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Borrower represents and warrants, as of the Amendment Effective Date (as defined below), to the</w:t>
      </w:r>
    </w:p>
    <w:p>
      <w:pPr>
        <w:spacing w:after="0"/>
        <w:rPr>
          <w:sz w:val="20"/>
          <w:szCs w:val="20"/>
          <w:color w:val="auto"/>
        </w:rPr>
      </w:pPr>
      <w:r>
        <w:rPr>
          <w:rFonts w:ascii="Times New Roman" w:cs="Times New Roman" w:eastAsia="Times New Roman" w:hAnsi="Times New Roman"/>
          <w:sz w:val="22"/>
          <w:szCs w:val="22"/>
          <w:color w:val="auto"/>
        </w:rPr>
        <w:t>Administrative Agent that:</w:t>
      </w:r>
    </w:p>
    <w:p>
      <w:pPr>
        <w:spacing w:after="0" w:line="155" w:lineRule="exact"/>
        <w:rPr>
          <w:sz w:val="20"/>
          <w:szCs w:val="20"/>
          <w:color w:val="auto"/>
        </w:rPr>
      </w:pPr>
    </w:p>
    <w:p>
      <w:pPr>
        <w:jc w:val="both"/>
        <w:ind w:firstLine="1304"/>
        <w:spacing w:after="0" w:line="225" w:lineRule="auto"/>
        <w:tabs>
          <w:tab w:leader="none" w:pos="193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duly executed and delivered by the Borrower and constitutes the legal, valid and binding obligation of the Borrower, enforceable against the Borrower in accordance with its terms, except to the extent that the enforceability thereof may be limited by Debtor Relief Laws and by general principles of equity.</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set forth in the Loan Documents (including, for the avoidance of doubt, this Amendment as a Loan Document) are true and correct in all material respects (except that any such representation and warranty that is qualified as to “materiality” or “Material Adverse Effect” are true and correct in all respects as so qualified) on and as of the date such representation and warranty is made, except to the extent such representations and warranties expressly relate to an earlier date (in which case such representations and warranties were true and correct in all material respects as of such earlier date).</w:t>
      </w:r>
    </w:p>
    <w:p>
      <w:pPr>
        <w:sectPr>
          <w:pgSz w:w="11900" w:h="16838" w:orient="portrait"/>
          <w:cols w:equalWidth="0" w:num="1">
            <w:col w:w="11240"/>
          </w:cols>
          <w:pgMar w:left="320" w:top="347" w:right="339" w:bottom="1440" w:gutter="0" w:footer="0" w:header="0"/>
        </w:sectPr>
      </w:pPr>
    </w:p>
    <w:bookmarkStart w:id="73" w:name="page74"/>
    <w:bookmarkEnd w:id="73"/>
    <w:p>
      <w:pPr>
        <w:spacing w:after="0" w:line="131" w:lineRule="exact"/>
        <w:rPr>
          <w:sz w:val="20"/>
          <w:szCs w:val="20"/>
          <w:color w:val="auto"/>
        </w:rPr>
      </w:pPr>
    </w:p>
    <w:p>
      <w:pPr>
        <w:ind w:left="1940" w:hanging="636"/>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no Default or Event of Default has occurred and is continuing.</w:t>
      </w:r>
    </w:p>
    <w:p>
      <w:pPr>
        <w:spacing w:after="0" w:line="175" w:lineRule="exact"/>
        <w:rPr>
          <w:rFonts w:ascii="Times New Roman" w:cs="Times New Roman" w:eastAsia="Times New Roman" w:hAnsi="Times New Roman"/>
          <w:sz w:val="22"/>
          <w:szCs w:val="22"/>
          <w:color w:val="auto"/>
        </w:rPr>
      </w:pPr>
    </w:p>
    <w:p>
      <w:pPr>
        <w:ind w:left="5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Effectiveness</w:t>
      </w:r>
    </w:p>
    <w:p>
      <w:pPr>
        <w:spacing w:after="0" w:line="179"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2"/>
          <w:szCs w:val="22"/>
          <w:color w:val="auto"/>
        </w:rPr>
        <w:t>This Amendment shall become effective on the date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on which each of the following conditions is satisfied:</w:t>
      </w:r>
    </w:p>
    <w:p>
      <w:pPr>
        <w:spacing w:after="0" w:line="150" w:lineRule="exact"/>
        <w:rPr>
          <w:sz w:val="20"/>
          <w:szCs w:val="20"/>
          <w:color w:val="auto"/>
        </w:rPr>
      </w:pPr>
    </w:p>
    <w:p>
      <w:pPr>
        <w:ind w:firstLine="1304"/>
        <w:spacing w:after="0" w:line="236" w:lineRule="auto"/>
        <w:tabs>
          <w:tab w:leader="none" w:pos="193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a counterpart of this Amendment from (i) each Required Lender and (ii) the Borrower and each Guarantor signed on behalf of such party;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on or prior to the Amendment Effective Date, including, to the extent invoiced, reimbursement or payment of all out of pocket expenses and fees of counsel to the Administrative Agent and the Lenders required to be reimbursed or paid by the Borrower.</w:t>
      </w:r>
    </w:p>
    <w:p>
      <w:pPr>
        <w:spacing w:after="0" w:line="1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Further Acknowledgments</w:t>
      </w:r>
    </w:p>
    <w:p>
      <w:pPr>
        <w:spacing w:after="0" w:line="183" w:lineRule="exact"/>
        <w:rPr>
          <w:sz w:val="20"/>
          <w:szCs w:val="20"/>
          <w:color w:val="auto"/>
        </w:rPr>
      </w:pPr>
    </w:p>
    <w:p>
      <w:pPr>
        <w:jc w:val="both"/>
        <w:ind w:firstLine="1304"/>
        <w:spacing w:after="0" w:line="225" w:lineRule="auto"/>
        <w:tabs>
          <w:tab w:leader="none" w:pos="193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acknowledges and agrees to each of the provisions of this Amendment. Each Guarantor acknowledges and agrees that, after giving effect to this Amendment, the Guaranty continues to be in full force and effect and affirms and confirms its guarantee of the Obligations, which continue in full force and effect.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hereby direct and authorize the Administrative Agent (in its capacity as such) to execute and deliver this Amendment.</w:t>
      </w:r>
    </w:p>
    <w:p>
      <w:pPr>
        <w:spacing w:after="0" w:line="1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3" w:lineRule="exact"/>
        <w:rPr>
          <w:sz w:val="20"/>
          <w:szCs w:val="20"/>
          <w:color w:val="auto"/>
        </w:rPr>
      </w:pPr>
    </w:p>
    <w:p>
      <w:pPr>
        <w:jc w:val="both"/>
        <w:ind w:firstLine="1304"/>
        <w:spacing w:after="0" w:line="212" w:lineRule="auto"/>
        <w:tabs>
          <w:tab w:leader="none" w:pos="193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Except as expressly set forth herein, this Amendment shall not by implication or otherwise limit, impair, constitute a waiver of or otherwise affect the rights and remedies of the Lenders, the Administrative Agent, the Borrower or any other Loan Party under the Credit Agreement or any other Loan Document, and shall not alter, modify, amend or in any way affect any of the terms, conditions, obligations, covenants or agreements contained in the Credit Agreement or any other Loan Document or any exhibits or schedules thereto, all of which are ratified and affirmed in all respects and shall continue in full force and effect after giving effect to this Amendment. After the Amendment Effective Date, any reference to the Credit Agreement shall mean the Credit Agreement as modified hereby. This Amendment shall constitute a “Loan Document” for all purposes of the Credit Agreement and the other Loan Documents.</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Novation</w:t>
      </w:r>
      <w:r>
        <w:rPr>
          <w:rFonts w:ascii="Times New Roman" w:cs="Times New Roman" w:eastAsia="Times New Roman" w:hAnsi="Times New Roman"/>
          <w:sz w:val="22"/>
          <w:szCs w:val="22"/>
          <w:color w:val="auto"/>
        </w:rPr>
        <w:t>. This Amendment shall not extinguish the Obligations for the payment of money outstanding under the Credit Agreement or discharge or release any guarantee of any Loan Document. Except as expressly provided, nothing herein contained shall be construed as a substitution or novation, or a payment and reborrowing, or a termination, of the Obligations outstanding under the Credit Agreement or instruments guaranteeing the same, which shall remain in full force and effect, except as modified hereby or by instruments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concurrently herewith. Nothing expressed or implied in this Amendment or any other document contemplated hereby shall be construed as a release or other discharge of any Loan Party under the Credit Agreement or any Loan Document from any of its obligations and liabilities thereunder, and except as expressly provided, such obligations are in all respects continuing with only the terms being modified as provided in this Amendment.</w:t>
      </w:r>
    </w:p>
    <w:p>
      <w:pPr>
        <w:spacing w:after="0" w:line="152" w:lineRule="exact"/>
        <w:rPr>
          <w:sz w:val="20"/>
          <w:szCs w:val="20"/>
          <w:color w:val="auto"/>
        </w:rPr>
      </w:pPr>
    </w:p>
    <w:p>
      <w:pPr>
        <w:jc w:val="both"/>
        <w:ind w:firstLine="1304"/>
        <w:spacing w:after="0" w:line="220" w:lineRule="auto"/>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upon the parties hereto and their respective successors and assigns and shall inure to the benefit of the parties hereto and the successors and assigns of the Lenders (it being understood that rights of assignment of the parties hereto are subject to the further provisions of Section 9.04 of the Credit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AMENDMENT SHALL BE CONSTRUED IN ACCORDANCE WITH AND GOVERNED BY THE LAW OF THE STATE OF NEW YORK. EACH OF THE LENDERS AND THE ADMINISTRATIVE AGENT HEREBY IRREVOCABLY AND UNCONDITIONALLY AGREES THAT ANY CLAIMS BROUGHT AGAINST THE ADMINISTRATIVE AGENT BY ANY LENDER RELATING TO THIS AMENDMENT OR THE CONSUMMATION OR ADMINISTRATION OF THE TRANSACTIONS CONTEMPLATED HEREBY SHALL BE CONSTRUED IN ACCORDANCE WITH AND GOVERNED BY THE LAW OF THE STATE OF NEW YORK.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AMENDMENT OR THE TRANSACTIONS RELATING 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AMENDMENT SHALL AFFECT ANY RIGHT THAT THE ADMINISTRATIVE AGENT OR ANY LENDER MAY OTHERWISE HAVE TO BRING ANY ACTION OR PROCEEDING RELATING TO THIS AMENDMENT AGAINST THE BORROWER OR ITS PROPERTIES IN THE COURTS OF ANY JURISDICTION. 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IN ANY COURT REFERRED TO IN THIS SECTION D. EACH OF THE PARTIES HERETO HEREBY IRREVOCABLY WAIVES, TO THE FULLEST EXTENT PERMITTED BY LAW, THE DEFENSE OF AN INCONVENIENT FORUM TO THE MAINTENANCE OF SUCH ACTION OR PROCEEDING IN ANY SUCH COURT. EACH PARTY TO THIS AMENDMENT IRREVOCABLY CONSENTS TO SERVICE OF PROCESS IN THE MANNER PROVIDED FOR NOTICES IN SECTION 9.01 OF THE CREDIT AGREEMENT. NOTHING IN THIS AMENDMENT WILL AFFECT THE RIGHT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TO THIS AMENDMENT TO SERVE PROCESS IN ANY OTHER MANNER PERMITTED BY LAW.</w:t>
      </w:r>
    </w:p>
    <w:p>
      <w:pPr>
        <w:spacing w:after="0" w:line="179" w:lineRule="exact"/>
        <w:rPr>
          <w:sz w:val="20"/>
          <w:szCs w:val="20"/>
          <w:color w:val="auto"/>
        </w:rPr>
      </w:pPr>
    </w:p>
    <w:p>
      <w:pPr>
        <w:jc w:val="both"/>
        <w:ind w:firstLine="1304"/>
        <w:spacing w:after="0" w:line="211"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RIGHT TO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THIS AMENDMENT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2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the different parties hereto on separate counterparts, each of which when so executed and delivered shall be an original, but all of which shall together constitute one and the same instrument.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 set of counterparts executed by all the parties hereto shall be lodged with the Borrower and the Administrative Agent.</w:t>
      </w:r>
    </w:p>
    <w:p>
      <w:pPr>
        <w:spacing w:after="0" w:line="158" w:lineRule="exact"/>
        <w:rPr>
          <w:rFonts w:ascii="Times New Roman" w:cs="Times New Roman" w:eastAsia="Times New Roman" w:hAnsi="Times New Roman"/>
          <w:sz w:val="22"/>
          <w:szCs w:val="22"/>
          <w:color w:val="auto"/>
        </w:rPr>
      </w:pPr>
    </w:p>
    <w:p>
      <w:pPr>
        <w:ind w:firstLine="1304"/>
        <w:spacing w:after="0" w:line="236" w:lineRule="auto"/>
        <w:tabs>
          <w:tab w:leader="none" w:pos="193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several sections and subsections of this Amendment are inserted for convenience only and shall not in any way affect the meaning or construction of any provision of this Amendment.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6" w:name="page77"/>
    <w:bookmarkEnd w:id="76"/>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authorized officers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AFFIRM, INC.</w:t>
      </w:r>
      <w:r>
        <w:rPr>
          <w:rFonts w:ascii="Times New Roman" w:cs="Times New Roman" w:eastAsia="Times New Roman" w:hAnsi="Times New Roman"/>
          <w:sz w:val="22"/>
          <w:szCs w:val="22"/>
          <w:color w:val="auto"/>
        </w:rPr>
        <w:t>,</w:t>
      </w:r>
    </w:p>
    <w:p>
      <w:pPr>
        <w:ind w:left="3960"/>
        <w:spacing w:after="0"/>
        <w:rPr>
          <w:sz w:val="20"/>
          <w:szCs w:val="20"/>
          <w:color w:val="auto"/>
        </w:rPr>
      </w:pPr>
      <w:r>
        <w:rPr>
          <w:rFonts w:ascii="Times New Roman" w:cs="Times New Roman" w:eastAsia="Times New Roman" w:hAnsi="Times New Roman"/>
          <w:sz w:val="22"/>
          <w:szCs w:val="22"/>
          <w:color w:val="auto"/>
        </w:rPr>
        <w:t>as Borrower</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Brooke Major-Reid</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-160020</wp:posOffset>
            </wp:positionV>
            <wp:extent cx="22974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Chief Capital Officer</w:t>
      </w: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AFFIRM LOAN SERVICES LLC</w:t>
      </w:r>
      <w:r>
        <w:rPr>
          <w:rFonts w:ascii="Times New Roman" w:cs="Times New Roman" w:eastAsia="Times New Roman" w:hAnsi="Times New Roman"/>
          <w:sz w:val="22"/>
          <w:szCs w:val="22"/>
          <w:color w:val="auto"/>
        </w:rPr>
        <w:t>,</w:t>
      </w:r>
    </w:p>
    <w:p>
      <w:pPr>
        <w:ind w:left="3960"/>
        <w:spacing w:after="0"/>
        <w:rPr>
          <w:sz w:val="20"/>
          <w:szCs w:val="20"/>
          <w:color w:val="auto"/>
        </w:rPr>
      </w:pPr>
      <w:r>
        <w:rPr>
          <w:rFonts w:ascii="Times New Roman" w:cs="Times New Roman" w:eastAsia="Times New Roman" w:hAnsi="Times New Roman"/>
          <w:sz w:val="22"/>
          <w:szCs w:val="22"/>
          <w:color w:val="auto"/>
        </w:rPr>
        <w:t>as Guarantor</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Brooke Major-Reid</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-160020</wp:posOffset>
            </wp:positionV>
            <wp:extent cx="2297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AFFIRM OPPORTUNITY FUND I LLC</w:t>
      </w:r>
      <w:r>
        <w:rPr>
          <w:rFonts w:ascii="Times New Roman" w:cs="Times New Roman" w:eastAsia="Times New Roman" w:hAnsi="Times New Roman"/>
          <w:sz w:val="22"/>
          <w:szCs w:val="22"/>
          <w:color w:val="auto"/>
        </w:rPr>
        <w:t>,</w:t>
      </w:r>
    </w:p>
    <w:p>
      <w:pPr>
        <w:ind w:left="3960"/>
        <w:spacing w:after="0"/>
        <w:rPr>
          <w:sz w:val="20"/>
          <w:szCs w:val="20"/>
          <w:color w:val="auto"/>
        </w:rPr>
      </w:pPr>
      <w:r>
        <w:rPr>
          <w:rFonts w:ascii="Times New Roman" w:cs="Times New Roman" w:eastAsia="Times New Roman" w:hAnsi="Times New Roman"/>
          <w:sz w:val="22"/>
          <w:szCs w:val="22"/>
          <w:color w:val="auto"/>
        </w:rPr>
        <w:t>as Guarantor</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Brooke Major-Reid</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Brooke Major-Reid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-160020</wp:posOffset>
            </wp:positionV>
            <wp:extent cx="22974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 Amendment No. 1]</w:t>
      </w:r>
    </w:p>
    <w:p>
      <w:pPr>
        <w:sectPr>
          <w:pgSz w:w="11900" w:h="16838" w:orient="portrait"/>
          <w:cols w:equalWidth="0" w:num="1">
            <w:col w:w="11180"/>
          </w:cols>
          <w:pgMar w:left="320" w:top="1395"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b w:val="1"/>
          <w:bCs w:val="1"/>
          <w:color w:val="auto"/>
        </w:rPr>
        <w:t>BARCLAYS BANK PLC</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as Administrative Agent and Lender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Sean Duggan</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Name: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-160020</wp:posOffset>
            </wp:positionV>
            <wp:extent cx="29660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[Signature Page – Amendment No. 1]</w:t>
      </w:r>
    </w:p>
    <w:p>
      <w:pPr>
        <w:sectPr>
          <w:pgSz w:w="11900" w:h="16838" w:orient="portrait"/>
          <w:cols w:equalWidth="0" w:num="1">
            <w:col w:w="10059"/>
          </w:cols>
          <w:pgMar w:left="400" w:top="143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b w:val="1"/>
          <w:bCs w:val="1"/>
          <w:color w:val="auto"/>
        </w:rPr>
        <w:t>BMO HARRIS BANK NA</w:t>
      </w:r>
      <w:r>
        <w:rPr>
          <w:rFonts w:ascii="Times New Roman" w:cs="Times New Roman" w:eastAsia="Times New Roman" w:hAnsi="Times New Roman"/>
          <w:sz w:val="22"/>
          <w:szCs w:val="22"/>
          <w:color w:val="auto"/>
        </w:rPr>
        <w:t>,</w:t>
      </w:r>
    </w:p>
    <w:p>
      <w:pPr>
        <w:ind w:left="6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Chris Clark</w:t>
            </w:r>
          </w:p>
        </w:tc>
      </w:tr>
      <w:tr>
        <w:trPr>
          <w:trHeight w:val="250"/>
        </w:trPr>
        <w:tc>
          <w:tcPr>
            <w:tcW w:w="700" w:type="dxa"/>
            <w:vAlign w:val="bottom"/>
          </w:tcPr>
          <w:p>
            <w:pPr>
              <w:spacing w:after="0"/>
              <w:rPr>
                <w:sz w:val="21"/>
                <w:szCs w:val="21"/>
                <w:color w:val="auto"/>
              </w:rPr>
            </w:pPr>
          </w:p>
        </w:tc>
        <w:tc>
          <w:tcPr>
            <w:tcW w:w="46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Chris Clark</w:t>
            </w:r>
          </w:p>
        </w:tc>
      </w:tr>
      <w:tr>
        <w:trPr>
          <w:trHeight w:val="282"/>
        </w:trPr>
        <w:tc>
          <w:tcPr>
            <w:tcW w:w="7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[Signature Page – Amendment No. 1]</w:t>
      </w:r>
    </w:p>
    <w:p>
      <w:pPr>
        <w:sectPr>
          <w:pgSz w:w="11900" w:h="16838" w:orient="portrait"/>
          <w:cols w:equalWidth="0" w:num="1">
            <w:col w:w="10119"/>
          </w:cols>
          <w:pgMar w:left="340" w:top="143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b w:val="1"/>
          <w:bCs w:val="1"/>
          <w:color w:val="auto"/>
        </w:rPr>
        <w:t>MORGAN STANLEY SENIOR FUNDING, INC.</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Ethan Plater</w:t>
            </w:r>
          </w:p>
        </w:tc>
      </w:tr>
      <w:tr>
        <w:trPr>
          <w:trHeight w:val="250"/>
        </w:trPr>
        <w:tc>
          <w:tcPr>
            <w:tcW w:w="700" w:type="dxa"/>
            <w:vAlign w:val="bottom"/>
          </w:tcPr>
          <w:p>
            <w:pPr>
              <w:spacing w:after="0"/>
              <w:rPr>
                <w:sz w:val="21"/>
                <w:szCs w:val="21"/>
                <w:color w:val="auto"/>
              </w:rPr>
            </w:pPr>
          </w:p>
        </w:tc>
        <w:tc>
          <w:tcPr>
            <w:tcW w:w="46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Ethan Plater</w:t>
            </w:r>
          </w:p>
        </w:tc>
      </w:tr>
      <w:tr>
        <w:trPr>
          <w:trHeight w:val="282"/>
        </w:trPr>
        <w:tc>
          <w:tcPr>
            <w:tcW w:w="7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[Signature Page – Amendment No. 1]</w:t>
      </w:r>
    </w:p>
    <w:p>
      <w:pPr>
        <w:sectPr>
          <w:pgSz w:w="11900" w:h="16838" w:orient="portrait"/>
          <w:cols w:equalWidth="0" w:num="1">
            <w:col w:w="10059"/>
          </w:cols>
          <w:pgMar w:left="400" w:top="143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Madison Waterfield</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Name: Madison Waterfield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-160020</wp:posOffset>
            </wp:positionV>
            <wp:extent cx="29660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[Signature Page – Amendment No. 1]</w:t>
      </w:r>
    </w:p>
    <w:p>
      <w:pPr>
        <w:sectPr>
          <w:pgSz w:w="11900" w:h="16838" w:orient="portrait"/>
          <w:cols w:equalWidth="0" w:num="1">
            <w:col w:w="10059"/>
          </w:cols>
          <w:pgMar w:left="400" w:top="143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William Doolittle</w:t>
            </w:r>
          </w:p>
        </w:tc>
      </w:tr>
      <w:tr>
        <w:trPr>
          <w:trHeight w:val="250"/>
        </w:trPr>
        <w:tc>
          <w:tcPr>
            <w:tcW w:w="700" w:type="dxa"/>
            <w:vAlign w:val="bottom"/>
          </w:tcPr>
          <w:p>
            <w:pPr>
              <w:spacing w:after="0"/>
              <w:rPr>
                <w:sz w:val="21"/>
                <w:szCs w:val="21"/>
                <w:color w:val="auto"/>
              </w:rPr>
            </w:pPr>
          </w:p>
        </w:tc>
        <w:tc>
          <w:tcPr>
            <w:tcW w:w="46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William Doolittle</w:t>
            </w:r>
          </w:p>
        </w:tc>
      </w:tr>
      <w:tr>
        <w:trPr>
          <w:trHeight w:val="282"/>
        </w:trPr>
        <w:tc>
          <w:tcPr>
            <w:tcW w:w="7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[Signature Page – Amendment No. 1]</w:t>
      </w:r>
    </w:p>
    <w:p>
      <w:pPr>
        <w:sectPr>
          <w:pgSz w:w="11900" w:h="16838" w:orient="portrait"/>
          <w:cols w:equalWidth="0" w:num="1">
            <w:col w:w="10059"/>
          </w:cols>
          <w:pgMar w:left="400" w:top="1436"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Conformed Credit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ectPr>
          <w:pgSz w:w="11900" w:h="16838" w:orient="portrait"/>
          <w:cols w:equalWidth="0" w:num="1">
            <w:col w:w="9019"/>
          </w:cols>
          <w:pgMar w:left="1440" w:top="1395"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REVOLVING CREDIT AGREEMENT</w:t>
      </w:r>
    </w:p>
    <w:p>
      <w:pPr>
        <w:sectPr>
          <w:pgSz w:w="11900" w:h="16838" w:orient="portrait"/>
          <w:cols w:equalWidth="0" w:num="1">
            <w:col w:w="9019"/>
          </w:cols>
          <w:pgMar w:left="1440" w:top="1440"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dated as of</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February 4, 2022</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among</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AFFIRM,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Borrower,</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AFFIRM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Holdings,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490855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4" w:name="page85"/>
    <w:bookmarkEnd w:id="84"/>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933"/>
        </w:trPr>
        <w:tc>
          <w:tcPr>
            <w:tcW w:w="8120" w:type="dxa"/>
            <w:vAlign w:val="bottom"/>
            <w:gridSpan w:val="20"/>
          </w:tcPr>
          <w:p>
            <w:pPr>
              <w:spacing w:after="0"/>
              <w:rPr>
                <w:sz w:val="20"/>
                <w:szCs w:val="20"/>
                <w:color w:val="auto"/>
              </w:rPr>
            </w:pPr>
            <w:r>
              <w:rPr>
                <w:rFonts w:ascii="Times New Roman" w:cs="Times New Roman" w:eastAsia="Times New Roman" w:hAnsi="Times New Roman"/>
                <w:sz w:val="22"/>
                <w:szCs w:val="22"/>
                <w:color w:val="0000FF"/>
              </w:rPr>
              <w:t xml:space="preserve">ARTICLE I </w:t>
            </w:r>
            <w:r>
              <w:rPr>
                <w:rFonts w:ascii="Times New Roman" w:cs="Times New Roman" w:eastAsia="Times New Roman" w:hAnsi="Times New Roman"/>
                <w:sz w:val="22"/>
                <w:szCs w:val="22"/>
                <w:b w:val="1"/>
                <w:bCs w:val="1"/>
                <w:color w:val="0000FF"/>
              </w:rPr>
              <w:t>DEFINITIONS</w:t>
            </w:r>
          </w:p>
        </w:tc>
        <w:tc>
          <w:tcPr>
            <w:tcW w:w="2520" w:type="dxa"/>
            <w:vAlign w:val="bottom"/>
            <w:gridSpan w:val="2"/>
          </w:tcPr>
          <w:p>
            <w:pPr>
              <w:ind w:left="2400"/>
              <w:spacing w:after="0"/>
              <w:rPr>
                <w:sz w:val="20"/>
                <w:szCs w:val="20"/>
                <w:color w:val="auto"/>
              </w:rPr>
            </w:pPr>
            <w:r>
              <w:rPr>
                <w:rFonts w:ascii="Times New Roman" w:cs="Times New Roman" w:eastAsia="Times New Roman" w:hAnsi="Times New Roman"/>
                <w:sz w:val="22"/>
                <w:szCs w:val="22"/>
                <w:color w:val="0000FF"/>
                <w:w w:val="90"/>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1.01.</w:t>
            </w:r>
          </w:p>
        </w:tc>
        <w:tc>
          <w:tcPr>
            <w:tcW w:w="1380" w:type="dxa"/>
            <w:vAlign w:val="bottom"/>
            <w:tcBorders>
              <w:bottom w:val="single" w:sz="8" w:color="0000FF"/>
            </w:tcBorders>
            <w:gridSpan w:val="8"/>
          </w:tcPr>
          <w:p>
            <w:pPr>
              <w:ind w:left="80"/>
              <w:spacing w:after="0"/>
              <w:rPr>
                <w:sz w:val="20"/>
                <w:szCs w:val="20"/>
                <w:color w:val="auto"/>
              </w:rPr>
            </w:pPr>
            <w:r>
              <w:rPr>
                <w:rFonts w:ascii="Times New Roman" w:cs="Times New Roman" w:eastAsia="Times New Roman" w:hAnsi="Times New Roman"/>
                <w:sz w:val="22"/>
                <w:szCs w:val="22"/>
                <w:color w:val="0000FF"/>
                <w:w w:val="96"/>
              </w:rPr>
              <w:t>Defined Terms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20" w:type="dxa"/>
            <w:vAlign w:val="bottom"/>
            <w:gridSpan w:val="2"/>
          </w:tcPr>
          <w:p>
            <w:pPr>
              <w:ind w:left="2400"/>
              <w:spacing w:after="0"/>
              <w:rPr>
                <w:sz w:val="20"/>
                <w:szCs w:val="20"/>
                <w:color w:val="auto"/>
              </w:rPr>
            </w:pPr>
            <w:r>
              <w:rPr>
                <w:rFonts w:ascii="Times New Roman" w:cs="Times New Roman" w:eastAsia="Times New Roman" w:hAnsi="Times New Roman"/>
                <w:sz w:val="22"/>
                <w:szCs w:val="22"/>
                <w:color w:val="0000FF"/>
                <w:w w:val="90"/>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gridSpan w:val="17"/>
            <w:vMerge w:val="restart"/>
          </w:tcPr>
          <w:p>
            <w:pPr>
              <w:spacing w:after="0"/>
              <w:rPr>
                <w:sz w:val="20"/>
                <w:szCs w:val="20"/>
                <w:color w:val="auto"/>
              </w:rPr>
            </w:pPr>
            <w:r>
              <w:rPr>
                <w:rFonts w:ascii="Times New Roman" w:cs="Times New Roman" w:eastAsia="Times New Roman" w:hAnsi="Times New Roman"/>
                <w:sz w:val="22"/>
                <w:szCs w:val="22"/>
                <w:color w:val="0000FF"/>
                <w:w w:val="99"/>
              </w:rPr>
              <w:t>SECTION 1.02.  Classification of Loans and Borrowings</w:t>
            </w: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040" w:type="dxa"/>
            <w:vAlign w:val="bottom"/>
            <w:tcBorders>
              <w:bottom w:val="single" w:sz="8" w:color="0000FF"/>
            </w:tcBorders>
            <w:gridSpan w:val="17"/>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39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1.03.</w:t>
            </w:r>
          </w:p>
        </w:tc>
        <w:tc>
          <w:tcPr>
            <w:tcW w:w="1540" w:type="dxa"/>
            <w:vAlign w:val="bottom"/>
            <w:gridSpan w:val="9"/>
            <w:vMerge w:val="restart"/>
          </w:tcPr>
          <w:p>
            <w:pPr>
              <w:ind w:left="80"/>
              <w:spacing w:after="0"/>
              <w:rPr>
                <w:sz w:val="20"/>
                <w:szCs w:val="20"/>
                <w:color w:val="auto"/>
              </w:rPr>
            </w:pPr>
            <w:r>
              <w:rPr>
                <w:rFonts w:ascii="Times New Roman" w:cs="Times New Roman" w:eastAsia="Times New Roman" w:hAnsi="Times New Roman"/>
                <w:sz w:val="22"/>
                <w:szCs w:val="22"/>
                <w:color w:val="0000FF"/>
                <w:w w:val="96"/>
              </w:rPr>
              <w:t>Terms Generally</w:t>
            </w: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500" w:type="dxa"/>
            <w:vAlign w:val="bottom"/>
            <w:tcBorders>
              <w:bottom w:val="single" w:sz="8" w:color="0000FF"/>
            </w:tcBorders>
            <w:vMerge w:val="continue"/>
          </w:tcPr>
          <w:p>
            <w:pPr>
              <w:spacing w:after="0"/>
              <w:rPr>
                <w:sz w:val="24"/>
                <w:szCs w:val="24"/>
                <w:color w:val="auto"/>
              </w:rPr>
            </w:pPr>
          </w:p>
        </w:tc>
        <w:tc>
          <w:tcPr>
            <w:tcW w:w="1540" w:type="dxa"/>
            <w:vAlign w:val="bottom"/>
            <w:tcBorders>
              <w:bottom w:val="single" w:sz="8" w:color="0000FF"/>
            </w:tcBorders>
            <w:gridSpan w:val="9"/>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39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80" w:type="dxa"/>
            <w:vAlign w:val="bottom"/>
            <w:gridSpan w:val="15"/>
            <w:vMerge w:val="restart"/>
          </w:tcPr>
          <w:p>
            <w:pPr>
              <w:spacing w:after="0"/>
              <w:rPr>
                <w:sz w:val="20"/>
                <w:szCs w:val="20"/>
                <w:color w:val="auto"/>
              </w:rPr>
            </w:pPr>
            <w:r>
              <w:rPr>
                <w:rFonts w:ascii="Times New Roman" w:cs="Times New Roman" w:eastAsia="Times New Roman" w:hAnsi="Times New Roman"/>
                <w:sz w:val="22"/>
                <w:szCs w:val="22"/>
                <w:color w:val="0000FF"/>
                <w:w w:val="99"/>
              </w:rPr>
              <w:t>SECTION 1.04.  Accounting Terms; GAAP</w:t>
            </w: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880" w:type="dxa"/>
            <w:vAlign w:val="bottom"/>
            <w:tcBorders>
              <w:bottom w:val="single" w:sz="8" w:color="0000FF"/>
            </w:tcBorders>
            <w:gridSpan w:val="15"/>
            <w:vMerge w:val="continue"/>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1.05.</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0000FF"/>
                <w:w w:val="97"/>
              </w:rPr>
              <w:t>Divisions</w:t>
            </w: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500" w:type="dxa"/>
            <w:vAlign w:val="bottom"/>
            <w:tcBorders>
              <w:bottom w:val="single" w:sz="8" w:color="0000FF"/>
            </w:tcBorders>
            <w:vMerge w:val="continue"/>
          </w:tcPr>
          <w:p>
            <w:pPr>
              <w:spacing w:after="0"/>
              <w:rPr>
                <w:sz w:val="24"/>
                <w:szCs w:val="24"/>
                <w:color w:val="auto"/>
              </w:rPr>
            </w:pPr>
          </w:p>
        </w:tc>
        <w:tc>
          <w:tcPr>
            <w:tcW w:w="920" w:type="dxa"/>
            <w:vAlign w:val="bottom"/>
            <w:tcBorders>
              <w:bottom w:val="single" w:sz="8" w:color="0000FF"/>
            </w:tcBorders>
            <w:gridSpan w:val="3"/>
            <w:vMerge w:val="continue"/>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7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gridSpan w:val="7"/>
            <w:vMerge w:val="restart"/>
          </w:tcPr>
          <w:p>
            <w:pPr>
              <w:spacing w:after="0"/>
              <w:rPr>
                <w:sz w:val="20"/>
                <w:szCs w:val="20"/>
                <w:color w:val="auto"/>
              </w:rPr>
            </w:pPr>
            <w:r>
              <w:rPr>
                <w:rFonts w:ascii="Times New Roman" w:cs="Times New Roman" w:eastAsia="Times New Roman" w:hAnsi="Times New Roman"/>
                <w:sz w:val="22"/>
                <w:szCs w:val="22"/>
                <w:color w:val="0000FF"/>
                <w:w w:val="96"/>
              </w:rPr>
              <w:t xml:space="preserve">ARTICLE II </w:t>
            </w:r>
            <w:r>
              <w:rPr>
                <w:rFonts w:ascii="Times New Roman" w:cs="Times New Roman" w:eastAsia="Times New Roman" w:hAnsi="Times New Roman"/>
                <w:sz w:val="22"/>
                <w:szCs w:val="22"/>
                <w:b w:val="1"/>
                <w:bCs w:val="1"/>
                <w:color w:val="0000FF"/>
                <w:w w:val="96"/>
              </w:rPr>
              <w:t>THE CREDITS</w:t>
            </w:r>
          </w:p>
        </w:tc>
        <w:tc>
          <w:tcPr>
            <w:tcW w:w="5500" w:type="dxa"/>
            <w:vAlign w:val="bottom"/>
            <w:gridSpan w:val="13"/>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620" w:type="dxa"/>
            <w:vAlign w:val="bottom"/>
            <w:tcBorders>
              <w:bottom w:val="single" w:sz="8" w:color="0000FF"/>
            </w:tcBorders>
            <w:gridSpan w:val="7"/>
            <w:vMerge w:val="continue"/>
          </w:tcPr>
          <w:p>
            <w:pPr>
              <w:spacing w:after="0"/>
              <w:rPr>
                <w:sz w:val="24"/>
                <w:szCs w:val="24"/>
                <w:color w:val="auto"/>
              </w:rPr>
            </w:pPr>
          </w:p>
        </w:tc>
        <w:tc>
          <w:tcPr>
            <w:tcW w:w="5500" w:type="dxa"/>
            <w:vAlign w:val="bottom"/>
            <w:gridSpan w:val="13"/>
            <w:vMerge w:val="continue"/>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0"/>
              </w:rPr>
              <w:t>40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2.01.</w:t>
            </w:r>
          </w:p>
        </w:tc>
        <w:tc>
          <w:tcPr>
            <w:tcW w:w="1320" w:type="dxa"/>
            <w:vAlign w:val="bottom"/>
            <w:tcBorders>
              <w:bottom w:val="single" w:sz="8" w:color="0000FF"/>
            </w:tcBorders>
            <w:gridSpan w:val="7"/>
          </w:tcPr>
          <w:p>
            <w:pPr>
              <w:ind w:left="80"/>
              <w:spacing w:after="0"/>
              <w:rPr>
                <w:sz w:val="20"/>
                <w:szCs w:val="20"/>
                <w:color w:val="auto"/>
              </w:rPr>
            </w:pPr>
            <w:r>
              <w:rPr>
                <w:rFonts w:ascii="Times New Roman" w:cs="Times New Roman" w:eastAsia="Times New Roman" w:hAnsi="Times New Roman"/>
                <w:sz w:val="22"/>
                <w:szCs w:val="22"/>
                <w:color w:val="0000FF"/>
                <w:w w:val="97"/>
              </w:rPr>
              <w:t>Commitments</w:t>
            </w:r>
          </w:p>
        </w:tc>
        <w:tc>
          <w:tcPr>
            <w:tcW w:w="2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7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60" w:type="dxa"/>
            <w:vAlign w:val="bottom"/>
            <w:gridSpan w:val="13"/>
            <w:vMerge w:val="restart"/>
          </w:tcPr>
          <w:p>
            <w:pPr>
              <w:spacing w:after="0"/>
              <w:rPr>
                <w:sz w:val="20"/>
                <w:szCs w:val="20"/>
                <w:color w:val="auto"/>
              </w:rPr>
            </w:pPr>
            <w:r>
              <w:rPr>
                <w:rFonts w:ascii="Times New Roman" w:cs="Times New Roman" w:eastAsia="Times New Roman" w:hAnsi="Times New Roman"/>
                <w:sz w:val="22"/>
                <w:szCs w:val="22"/>
                <w:color w:val="0000FF"/>
              </w:rPr>
              <w:t>SECTION 2.02.  Loans and Borrowings</w:t>
            </w: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560" w:type="dxa"/>
            <w:vAlign w:val="bottom"/>
            <w:tcBorders>
              <w:bottom w:val="single" w:sz="8" w:color="0000FF"/>
            </w:tcBorders>
            <w:gridSpan w:val="13"/>
            <w:vMerge w:val="continue"/>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7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gridSpan w:val="16"/>
            <w:vMerge w:val="restart"/>
          </w:tcPr>
          <w:p>
            <w:pPr>
              <w:spacing w:after="0"/>
              <w:rPr>
                <w:sz w:val="20"/>
                <w:szCs w:val="20"/>
                <w:color w:val="auto"/>
              </w:rPr>
            </w:pPr>
            <w:r>
              <w:rPr>
                <w:rFonts w:ascii="Times New Roman" w:cs="Times New Roman" w:eastAsia="Times New Roman" w:hAnsi="Times New Roman"/>
                <w:sz w:val="22"/>
                <w:szCs w:val="22"/>
                <w:color w:val="0000FF"/>
                <w:w w:val="99"/>
              </w:rPr>
              <w:t>SECTION 2.03.  Requests for Revolving Borrowings</w:t>
            </w: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700" w:type="dxa"/>
            <w:vAlign w:val="bottom"/>
            <w:tcBorders>
              <w:bottom w:val="single" w:sz="8" w:color="0000FF"/>
            </w:tcBorders>
            <w:gridSpan w:val="16"/>
            <w:vMerge w:val="continue"/>
          </w:tcPr>
          <w:p>
            <w:pPr>
              <w:spacing w:after="0"/>
              <w:rPr>
                <w:sz w:val="24"/>
                <w:szCs w:val="24"/>
                <w:color w:val="auto"/>
              </w:rPr>
            </w:pPr>
          </w:p>
        </w:tc>
        <w:tc>
          <w:tcPr>
            <w:tcW w:w="7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2.04.</w:t>
            </w: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22"/>
                <w:szCs w:val="22"/>
                <w:color w:val="0000FF"/>
                <w:w w:val="97"/>
              </w:rPr>
              <w:t>[Reserved]</w:t>
            </w: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1040" w:type="dxa"/>
            <w:vAlign w:val="bottom"/>
            <w:tcBorders>
              <w:bottom w:val="single" w:sz="8" w:color="0000FF"/>
            </w:tcBorders>
            <w:gridSpan w:val="5"/>
            <w:vMerge w:val="continue"/>
          </w:tcPr>
          <w:p>
            <w:pPr>
              <w:spacing w:after="0"/>
              <w:rPr>
                <w:sz w:val="24"/>
                <w:szCs w:val="24"/>
                <w:color w:val="auto"/>
              </w:rPr>
            </w:pPr>
          </w:p>
        </w:tc>
        <w:tc>
          <w:tcPr>
            <w:tcW w:w="56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8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2.05.</w:t>
            </w:r>
          </w:p>
        </w:tc>
        <w:tc>
          <w:tcPr>
            <w:tcW w:w="1040" w:type="dxa"/>
            <w:vAlign w:val="bottom"/>
            <w:tcBorders>
              <w:bottom w:val="single" w:sz="8" w:color="0000FF"/>
            </w:tcBorders>
            <w:gridSpan w:val="5"/>
          </w:tcPr>
          <w:p>
            <w:pPr>
              <w:ind w:left="80"/>
              <w:spacing w:after="0"/>
              <w:rPr>
                <w:sz w:val="20"/>
                <w:szCs w:val="20"/>
                <w:color w:val="auto"/>
              </w:rPr>
            </w:pPr>
            <w:r>
              <w:rPr>
                <w:rFonts w:ascii="Times New Roman" w:cs="Times New Roman" w:eastAsia="Times New Roman" w:hAnsi="Times New Roman"/>
                <w:sz w:val="22"/>
                <w:szCs w:val="22"/>
                <w:color w:val="0000FF"/>
                <w:w w:val="97"/>
              </w:rPr>
              <w:t>[Reserved]</w:t>
            </w:r>
          </w:p>
        </w:tc>
        <w:tc>
          <w:tcPr>
            <w:tcW w:w="56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8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2.06.</w:t>
            </w:r>
          </w:p>
        </w:tc>
        <w:tc>
          <w:tcPr>
            <w:tcW w:w="1040" w:type="dxa"/>
            <w:vAlign w:val="bottom"/>
            <w:tcBorders>
              <w:bottom w:val="single" w:sz="8" w:color="0000FF"/>
            </w:tcBorders>
            <w:gridSpan w:val="5"/>
          </w:tcPr>
          <w:p>
            <w:pPr>
              <w:ind w:left="80"/>
              <w:spacing w:after="0"/>
              <w:rPr>
                <w:sz w:val="20"/>
                <w:szCs w:val="20"/>
                <w:color w:val="auto"/>
              </w:rPr>
            </w:pPr>
            <w:r>
              <w:rPr>
                <w:rFonts w:ascii="Times New Roman" w:cs="Times New Roman" w:eastAsia="Times New Roman" w:hAnsi="Times New Roman"/>
                <w:sz w:val="22"/>
                <w:szCs w:val="22"/>
                <w:color w:val="0000FF"/>
                <w:w w:val="97"/>
              </w:rPr>
              <w:t>[Reserved]</w:t>
            </w:r>
          </w:p>
        </w:tc>
        <w:tc>
          <w:tcPr>
            <w:tcW w:w="56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8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gridSpan w:val="14"/>
            <w:vMerge w:val="restart"/>
          </w:tcPr>
          <w:p>
            <w:pPr>
              <w:spacing w:after="0"/>
              <w:rPr>
                <w:sz w:val="20"/>
                <w:szCs w:val="20"/>
                <w:color w:val="auto"/>
              </w:rPr>
            </w:pPr>
            <w:r>
              <w:rPr>
                <w:rFonts w:ascii="Times New Roman" w:cs="Times New Roman" w:eastAsia="Times New Roman" w:hAnsi="Times New Roman"/>
                <w:sz w:val="22"/>
                <w:szCs w:val="22"/>
                <w:color w:val="0000FF"/>
              </w:rPr>
              <w:t>SECTION 2.07.  Funding of Borrowings</w:t>
            </w:r>
          </w:p>
        </w:tc>
        <w:tc>
          <w:tcPr>
            <w:tcW w:w="18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620" w:type="dxa"/>
            <w:vAlign w:val="bottom"/>
            <w:tcBorders>
              <w:bottom w:val="single" w:sz="8" w:color="0000FF"/>
            </w:tcBorders>
            <w:gridSpan w:val="14"/>
            <w:vMerge w:val="continue"/>
          </w:tcPr>
          <w:p>
            <w:pPr>
              <w:spacing w:after="0"/>
              <w:rPr>
                <w:sz w:val="24"/>
                <w:szCs w:val="24"/>
                <w:color w:val="auto"/>
              </w:rPr>
            </w:pPr>
          </w:p>
        </w:tc>
        <w:tc>
          <w:tcPr>
            <w:tcW w:w="18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2.08.</w:t>
            </w:r>
          </w:p>
        </w:tc>
        <w:tc>
          <w:tcPr>
            <w:tcW w:w="1600" w:type="dxa"/>
            <w:vAlign w:val="bottom"/>
            <w:gridSpan w:val="10"/>
            <w:vMerge w:val="restart"/>
          </w:tcPr>
          <w:p>
            <w:pPr>
              <w:ind w:left="80"/>
              <w:spacing w:after="0"/>
              <w:rPr>
                <w:sz w:val="20"/>
                <w:szCs w:val="20"/>
                <w:color w:val="auto"/>
              </w:rPr>
            </w:pPr>
            <w:r>
              <w:rPr>
                <w:rFonts w:ascii="Times New Roman" w:cs="Times New Roman" w:eastAsia="Times New Roman" w:hAnsi="Times New Roman"/>
                <w:sz w:val="22"/>
                <w:szCs w:val="22"/>
                <w:color w:val="0000FF"/>
                <w:w w:val="97"/>
              </w:rPr>
              <w:t>Interest Elections</w:t>
            </w:r>
          </w:p>
        </w:tc>
        <w:tc>
          <w:tcPr>
            <w:tcW w:w="3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500" w:type="dxa"/>
            <w:vAlign w:val="bottom"/>
            <w:tcBorders>
              <w:bottom w:val="single" w:sz="8" w:color="0000FF"/>
            </w:tcBorders>
            <w:vMerge w:val="continue"/>
          </w:tcPr>
          <w:p>
            <w:pPr>
              <w:spacing w:after="0"/>
              <w:rPr>
                <w:sz w:val="24"/>
                <w:szCs w:val="24"/>
                <w:color w:val="auto"/>
              </w:rPr>
            </w:pPr>
          </w:p>
        </w:tc>
        <w:tc>
          <w:tcPr>
            <w:tcW w:w="1600" w:type="dxa"/>
            <w:vAlign w:val="bottom"/>
            <w:tcBorders>
              <w:bottom w:val="single" w:sz="8" w:color="0000FF"/>
            </w:tcBorders>
            <w:gridSpan w:val="10"/>
            <w:vMerge w:val="continue"/>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60" w:type="dxa"/>
            <w:vAlign w:val="bottom"/>
            <w:gridSpan w:val="18"/>
            <w:vMerge w:val="restart"/>
          </w:tcPr>
          <w:p>
            <w:pPr>
              <w:spacing w:after="0"/>
              <w:rPr>
                <w:sz w:val="20"/>
                <w:szCs w:val="20"/>
                <w:color w:val="auto"/>
              </w:rPr>
            </w:pPr>
            <w:r>
              <w:rPr>
                <w:rFonts w:ascii="Times New Roman" w:cs="Times New Roman" w:eastAsia="Times New Roman" w:hAnsi="Times New Roman"/>
                <w:sz w:val="22"/>
                <w:szCs w:val="22"/>
                <w:color w:val="0000FF"/>
                <w:w w:val="99"/>
              </w:rPr>
              <w:t>SECTION 2.09.  Termination and Reduction of Commitments</w:t>
            </w: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460" w:type="dxa"/>
            <w:vAlign w:val="bottom"/>
            <w:tcBorders>
              <w:bottom w:val="single" w:sz="8" w:color="0000FF"/>
            </w:tcBorders>
            <w:gridSpan w:val="18"/>
            <w:vMerge w:val="continue"/>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20" w:type="dxa"/>
            <w:vAlign w:val="bottom"/>
            <w:gridSpan w:val="19"/>
            <w:vMerge w:val="restart"/>
          </w:tcPr>
          <w:p>
            <w:pPr>
              <w:spacing w:after="0"/>
              <w:rPr>
                <w:sz w:val="20"/>
                <w:szCs w:val="20"/>
                <w:color w:val="auto"/>
              </w:rPr>
            </w:pPr>
            <w:r>
              <w:rPr>
                <w:rFonts w:ascii="Times New Roman" w:cs="Times New Roman" w:eastAsia="Times New Roman" w:hAnsi="Times New Roman"/>
                <w:sz w:val="22"/>
                <w:szCs w:val="22"/>
                <w:color w:val="0000FF"/>
                <w:w w:val="99"/>
              </w:rPr>
              <w:t>SECTION 2.10.  Repayment of Loans; Evidence of Indebtedness</w:t>
            </w: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720" w:type="dxa"/>
            <w:vAlign w:val="bottom"/>
            <w:tcBorders>
              <w:bottom w:val="single" w:sz="8" w:color="0000FF"/>
            </w:tcBorders>
            <w:gridSpan w:val="19"/>
            <w:vMerge w:val="continue"/>
          </w:tcPr>
          <w:p>
            <w:pPr>
              <w:spacing w:after="0"/>
              <w:rPr>
                <w:sz w:val="24"/>
                <w:szCs w:val="24"/>
                <w:color w:val="auto"/>
              </w:rPr>
            </w:pPr>
          </w:p>
        </w:tc>
        <w:tc>
          <w:tcPr>
            <w:tcW w:w="2400" w:type="dxa"/>
            <w:vAlign w:val="bottom"/>
            <w:vMerge w:val="restart"/>
          </w:tcPr>
          <w:p>
            <w:pPr>
              <w:spacing w:after="0"/>
              <w:rPr>
                <w:sz w:val="24"/>
                <w:szCs w:val="24"/>
                <w:color w:val="auto"/>
              </w:rPr>
            </w:pPr>
          </w:p>
        </w:tc>
        <w:tc>
          <w:tcPr>
            <w:tcW w:w="2400" w:type="dxa"/>
            <w:vAlign w:val="bottom"/>
            <w:vMerge w:val="restart"/>
          </w:tcPr>
          <w:p>
            <w:pPr>
              <w:spacing w:after="0"/>
              <w:rPr>
                <w:sz w:val="24"/>
                <w:szCs w:val="24"/>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0000FF"/>
                <w:w w:val="90"/>
              </w:rPr>
              <w:t>45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20" w:type="dxa"/>
            <w:vAlign w:val="bottom"/>
            <w:gridSpan w:val="12"/>
            <w:vMerge w:val="restart"/>
          </w:tcPr>
          <w:p>
            <w:pPr>
              <w:spacing w:after="0"/>
              <w:rPr>
                <w:sz w:val="20"/>
                <w:szCs w:val="20"/>
                <w:color w:val="auto"/>
              </w:rPr>
            </w:pPr>
            <w:r>
              <w:rPr>
                <w:rFonts w:ascii="Times New Roman" w:cs="Times New Roman" w:eastAsia="Times New Roman" w:hAnsi="Times New Roman"/>
                <w:sz w:val="22"/>
                <w:szCs w:val="22"/>
                <w:color w:val="0000FF"/>
                <w:w w:val="99"/>
              </w:rPr>
              <w:t>SECTION 2.11.  Prepayment of Loans</w:t>
            </w:r>
          </w:p>
        </w:tc>
        <w:tc>
          <w:tcPr>
            <w:tcW w:w="2300" w:type="dxa"/>
            <w:vAlign w:val="bottom"/>
            <w:gridSpan w:val="7"/>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220" w:type="dxa"/>
            <w:vAlign w:val="bottom"/>
            <w:tcBorders>
              <w:bottom w:val="single" w:sz="8" w:color="0000FF"/>
            </w:tcBorders>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420" w:type="dxa"/>
            <w:vAlign w:val="bottom"/>
            <w:tcBorders>
              <w:bottom w:val="single" w:sz="8" w:color="0000FF"/>
            </w:tcBorders>
            <w:gridSpan w:val="12"/>
            <w:vMerge w:val="continue"/>
          </w:tcPr>
          <w:p>
            <w:pPr>
              <w:spacing w:after="0"/>
              <w:rPr>
                <w:sz w:val="24"/>
                <w:szCs w:val="24"/>
                <w:color w:val="auto"/>
              </w:rPr>
            </w:pPr>
          </w:p>
        </w:tc>
        <w:tc>
          <w:tcPr>
            <w:tcW w:w="4700" w:type="dxa"/>
            <w:vAlign w:val="bottom"/>
            <w:gridSpan w:val="8"/>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2.12.</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0000FF"/>
                <w:w w:val="94"/>
              </w:rPr>
              <w:t>Fees</w:t>
            </w:r>
          </w:p>
        </w:tc>
        <w:tc>
          <w:tcPr>
            <w:tcW w:w="260" w:type="dxa"/>
            <w:vAlign w:val="bottom"/>
          </w:tcPr>
          <w:p>
            <w:pPr>
              <w:spacing w:after="0" w:line="20" w:lineRule="exact"/>
              <w:rPr>
                <w:sz w:val="1"/>
                <w:szCs w:val="1"/>
                <w:color w:val="auto"/>
              </w:rPr>
            </w:pPr>
          </w:p>
        </w:tc>
        <w:tc>
          <w:tcPr>
            <w:tcW w:w="5880" w:type="dxa"/>
            <w:vAlign w:val="bottom"/>
            <w:gridSpan w:val="1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480" w:type="dxa"/>
            <w:vAlign w:val="bottom"/>
            <w:tcBorders>
              <w:bottom w:val="single" w:sz="8" w:color="0000FF"/>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17"/>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2.13.</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0000FF"/>
                <w:w w:val="96"/>
              </w:rPr>
              <w:t>Interest</w:t>
            </w:r>
          </w:p>
        </w:tc>
        <w:tc>
          <w:tcPr>
            <w:tcW w:w="5880" w:type="dxa"/>
            <w:vAlign w:val="bottom"/>
            <w:gridSpan w:val="1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500" w:type="dxa"/>
            <w:vAlign w:val="bottom"/>
            <w:tcBorders>
              <w:bottom w:val="single" w:sz="8" w:color="0000FF"/>
            </w:tcBorders>
            <w:vMerge w:val="continue"/>
          </w:tcPr>
          <w:p>
            <w:pPr>
              <w:spacing w:after="0"/>
              <w:rPr>
                <w:sz w:val="24"/>
                <w:szCs w:val="24"/>
                <w:color w:val="auto"/>
              </w:rPr>
            </w:pPr>
          </w:p>
        </w:tc>
        <w:tc>
          <w:tcPr>
            <w:tcW w:w="740" w:type="dxa"/>
            <w:vAlign w:val="bottom"/>
            <w:tcBorders>
              <w:bottom w:val="single" w:sz="8" w:color="0000FF"/>
            </w:tcBorders>
            <w:gridSpan w:val="2"/>
            <w:vMerge w:val="continue"/>
          </w:tcPr>
          <w:p>
            <w:pPr>
              <w:spacing w:after="0"/>
              <w:rPr>
                <w:sz w:val="24"/>
                <w:szCs w:val="24"/>
                <w:color w:val="auto"/>
              </w:rPr>
            </w:pPr>
          </w:p>
        </w:tc>
        <w:tc>
          <w:tcPr>
            <w:tcW w:w="5880" w:type="dxa"/>
            <w:vAlign w:val="bottom"/>
            <w:gridSpan w:val="17"/>
          </w:tcPr>
          <w:p>
            <w:pPr>
              <w:spacing w:after="0"/>
              <w:rPr>
                <w:sz w:val="24"/>
                <w:szCs w:val="24"/>
                <w:color w:val="auto"/>
              </w:rPr>
            </w:pPr>
          </w:p>
        </w:tc>
        <w:tc>
          <w:tcPr>
            <w:tcW w:w="2620" w:type="dxa"/>
            <w:vAlign w:val="bottom"/>
            <w:gridSpan w:val="3"/>
          </w:tcPr>
          <w:p>
            <w:pPr>
              <w:ind w:left="2400"/>
              <w:spacing w:after="0"/>
              <w:rPr>
                <w:sz w:val="20"/>
                <w:szCs w:val="20"/>
                <w:color w:val="auto"/>
              </w:rPr>
            </w:pPr>
            <w:r>
              <w:rPr>
                <w:rFonts w:ascii="Times New Roman" w:cs="Times New Roman" w:eastAsia="Times New Roman" w:hAnsi="Times New Roman"/>
                <w:sz w:val="22"/>
                <w:szCs w:val="22"/>
                <w:color w:val="0000FF"/>
                <w:w w:val="90"/>
              </w:rPr>
              <w:t>47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60"/>
          </w:cols>
          <w:pgMar w:left="400" w:top="1440" w:right="339" w:bottom="1440" w:gutter="0" w:footer="0" w:header="0"/>
          <w:type w:val="continuous"/>
        </w:sectPr>
      </w:pPr>
    </w:p>
    <w:bookmarkStart w:id="85" w:name="page86"/>
    <w:bookmarkEnd w:id="85"/>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2"/>
                <w:szCs w:val="22"/>
                <w:color w:val="0000FF"/>
              </w:rPr>
              <w:t>SECTION 2.14.  Alternate Rate of Interest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48</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2.15.</w:t>
            </w:r>
          </w:p>
        </w:tc>
        <w:tc>
          <w:tcPr>
            <w:tcW w:w="1480" w:type="dxa"/>
            <w:vAlign w:val="bottom"/>
            <w:gridSpan w:val="6"/>
            <w:vMerge w:val="restart"/>
          </w:tcPr>
          <w:p>
            <w:pPr>
              <w:ind w:left="100"/>
              <w:spacing w:after="0"/>
              <w:rPr>
                <w:sz w:val="20"/>
                <w:szCs w:val="20"/>
                <w:color w:val="auto"/>
              </w:rPr>
            </w:pPr>
            <w:r>
              <w:rPr>
                <w:rFonts w:ascii="Times New Roman" w:cs="Times New Roman" w:eastAsia="Times New Roman" w:hAnsi="Times New Roman"/>
                <w:sz w:val="22"/>
                <w:szCs w:val="22"/>
                <w:color w:val="0000FF"/>
                <w:w w:val="98"/>
              </w:rPr>
              <w:t>Increased Costs</w:t>
            </w: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80" w:type="dxa"/>
            <w:vAlign w:val="bottom"/>
            <w:tcBorders>
              <w:bottom w:val="single" w:sz="8" w:color="0000FF"/>
            </w:tcBorders>
            <w:vMerge w:val="continue"/>
          </w:tcPr>
          <w:p>
            <w:pPr>
              <w:spacing w:after="0"/>
              <w:rPr>
                <w:sz w:val="24"/>
                <w:szCs w:val="24"/>
                <w:color w:val="auto"/>
              </w:rPr>
            </w:pPr>
          </w:p>
        </w:tc>
        <w:tc>
          <w:tcPr>
            <w:tcW w:w="1480" w:type="dxa"/>
            <w:vAlign w:val="bottom"/>
            <w:tcBorders>
              <w:bottom w:val="single" w:sz="8" w:color="0000FF"/>
            </w:tcBorders>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50</w:t>
            </w:r>
          </w:p>
        </w:tc>
        <w:tc>
          <w:tcPr>
            <w:tcW w:w="0" w:type="dxa"/>
            <w:vAlign w:val="bottom"/>
          </w:tcPr>
          <w:p>
            <w:pPr>
              <w:spacing w:after="0"/>
              <w:rPr>
                <w:sz w:val="1"/>
                <w:szCs w:val="1"/>
                <w:color w:val="auto"/>
              </w:rPr>
            </w:pPr>
          </w:p>
        </w:tc>
      </w:tr>
      <w:tr>
        <w:trPr>
          <w:trHeight w:val="20"/>
        </w:trPr>
        <w:tc>
          <w:tcPr>
            <w:tcW w:w="3780" w:type="dxa"/>
            <w:vAlign w:val="bottom"/>
            <w:gridSpan w:val="11"/>
            <w:vMerge w:val="restart"/>
          </w:tcPr>
          <w:p>
            <w:pPr>
              <w:spacing w:after="0"/>
              <w:rPr>
                <w:sz w:val="20"/>
                <w:szCs w:val="20"/>
                <w:color w:val="auto"/>
              </w:rPr>
            </w:pPr>
            <w:r>
              <w:rPr>
                <w:rFonts w:ascii="Times New Roman" w:cs="Times New Roman" w:eastAsia="Times New Roman" w:hAnsi="Times New Roman"/>
                <w:sz w:val="22"/>
                <w:szCs w:val="22"/>
                <w:color w:val="0000FF"/>
              </w:rPr>
              <w:t>SECTION 2.16.  Break Funding Payments</w:t>
            </w: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780" w:type="dxa"/>
            <w:vAlign w:val="bottom"/>
            <w:tcBorders>
              <w:bottom w:val="single" w:sz="8" w:color="0000FF"/>
            </w:tcBorders>
            <w:gridSpan w:val="11"/>
            <w:vMerge w:val="continue"/>
          </w:tcPr>
          <w:p>
            <w:pPr>
              <w:spacing w:after="0"/>
              <w:rPr>
                <w:sz w:val="24"/>
                <w:szCs w:val="24"/>
                <w:color w:val="auto"/>
              </w:rPr>
            </w:pP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51</w:t>
            </w:r>
          </w:p>
        </w:tc>
        <w:tc>
          <w:tcPr>
            <w:tcW w:w="0" w:type="dxa"/>
            <w:vAlign w:val="bottom"/>
          </w:tcPr>
          <w:p>
            <w:pPr>
              <w:spacing w:after="0"/>
              <w:rPr>
                <w:sz w:val="1"/>
                <w:szCs w:val="1"/>
                <w:color w:val="auto"/>
              </w:rPr>
            </w:pPr>
          </w:p>
        </w:tc>
      </w:tr>
      <w:tr>
        <w:trPr>
          <w:trHeight w:val="20"/>
        </w:trPr>
        <w:tc>
          <w:tcPr>
            <w:tcW w:w="6580" w:type="dxa"/>
            <w:vAlign w:val="bottom"/>
            <w:gridSpan w:val="24"/>
            <w:vMerge w:val="restart"/>
          </w:tcPr>
          <w:p>
            <w:pPr>
              <w:spacing w:after="0"/>
              <w:rPr>
                <w:sz w:val="20"/>
                <w:szCs w:val="20"/>
                <w:color w:val="auto"/>
              </w:rPr>
            </w:pPr>
            <w:r>
              <w:rPr>
                <w:rFonts w:ascii="Times New Roman" w:cs="Times New Roman" w:eastAsia="Times New Roman" w:hAnsi="Times New Roman"/>
                <w:sz w:val="22"/>
                <w:szCs w:val="22"/>
                <w:color w:val="0000FF"/>
                <w:w w:val="98"/>
              </w:rPr>
              <w:t>SECTION 2.17.  Withholding of Taxes; Gross-Up Payments Free of Taxes.</w:t>
            </w: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6580" w:type="dxa"/>
            <w:vAlign w:val="bottom"/>
            <w:tcBorders>
              <w:bottom w:val="single" w:sz="8" w:color="0000FF"/>
            </w:tcBorders>
            <w:gridSpan w:val="24"/>
            <w:vMerge w:val="continue"/>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52</w:t>
            </w:r>
          </w:p>
        </w:tc>
        <w:tc>
          <w:tcPr>
            <w:tcW w:w="0" w:type="dxa"/>
            <w:vAlign w:val="bottom"/>
          </w:tcPr>
          <w:p>
            <w:pPr>
              <w:spacing w:after="0"/>
              <w:rPr>
                <w:sz w:val="1"/>
                <w:szCs w:val="1"/>
                <w:color w:val="auto"/>
              </w:rPr>
            </w:pPr>
          </w:p>
        </w:tc>
      </w:tr>
      <w:tr>
        <w:trPr>
          <w:trHeight w:val="20"/>
        </w:trPr>
        <w:tc>
          <w:tcPr>
            <w:tcW w:w="6820" w:type="dxa"/>
            <w:vAlign w:val="bottom"/>
            <w:gridSpan w:val="25"/>
            <w:vMerge w:val="restart"/>
          </w:tcPr>
          <w:p>
            <w:pPr>
              <w:spacing w:after="0"/>
              <w:rPr>
                <w:sz w:val="20"/>
                <w:szCs w:val="20"/>
                <w:color w:val="auto"/>
              </w:rPr>
            </w:pPr>
            <w:r>
              <w:rPr>
                <w:rFonts w:ascii="Times New Roman" w:cs="Times New Roman" w:eastAsia="Times New Roman" w:hAnsi="Times New Roman"/>
                <w:sz w:val="22"/>
                <w:szCs w:val="22"/>
                <w:color w:val="0000FF"/>
                <w:w w:val="98"/>
              </w:rPr>
              <w:t>SECTION 2.18.  Payments Generally; Pro Rata Treatment; Sharing of Setoffs</w:t>
            </w: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820" w:type="dxa"/>
            <w:vAlign w:val="bottom"/>
            <w:tcBorders>
              <w:bottom w:val="single" w:sz="8" w:color="0000FF"/>
            </w:tcBorders>
            <w:gridSpan w:val="25"/>
            <w:vMerge w:val="continue"/>
          </w:tcPr>
          <w:p>
            <w:pPr>
              <w:spacing w:after="0"/>
              <w:rPr>
                <w:sz w:val="24"/>
                <w:szCs w:val="24"/>
                <w:color w:val="auto"/>
              </w:rPr>
            </w:pPr>
          </w:p>
        </w:tc>
        <w:tc>
          <w:tcPr>
            <w:tcW w:w="184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56</w:t>
            </w:r>
          </w:p>
        </w:tc>
        <w:tc>
          <w:tcPr>
            <w:tcW w:w="0" w:type="dxa"/>
            <w:vAlign w:val="bottom"/>
          </w:tcPr>
          <w:p>
            <w:pPr>
              <w:spacing w:after="0"/>
              <w:rPr>
                <w:sz w:val="1"/>
                <w:szCs w:val="1"/>
                <w:color w:val="auto"/>
              </w:rPr>
            </w:pPr>
          </w:p>
        </w:tc>
      </w:tr>
      <w:tr>
        <w:trPr>
          <w:trHeight w:val="20"/>
        </w:trPr>
        <w:tc>
          <w:tcPr>
            <w:tcW w:w="5780" w:type="dxa"/>
            <w:vAlign w:val="bottom"/>
            <w:gridSpan w:val="22"/>
            <w:vMerge w:val="restart"/>
          </w:tcPr>
          <w:p>
            <w:pPr>
              <w:spacing w:after="0"/>
              <w:rPr>
                <w:sz w:val="20"/>
                <w:szCs w:val="20"/>
                <w:color w:val="auto"/>
              </w:rPr>
            </w:pPr>
            <w:r>
              <w:rPr>
                <w:rFonts w:ascii="Times New Roman" w:cs="Times New Roman" w:eastAsia="Times New Roman" w:hAnsi="Times New Roman"/>
                <w:sz w:val="22"/>
                <w:szCs w:val="22"/>
                <w:color w:val="0000FF"/>
                <w:w w:val="99"/>
              </w:rPr>
              <w:t>SECTION 2.19.  Mitigation Obligations; Replacement of Lenders</w:t>
            </w:r>
          </w:p>
        </w:tc>
        <w:tc>
          <w:tcPr>
            <w:tcW w:w="1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780" w:type="dxa"/>
            <w:vAlign w:val="bottom"/>
            <w:tcBorders>
              <w:bottom w:val="single" w:sz="8" w:color="0000FF"/>
            </w:tcBorders>
            <w:gridSpan w:val="22"/>
            <w:vMerge w:val="continue"/>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58</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2.20.</w:t>
            </w:r>
          </w:p>
        </w:tc>
        <w:tc>
          <w:tcPr>
            <w:tcW w:w="1780" w:type="dxa"/>
            <w:vAlign w:val="bottom"/>
            <w:gridSpan w:val="7"/>
            <w:vMerge w:val="restart"/>
          </w:tcPr>
          <w:p>
            <w:pPr>
              <w:ind w:left="100"/>
              <w:spacing w:after="0"/>
              <w:rPr>
                <w:sz w:val="20"/>
                <w:szCs w:val="20"/>
                <w:color w:val="auto"/>
              </w:rPr>
            </w:pPr>
            <w:r>
              <w:rPr>
                <w:rFonts w:ascii="Times New Roman" w:cs="Times New Roman" w:eastAsia="Times New Roman" w:hAnsi="Times New Roman"/>
                <w:sz w:val="22"/>
                <w:szCs w:val="22"/>
                <w:color w:val="0000FF"/>
                <w:w w:val="97"/>
              </w:rPr>
              <w:t>Defaulting Lenders</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80" w:type="dxa"/>
            <w:vAlign w:val="bottom"/>
            <w:tcBorders>
              <w:bottom w:val="single" w:sz="8" w:color="0000FF"/>
            </w:tcBorders>
            <w:vMerge w:val="continue"/>
          </w:tcPr>
          <w:p>
            <w:pPr>
              <w:spacing w:after="0"/>
              <w:rPr>
                <w:sz w:val="24"/>
                <w:szCs w:val="24"/>
                <w:color w:val="auto"/>
              </w:rPr>
            </w:pPr>
          </w:p>
        </w:tc>
        <w:tc>
          <w:tcPr>
            <w:tcW w:w="1780" w:type="dxa"/>
            <w:vAlign w:val="bottom"/>
            <w:tcBorders>
              <w:bottom w:val="single" w:sz="8" w:color="0000FF"/>
            </w:tcBorders>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700" w:type="dxa"/>
            <w:vAlign w:val="bottom"/>
            <w:gridSpan w:val="3"/>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59</w:t>
            </w:r>
          </w:p>
        </w:tc>
        <w:tc>
          <w:tcPr>
            <w:tcW w:w="0" w:type="dxa"/>
            <w:vAlign w:val="bottom"/>
          </w:tcPr>
          <w:p>
            <w:pPr>
              <w:spacing w:after="0"/>
              <w:rPr>
                <w:sz w:val="1"/>
                <w:szCs w:val="1"/>
                <w:color w:val="auto"/>
              </w:rPr>
            </w:pPr>
          </w:p>
        </w:tc>
      </w:tr>
      <w:tr>
        <w:trPr>
          <w:trHeight w:val="20"/>
        </w:trPr>
        <w:tc>
          <w:tcPr>
            <w:tcW w:w="4420" w:type="dxa"/>
            <w:vAlign w:val="bottom"/>
            <w:gridSpan w:val="16"/>
            <w:vMerge w:val="restart"/>
          </w:tcPr>
          <w:p>
            <w:pPr>
              <w:spacing w:after="0"/>
              <w:rPr>
                <w:sz w:val="20"/>
                <w:szCs w:val="20"/>
                <w:color w:val="auto"/>
              </w:rPr>
            </w:pPr>
            <w:r>
              <w:rPr>
                <w:rFonts w:ascii="Times New Roman" w:cs="Times New Roman" w:eastAsia="Times New Roman" w:hAnsi="Times New Roman"/>
                <w:sz w:val="22"/>
                <w:szCs w:val="22"/>
                <w:color w:val="0000FF"/>
                <w:w w:val="99"/>
              </w:rPr>
              <w:t>SECTION 2.21.  Incremental Revolving Facilities</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420" w:type="dxa"/>
            <w:vAlign w:val="bottom"/>
            <w:tcBorders>
              <w:bottom w:val="single" w:sz="8" w:color="0000FF"/>
            </w:tcBorders>
            <w:gridSpan w:val="16"/>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700" w:type="dxa"/>
            <w:vAlign w:val="bottom"/>
            <w:gridSpan w:val="3"/>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60</w:t>
            </w:r>
          </w:p>
        </w:tc>
        <w:tc>
          <w:tcPr>
            <w:tcW w:w="0" w:type="dxa"/>
            <w:vAlign w:val="bottom"/>
          </w:tcPr>
          <w:p>
            <w:pPr>
              <w:spacing w:after="0"/>
              <w:rPr>
                <w:sz w:val="1"/>
                <w:szCs w:val="1"/>
                <w:color w:val="auto"/>
              </w:rPr>
            </w:pPr>
          </w:p>
        </w:tc>
      </w:tr>
      <w:tr>
        <w:trPr>
          <w:trHeight w:val="20"/>
        </w:trPr>
        <w:tc>
          <w:tcPr>
            <w:tcW w:w="5360" w:type="dxa"/>
            <w:vAlign w:val="bottom"/>
            <w:gridSpan w:val="21"/>
            <w:vMerge w:val="restart"/>
          </w:tcPr>
          <w:p>
            <w:pPr>
              <w:spacing w:after="0"/>
              <w:rPr>
                <w:sz w:val="20"/>
                <w:szCs w:val="20"/>
                <w:color w:val="auto"/>
              </w:rPr>
            </w:pPr>
            <w:r>
              <w:rPr>
                <w:rFonts w:ascii="Times New Roman" w:cs="Times New Roman" w:eastAsia="Times New Roman" w:hAnsi="Times New Roman"/>
                <w:sz w:val="22"/>
                <w:szCs w:val="22"/>
                <w:color w:val="0000FF"/>
                <w:w w:val="96"/>
              </w:rPr>
              <w:t xml:space="preserve">ARTICLE III </w:t>
            </w:r>
            <w:r>
              <w:rPr>
                <w:rFonts w:ascii="Times New Roman" w:cs="Times New Roman" w:eastAsia="Times New Roman" w:hAnsi="Times New Roman"/>
                <w:sz w:val="22"/>
                <w:szCs w:val="22"/>
                <w:b w:val="1"/>
                <w:bCs w:val="1"/>
                <w:color w:val="0000FF"/>
                <w:w w:val="96"/>
              </w:rPr>
              <w:t>REPRESENTATIONS AND WARRANTIES</w:t>
            </w:r>
          </w:p>
        </w:tc>
        <w:tc>
          <w:tcPr>
            <w:tcW w:w="3300" w:type="dxa"/>
            <w:vAlign w:val="bottom"/>
            <w:gridSpan w:val="5"/>
            <w:vMerge w:val="restart"/>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60" w:type="dxa"/>
            <w:vAlign w:val="bottom"/>
            <w:tcBorders>
              <w:bottom w:val="single" w:sz="8" w:color="0000FF"/>
            </w:tcBorders>
            <w:gridSpan w:val="21"/>
            <w:vMerge w:val="continue"/>
          </w:tcPr>
          <w:p>
            <w:pPr>
              <w:spacing w:after="0"/>
              <w:rPr>
                <w:sz w:val="24"/>
                <w:szCs w:val="24"/>
                <w:color w:val="auto"/>
              </w:rPr>
            </w:pPr>
          </w:p>
        </w:tc>
        <w:tc>
          <w:tcPr>
            <w:tcW w:w="3300" w:type="dxa"/>
            <w:vAlign w:val="bottom"/>
            <w:gridSpan w:val="5"/>
            <w:vMerge w:val="continue"/>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62</w:t>
            </w:r>
          </w:p>
        </w:tc>
        <w:tc>
          <w:tcPr>
            <w:tcW w:w="0" w:type="dxa"/>
            <w:vAlign w:val="bottom"/>
          </w:tcPr>
          <w:p>
            <w:pPr>
              <w:spacing w:after="0"/>
              <w:rPr>
                <w:sz w:val="1"/>
                <w:szCs w:val="1"/>
                <w:color w:val="auto"/>
              </w:rPr>
            </w:pPr>
          </w:p>
        </w:tc>
      </w:tr>
      <w:tr>
        <w:trPr>
          <w:trHeight w:val="506"/>
        </w:trPr>
        <w:tc>
          <w:tcPr>
            <w:tcW w:w="1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3.01.</w:t>
            </w:r>
          </w:p>
        </w:tc>
        <w:tc>
          <w:tcPr>
            <w:tcW w:w="1980" w:type="dxa"/>
            <w:vAlign w:val="bottom"/>
            <w:tcBorders>
              <w:bottom w:val="single" w:sz="8" w:color="0000FF"/>
            </w:tcBorders>
            <w:gridSpan w:val="9"/>
          </w:tcPr>
          <w:p>
            <w:pPr>
              <w:ind w:left="100"/>
              <w:spacing w:after="0"/>
              <w:rPr>
                <w:sz w:val="20"/>
                <w:szCs w:val="20"/>
                <w:color w:val="auto"/>
              </w:rPr>
            </w:pPr>
            <w:r>
              <w:rPr>
                <w:rFonts w:ascii="Times New Roman" w:cs="Times New Roman" w:eastAsia="Times New Roman" w:hAnsi="Times New Roman"/>
                <w:sz w:val="22"/>
                <w:szCs w:val="22"/>
                <w:color w:val="0000FF"/>
                <w:w w:val="97"/>
              </w:rPr>
              <w:t>Organization; Powers</w:t>
            </w:r>
          </w:p>
        </w:tc>
        <w:tc>
          <w:tcPr>
            <w:tcW w:w="5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spacing w:after="0"/>
              <w:rPr>
                <w:sz w:val="24"/>
                <w:szCs w:val="24"/>
                <w:color w:val="auto"/>
              </w:rPr>
            </w:pPr>
          </w:p>
        </w:tc>
        <w:tc>
          <w:tcPr>
            <w:tcW w:w="2700" w:type="dxa"/>
            <w:vAlign w:val="bottom"/>
            <w:gridSpan w:val="3"/>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62</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3.02.</w:t>
            </w:r>
          </w:p>
        </w:tc>
        <w:tc>
          <w:tcPr>
            <w:tcW w:w="2660" w:type="dxa"/>
            <w:vAlign w:val="bottom"/>
            <w:gridSpan w:val="13"/>
            <w:vMerge w:val="restart"/>
          </w:tcPr>
          <w:p>
            <w:pPr>
              <w:ind w:left="100"/>
              <w:spacing w:after="0"/>
              <w:rPr>
                <w:sz w:val="20"/>
                <w:szCs w:val="20"/>
                <w:color w:val="auto"/>
              </w:rPr>
            </w:pPr>
            <w:r>
              <w:rPr>
                <w:rFonts w:ascii="Times New Roman" w:cs="Times New Roman" w:eastAsia="Times New Roman" w:hAnsi="Times New Roman"/>
                <w:sz w:val="22"/>
                <w:szCs w:val="22"/>
                <w:color w:val="0000FF"/>
                <w:w w:val="97"/>
              </w:rPr>
              <w:t>Authorization; Enforceability</w:t>
            </w: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80" w:type="dxa"/>
            <w:vAlign w:val="bottom"/>
            <w:tcBorders>
              <w:bottom w:val="single" w:sz="8" w:color="0000FF"/>
            </w:tcBorders>
            <w:vMerge w:val="continue"/>
          </w:tcPr>
          <w:p>
            <w:pPr>
              <w:spacing w:after="0"/>
              <w:rPr>
                <w:sz w:val="24"/>
                <w:szCs w:val="24"/>
                <w:color w:val="auto"/>
              </w:rPr>
            </w:pPr>
          </w:p>
        </w:tc>
        <w:tc>
          <w:tcPr>
            <w:tcW w:w="2660" w:type="dxa"/>
            <w:vAlign w:val="bottom"/>
            <w:tcBorders>
              <w:bottom w:val="single" w:sz="8" w:color="0000FF"/>
            </w:tcBorders>
            <w:gridSpan w:val="13"/>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spacing w:after="0"/>
              <w:rPr>
                <w:sz w:val="24"/>
                <w:szCs w:val="24"/>
                <w:color w:val="auto"/>
              </w:rPr>
            </w:pPr>
          </w:p>
        </w:tc>
        <w:tc>
          <w:tcPr>
            <w:tcW w:w="2700" w:type="dxa"/>
            <w:vAlign w:val="bottom"/>
            <w:gridSpan w:val="3"/>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63</w:t>
            </w:r>
          </w:p>
        </w:tc>
        <w:tc>
          <w:tcPr>
            <w:tcW w:w="0" w:type="dxa"/>
            <w:vAlign w:val="bottom"/>
          </w:tcPr>
          <w:p>
            <w:pPr>
              <w:spacing w:after="0"/>
              <w:rPr>
                <w:sz w:val="1"/>
                <w:szCs w:val="1"/>
                <w:color w:val="auto"/>
              </w:rPr>
            </w:pPr>
          </w:p>
        </w:tc>
      </w:tr>
      <w:tr>
        <w:trPr>
          <w:trHeight w:val="20"/>
        </w:trPr>
        <w:tc>
          <w:tcPr>
            <w:tcW w:w="5000" w:type="dxa"/>
            <w:vAlign w:val="bottom"/>
            <w:gridSpan w:val="19"/>
            <w:vMerge w:val="restart"/>
          </w:tcPr>
          <w:p>
            <w:pPr>
              <w:spacing w:after="0"/>
              <w:rPr>
                <w:sz w:val="20"/>
                <w:szCs w:val="20"/>
                <w:color w:val="auto"/>
              </w:rPr>
            </w:pPr>
            <w:r>
              <w:rPr>
                <w:rFonts w:ascii="Times New Roman" w:cs="Times New Roman" w:eastAsia="Times New Roman" w:hAnsi="Times New Roman"/>
                <w:sz w:val="22"/>
                <w:szCs w:val="22"/>
                <w:color w:val="0000FF"/>
                <w:w w:val="99"/>
              </w:rPr>
              <w:t>SECTION 3.03.  Governmental Approvals; No Conflicts</w:t>
            </w: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000" w:type="dxa"/>
            <w:vAlign w:val="bottom"/>
            <w:tcBorders>
              <w:bottom w:val="single" w:sz="8" w:color="0000FF"/>
            </w:tcBorders>
            <w:gridSpan w:val="19"/>
            <w:vMerge w:val="continue"/>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spacing w:after="0"/>
              <w:rPr>
                <w:sz w:val="24"/>
                <w:szCs w:val="24"/>
                <w:color w:val="auto"/>
              </w:rPr>
            </w:pPr>
          </w:p>
        </w:tc>
        <w:tc>
          <w:tcPr>
            <w:tcW w:w="2700" w:type="dxa"/>
            <w:vAlign w:val="bottom"/>
            <w:gridSpan w:val="3"/>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63</w:t>
            </w:r>
          </w:p>
        </w:tc>
        <w:tc>
          <w:tcPr>
            <w:tcW w:w="0" w:type="dxa"/>
            <w:vAlign w:val="bottom"/>
          </w:tcPr>
          <w:p>
            <w:pPr>
              <w:spacing w:after="0"/>
              <w:rPr>
                <w:sz w:val="1"/>
                <w:szCs w:val="1"/>
                <w:color w:val="auto"/>
              </w:rPr>
            </w:pPr>
          </w:p>
        </w:tc>
      </w:tr>
      <w:tr>
        <w:trPr>
          <w:trHeight w:val="20"/>
        </w:trPr>
        <w:tc>
          <w:tcPr>
            <w:tcW w:w="5960" w:type="dxa"/>
            <w:vAlign w:val="bottom"/>
            <w:gridSpan w:val="23"/>
            <w:vMerge w:val="restart"/>
          </w:tcPr>
          <w:p>
            <w:pPr>
              <w:spacing w:after="0"/>
              <w:rPr>
                <w:sz w:val="20"/>
                <w:szCs w:val="20"/>
                <w:color w:val="auto"/>
              </w:rPr>
            </w:pPr>
            <w:r>
              <w:rPr>
                <w:rFonts w:ascii="Times New Roman" w:cs="Times New Roman" w:eastAsia="Times New Roman" w:hAnsi="Times New Roman"/>
                <w:sz w:val="22"/>
                <w:szCs w:val="22"/>
                <w:color w:val="0000FF"/>
                <w:w w:val="99"/>
              </w:rPr>
              <w:t>SECTION 3.04.  Financial Condition; No Material Adverse Change</w:t>
            </w:r>
          </w:p>
        </w:tc>
        <w:tc>
          <w:tcPr>
            <w:tcW w:w="270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960" w:type="dxa"/>
            <w:vAlign w:val="bottom"/>
            <w:tcBorders>
              <w:bottom w:val="single" w:sz="8" w:color="0000FF"/>
            </w:tcBorders>
            <w:gridSpan w:val="23"/>
            <w:vMerge w:val="continue"/>
          </w:tcPr>
          <w:p>
            <w:pPr>
              <w:spacing w:after="0"/>
              <w:rPr>
                <w:sz w:val="24"/>
                <w:szCs w:val="24"/>
                <w:color w:val="auto"/>
              </w:rPr>
            </w:pPr>
          </w:p>
        </w:tc>
        <w:tc>
          <w:tcPr>
            <w:tcW w:w="2700" w:type="dxa"/>
            <w:vAlign w:val="bottom"/>
            <w:gridSpan w:val="3"/>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63</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3.05.</w:t>
            </w: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0000FF"/>
                <w:w w:val="96"/>
              </w:rPr>
              <w:t>Properties</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80" w:type="dxa"/>
            <w:vAlign w:val="bottom"/>
            <w:tcBorders>
              <w:bottom w:val="single" w:sz="8" w:color="0000FF"/>
            </w:tcBorders>
            <w:vMerge w:val="continue"/>
          </w:tcPr>
          <w:p>
            <w:pPr>
              <w:spacing w:after="0"/>
              <w:rPr>
                <w:sz w:val="24"/>
                <w:szCs w:val="24"/>
                <w:color w:val="auto"/>
              </w:rPr>
            </w:pPr>
          </w:p>
        </w:tc>
        <w:tc>
          <w:tcPr>
            <w:tcW w:w="980" w:type="dxa"/>
            <w:vAlign w:val="bottom"/>
            <w:tcBorders>
              <w:bottom w:val="single" w:sz="8" w:color="0000FF"/>
            </w:tcBorders>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720" w:type="dxa"/>
            <w:vAlign w:val="bottom"/>
            <w:gridSpan w:val="4"/>
          </w:tcPr>
          <w:p>
            <w:pPr>
              <w:spacing w:after="0"/>
              <w:rPr>
                <w:sz w:val="24"/>
                <w:szCs w:val="24"/>
                <w:color w:val="auto"/>
              </w:rPr>
            </w:pPr>
          </w:p>
        </w:tc>
        <w:tc>
          <w:tcPr>
            <w:tcW w:w="2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600" w:type="dxa"/>
            <w:vAlign w:val="bottom"/>
            <w:gridSpan w:val="6"/>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64</w:t>
            </w:r>
          </w:p>
        </w:tc>
        <w:tc>
          <w:tcPr>
            <w:tcW w:w="0" w:type="dxa"/>
            <w:vAlign w:val="bottom"/>
          </w:tcPr>
          <w:p>
            <w:pPr>
              <w:spacing w:after="0"/>
              <w:rPr>
                <w:sz w:val="1"/>
                <w:szCs w:val="1"/>
                <w:color w:val="auto"/>
              </w:rPr>
            </w:pPr>
          </w:p>
        </w:tc>
      </w:tr>
      <w:tr>
        <w:trPr>
          <w:trHeight w:val="20"/>
        </w:trPr>
        <w:tc>
          <w:tcPr>
            <w:tcW w:w="4860" w:type="dxa"/>
            <w:vAlign w:val="bottom"/>
            <w:gridSpan w:val="18"/>
            <w:vMerge w:val="restart"/>
          </w:tcPr>
          <w:p>
            <w:pPr>
              <w:spacing w:after="0"/>
              <w:rPr>
                <w:sz w:val="20"/>
                <w:szCs w:val="20"/>
                <w:color w:val="auto"/>
              </w:rPr>
            </w:pPr>
            <w:r>
              <w:rPr>
                <w:rFonts w:ascii="Times New Roman" w:cs="Times New Roman" w:eastAsia="Times New Roman" w:hAnsi="Times New Roman"/>
                <w:sz w:val="22"/>
                <w:szCs w:val="22"/>
                <w:color w:val="0000FF"/>
                <w:w w:val="99"/>
              </w:rPr>
              <w:t>SECTION 3.06.  Litigation and Environmental Matters</w:t>
            </w:r>
          </w:p>
        </w:tc>
        <w:tc>
          <w:tcPr>
            <w:tcW w:w="20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860" w:type="dxa"/>
            <w:vAlign w:val="bottom"/>
            <w:tcBorders>
              <w:bottom w:val="single" w:sz="8" w:color="0000FF"/>
            </w:tcBorders>
            <w:gridSpan w:val="18"/>
            <w:vMerge w:val="continue"/>
          </w:tcPr>
          <w:p>
            <w:pPr>
              <w:spacing w:after="0"/>
              <w:rPr>
                <w:sz w:val="24"/>
                <w:szCs w:val="24"/>
                <w:color w:val="auto"/>
              </w:rPr>
            </w:pPr>
          </w:p>
        </w:tc>
        <w:tc>
          <w:tcPr>
            <w:tcW w:w="200" w:type="dxa"/>
            <w:vAlign w:val="bottom"/>
            <w:gridSpan w:val="2"/>
          </w:tcPr>
          <w:p>
            <w:pPr>
              <w:spacing w:after="0"/>
              <w:rPr>
                <w:sz w:val="24"/>
                <w:szCs w:val="24"/>
                <w:color w:val="auto"/>
              </w:rPr>
            </w:pPr>
          </w:p>
        </w:tc>
        <w:tc>
          <w:tcPr>
            <w:tcW w:w="3600" w:type="dxa"/>
            <w:vAlign w:val="bottom"/>
            <w:gridSpan w:val="6"/>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64</w:t>
            </w:r>
          </w:p>
        </w:tc>
        <w:tc>
          <w:tcPr>
            <w:tcW w:w="0" w:type="dxa"/>
            <w:vAlign w:val="bottom"/>
          </w:tcPr>
          <w:p>
            <w:pPr>
              <w:spacing w:after="0"/>
              <w:rPr>
                <w:sz w:val="1"/>
                <w:szCs w:val="1"/>
                <w:color w:val="auto"/>
              </w:rPr>
            </w:pPr>
          </w:p>
        </w:tc>
      </w:tr>
      <w:tr>
        <w:trPr>
          <w:trHeight w:val="20"/>
        </w:trPr>
        <w:tc>
          <w:tcPr>
            <w:tcW w:w="5060" w:type="dxa"/>
            <w:vAlign w:val="bottom"/>
            <w:gridSpan w:val="20"/>
            <w:vMerge w:val="restart"/>
          </w:tcPr>
          <w:p>
            <w:pPr>
              <w:spacing w:after="0"/>
              <w:rPr>
                <w:sz w:val="20"/>
                <w:szCs w:val="20"/>
                <w:color w:val="auto"/>
              </w:rPr>
            </w:pPr>
            <w:r>
              <w:rPr>
                <w:rFonts w:ascii="Times New Roman" w:cs="Times New Roman" w:eastAsia="Times New Roman" w:hAnsi="Times New Roman"/>
                <w:sz w:val="22"/>
                <w:szCs w:val="22"/>
                <w:color w:val="0000FF"/>
                <w:w w:val="99"/>
              </w:rPr>
              <w:t>SECTION 3.07.  Compliance with Laws and Agreements</w:t>
            </w:r>
          </w:p>
        </w:tc>
        <w:tc>
          <w:tcPr>
            <w:tcW w:w="3600" w:type="dxa"/>
            <w:vAlign w:val="bottom"/>
            <w:gridSpan w:val="6"/>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060" w:type="dxa"/>
            <w:vAlign w:val="bottom"/>
            <w:tcBorders>
              <w:bottom w:val="single" w:sz="8" w:color="0000FF"/>
            </w:tcBorders>
            <w:gridSpan w:val="20"/>
            <w:vMerge w:val="continue"/>
          </w:tcPr>
          <w:p>
            <w:pPr>
              <w:spacing w:after="0"/>
              <w:rPr>
                <w:sz w:val="24"/>
                <w:szCs w:val="24"/>
                <w:color w:val="auto"/>
              </w:rPr>
            </w:pPr>
          </w:p>
        </w:tc>
        <w:tc>
          <w:tcPr>
            <w:tcW w:w="3600" w:type="dxa"/>
            <w:vAlign w:val="bottom"/>
            <w:gridSpan w:val="6"/>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64</w:t>
            </w:r>
          </w:p>
        </w:tc>
        <w:tc>
          <w:tcPr>
            <w:tcW w:w="0" w:type="dxa"/>
            <w:vAlign w:val="bottom"/>
          </w:tcPr>
          <w:p>
            <w:pPr>
              <w:spacing w:after="0"/>
              <w:rPr>
                <w:sz w:val="1"/>
                <w:szCs w:val="1"/>
                <w:color w:val="auto"/>
              </w:rPr>
            </w:pPr>
          </w:p>
        </w:tc>
      </w:tr>
      <w:tr>
        <w:trPr>
          <w:trHeight w:val="20"/>
        </w:trPr>
        <w:tc>
          <w:tcPr>
            <w:tcW w:w="4020" w:type="dxa"/>
            <w:vAlign w:val="bottom"/>
            <w:gridSpan w:val="13"/>
            <w:vMerge w:val="restart"/>
          </w:tcPr>
          <w:p>
            <w:pPr>
              <w:spacing w:after="0"/>
              <w:rPr>
                <w:sz w:val="20"/>
                <w:szCs w:val="20"/>
                <w:color w:val="auto"/>
              </w:rPr>
            </w:pPr>
            <w:r>
              <w:rPr>
                <w:rFonts w:ascii="Times New Roman" w:cs="Times New Roman" w:eastAsia="Times New Roman" w:hAnsi="Times New Roman"/>
                <w:sz w:val="22"/>
                <w:szCs w:val="22"/>
                <w:color w:val="0000FF"/>
                <w:w w:val="99"/>
              </w:rPr>
              <w:t>SECTION 3.08.  Investment Company Status</w:t>
            </w: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020" w:type="dxa"/>
            <w:vAlign w:val="bottom"/>
            <w:tcBorders>
              <w:bottom w:val="single" w:sz="8" w:color="0000FF"/>
            </w:tcBorders>
            <w:gridSpan w:val="13"/>
            <w:vMerge w:val="continue"/>
          </w:tcPr>
          <w:p>
            <w:pPr>
              <w:spacing w:after="0"/>
              <w:rPr>
                <w:sz w:val="24"/>
                <w:szCs w:val="24"/>
                <w:color w:val="auto"/>
              </w:rPr>
            </w:pPr>
          </w:p>
        </w:tc>
        <w:tc>
          <w:tcPr>
            <w:tcW w:w="2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3880" w:type="dxa"/>
            <w:vAlign w:val="bottom"/>
            <w:gridSpan w:val="9"/>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65</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3.09.</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0000FF"/>
                <w:w w:val="91"/>
              </w:rPr>
              <w:t>Taxes</w:t>
            </w: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80" w:type="dxa"/>
            <w:vAlign w:val="bottom"/>
            <w:tcBorders>
              <w:bottom w:val="single" w:sz="8" w:color="0000FF"/>
            </w:tcBorders>
            <w:vMerge w:val="continue"/>
          </w:tcPr>
          <w:p>
            <w:pPr>
              <w:spacing w:after="0"/>
              <w:rPr>
                <w:sz w:val="24"/>
                <w:szCs w:val="24"/>
                <w:color w:val="auto"/>
              </w:rPr>
            </w:pPr>
          </w:p>
        </w:tc>
        <w:tc>
          <w:tcPr>
            <w:tcW w:w="600" w:type="dxa"/>
            <w:vAlign w:val="bottom"/>
            <w:tcBorders>
              <w:bottom w:val="single" w:sz="8" w:color="0000FF"/>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92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3880" w:type="dxa"/>
            <w:vAlign w:val="bottom"/>
            <w:gridSpan w:val="9"/>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65</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3.10.</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0000FF"/>
                <w:w w:val="97"/>
              </w:rPr>
              <w:t>ERISA</w:t>
            </w: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480" w:type="dxa"/>
            <w:vAlign w:val="bottom"/>
            <w:tcBorders>
              <w:bottom w:val="single" w:sz="8" w:color="0000FF"/>
            </w:tcBorders>
            <w:vMerge w:val="continue"/>
          </w:tcPr>
          <w:p>
            <w:pPr>
              <w:spacing w:after="0"/>
              <w:rPr>
                <w:sz w:val="24"/>
                <w:szCs w:val="24"/>
                <w:color w:val="auto"/>
              </w:rPr>
            </w:pPr>
          </w:p>
        </w:tc>
        <w:tc>
          <w:tcPr>
            <w:tcW w:w="740" w:type="dxa"/>
            <w:vAlign w:val="bottom"/>
            <w:tcBorders>
              <w:bottom w:val="single" w:sz="8" w:color="0000FF"/>
            </w:tcBorders>
            <w:gridSpan w:val="2"/>
            <w:vMerge w:val="continue"/>
          </w:tcPr>
          <w:p>
            <w:pPr>
              <w:spacing w:after="0"/>
              <w:rPr>
                <w:sz w:val="24"/>
                <w:szCs w:val="24"/>
                <w:color w:val="auto"/>
              </w:rPr>
            </w:pPr>
          </w:p>
        </w:tc>
        <w:tc>
          <w:tcPr>
            <w:tcW w:w="2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92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3880" w:type="dxa"/>
            <w:vAlign w:val="bottom"/>
            <w:gridSpan w:val="9"/>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65</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3.11.</w:t>
            </w:r>
          </w:p>
        </w:tc>
        <w:tc>
          <w:tcPr>
            <w:tcW w:w="10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2"/>
                <w:szCs w:val="22"/>
                <w:color w:val="0000FF"/>
                <w:w w:val="95"/>
              </w:rPr>
              <w:t>Disclosure</w:t>
            </w: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480" w:type="dxa"/>
            <w:vAlign w:val="bottom"/>
            <w:tcBorders>
              <w:bottom w:val="single" w:sz="8" w:color="0000FF"/>
            </w:tcBorders>
            <w:vMerge w:val="continue"/>
          </w:tcPr>
          <w:p>
            <w:pPr>
              <w:spacing w:after="0"/>
              <w:rPr>
                <w:sz w:val="24"/>
                <w:szCs w:val="24"/>
                <w:color w:val="auto"/>
              </w:rPr>
            </w:pPr>
          </w:p>
        </w:tc>
        <w:tc>
          <w:tcPr>
            <w:tcW w:w="1020" w:type="dxa"/>
            <w:vAlign w:val="bottom"/>
            <w:tcBorders>
              <w:bottom w:val="single" w:sz="8" w:color="0000FF"/>
            </w:tcBorders>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92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3880" w:type="dxa"/>
            <w:vAlign w:val="bottom"/>
            <w:gridSpan w:val="9"/>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65</w:t>
            </w:r>
          </w:p>
        </w:tc>
        <w:tc>
          <w:tcPr>
            <w:tcW w:w="0" w:type="dxa"/>
            <w:vAlign w:val="bottom"/>
          </w:tcPr>
          <w:p>
            <w:pPr>
              <w:spacing w:after="0"/>
              <w:rPr>
                <w:sz w:val="1"/>
                <w:szCs w:val="1"/>
                <w:color w:val="auto"/>
              </w:rPr>
            </w:pPr>
          </w:p>
        </w:tc>
      </w:tr>
      <w:tr>
        <w:trPr>
          <w:trHeight w:val="20"/>
        </w:trPr>
        <w:tc>
          <w:tcPr>
            <w:tcW w:w="4780" w:type="dxa"/>
            <w:vAlign w:val="bottom"/>
            <w:gridSpan w:val="17"/>
            <w:vMerge w:val="restart"/>
          </w:tcPr>
          <w:p>
            <w:pPr>
              <w:spacing w:after="0"/>
              <w:rPr>
                <w:sz w:val="20"/>
                <w:szCs w:val="20"/>
                <w:color w:val="auto"/>
              </w:rPr>
            </w:pPr>
            <w:r>
              <w:rPr>
                <w:rFonts w:ascii="Times New Roman" w:cs="Times New Roman" w:eastAsia="Times New Roman" w:hAnsi="Times New Roman"/>
                <w:sz w:val="22"/>
                <w:szCs w:val="22"/>
                <w:color w:val="0000FF"/>
                <w:w w:val="99"/>
              </w:rPr>
              <w:t>SECTION 3.12.  Anti-Corruption Laws and Sanctions</w:t>
            </w:r>
          </w:p>
        </w:tc>
        <w:tc>
          <w:tcPr>
            <w:tcW w:w="3880" w:type="dxa"/>
            <w:vAlign w:val="bottom"/>
            <w:gridSpan w:val="9"/>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780" w:type="dxa"/>
            <w:vAlign w:val="bottom"/>
            <w:tcBorders>
              <w:bottom w:val="single" w:sz="8" w:color="0000FF"/>
            </w:tcBorders>
            <w:gridSpan w:val="17"/>
            <w:vMerge w:val="continue"/>
          </w:tcPr>
          <w:p>
            <w:pPr>
              <w:spacing w:after="0"/>
              <w:rPr>
                <w:sz w:val="24"/>
                <w:szCs w:val="24"/>
                <w:color w:val="auto"/>
              </w:rPr>
            </w:pPr>
          </w:p>
        </w:tc>
        <w:tc>
          <w:tcPr>
            <w:tcW w:w="3880" w:type="dxa"/>
            <w:vAlign w:val="bottom"/>
            <w:gridSpan w:val="9"/>
            <w:vMerge w:val="restart"/>
          </w:tcPr>
          <w:p>
            <w:pPr>
              <w:spacing w:after="0"/>
              <w:rPr>
                <w:sz w:val="24"/>
                <w:szCs w:val="24"/>
                <w:color w:val="auto"/>
              </w:rPr>
            </w:pPr>
          </w:p>
        </w:tc>
        <w:tc>
          <w:tcPr>
            <w:tcW w:w="1860" w:type="dxa"/>
            <w:vAlign w:val="bottom"/>
            <w:vMerge w:val="restart"/>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65</w:t>
            </w:r>
          </w:p>
        </w:tc>
        <w:tc>
          <w:tcPr>
            <w:tcW w:w="0" w:type="dxa"/>
            <w:vAlign w:val="bottom"/>
          </w:tcPr>
          <w:p>
            <w:pPr>
              <w:spacing w:after="0"/>
              <w:rPr>
                <w:sz w:val="1"/>
                <w:szCs w:val="1"/>
                <w:color w:val="auto"/>
              </w:rPr>
            </w:pPr>
          </w:p>
        </w:tc>
      </w:tr>
      <w:tr>
        <w:trPr>
          <w:trHeight w:val="25"/>
        </w:trPr>
        <w:tc>
          <w:tcPr>
            <w:tcW w:w="4220" w:type="dxa"/>
            <w:vAlign w:val="bottom"/>
            <w:gridSpan w:val="15"/>
            <w:vMerge w:val="restart"/>
          </w:tcPr>
          <w:p>
            <w:pPr>
              <w:spacing w:after="0"/>
              <w:rPr>
                <w:sz w:val="20"/>
                <w:szCs w:val="20"/>
                <w:color w:val="auto"/>
              </w:rPr>
            </w:pPr>
            <w:r>
              <w:rPr>
                <w:rFonts w:ascii="Times New Roman" w:cs="Times New Roman" w:eastAsia="Times New Roman" w:hAnsi="Times New Roman"/>
                <w:sz w:val="22"/>
                <w:szCs w:val="22"/>
                <w:color w:val="0000FF"/>
                <w:w w:val="99"/>
              </w:rPr>
              <w:t>SECTION 3.13.  Affected Financial Institutions</w:t>
            </w:r>
          </w:p>
        </w:tc>
        <w:tc>
          <w:tcPr>
            <w:tcW w:w="560" w:type="dxa"/>
            <w:vAlign w:val="bottom"/>
            <w:gridSpan w:val="2"/>
          </w:tcPr>
          <w:p>
            <w:pPr>
              <w:spacing w:after="0" w:line="20" w:lineRule="exact"/>
              <w:rPr>
                <w:sz w:val="1"/>
                <w:szCs w:val="1"/>
                <w:color w:val="auto"/>
              </w:rPr>
            </w:pPr>
          </w:p>
        </w:tc>
        <w:tc>
          <w:tcPr>
            <w:tcW w:w="3880" w:type="dxa"/>
            <w:vAlign w:val="bottom"/>
            <w:gridSpan w:val="9"/>
            <w:vMerge w:val="continue"/>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22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220" w:type="dxa"/>
            <w:vAlign w:val="bottom"/>
            <w:tcBorders>
              <w:bottom w:val="single" w:sz="8" w:color="0000FF"/>
            </w:tcBorders>
            <w:gridSpan w:val="15"/>
            <w:vMerge w:val="continue"/>
          </w:tcPr>
          <w:p>
            <w:pPr>
              <w:spacing w:after="0"/>
              <w:rPr>
                <w:sz w:val="24"/>
                <w:szCs w:val="24"/>
                <w:color w:val="auto"/>
              </w:rPr>
            </w:pPr>
          </w:p>
        </w:tc>
        <w:tc>
          <w:tcPr>
            <w:tcW w:w="4440" w:type="dxa"/>
            <w:vAlign w:val="bottom"/>
            <w:gridSpan w:val="11"/>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66</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3.14.</w:t>
            </w:r>
          </w:p>
        </w:tc>
        <w:tc>
          <w:tcPr>
            <w:tcW w:w="10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2"/>
                <w:szCs w:val="22"/>
                <w:color w:val="0000FF"/>
                <w:w w:val="97"/>
              </w:rPr>
              <w:t>[Reserved]</w:t>
            </w:r>
          </w:p>
        </w:tc>
        <w:tc>
          <w:tcPr>
            <w:tcW w:w="760" w:type="dxa"/>
            <w:vAlign w:val="bottom"/>
            <w:gridSpan w:val="3"/>
          </w:tcPr>
          <w:p>
            <w:pPr>
              <w:spacing w:after="0" w:line="20" w:lineRule="exact"/>
              <w:rPr>
                <w:sz w:val="1"/>
                <w:szCs w:val="1"/>
                <w:color w:val="auto"/>
              </w:rPr>
            </w:pPr>
          </w:p>
        </w:tc>
        <w:tc>
          <w:tcPr>
            <w:tcW w:w="5360" w:type="dxa"/>
            <w:vAlign w:val="bottom"/>
            <w:gridSpan w:val="1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480" w:type="dxa"/>
            <w:vAlign w:val="bottom"/>
            <w:tcBorders>
              <w:bottom w:val="single" w:sz="8" w:color="0000FF"/>
            </w:tcBorders>
            <w:vMerge w:val="continue"/>
          </w:tcPr>
          <w:p>
            <w:pPr>
              <w:spacing w:after="0"/>
              <w:rPr>
                <w:sz w:val="24"/>
                <w:szCs w:val="24"/>
                <w:color w:val="auto"/>
              </w:rPr>
            </w:pPr>
          </w:p>
        </w:tc>
        <w:tc>
          <w:tcPr>
            <w:tcW w:w="1060" w:type="dxa"/>
            <w:vAlign w:val="bottom"/>
            <w:tcBorders>
              <w:bottom w:val="single" w:sz="8" w:color="0000FF"/>
            </w:tcBorders>
            <w:gridSpan w:val="5"/>
            <w:vMerge w:val="continue"/>
          </w:tcPr>
          <w:p>
            <w:pPr>
              <w:spacing w:after="0"/>
              <w:rPr>
                <w:sz w:val="24"/>
                <w:szCs w:val="24"/>
                <w:color w:val="auto"/>
              </w:rPr>
            </w:pPr>
          </w:p>
        </w:tc>
        <w:tc>
          <w:tcPr>
            <w:tcW w:w="760" w:type="dxa"/>
            <w:vAlign w:val="bottom"/>
            <w:gridSpan w:val="3"/>
          </w:tcPr>
          <w:p>
            <w:pPr>
              <w:spacing w:after="0"/>
              <w:rPr>
                <w:sz w:val="24"/>
                <w:szCs w:val="24"/>
                <w:color w:val="auto"/>
              </w:rPr>
            </w:pPr>
          </w:p>
        </w:tc>
        <w:tc>
          <w:tcPr>
            <w:tcW w:w="5360" w:type="dxa"/>
            <w:vAlign w:val="bottom"/>
            <w:gridSpan w:val="17"/>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66</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3.15.</w:t>
            </w:r>
          </w:p>
        </w:tc>
        <w:tc>
          <w:tcPr>
            <w:tcW w:w="1820" w:type="dxa"/>
            <w:vAlign w:val="bottom"/>
            <w:gridSpan w:val="8"/>
            <w:vMerge w:val="restart"/>
          </w:tcPr>
          <w:p>
            <w:pPr>
              <w:ind w:left="100"/>
              <w:spacing w:after="0"/>
              <w:rPr>
                <w:sz w:val="20"/>
                <w:szCs w:val="20"/>
                <w:color w:val="auto"/>
              </w:rPr>
            </w:pPr>
            <w:r>
              <w:rPr>
                <w:rFonts w:ascii="Times New Roman" w:cs="Times New Roman" w:eastAsia="Times New Roman" w:hAnsi="Times New Roman"/>
                <w:sz w:val="22"/>
                <w:szCs w:val="22"/>
                <w:color w:val="0000FF"/>
                <w:w w:val="96"/>
              </w:rPr>
              <w:t>Margin Regulations</w:t>
            </w:r>
          </w:p>
        </w:tc>
        <w:tc>
          <w:tcPr>
            <w:tcW w:w="5360" w:type="dxa"/>
            <w:vAlign w:val="bottom"/>
            <w:gridSpan w:val="1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480" w:type="dxa"/>
            <w:vAlign w:val="bottom"/>
            <w:tcBorders>
              <w:bottom w:val="single" w:sz="8" w:color="0000FF"/>
            </w:tcBorders>
            <w:vMerge w:val="continue"/>
          </w:tcPr>
          <w:p>
            <w:pPr>
              <w:spacing w:after="0"/>
              <w:rPr>
                <w:sz w:val="24"/>
                <w:szCs w:val="24"/>
                <w:color w:val="auto"/>
              </w:rPr>
            </w:pPr>
          </w:p>
        </w:tc>
        <w:tc>
          <w:tcPr>
            <w:tcW w:w="1820" w:type="dxa"/>
            <w:vAlign w:val="bottom"/>
            <w:tcBorders>
              <w:bottom w:val="single" w:sz="8" w:color="0000FF"/>
            </w:tcBorders>
            <w:gridSpan w:val="8"/>
            <w:vMerge w:val="continue"/>
          </w:tcPr>
          <w:p>
            <w:pPr>
              <w:spacing w:after="0"/>
              <w:rPr>
                <w:sz w:val="24"/>
                <w:szCs w:val="24"/>
                <w:color w:val="auto"/>
              </w:rPr>
            </w:pPr>
          </w:p>
        </w:tc>
        <w:tc>
          <w:tcPr>
            <w:tcW w:w="5360" w:type="dxa"/>
            <w:vAlign w:val="bottom"/>
            <w:gridSpan w:val="17"/>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400" w:top="1440" w:right="759" w:bottom="5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740"/>
          </w:cols>
          <w:pgMar w:left="400" w:top="1440" w:right="759" w:bottom="570" w:gutter="0" w:footer="0" w:header="0"/>
          <w:type w:val="continuous"/>
        </w:sectPr>
      </w:pPr>
    </w:p>
    <w:bookmarkStart w:id="86" w:name="page87"/>
    <w:bookmarkEnd w:id="8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3.16.</w:t>
            </w:r>
          </w:p>
        </w:tc>
        <w:tc>
          <w:tcPr>
            <w:tcW w:w="900" w:type="dxa"/>
            <w:vAlign w:val="bottom"/>
            <w:tcBorders>
              <w:bottom w:val="single" w:sz="8" w:color="0000FF"/>
            </w:tcBorders>
            <w:gridSpan w:val="2"/>
          </w:tcPr>
          <w:p>
            <w:pPr>
              <w:ind w:left="80"/>
              <w:spacing w:after="0"/>
              <w:rPr>
                <w:sz w:val="20"/>
                <w:szCs w:val="20"/>
                <w:color w:val="auto"/>
              </w:rPr>
            </w:pPr>
            <w:r>
              <w:rPr>
                <w:rFonts w:ascii="Times New Roman" w:cs="Times New Roman" w:eastAsia="Times New Roman" w:hAnsi="Times New Roman"/>
                <w:sz w:val="22"/>
                <w:szCs w:val="22"/>
                <w:color w:val="0000FF"/>
                <w:w w:val="97"/>
              </w:rPr>
              <w:t>Solvency</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66</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3.17.</w:t>
            </w:r>
          </w:p>
        </w:tc>
        <w:tc>
          <w:tcPr>
            <w:tcW w:w="1140" w:type="dxa"/>
            <w:vAlign w:val="bottom"/>
            <w:gridSpan w:val="5"/>
            <w:vMerge w:val="restart"/>
          </w:tcPr>
          <w:p>
            <w:pPr>
              <w:ind w:left="80"/>
              <w:spacing w:after="0"/>
              <w:rPr>
                <w:sz w:val="20"/>
                <w:szCs w:val="20"/>
                <w:color w:val="auto"/>
              </w:rPr>
            </w:pPr>
            <w:r>
              <w:rPr>
                <w:rFonts w:ascii="Times New Roman" w:cs="Times New Roman" w:eastAsia="Times New Roman" w:hAnsi="Times New Roman"/>
                <w:sz w:val="22"/>
                <w:szCs w:val="22"/>
                <w:color w:val="0000FF"/>
                <w:w w:val="96"/>
              </w:rPr>
              <w:t>Subsidiaries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500" w:type="dxa"/>
            <w:vAlign w:val="bottom"/>
            <w:tcBorders>
              <w:bottom w:val="single" w:sz="8" w:color="0000FF"/>
            </w:tcBorders>
            <w:vMerge w:val="continue"/>
          </w:tcPr>
          <w:p>
            <w:pPr>
              <w:spacing w:after="0"/>
              <w:rPr>
                <w:sz w:val="24"/>
                <w:szCs w:val="24"/>
                <w:color w:val="auto"/>
              </w:rPr>
            </w:pPr>
          </w:p>
        </w:tc>
        <w:tc>
          <w:tcPr>
            <w:tcW w:w="1140" w:type="dxa"/>
            <w:vAlign w:val="bottom"/>
            <w:tcBorders>
              <w:bottom w:val="single" w:sz="8" w:color="0000FF"/>
            </w:tcBorders>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66</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3.18.</w:t>
            </w:r>
          </w:p>
        </w:tc>
        <w:tc>
          <w:tcPr>
            <w:tcW w:w="1700" w:type="dxa"/>
            <w:vAlign w:val="bottom"/>
            <w:gridSpan w:val="11"/>
            <w:vMerge w:val="restart"/>
          </w:tcPr>
          <w:p>
            <w:pPr>
              <w:ind w:left="80"/>
              <w:spacing w:after="0"/>
              <w:rPr>
                <w:sz w:val="20"/>
                <w:szCs w:val="20"/>
                <w:color w:val="auto"/>
              </w:rPr>
            </w:pPr>
            <w:r>
              <w:rPr>
                <w:rFonts w:ascii="Times New Roman" w:cs="Times New Roman" w:eastAsia="Times New Roman" w:hAnsi="Times New Roman"/>
                <w:sz w:val="22"/>
                <w:szCs w:val="22"/>
                <w:color w:val="0000FF"/>
                <w:w w:val="98"/>
              </w:rPr>
              <w:t>Employee Matters</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1700" w:type="dxa"/>
            <w:vAlign w:val="bottom"/>
            <w:tcBorders>
              <w:bottom w:val="single" w:sz="8" w:color="0000FF"/>
            </w:tcBorders>
            <w:gridSpan w:val="11"/>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66</w:t>
            </w:r>
          </w:p>
        </w:tc>
        <w:tc>
          <w:tcPr>
            <w:tcW w:w="0" w:type="dxa"/>
            <w:vAlign w:val="bottom"/>
          </w:tcPr>
          <w:p>
            <w:pPr>
              <w:spacing w:after="0"/>
              <w:rPr>
                <w:sz w:val="1"/>
                <w:szCs w:val="1"/>
                <w:color w:val="auto"/>
              </w:rPr>
            </w:pPr>
          </w:p>
        </w:tc>
      </w:tr>
      <w:tr>
        <w:trPr>
          <w:trHeight w:val="20"/>
        </w:trPr>
        <w:tc>
          <w:tcPr>
            <w:tcW w:w="8700" w:type="dxa"/>
            <w:vAlign w:val="bottom"/>
            <w:gridSpan w:val="25"/>
            <w:vMerge w:val="restart"/>
          </w:tcPr>
          <w:p>
            <w:pPr>
              <w:spacing w:after="0"/>
              <w:rPr>
                <w:sz w:val="20"/>
                <w:szCs w:val="20"/>
                <w:color w:val="auto"/>
              </w:rPr>
            </w:pPr>
            <w:r>
              <w:rPr>
                <w:rFonts w:ascii="Times New Roman" w:cs="Times New Roman" w:eastAsia="Times New Roman" w:hAnsi="Times New Roman"/>
                <w:sz w:val="22"/>
                <w:szCs w:val="22"/>
                <w:color w:val="0000FF"/>
              </w:rPr>
              <w:t xml:space="preserve">ARTICLE IV </w:t>
            </w:r>
            <w:r>
              <w:rPr>
                <w:rFonts w:ascii="Times New Roman" w:cs="Times New Roman" w:eastAsia="Times New Roman" w:hAnsi="Times New Roman"/>
                <w:sz w:val="22"/>
                <w:szCs w:val="22"/>
                <w:b w:val="1"/>
                <w:bCs w:val="1"/>
                <w:color w:val="0000FF"/>
              </w:rPr>
              <w:t>CONDITIONS</w:t>
            </w: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700" w:type="dxa"/>
            <w:vAlign w:val="bottom"/>
            <w:gridSpan w:val="25"/>
            <w:vMerge w:val="continue"/>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67</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4.01.</w:t>
            </w:r>
          </w:p>
        </w:tc>
        <w:tc>
          <w:tcPr>
            <w:tcW w:w="1340" w:type="dxa"/>
            <w:vAlign w:val="bottom"/>
            <w:tcBorders>
              <w:bottom w:val="single" w:sz="8" w:color="0000FF"/>
            </w:tcBorders>
            <w:gridSpan w:val="8"/>
          </w:tcPr>
          <w:p>
            <w:pPr>
              <w:ind w:left="80"/>
              <w:spacing w:after="0"/>
              <w:rPr>
                <w:sz w:val="20"/>
                <w:szCs w:val="20"/>
                <w:color w:val="auto"/>
              </w:rPr>
            </w:pPr>
            <w:r>
              <w:rPr>
                <w:rFonts w:ascii="Times New Roman" w:cs="Times New Roman" w:eastAsia="Times New Roman" w:hAnsi="Times New Roman"/>
                <w:sz w:val="22"/>
                <w:szCs w:val="22"/>
                <w:color w:val="0000FF"/>
                <w:w w:val="97"/>
              </w:rPr>
              <w:t>Effective Date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67</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4.02.</w:t>
            </w:r>
          </w:p>
        </w:tc>
        <w:tc>
          <w:tcPr>
            <w:tcW w:w="1680" w:type="dxa"/>
            <w:vAlign w:val="bottom"/>
            <w:gridSpan w:val="10"/>
            <w:vMerge w:val="restart"/>
          </w:tcPr>
          <w:p>
            <w:pPr>
              <w:ind w:left="80"/>
              <w:spacing w:after="0"/>
              <w:rPr>
                <w:sz w:val="20"/>
                <w:szCs w:val="20"/>
                <w:color w:val="auto"/>
              </w:rPr>
            </w:pPr>
            <w:r>
              <w:rPr>
                <w:rFonts w:ascii="Times New Roman" w:cs="Times New Roman" w:eastAsia="Times New Roman" w:hAnsi="Times New Roman"/>
                <w:sz w:val="22"/>
                <w:szCs w:val="22"/>
                <w:color w:val="0000FF"/>
                <w:w w:val="97"/>
              </w:rPr>
              <w:t>Each Credit Event</w:t>
            </w: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1680" w:type="dxa"/>
            <w:vAlign w:val="bottom"/>
            <w:tcBorders>
              <w:bottom w:val="single" w:sz="8" w:color="0000FF"/>
            </w:tcBorders>
            <w:gridSpan w:val="10"/>
            <w:vMerge w:val="continue"/>
          </w:tcPr>
          <w:p>
            <w:pPr>
              <w:spacing w:after="0"/>
              <w:rPr>
                <w:sz w:val="24"/>
                <w:szCs w:val="24"/>
                <w:color w:val="auto"/>
              </w:rPr>
            </w:pPr>
          </w:p>
        </w:tc>
        <w:tc>
          <w:tcPr>
            <w:tcW w:w="1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68</w:t>
            </w:r>
          </w:p>
        </w:tc>
        <w:tc>
          <w:tcPr>
            <w:tcW w:w="0" w:type="dxa"/>
            <w:vAlign w:val="bottom"/>
          </w:tcPr>
          <w:p>
            <w:pPr>
              <w:spacing w:after="0"/>
              <w:rPr>
                <w:sz w:val="1"/>
                <w:szCs w:val="1"/>
                <w:color w:val="auto"/>
              </w:rPr>
            </w:pPr>
          </w:p>
        </w:tc>
      </w:tr>
      <w:tr>
        <w:trPr>
          <w:trHeight w:val="20"/>
        </w:trPr>
        <w:tc>
          <w:tcPr>
            <w:tcW w:w="8700" w:type="dxa"/>
            <w:vAlign w:val="bottom"/>
            <w:gridSpan w:val="25"/>
            <w:vMerge w:val="restart"/>
          </w:tcPr>
          <w:p>
            <w:pPr>
              <w:spacing w:after="0"/>
              <w:rPr>
                <w:sz w:val="20"/>
                <w:szCs w:val="20"/>
                <w:color w:val="auto"/>
              </w:rPr>
            </w:pPr>
            <w:r>
              <w:rPr>
                <w:rFonts w:ascii="Times New Roman" w:cs="Times New Roman" w:eastAsia="Times New Roman" w:hAnsi="Times New Roman"/>
                <w:sz w:val="22"/>
                <w:szCs w:val="22"/>
                <w:color w:val="0000FF"/>
              </w:rPr>
              <w:t xml:space="preserve">ARTICLE V </w:t>
            </w:r>
            <w:r>
              <w:rPr>
                <w:rFonts w:ascii="Times New Roman" w:cs="Times New Roman" w:eastAsia="Times New Roman" w:hAnsi="Times New Roman"/>
                <w:sz w:val="22"/>
                <w:szCs w:val="22"/>
                <w:b w:val="1"/>
                <w:bCs w:val="1"/>
                <w:color w:val="0000FF"/>
              </w:rPr>
              <w:t>AFFIRMATIVE COVENANTS</w:t>
            </w: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700" w:type="dxa"/>
            <w:vAlign w:val="bottom"/>
            <w:gridSpan w:val="25"/>
            <w:vMerge w:val="continue"/>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69</w:t>
            </w:r>
          </w:p>
        </w:tc>
        <w:tc>
          <w:tcPr>
            <w:tcW w:w="0" w:type="dxa"/>
            <w:vAlign w:val="bottom"/>
          </w:tcPr>
          <w:p>
            <w:pPr>
              <w:spacing w:after="0"/>
              <w:rPr>
                <w:sz w:val="1"/>
                <w:szCs w:val="1"/>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8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2"/>
                <w:szCs w:val="22"/>
                <w:color w:val="0000FF"/>
                <w:w w:val="99"/>
              </w:rPr>
              <w:t>SECTION 5.01.  Financial Statements; Ratings Change and Other Information</w:t>
            </w:r>
          </w:p>
        </w:tc>
        <w:tc>
          <w:tcPr>
            <w:tcW w:w="18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69</w:t>
            </w:r>
          </w:p>
        </w:tc>
        <w:tc>
          <w:tcPr>
            <w:tcW w:w="0" w:type="dxa"/>
            <w:vAlign w:val="bottom"/>
          </w:tcPr>
          <w:p>
            <w:pPr>
              <w:spacing w:after="0"/>
              <w:rPr>
                <w:sz w:val="1"/>
                <w:szCs w:val="1"/>
                <w:color w:val="auto"/>
              </w:rPr>
            </w:pPr>
          </w:p>
        </w:tc>
      </w:tr>
      <w:tr>
        <w:trPr>
          <w:trHeight w:val="20"/>
        </w:trPr>
        <w:tc>
          <w:tcPr>
            <w:tcW w:w="3920" w:type="dxa"/>
            <w:vAlign w:val="bottom"/>
            <w:gridSpan w:val="19"/>
            <w:vMerge w:val="restart"/>
          </w:tcPr>
          <w:p>
            <w:pPr>
              <w:spacing w:after="0"/>
              <w:rPr>
                <w:sz w:val="20"/>
                <w:szCs w:val="20"/>
                <w:color w:val="auto"/>
              </w:rPr>
            </w:pPr>
            <w:r>
              <w:rPr>
                <w:rFonts w:ascii="Times New Roman" w:cs="Times New Roman" w:eastAsia="Times New Roman" w:hAnsi="Times New Roman"/>
                <w:sz w:val="22"/>
                <w:szCs w:val="22"/>
                <w:color w:val="0000FF"/>
              </w:rPr>
              <w:t>SECTION 5.02.  Notices of Material Events</w:t>
            </w: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920" w:type="dxa"/>
            <w:vAlign w:val="bottom"/>
            <w:tcBorders>
              <w:bottom w:val="single" w:sz="8" w:color="0000FF"/>
            </w:tcBorders>
            <w:gridSpan w:val="19"/>
            <w:vMerge w:val="continue"/>
          </w:tcPr>
          <w:p>
            <w:pPr>
              <w:spacing w:after="0"/>
              <w:rPr>
                <w:sz w:val="24"/>
                <w:szCs w:val="24"/>
                <w:color w:val="auto"/>
              </w:rPr>
            </w:pPr>
          </w:p>
        </w:tc>
        <w:tc>
          <w:tcPr>
            <w:tcW w:w="4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72</w:t>
            </w:r>
          </w:p>
        </w:tc>
        <w:tc>
          <w:tcPr>
            <w:tcW w:w="0" w:type="dxa"/>
            <w:vAlign w:val="bottom"/>
          </w:tcPr>
          <w:p>
            <w:pPr>
              <w:spacing w:after="0"/>
              <w:rPr>
                <w:sz w:val="1"/>
                <w:szCs w:val="1"/>
                <w:color w:val="auto"/>
              </w:rPr>
            </w:pPr>
          </w:p>
        </w:tc>
      </w:tr>
      <w:tr>
        <w:trPr>
          <w:trHeight w:val="20"/>
        </w:trPr>
        <w:tc>
          <w:tcPr>
            <w:tcW w:w="4340" w:type="dxa"/>
            <w:vAlign w:val="bottom"/>
            <w:gridSpan w:val="21"/>
            <w:vMerge w:val="restart"/>
          </w:tcPr>
          <w:p>
            <w:pPr>
              <w:spacing w:after="0"/>
              <w:rPr>
                <w:sz w:val="20"/>
                <w:szCs w:val="20"/>
                <w:color w:val="auto"/>
              </w:rPr>
            </w:pPr>
            <w:r>
              <w:rPr>
                <w:rFonts w:ascii="Times New Roman" w:cs="Times New Roman" w:eastAsia="Times New Roman" w:hAnsi="Times New Roman"/>
                <w:sz w:val="22"/>
                <w:szCs w:val="22"/>
                <w:color w:val="0000FF"/>
                <w:w w:val="99"/>
              </w:rPr>
              <w:t>SECTION 5.03.  Existence; Conduct of Business</w:t>
            </w: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340" w:type="dxa"/>
            <w:vAlign w:val="bottom"/>
            <w:tcBorders>
              <w:bottom w:val="single" w:sz="8" w:color="0000FF"/>
            </w:tcBorders>
            <w:gridSpan w:val="21"/>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73</w:t>
            </w:r>
          </w:p>
        </w:tc>
        <w:tc>
          <w:tcPr>
            <w:tcW w:w="0" w:type="dxa"/>
            <w:vAlign w:val="bottom"/>
          </w:tcPr>
          <w:p>
            <w:pPr>
              <w:spacing w:after="0"/>
              <w:rPr>
                <w:sz w:val="1"/>
                <w:szCs w:val="1"/>
                <w:color w:val="auto"/>
              </w:rPr>
            </w:pPr>
          </w:p>
        </w:tc>
      </w:tr>
      <w:tr>
        <w:trPr>
          <w:trHeight w:val="20"/>
        </w:trPr>
        <w:tc>
          <w:tcPr>
            <w:tcW w:w="3640" w:type="dxa"/>
            <w:vAlign w:val="bottom"/>
            <w:gridSpan w:val="17"/>
            <w:vMerge w:val="restart"/>
          </w:tcPr>
          <w:p>
            <w:pPr>
              <w:spacing w:after="0"/>
              <w:rPr>
                <w:sz w:val="20"/>
                <w:szCs w:val="20"/>
                <w:color w:val="auto"/>
              </w:rPr>
            </w:pPr>
            <w:r>
              <w:rPr>
                <w:rFonts w:ascii="Times New Roman" w:cs="Times New Roman" w:eastAsia="Times New Roman" w:hAnsi="Times New Roman"/>
                <w:sz w:val="22"/>
                <w:szCs w:val="22"/>
                <w:color w:val="0000FF"/>
                <w:w w:val="99"/>
              </w:rPr>
              <w:t>SECTION 5.04.  Payment of Obligations</w:t>
            </w:r>
          </w:p>
        </w:tc>
        <w:tc>
          <w:tcPr>
            <w:tcW w:w="1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640" w:type="dxa"/>
            <w:vAlign w:val="bottom"/>
            <w:tcBorders>
              <w:bottom w:val="single" w:sz="8" w:color="0000FF"/>
            </w:tcBorders>
            <w:gridSpan w:val="17"/>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73</w:t>
            </w:r>
          </w:p>
        </w:tc>
        <w:tc>
          <w:tcPr>
            <w:tcW w:w="0" w:type="dxa"/>
            <w:vAlign w:val="bottom"/>
          </w:tcPr>
          <w:p>
            <w:pPr>
              <w:spacing w:after="0"/>
              <w:rPr>
                <w:sz w:val="1"/>
                <w:szCs w:val="1"/>
                <w:color w:val="auto"/>
              </w:rPr>
            </w:pPr>
          </w:p>
        </w:tc>
      </w:tr>
      <w:tr>
        <w:trPr>
          <w:trHeight w:val="20"/>
        </w:trPr>
        <w:tc>
          <w:tcPr>
            <w:tcW w:w="4820" w:type="dxa"/>
            <w:vAlign w:val="bottom"/>
            <w:gridSpan w:val="22"/>
            <w:vMerge w:val="restart"/>
          </w:tcPr>
          <w:p>
            <w:pPr>
              <w:spacing w:after="0"/>
              <w:rPr>
                <w:sz w:val="20"/>
                <w:szCs w:val="20"/>
                <w:color w:val="auto"/>
              </w:rPr>
            </w:pPr>
            <w:r>
              <w:rPr>
                <w:rFonts w:ascii="Times New Roman" w:cs="Times New Roman" w:eastAsia="Times New Roman" w:hAnsi="Times New Roman"/>
                <w:sz w:val="22"/>
                <w:szCs w:val="22"/>
                <w:color w:val="0000FF"/>
                <w:w w:val="99"/>
              </w:rPr>
              <w:t>SECTION 5.05.  Maintenance of Properties; Insurance</w:t>
            </w:r>
          </w:p>
        </w:tc>
        <w:tc>
          <w:tcPr>
            <w:tcW w:w="8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820" w:type="dxa"/>
            <w:vAlign w:val="bottom"/>
            <w:tcBorders>
              <w:bottom w:val="single" w:sz="8" w:color="0000FF"/>
            </w:tcBorders>
            <w:gridSpan w:val="22"/>
            <w:vMerge w:val="continue"/>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74</w:t>
            </w:r>
          </w:p>
        </w:tc>
        <w:tc>
          <w:tcPr>
            <w:tcW w:w="0" w:type="dxa"/>
            <w:vAlign w:val="bottom"/>
          </w:tcPr>
          <w:p>
            <w:pPr>
              <w:spacing w:after="0"/>
              <w:rPr>
                <w:sz w:val="1"/>
                <w:szCs w:val="1"/>
                <w:color w:val="auto"/>
              </w:rPr>
            </w:pPr>
          </w:p>
        </w:tc>
      </w:tr>
      <w:tr>
        <w:trPr>
          <w:trHeight w:val="20"/>
        </w:trPr>
        <w:tc>
          <w:tcPr>
            <w:tcW w:w="4900" w:type="dxa"/>
            <w:vAlign w:val="bottom"/>
            <w:gridSpan w:val="23"/>
            <w:vMerge w:val="restart"/>
          </w:tcPr>
          <w:p>
            <w:pPr>
              <w:spacing w:after="0"/>
              <w:rPr>
                <w:sz w:val="20"/>
                <w:szCs w:val="20"/>
                <w:color w:val="auto"/>
              </w:rPr>
            </w:pPr>
            <w:r>
              <w:rPr>
                <w:rFonts w:ascii="Times New Roman" w:cs="Times New Roman" w:eastAsia="Times New Roman" w:hAnsi="Times New Roman"/>
                <w:sz w:val="22"/>
                <w:szCs w:val="22"/>
                <w:color w:val="0000FF"/>
                <w:w w:val="99"/>
              </w:rPr>
              <w:t>SECTION 5.06.  Books and Records; Inspection Rights</w:t>
            </w: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900" w:type="dxa"/>
            <w:vAlign w:val="bottom"/>
            <w:tcBorders>
              <w:bottom w:val="single" w:sz="8" w:color="0000FF"/>
            </w:tcBorders>
            <w:gridSpan w:val="23"/>
            <w:vMerge w:val="continue"/>
          </w:tcPr>
          <w:p>
            <w:pPr>
              <w:spacing w:after="0"/>
              <w:rPr>
                <w:sz w:val="24"/>
                <w:szCs w:val="24"/>
                <w:color w:val="auto"/>
              </w:rPr>
            </w:pPr>
          </w:p>
        </w:tc>
        <w:tc>
          <w:tcPr>
            <w:tcW w:w="3800" w:type="dxa"/>
            <w:vAlign w:val="bottom"/>
            <w:gridSpan w:val="2"/>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74</w:t>
            </w:r>
          </w:p>
        </w:tc>
        <w:tc>
          <w:tcPr>
            <w:tcW w:w="0" w:type="dxa"/>
            <w:vAlign w:val="bottom"/>
          </w:tcPr>
          <w:p>
            <w:pPr>
              <w:spacing w:after="0"/>
              <w:rPr>
                <w:sz w:val="1"/>
                <w:szCs w:val="1"/>
                <w:color w:val="auto"/>
              </w:rPr>
            </w:pPr>
          </w:p>
        </w:tc>
      </w:tr>
      <w:tr>
        <w:trPr>
          <w:trHeight w:val="20"/>
        </w:trPr>
        <w:tc>
          <w:tcPr>
            <w:tcW w:w="3600" w:type="dxa"/>
            <w:vAlign w:val="bottom"/>
            <w:gridSpan w:val="15"/>
            <w:vMerge w:val="restart"/>
          </w:tcPr>
          <w:p>
            <w:pPr>
              <w:spacing w:after="0"/>
              <w:rPr>
                <w:sz w:val="20"/>
                <w:szCs w:val="20"/>
                <w:color w:val="auto"/>
              </w:rPr>
            </w:pPr>
            <w:r>
              <w:rPr>
                <w:rFonts w:ascii="Times New Roman" w:cs="Times New Roman" w:eastAsia="Times New Roman" w:hAnsi="Times New Roman"/>
                <w:sz w:val="22"/>
                <w:szCs w:val="22"/>
                <w:color w:val="0000FF"/>
              </w:rPr>
              <w:t>SECTION 5.07.  Compliance with Laws</w:t>
            </w: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600" w:type="dxa"/>
            <w:vAlign w:val="bottom"/>
            <w:tcBorders>
              <w:bottom w:val="single" w:sz="8" w:color="0000FF"/>
            </w:tcBorders>
            <w:gridSpan w:val="15"/>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920" w:type="dxa"/>
            <w:vAlign w:val="bottom"/>
            <w:gridSpan w:val="7"/>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74</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5.08.</w:t>
            </w:r>
          </w:p>
        </w:tc>
        <w:tc>
          <w:tcPr>
            <w:tcW w:w="1500" w:type="dxa"/>
            <w:vAlign w:val="bottom"/>
            <w:gridSpan w:val="9"/>
            <w:vMerge w:val="restart"/>
          </w:tcPr>
          <w:p>
            <w:pPr>
              <w:ind w:left="80"/>
              <w:spacing w:after="0"/>
              <w:rPr>
                <w:sz w:val="20"/>
                <w:szCs w:val="20"/>
                <w:color w:val="auto"/>
              </w:rPr>
            </w:pPr>
            <w:r>
              <w:rPr>
                <w:rFonts w:ascii="Times New Roman" w:cs="Times New Roman" w:eastAsia="Times New Roman" w:hAnsi="Times New Roman"/>
                <w:sz w:val="22"/>
                <w:szCs w:val="22"/>
                <w:color w:val="0000FF"/>
                <w:w w:val="97"/>
              </w:rPr>
              <w:t>Use of Proceeds</w:t>
            </w: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1500" w:type="dxa"/>
            <w:vAlign w:val="bottom"/>
            <w:tcBorders>
              <w:bottom w:val="single" w:sz="8" w:color="0000FF"/>
            </w:tcBorders>
            <w:gridSpan w:val="9"/>
            <w:vMerge w:val="continue"/>
          </w:tcPr>
          <w:p>
            <w:pPr>
              <w:spacing w:after="0"/>
              <w:rPr>
                <w:sz w:val="24"/>
                <w:szCs w:val="24"/>
                <w:color w:val="auto"/>
              </w:rPr>
            </w:pPr>
          </w:p>
        </w:tc>
        <w:tc>
          <w:tcPr>
            <w:tcW w:w="3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4920" w:type="dxa"/>
            <w:vAlign w:val="bottom"/>
            <w:gridSpan w:val="7"/>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74</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5.09.</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0000FF"/>
                <w:w w:val="96"/>
              </w:rPr>
              <w:t>Guarantors</w:t>
            </w: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1040" w:type="dxa"/>
            <w:vAlign w:val="bottom"/>
            <w:tcBorders>
              <w:bottom w:val="single" w:sz="8" w:color="0000FF"/>
            </w:tcBorders>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4920" w:type="dxa"/>
            <w:vAlign w:val="bottom"/>
            <w:gridSpan w:val="7"/>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75</w:t>
            </w:r>
          </w:p>
        </w:tc>
        <w:tc>
          <w:tcPr>
            <w:tcW w:w="0" w:type="dxa"/>
            <w:vAlign w:val="bottom"/>
          </w:tcPr>
          <w:p>
            <w:pPr>
              <w:spacing w:after="0"/>
              <w:rPr>
                <w:sz w:val="1"/>
                <w:szCs w:val="1"/>
                <w:color w:val="auto"/>
              </w:rPr>
            </w:pPr>
          </w:p>
        </w:tc>
      </w:tr>
      <w:tr>
        <w:trPr>
          <w:trHeight w:val="20"/>
        </w:trPr>
        <w:tc>
          <w:tcPr>
            <w:tcW w:w="3780" w:type="dxa"/>
            <w:vAlign w:val="bottom"/>
            <w:gridSpan w:val="18"/>
            <w:vMerge w:val="restart"/>
          </w:tcPr>
          <w:p>
            <w:pPr>
              <w:spacing w:after="0"/>
              <w:rPr>
                <w:sz w:val="20"/>
                <w:szCs w:val="20"/>
                <w:color w:val="auto"/>
              </w:rPr>
            </w:pPr>
            <w:r>
              <w:rPr>
                <w:rFonts w:ascii="Times New Roman" w:cs="Times New Roman" w:eastAsia="Times New Roman" w:hAnsi="Times New Roman"/>
                <w:sz w:val="22"/>
                <w:szCs w:val="22"/>
                <w:color w:val="0000FF"/>
                <w:w w:val="96"/>
              </w:rPr>
              <w:t xml:space="preserve">ARTICLE VI </w:t>
            </w:r>
            <w:r>
              <w:rPr>
                <w:rFonts w:ascii="Times New Roman" w:cs="Times New Roman" w:eastAsia="Times New Roman" w:hAnsi="Times New Roman"/>
                <w:sz w:val="22"/>
                <w:szCs w:val="22"/>
                <w:b w:val="1"/>
                <w:bCs w:val="1"/>
                <w:color w:val="0000FF"/>
                <w:w w:val="96"/>
              </w:rPr>
              <w:t>NEGATIVE COVENANTS</w:t>
            </w:r>
          </w:p>
        </w:tc>
        <w:tc>
          <w:tcPr>
            <w:tcW w:w="4920" w:type="dxa"/>
            <w:vAlign w:val="bottom"/>
            <w:gridSpan w:val="7"/>
            <w:vMerge w:val="restart"/>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780" w:type="dxa"/>
            <w:vAlign w:val="bottom"/>
            <w:tcBorders>
              <w:bottom w:val="single" w:sz="8" w:color="0000FF"/>
            </w:tcBorders>
            <w:gridSpan w:val="18"/>
            <w:vMerge w:val="continue"/>
          </w:tcPr>
          <w:p>
            <w:pPr>
              <w:spacing w:after="0"/>
              <w:rPr>
                <w:sz w:val="24"/>
                <w:szCs w:val="24"/>
                <w:color w:val="auto"/>
              </w:rPr>
            </w:pPr>
          </w:p>
        </w:tc>
        <w:tc>
          <w:tcPr>
            <w:tcW w:w="4920" w:type="dxa"/>
            <w:vAlign w:val="bottom"/>
            <w:gridSpan w:val="7"/>
            <w:vMerge w:val="continue"/>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75</w:t>
            </w:r>
          </w:p>
        </w:tc>
        <w:tc>
          <w:tcPr>
            <w:tcW w:w="0" w:type="dxa"/>
            <w:vAlign w:val="bottom"/>
          </w:tcPr>
          <w:p>
            <w:pPr>
              <w:spacing w:after="0"/>
              <w:rPr>
                <w:sz w:val="1"/>
                <w:szCs w:val="1"/>
                <w:color w:val="auto"/>
              </w:rPr>
            </w:pPr>
          </w:p>
        </w:tc>
      </w:tr>
      <w:tr>
        <w:trPr>
          <w:trHeight w:val="507"/>
        </w:trPr>
        <w:tc>
          <w:tcPr>
            <w:tcW w:w="1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6.01.</w:t>
            </w:r>
          </w:p>
        </w:tc>
        <w:tc>
          <w:tcPr>
            <w:tcW w:w="1220" w:type="dxa"/>
            <w:vAlign w:val="bottom"/>
            <w:tcBorders>
              <w:bottom w:val="single" w:sz="8" w:color="0000FF"/>
            </w:tcBorders>
            <w:gridSpan w:val="7"/>
          </w:tcPr>
          <w:p>
            <w:pPr>
              <w:ind w:left="80"/>
              <w:spacing w:after="0"/>
              <w:rPr>
                <w:sz w:val="20"/>
                <w:szCs w:val="20"/>
                <w:color w:val="auto"/>
              </w:rPr>
            </w:pPr>
            <w:r>
              <w:rPr>
                <w:rFonts w:ascii="Times New Roman" w:cs="Times New Roman" w:eastAsia="Times New Roman" w:hAnsi="Times New Roman"/>
                <w:sz w:val="22"/>
                <w:szCs w:val="22"/>
                <w:color w:val="0000FF"/>
                <w:w w:val="97"/>
              </w:rPr>
              <w:t>Indebtedness</w:t>
            </w:r>
          </w:p>
        </w:tc>
        <w:tc>
          <w:tcPr>
            <w:tcW w:w="6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080" w:type="dxa"/>
            <w:vAlign w:val="bottom"/>
            <w:gridSpan w:val="9"/>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75</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6.02.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0000FF"/>
                <w:w w:val="93"/>
              </w:rPr>
              <w:t>Liens</w:t>
            </w:r>
          </w:p>
        </w:tc>
        <w:tc>
          <w:tcPr>
            <w:tcW w:w="5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560" w:type="dxa"/>
            <w:vAlign w:val="bottom"/>
            <w:tcBorders>
              <w:bottom w:val="single" w:sz="8" w:color="0000FF"/>
            </w:tcBorders>
            <w:vMerge w:val="continue"/>
          </w:tcPr>
          <w:p>
            <w:pPr>
              <w:spacing w:after="0"/>
              <w:rPr>
                <w:sz w:val="24"/>
                <w:szCs w:val="24"/>
                <w:color w:val="auto"/>
              </w:rPr>
            </w:pPr>
          </w:p>
        </w:tc>
        <w:tc>
          <w:tcPr>
            <w:tcW w:w="56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70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080" w:type="dxa"/>
            <w:vAlign w:val="bottom"/>
            <w:gridSpan w:val="9"/>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77</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6.03.</w:t>
            </w:r>
          </w:p>
        </w:tc>
        <w:tc>
          <w:tcPr>
            <w:tcW w:w="2020" w:type="dxa"/>
            <w:vAlign w:val="bottom"/>
            <w:gridSpan w:val="13"/>
            <w:vMerge w:val="restart"/>
          </w:tcPr>
          <w:p>
            <w:pPr>
              <w:ind w:left="80"/>
              <w:spacing w:after="0"/>
              <w:rPr>
                <w:sz w:val="20"/>
                <w:szCs w:val="20"/>
                <w:color w:val="auto"/>
              </w:rPr>
            </w:pPr>
            <w:r>
              <w:rPr>
                <w:rFonts w:ascii="Times New Roman" w:cs="Times New Roman" w:eastAsia="Times New Roman" w:hAnsi="Times New Roman"/>
                <w:sz w:val="22"/>
                <w:szCs w:val="22"/>
                <w:color w:val="0000FF"/>
                <w:w w:val="97"/>
              </w:rPr>
              <w:t>Fundamental Changes</w:t>
            </w:r>
          </w:p>
        </w:tc>
        <w:tc>
          <w:tcPr>
            <w:tcW w:w="100" w:type="dxa"/>
            <w:vAlign w:val="bottom"/>
            <w:gridSpan w:val="2"/>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500" w:type="dxa"/>
            <w:vAlign w:val="bottom"/>
            <w:tcBorders>
              <w:bottom w:val="single" w:sz="8" w:color="0000FF"/>
            </w:tcBorders>
            <w:vMerge w:val="continue"/>
          </w:tcPr>
          <w:p>
            <w:pPr>
              <w:spacing w:after="0"/>
              <w:rPr>
                <w:sz w:val="24"/>
                <w:szCs w:val="24"/>
                <w:color w:val="auto"/>
              </w:rPr>
            </w:pPr>
          </w:p>
        </w:tc>
        <w:tc>
          <w:tcPr>
            <w:tcW w:w="2020" w:type="dxa"/>
            <w:vAlign w:val="bottom"/>
            <w:tcBorders>
              <w:bottom w:val="single" w:sz="8" w:color="0000FF"/>
            </w:tcBorders>
            <w:gridSpan w:val="13"/>
            <w:vMerge w:val="continue"/>
          </w:tcPr>
          <w:p>
            <w:pPr>
              <w:spacing w:after="0"/>
              <w:rPr>
                <w:sz w:val="24"/>
                <w:szCs w:val="24"/>
                <w:color w:val="auto"/>
              </w:rPr>
            </w:pPr>
          </w:p>
        </w:tc>
        <w:tc>
          <w:tcPr>
            <w:tcW w:w="100" w:type="dxa"/>
            <w:vAlign w:val="bottom"/>
            <w:gridSpan w:val="2"/>
          </w:tcPr>
          <w:p>
            <w:pPr>
              <w:spacing w:after="0"/>
              <w:rPr>
                <w:sz w:val="24"/>
                <w:szCs w:val="24"/>
                <w:color w:val="auto"/>
              </w:rPr>
            </w:pPr>
          </w:p>
        </w:tc>
        <w:tc>
          <w:tcPr>
            <w:tcW w:w="5080" w:type="dxa"/>
            <w:vAlign w:val="bottom"/>
            <w:gridSpan w:val="9"/>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79</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6.04.</w:t>
            </w: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22"/>
                <w:szCs w:val="22"/>
                <w:color w:val="0000FF"/>
                <w:w w:val="96"/>
              </w:rPr>
              <w:t>Investment.</w:t>
            </w:r>
          </w:p>
        </w:tc>
        <w:tc>
          <w:tcPr>
            <w:tcW w:w="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1120" w:type="dxa"/>
            <w:vAlign w:val="bottom"/>
            <w:tcBorders>
              <w:bottom w:val="single" w:sz="8" w:color="0000FF"/>
            </w:tcBorders>
            <w:gridSpan w:val="4"/>
            <w:vMerge w:val="continue"/>
          </w:tcPr>
          <w:p>
            <w:pPr>
              <w:spacing w:after="0"/>
              <w:rPr>
                <w:sz w:val="24"/>
                <w:szCs w:val="24"/>
                <w:color w:val="auto"/>
              </w:rPr>
            </w:pPr>
          </w:p>
        </w:tc>
        <w:tc>
          <w:tcPr>
            <w:tcW w:w="40" w:type="dxa"/>
            <w:vAlign w:val="bottom"/>
            <w:gridSpan w:val="2"/>
          </w:tcPr>
          <w:p>
            <w:pPr>
              <w:spacing w:after="0"/>
              <w:rPr>
                <w:sz w:val="24"/>
                <w:szCs w:val="24"/>
                <w:color w:val="auto"/>
              </w:rPr>
            </w:pPr>
          </w:p>
        </w:tc>
        <w:tc>
          <w:tcPr>
            <w:tcW w:w="700" w:type="dxa"/>
            <w:vAlign w:val="bottom"/>
            <w:gridSpan w:val="6"/>
          </w:tcPr>
          <w:p>
            <w:pPr>
              <w:spacing w:after="0"/>
              <w:rPr>
                <w:sz w:val="24"/>
                <w:szCs w:val="24"/>
                <w:color w:val="auto"/>
              </w:rPr>
            </w:pPr>
          </w:p>
        </w:tc>
        <w:tc>
          <w:tcPr>
            <w:tcW w:w="260" w:type="dxa"/>
            <w:vAlign w:val="bottom"/>
            <w:gridSpan w:val="3"/>
          </w:tcPr>
          <w:p>
            <w:pPr>
              <w:spacing w:after="0"/>
              <w:rPr>
                <w:sz w:val="24"/>
                <w:szCs w:val="24"/>
                <w:color w:val="auto"/>
              </w:rPr>
            </w:pPr>
          </w:p>
        </w:tc>
        <w:tc>
          <w:tcPr>
            <w:tcW w:w="5080" w:type="dxa"/>
            <w:vAlign w:val="bottom"/>
            <w:gridSpan w:val="9"/>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80</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6.05.</w:t>
            </w:r>
          </w:p>
        </w:tc>
        <w:tc>
          <w:tcPr>
            <w:tcW w:w="2120" w:type="dxa"/>
            <w:vAlign w:val="bottom"/>
            <w:gridSpan w:val="15"/>
            <w:vMerge w:val="restart"/>
          </w:tcPr>
          <w:p>
            <w:pPr>
              <w:ind w:left="80"/>
              <w:spacing w:after="0"/>
              <w:rPr>
                <w:sz w:val="20"/>
                <w:szCs w:val="20"/>
                <w:color w:val="auto"/>
              </w:rPr>
            </w:pPr>
            <w:r>
              <w:rPr>
                <w:rFonts w:ascii="Times New Roman" w:cs="Times New Roman" w:eastAsia="Times New Roman" w:hAnsi="Times New Roman"/>
                <w:sz w:val="22"/>
                <w:szCs w:val="22"/>
                <w:color w:val="0000FF"/>
                <w:w w:val="97"/>
              </w:rPr>
              <w:t>Restrictive Agreements</w:t>
            </w:r>
          </w:p>
        </w:tc>
        <w:tc>
          <w:tcPr>
            <w:tcW w:w="5080" w:type="dxa"/>
            <w:vAlign w:val="bottom"/>
            <w:gridSpan w:val="9"/>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2120" w:type="dxa"/>
            <w:vAlign w:val="bottom"/>
            <w:tcBorders>
              <w:bottom w:val="single" w:sz="8" w:color="0000FF"/>
            </w:tcBorders>
            <w:gridSpan w:val="15"/>
            <w:vMerge w:val="continue"/>
          </w:tcPr>
          <w:p>
            <w:pPr>
              <w:spacing w:after="0"/>
              <w:rPr>
                <w:sz w:val="24"/>
                <w:szCs w:val="24"/>
                <w:color w:val="auto"/>
              </w:rPr>
            </w:pPr>
          </w:p>
        </w:tc>
        <w:tc>
          <w:tcPr>
            <w:tcW w:w="5080" w:type="dxa"/>
            <w:vAlign w:val="bottom"/>
            <w:gridSpan w:val="9"/>
            <w:vMerge w:val="restart"/>
          </w:tcPr>
          <w:p>
            <w:pPr>
              <w:spacing w:after="0"/>
              <w:rPr>
                <w:sz w:val="24"/>
                <w:szCs w:val="24"/>
                <w:color w:val="auto"/>
              </w:rPr>
            </w:pPr>
          </w:p>
        </w:tc>
        <w:tc>
          <w:tcPr>
            <w:tcW w:w="1820" w:type="dxa"/>
            <w:vAlign w:val="bottom"/>
            <w:vMerge w:val="restart"/>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80</w:t>
            </w:r>
          </w:p>
        </w:tc>
        <w:tc>
          <w:tcPr>
            <w:tcW w:w="0" w:type="dxa"/>
            <w:vAlign w:val="bottom"/>
          </w:tcPr>
          <w:p>
            <w:pPr>
              <w:spacing w:after="0"/>
              <w:rPr>
                <w:sz w:val="1"/>
                <w:szCs w:val="1"/>
                <w:color w:val="auto"/>
              </w:rPr>
            </w:pPr>
          </w:p>
        </w:tc>
      </w:tr>
      <w:tr>
        <w:trPr>
          <w:trHeight w:val="25"/>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6.06.</w:t>
            </w:r>
          </w:p>
        </w:tc>
        <w:tc>
          <w:tcPr>
            <w:tcW w:w="1160" w:type="dxa"/>
            <w:vAlign w:val="bottom"/>
            <w:gridSpan w:val="6"/>
            <w:vMerge w:val="restart"/>
          </w:tcPr>
          <w:p>
            <w:pPr>
              <w:ind w:left="80"/>
              <w:spacing w:after="0"/>
              <w:rPr>
                <w:sz w:val="20"/>
                <w:szCs w:val="20"/>
                <w:color w:val="auto"/>
              </w:rPr>
            </w:pPr>
            <w:r>
              <w:rPr>
                <w:rFonts w:ascii="Times New Roman" w:cs="Times New Roman" w:eastAsia="Times New Roman" w:hAnsi="Times New Roman"/>
                <w:sz w:val="22"/>
                <w:szCs w:val="22"/>
                <w:color w:val="0000FF"/>
                <w:w w:val="96"/>
              </w:rPr>
              <w:t>Dispositions</w:t>
            </w:r>
          </w:p>
        </w:tc>
        <w:tc>
          <w:tcPr>
            <w:tcW w:w="7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80" w:type="dxa"/>
            <w:vAlign w:val="bottom"/>
            <w:gridSpan w:val="9"/>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22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500" w:type="dxa"/>
            <w:vAlign w:val="bottom"/>
            <w:tcBorders>
              <w:bottom w:val="single" w:sz="8" w:color="0000FF"/>
            </w:tcBorders>
            <w:vMerge w:val="continue"/>
          </w:tcPr>
          <w:p>
            <w:pPr>
              <w:spacing w:after="0"/>
              <w:rPr>
                <w:sz w:val="24"/>
                <w:szCs w:val="24"/>
                <w:color w:val="auto"/>
              </w:rPr>
            </w:pPr>
          </w:p>
        </w:tc>
        <w:tc>
          <w:tcPr>
            <w:tcW w:w="1160" w:type="dxa"/>
            <w:vAlign w:val="bottom"/>
            <w:tcBorders>
              <w:bottom w:val="single" w:sz="8" w:color="0000FF"/>
            </w:tcBorders>
            <w:gridSpan w:val="6"/>
            <w:vMerge w:val="continue"/>
          </w:tcPr>
          <w:p>
            <w:pPr>
              <w:spacing w:after="0"/>
              <w:rPr>
                <w:sz w:val="24"/>
                <w:szCs w:val="24"/>
                <w:color w:val="auto"/>
              </w:rPr>
            </w:pPr>
          </w:p>
        </w:tc>
        <w:tc>
          <w:tcPr>
            <w:tcW w:w="700" w:type="dxa"/>
            <w:vAlign w:val="bottom"/>
            <w:gridSpan w:val="6"/>
          </w:tcPr>
          <w:p>
            <w:pPr>
              <w:spacing w:after="0"/>
              <w:rPr>
                <w:sz w:val="24"/>
                <w:szCs w:val="24"/>
                <w:color w:val="auto"/>
              </w:rPr>
            </w:pPr>
          </w:p>
        </w:tc>
        <w:tc>
          <w:tcPr>
            <w:tcW w:w="5340" w:type="dxa"/>
            <w:vAlign w:val="bottom"/>
            <w:gridSpan w:val="12"/>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81</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6.07.</w:t>
            </w:r>
          </w:p>
        </w:tc>
        <w:tc>
          <w:tcPr>
            <w:tcW w:w="1860" w:type="dxa"/>
            <w:vAlign w:val="bottom"/>
            <w:gridSpan w:val="12"/>
            <w:vMerge w:val="restart"/>
          </w:tcPr>
          <w:p>
            <w:pPr>
              <w:ind w:left="80"/>
              <w:spacing w:after="0"/>
              <w:rPr>
                <w:sz w:val="20"/>
                <w:szCs w:val="20"/>
                <w:color w:val="auto"/>
              </w:rPr>
            </w:pPr>
            <w:r>
              <w:rPr>
                <w:rFonts w:ascii="Times New Roman" w:cs="Times New Roman" w:eastAsia="Times New Roman" w:hAnsi="Times New Roman"/>
                <w:sz w:val="22"/>
                <w:szCs w:val="22"/>
                <w:color w:val="0000FF"/>
                <w:w w:val="97"/>
              </w:rPr>
              <w:t>Restricted Payments</w:t>
            </w:r>
          </w:p>
        </w:tc>
        <w:tc>
          <w:tcPr>
            <w:tcW w:w="5340" w:type="dxa"/>
            <w:vAlign w:val="bottom"/>
            <w:gridSpan w:val="1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500" w:type="dxa"/>
            <w:vAlign w:val="bottom"/>
            <w:tcBorders>
              <w:bottom w:val="single" w:sz="8" w:color="0000FF"/>
            </w:tcBorders>
            <w:vMerge w:val="continue"/>
          </w:tcPr>
          <w:p>
            <w:pPr>
              <w:spacing w:after="0"/>
              <w:rPr>
                <w:sz w:val="24"/>
                <w:szCs w:val="24"/>
                <w:color w:val="auto"/>
              </w:rPr>
            </w:pPr>
          </w:p>
        </w:tc>
        <w:tc>
          <w:tcPr>
            <w:tcW w:w="1860" w:type="dxa"/>
            <w:vAlign w:val="bottom"/>
            <w:tcBorders>
              <w:bottom w:val="single" w:sz="8" w:color="0000FF"/>
            </w:tcBorders>
            <w:gridSpan w:val="12"/>
            <w:vMerge w:val="continue"/>
          </w:tcPr>
          <w:p>
            <w:pPr>
              <w:spacing w:after="0"/>
              <w:rPr>
                <w:sz w:val="24"/>
                <w:szCs w:val="24"/>
                <w:color w:val="auto"/>
              </w:rPr>
            </w:pPr>
          </w:p>
        </w:tc>
        <w:tc>
          <w:tcPr>
            <w:tcW w:w="5340" w:type="dxa"/>
            <w:vAlign w:val="bottom"/>
            <w:gridSpan w:val="12"/>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81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400" w:top="1440" w:right="759"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740"/>
          </w:cols>
          <w:pgMar w:left="400" w:top="1440" w:right="759" w:bottom="624" w:gutter="0" w:footer="0" w:header="0"/>
          <w:type w:val="continuous"/>
        </w:sectPr>
      </w:pPr>
    </w:p>
    <w:bookmarkStart w:id="88" w:name="page89"/>
    <w:bookmarkEnd w:id="8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9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2"/>
                <w:szCs w:val="22"/>
                <w:color w:val="0000FF"/>
                <w:w w:val="99"/>
              </w:rPr>
              <w:t>SECTION 6.08.  Transactions with Affiliates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82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40" w:type="dxa"/>
            <w:vAlign w:val="bottom"/>
            <w:gridSpan w:val="16"/>
            <w:vMerge w:val="restart"/>
          </w:tcPr>
          <w:p>
            <w:pPr>
              <w:spacing w:after="0"/>
              <w:rPr>
                <w:sz w:val="20"/>
                <w:szCs w:val="20"/>
                <w:color w:val="auto"/>
              </w:rPr>
            </w:pPr>
            <w:r>
              <w:rPr>
                <w:rFonts w:ascii="Times New Roman" w:cs="Times New Roman" w:eastAsia="Times New Roman" w:hAnsi="Times New Roman"/>
                <w:sz w:val="22"/>
                <w:szCs w:val="22"/>
                <w:color w:val="0000FF"/>
              </w:rPr>
              <w:t>SECTION 6.09.  Restricted Debt Payments</w:t>
            </w: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840" w:type="dxa"/>
            <w:vAlign w:val="bottom"/>
            <w:tcBorders>
              <w:bottom w:val="single" w:sz="8" w:color="0000FF"/>
            </w:tcBorders>
            <w:gridSpan w:val="16"/>
            <w:vMerge w:val="continue"/>
          </w:tcPr>
          <w:p>
            <w:pPr>
              <w:spacing w:after="0"/>
              <w:rPr>
                <w:sz w:val="24"/>
                <w:szCs w:val="24"/>
                <w:color w:val="auto"/>
              </w:rPr>
            </w:pPr>
          </w:p>
        </w:tc>
        <w:tc>
          <w:tcPr>
            <w:tcW w:w="1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6"/>
              </w:rPr>
              <w:t>SECTION 6.10.</w:t>
            </w:r>
          </w:p>
        </w:tc>
        <w:tc>
          <w:tcPr>
            <w:tcW w:w="1960" w:type="dxa"/>
            <w:vAlign w:val="bottom"/>
            <w:gridSpan w:val="8"/>
            <w:vMerge w:val="restart"/>
          </w:tcPr>
          <w:p>
            <w:pPr>
              <w:ind w:left="180"/>
              <w:spacing w:after="0"/>
              <w:rPr>
                <w:sz w:val="20"/>
                <w:szCs w:val="20"/>
                <w:color w:val="auto"/>
              </w:rPr>
            </w:pPr>
            <w:r>
              <w:rPr>
                <w:rFonts w:ascii="Times New Roman" w:cs="Times New Roman" w:eastAsia="Times New Roman" w:hAnsi="Times New Roman"/>
                <w:sz w:val="22"/>
                <w:szCs w:val="22"/>
                <w:color w:val="0000FF"/>
                <w:w w:val="97"/>
              </w:rPr>
              <w:t>Financial Covenants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00" w:type="dxa"/>
            <w:vAlign w:val="bottom"/>
            <w:tcBorders>
              <w:bottom w:val="single" w:sz="8" w:color="0000FF"/>
            </w:tcBorders>
            <w:vMerge w:val="continue"/>
          </w:tcPr>
          <w:p>
            <w:pPr>
              <w:spacing w:after="0"/>
              <w:rPr>
                <w:sz w:val="24"/>
                <w:szCs w:val="24"/>
                <w:color w:val="auto"/>
              </w:rPr>
            </w:pPr>
          </w:p>
        </w:tc>
        <w:tc>
          <w:tcPr>
            <w:tcW w:w="1960" w:type="dxa"/>
            <w:vAlign w:val="bottom"/>
            <w:tcBorders>
              <w:bottom w:val="single" w:sz="8" w:color="0000FF"/>
            </w:tcBorders>
            <w:gridSpan w:val="8"/>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80" w:type="dxa"/>
            <w:vAlign w:val="bottom"/>
            <w:gridSpan w:val="11"/>
            <w:vMerge w:val="restart"/>
          </w:tcPr>
          <w:p>
            <w:pPr>
              <w:spacing w:after="0"/>
              <w:rPr>
                <w:sz w:val="20"/>
                <w:szCs w:val="20"/>
                <w:color w:val="auto"/>
              </w:rPr>
            </w:pPr>
            <w:r>
              <w:rPr>
                <w:rFonts w:ascii="Times New Roman" w:cs="Times New Roman" w:eastAsia="Times New Roman" w:hAnsi="Times New Roman"/>
                <w:sz w:val="22"/>
                <w:szCs w:val="22"/>
                <w:color w:val="0000FF"/>
                <w:w w:val="96"/>
              </w:rPr>
              <w:t xml:space="preserve">ARTICLE VII </w:t>
            </w:r>
            <w:r>
              <w:rPr>
                <w:rFonts w:ascii="Times New Roman" w:cs="Times New Roman" w:eastAsia="Times New Roman" w:hAnsi="Times New Roman"/>
                <w:sz w:val="22"/>
                <w:szCs w:val="22"/>
                <w:b w:val="1"/>
                <w:bCs w:val="1"/>
                <w:color w:val="0000FF"/>
                <w:w w:val="96"/>
              </w:rPr>
              <w:t>EVENTS OF DEFAULT</w:t>
            </w:r>
          </w:p>
        </w:tc>
        <w:tc>
          <w:tcPr>
            <w:tcW w:w="5160" w:type="dxa"/>
            <w:vAlign w:val="bottom"/>
            <w:gridSpan w:val="16"/>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580" w:type="dxa"/>
            <w:vAlign w:val="bottom"/>
            <w:tcBorders>
              <w:bottom w:val="single" w:sz="8" w:color="0000FF"/>
            </w:tcBorders>
            <w:gridSpan w:val="11"/>
            <w:vMerge w:val="continue"/>
          </w:tcPr>
          <w:p>
            <w:pPr>
              <w:spacing w:after="0"/>
              <w:rPr>
                <w:sz w:val="24"/>
                <w:szCs w:val="24"/>
                <w:color w:val="auto"/>
              </w:rPr>
            </w:pPr>
          </w:p>
        </w:tc>
        <w:tc>
          <w:tcPr>
            <w:tcW w:w="5160" w:type="dxa"/>
            <w:vAlign w:val="bottom"/>
            <w:gridSpan w:val="16"/>
            <w:vMerge w:val="continue"/>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6"/>
              </w:rPr>
              <w:t>SECTION 7.01.</w:t>
            </w:r>
          </w:p>
        </w:tc>
        <w:tc>
          <w:tcPr>
            <w:tcW w:w="1720" w:type="dxa"/>
            <w:vAlign w:val="bottom"/>
            <w:tcBorders>
              <w:bottom w:val="single" w:sz="8" w:color="0000FF"/>
            </w:tcBorders>
            <w:gridSpan w:val="6"/>
          </w:tcPr>
          <w:p>
            <w:pPr>
              <w:ind w:left="180"/>
              <w:spacing w:after="0"/>
              <w:rPr>
                <w:sz w:val="20"/>
                <w:szCs w:val="20"/>
                <w:color w:val="auto"/>
              </w:rPr>
            </w:pPr>
            <w:r>
              <w:rPr>
                <w:rFonts w:ascii="Times New Roman" w:cs="Times New Roman" w:eastAsia="Times New Roman" w:hAnsi="Times New Roman"/>
                <w:sz w:val="22"/>
                <w:szCs w:val="22"/>
                <w:color w:val="0000FF"/>
                <w:w w:val="97"/>
              </w:rPr>
              <w:t>Events of Default</w:t>
            </w:r>
          </w:p>
        </w:tc>
        <w:tc>
          <w:tcPr>
            <w:tcW w:w="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gridSpan w:val="22"/>
            <w:vMerge w:val="restart"/>
          </w:tcPr>
          <w:p>
            <w:pPr>
              <w:spacing w:after="0"/>
              <w:rPr>
                <w:sz w:val="20"/>
                <w:szCs w:val="20"/>
                <w:color w:val="auto"/>
              </w:rPr>
            </w:pPr>
            <w:r>
              <w:rPr>
                <w:rFonts w:ascii="Times New Roman" w:cs="Times New Roman" w:eastAsia="Times New Roman" w:hAnsi="Times New Roman"/>
                <w:sz w:val="22"/>
                <w:szCs w:val="22"/>
                <w:color w:val="0000FF"/>
                <w:w w:val="99"/>
              </w:rPr>
              <w:t>SECTION 7.02.  Remedies Upon an Event of Default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720" w:type="dxa"/>
            <w:vAlign w:val="bottom"/>
            <w:tcBorders>
              <w:bottom w:val="single" w:sz="8" w:color="0000FF"/>
            </w:tcBorders>
            <w:gridSpan w:val="2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gridSpan w:val="14"/>
            <w:vMerge w:val="restart"/>
          </w:tcPr>
          <w:p>
            <w:pPr>
              <w:spacing w:after="0"/>
              <w:rPr>
                <w:sz w:val="20"/>
                <w:szCs w:val="20"/>
                <w:color w:val="auto"/>
              </w:rPr>
            </w:pPr>
            <w:r>
              <w:rPr>
                <w:rFonts w:ascii="Times New Roman" w:cs="Times New Roman" w:eastAsia="Times New Roman" w:hAnsi="Times New Roman"/>
                <w:sz w:val="22"/>
                <w:szCs w:val="22"/>
                <w:color w:val="0000FF"/>
                <w:w w:val="99"/>
              </w:rPr>
              <w:t>SECTION 7.03.  Application of Payments</w:t>
            </w: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740" w:type="dxa"/>
            <w:vAlign w:val="bottom"/>
            <w:tcBorders>
              <w:bottom w:val="single" w:sz="8" w:color="0000FF"/>
            </w:tcBorders>
            <w:gridSpan w:val="14"/>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gridSpan w:val="21"/>
            <w:vMerge w:val="restart"/>
          </w:tcPr>
          <w:p>
            <w:pPr>
              <w:spacing w:after="0"/>
              <w:rPr>
                <w:sz w:val="20"/>
                <w:szCs w:val="20"/>
                <w:color w:val="auto"/>
              </w:rPr>
            </w:pPr>
            <w:r>
              <w:rPr>
                <w:rFonts w:ascii="Times New Roman" w:cs="Times New Roman" w:eastAsia="Times New Roman" w:hAnsi="Times New Roman"/>
                <w:sz w:val="22"/>
                <w:szCs w:val="22"/>
                <w:color w:val="0000FF"/>
                <w:w w:val="97"/>
              </w:rPr>
              <w:t xml:space="preserve">ARTICLE VIII </w:t>
            </w:r>
            <w:r>
              <w:rPr>
                <w:rFonts w:ascii="Times New Roman" w:cs="Times New Roman" w:eastAsia="Times New Roman" w:hAnsi="Times New Roman"/>
                <w:sz w:val="22"/>
                <w:szCs w:val="22"/>
                <w:b w:val="1"/>
                <w:bCs w:val="1"/>
                <w:color w:val="0000FF"/>
                <w:w w:val="97"/>
              </w:rPr>
              <w:t>THE ADMINISTRATIVE AGENT</w:t>
            </w:r>
          </w:p>
        </w:tc>
        <w:tc>
          <w:tcPr>
            <w:tcW w:w="4100" w:type="dxa"/>
            <w:vAlign w:val="bottom"/>
            <w:gridSpan w:val="6"/>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40" w:type="dxa"/>
            <w:vAlign w:val="bottom"/>
            <w:tcBorders>
              <w:bottom w:val="single" w:sz="8" w:color="0000FF"/>
            </w:tcBorders>
            <w:gridSpan w:val="21"/>
            <w:vMerge w:val="continue"/>
          </w:tcPr>
          <w:p>
            <w:pPr>
              <w:spacing w:after="0"/>
              <w:rPr>
                <w:sz w:val="24"/>
                <w:szCs w:val="24"/>
                <w:color w:val="auto"/>
              </w:rPr>
            </w:pPr>
          </w:p>
        </w:tc>
        <w:tc>
          <w:tcPr>
            <w:tcW w:w="4100" w:type="dxa"/>
            <w:vAlign w:val="bottom"/>
            <w:gridSpan w:val="6"/>
            <w:vMerge w:val="continue"/>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2"/>
                <w:szCs w:val="22"/>
                <w:color w:val="0000FF"/>
                <w:w w:val="99"/>
              </w:rPr>
              <w:t>SECTION 8.01.  Authorization and Action</w:t>
            </w:r>
          </w:p>
        </w:tc>
        <w:tc>
          <w:tcPr>
            <w:tcW w:w="2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60" w:type="dxa"/>
            <w:vAlign w:val="bottom"/>
            <w:gridSpan w:val="25"/>
            <w:vMerge w:val="restart"/>
          </w:tcPr>
          <w:p>
            <w:pPr>
              <w:spacing w:after="0"/>
              <w:rPr>
                <w:sz w:val="20"/>
                <w:szCs w:val="20"/>
                <w:color w:val="auto"/>
              </w:rPr>
            </w:pPr>
            <w:r>
              <w:rPr>
                <w:rFonts w:ascii="Times New Roman" w:cs="Times New Roman" w:eastAsia="Times New Roman" w:hAnsi="Times New Roman"/>
                <w:sz w:val="22"/>
                <w:szCs w:val="22"/>
                <w:color w:val="0000FF"/>
                <w:w w:val="98"/>
              </w:rPr>
              <w:t>SECTION 8.02.  Administrative Agent’s Reliance, Limitation of Liability, Etc</w:t>
            </w: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860" w:type="dxa"/>
            <w:vAlign w:val="bottom"/>
            <w:tcBorders>
              <w:bottom w:val="single" w:sz="8" w:color="0000FF"/>
            </w:tcBorders>
            <w:gridSpan w:val="25"/>
            <w:vMerge w:val="continue"/>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0" w:type="dxa"/>
            <w:vAlign w:val="bottom"/>
            <w:gridSpan w:val="18"/>
            <w:vMerge w:val="restart"/>
          </w:tcPr>
          <w:p>
            <w:pPr>
              <w:spacing w:after="0"/>
              <w:rPr>
                <w:sz w:val="20"/>
                <w:szCs w:val="20"/>
                <w:color w:val="auto"/>
              </w:rPr>
            </w:pPr>
            <w:r>
              <w:rPr>
                <w:rFonts w:ascii="Times New Roman" w:cs="Times New Roman" w:eastAsia="Times New Roman" w:hAnsi="Times New Roman"/>
                <w:sz w:val="22"/>
                <w:szCs w:val="22"/>
                <w:color w:val="0000FF"/>
                <w:w w:val="99"/>
              </w:rPr>
              <w:t>SECTION 8.03.  Posting of Communications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000" w:type="dxa"/>
            <w:vAlign w:val="bottom"/>
            <w:tcBorders>
              <w:bottom w:val="single" w:sz="8" w:color="0000FF"/>
            </w:tcBorders>
            <w:gridSpan w:val="18"/>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gridSpan w:val="23"/>
            <w:vMerge w:val="restart"/>
          </w:tcPr>
          <w:p>
            <w:pPr>
              <w:spacing w:after="0"/>
              <w:rPr>
                <w:sz w:val="20"/>
                <w:szCs w:val="20"/>
                <w:color w:val="auto"/>
              </w:rPr>
            </w:pPr>
            <w:r>
              <w:rPr>
                <w:rFonts w:ascii="Times New Roman" w:cs="Times New Roman" w:eastAsia="Times New Roman" w:hAnsi="Times New Roman"/>
                <w:sz w:val="22"/>
                <w:szCs w:val="22"/>
                <w:color w:val="0000FF"/>
                <w:w w:val="99"/>
              </w:rPr>
              <w:t>SECTION 8.04.  The Administrative Agent Individually</w:t>
            </w:r>
          </w:p>
        </w:tc>
        <w:tc>
          <w:tcPr>
            <w:tcW w:w="8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960" w:type="dxa"/>
            <w:vAlign w:val="bottom"/>
            <w:tcBorders>
              <w:bottom w:val="single" w:sz="8" w:color="0000FF"/>
            </w:tcBorders>
            <w:gridSpan w:val="23"/>
            <w:vMerge w:val="continue"/>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gridSpan w:val="20"/>
            <w:vMerge w:val="restart"/>
          </w:tcPr>
          <w:p>
            <w:pPr>
              <w:spacing w:after="0"/>
              <w:rPr>
                <w:sz w:val="20"/>
                <w:szCs w:val="20"/>
                <w:color w:val="auto"/>
              </w:rPr>
            </w:pPr>
            <w:r>
              <w:rPr>
                <w:rFonts w:ascii="Times New Roman" w:cs="Times New Roman" w:eastAsia="Times New Roman" w:hAnsi="Times New Roman"/>
                <w:sz w:val="22"/>
                <w:szCs w:val="22"/>
                <w:color w:val="0000FF"/>
                <w:w w:val="99"/>
              </w:rPr>
              <w:t>SECTION 8.05.  Successor Administrative Agent</w:t>
            </w:r>
          </w:p>
        </w:tc>
        <w:tc>
          <w:tcPr>
            <w:tcW w:w="146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380" w:type="dxa"/>
            <w:vAlign w:val="bottom"/>
            <w:tcBorders>
              <w:bottom w:val="single" w:sz="8" w:color="0000FF"/>
            </w:tcBorders>
            <w:gridSpan w:val="20"/>
            <w:vMerge w:val="continue"/>
          </w:tcPr>
          <w:p>
            <w:pPr>
              <w:spacing w:after="0"/>
              <w:rPr>
                <w:sz w:val="24"/>
                <w:szCs w:val="24"/>
                <w:color w:val="auto"/>
              </w:rPr>
            </w:pPr>
          </w:p>
        </w:tc>
        <w:tc>
          <w:tcPr>
            <w:tcW w:w="1460" w:type="dxa"/>
            <w:vAlign w:val="bottom"/>
            <w:gridSpan w:val="4"/>
          </w:tcPr>
          <w:p>
            <w:pPr>
              <w:spacing w:after="0"/>
              <w:rPr>
                <w:sz w:val="24"/>
                <w:szCs w:val="24"/>
                <w:color w:val="auto"/>
              </w:rPr>
            </w:pPr>
          </w:p>
        </w:tc>
        <w:tc>
          <w:tcPr>
            <w:tcW w:w="11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gridSpan w:val="19"/>
            <w:vMerge w:val="restart"/>
          </w:tcPr>
          <w:p>
            <w:pPr>
              <w:spacing w:after="0"/>
              <w:rPr>
                <w:sz w:val="20"/>
                <w:szCs w:val="20"/>
                <w:color w:val="auto"/>
              </w:rPr>
            </w:pPr>
            <w:r>
              <w:rPr>
                <w:rFonts w:ascii="Times New Roman" w:cs="Times New Roman" w:eastAsia="Times New Roman" w:hAnsi="Times New Roman"/>
                <w:sz w:val="22"/>
                <w:szCs w:val="22"/>
                <w:color w:val="0000FF"/>
                <w:w w:val="99"/>
              </w:rPr>
              <w:t>SECTION 8.06.  Acknowledgements of Lenders</w:t>
            </w:r>
          </w:p>
        </w:tc>
        <w:tc>
          <w:tcPr>
            <w:tcW w:w="1560" w:type="dxa"/>
            <w:vAlign w:val="bottom"/>
            <w:gridSpan w:val="5"/>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280" w:type="dxa"/>
            <w:vAlign w:val="bottom"/>
            <w:tcBorders>
              <w:bottom w:val="single" w:sz="8" w:color="0000FF"/>
            </w:tcBorders>
            <w:gridSpan w:val="19"/>
            <w:vMerge w:val="continue"/>
          </w:tcPr>
          <w:p>
            <w:pPr>
              <w:spacing w:after="0"/>
              <w:rPr>
                <w:sz w:val="24"/>
                <w:szCs w:val="24"/>
                <w:color w:val="auto"/>
              </w:rPr>
            </w:pPr>
          </w:p>
        </w:tc>
        <w:tc>
          <w:tcPr>
            <w:tcW w:w="1560" w:type="dxa"/>
            <w:vAlign w:val="bottom"/>
            <w:gridSpan w:val="5"/>
          </w:tcPr>
          <w:p>
            <w:pPr>
              <w:spacing w:after="0"/>
              <w:rPr>
                <w:sz w:val="24"/>
                <w:szCs w:val="24"/>
                <w:color w:val="auto"/>
              </w:rPr>
            </w:pPr>
          </w:p>
        </w:tc>
        <w:tc>
          <w:tcPr>
            <w:tcW w:w="11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gridSpan w:val="12"/>
            <w:vMerge w:val="restart"/>
          </w:tcPr>
          <w:p>
            <w:pPr>
              <w:spacing w:after="0"/>
              <w:rPr>
                <w:sz w:val="20"/>
                <w:szCs w:val="20"/>
                <w:color w:val="auto"/>
              </w:rPr>
            </w:pPr>
            <w:r>
              <w:rPr>
                <w:rFonts w:ascii="Times New Roman" w:cs="Times New Roman" w:eastAsia="Times New Roman" w:hAnsi="Times New Roman"/>
                <w:sz w:val="22"/>
                <w:szCs w:val="22"/>
                <w:color w:val="0000FF"/>
              </w:rPr>
              <w:t>SECTION 8.07.  Certain ERISA Matters</w:t>
            </w:r>
          </w:p>
        </w:tc>
        <w:tc>
          <w:tcPr>
            <w:tcW w:w="20" w:type="dxa"/>
            <w:vAlign w:val="bottom"/>
          </w:tcPr>
          <w:p>
            <w:pPr>
              <w:spacing w:after="0" w:line="20" w:lineRule="exact"/>
              <w:rPr>
                <w:sz w:val="1"/>
                <w:szCs w:val="1"/>
                <w:color w:val="auto"/>
              </w:rPr>
            </w:pPr>
          </w:p>
        </w:tc>
        <w:tc>
          <w:tcPr>
            <w:tcW w:w="2200" w:type="dxa"/>
            <w:vAlign w:val="bottom"/>
            <w:gridSpan w:val="11"/>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620" w:type="dxa"/>
            <w:vAlign w:val="bottom"/>
            <w:tcBorders>
              <w:bottom w:val="single" w:sz="8" w:color="0000FF"/>
            </w:tcBorders>
            <w:gridSpan w:val="12"/>
            <w:vMerge w:val="continue"/>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11"/>
          </w:tcPr>
          <w:p>
            <w:pPr>
              <w:spacing w:after="0"/>
              <w:rPr>
                <w:sz w:val="24"/>
                <w:szCs w:val="24"/>
                <w:color w:val="auto"/>
              </w:rPr>
            </w:pPr>
          </w:p>
        </w:tc>
        <w:tc>
          <w:tcPr>
            <w:tcW w:w="11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22"/>
                <w:szCs w:val="22"/>
                <w:color w:val="0000FF"/>
                <w:w w:val="97"/>
              </w:rPr>
              <w:t xml:space="preserve">ARTICLE IX </w:t>
            </w:r>
            <w:r>
              <w:rPr>
                <w:rFonts w:ascii="Times New Roman" w:cs="Times New Roman" w:eastAsia="Times New Roman" w:hAnsi="Times New Roman"/>
                <w:sz w:val="22"/>
                <w:szCs w:val="22"/>
                <w:b w:val="1"/>
                <w:bCs w:val="1"/>
                <w:color w:val="0000FF"/>
                <w:w w:val="97"/>
              </w:rPr>
              <w:t>MISCELLANEOUS</w:t>
            </w:r>
          </w:p>
        </w:tc>
        <w:tc>
          <w:tcPr>
            <w:tcW w:w="5600" w:type="dxa"/>
            <w:vAlign w:val="bottom"/>
            <w:gridSpan w:val="19"/>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140" w:type="dxa"/>
            <w:vAlign w:val="bottom"/>
            <w:tcBorders>
              <w:bottom w:val="single" w:sz="8" w:color="0000FF"/>
            </w:tcBorders>
            <w:gridSpan w:val="8"/>
            <w:vMerge w:val="continue"/>
          </w:tcPr>
          <w:p>
            <w:pPr>
              <w:spacing w:after="0"/>
              <w:rPr>
                <w:sz w:val="24"/>
                <w:szCs w:val="24"/>
                <w:color w:val="auto"/>
              </w:rPr>
            </w:pPr>
          </w:p>
        </w:tc>
        <w:tc>
          <w:tcPr>
            <w:tcW w:w="5600" w:type="dxa"/>
            <w:vAlign w:val="bottom"/>
            <w:gridSpan w:val="19"/>
            <w:vMerge w:val="continue"/>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6"/>
              </w:rPr>
              <w:t>SECTION 9.01.</w:t>
            </w:r>
          </w:p>
        </w:tc>
        <w:tc>
          <w:tcPr>
            <w:tcW w:w="840" w:type="dxa"/>
            <w:vAlign w:val="bottom"/>
            <w:tcBorders>
              <w:bottom w:val="single" w:sz="8" w:color="0000FF"/>
            </w:tcBorders>
            <w:gridSpan w:val="2"/>
          </w:tcPr>
          <w:p>
            <w:pPr>
              <w:ind w:left="180"/>
              <w:spacing w:after="0"/>
              <w:rPr>
                <w:sz w:val="20"/>
                <w:szCs w:val="20"/>
                <w:color w:val="auto"/>
              </w:rPr>
            </w:pPr>
            <w:r>
              <w:rPr>
                <w:rFonts w:ascii="Times New Roman" w:cs="Times New Roman" w:eastAsia="Times New Roman" w:hAnsi="Times New Roman"/>
                <w:sz w:val="22"/>
                <w:szCs w:val="22"/>
                <w:color w:val="0000FF"/>
                <w:w w:val="95"/>
              </w:rPr>
              <w:t>Notices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4"/>
          </w:tcPr>
          <w:p>
            <w:pPr>
              <w:spacing w:after="0"/>
              <w:rPr>
                <w:sz w:val="24"/>
                <w:szCs w:val="24"/>
                <w:color w:val="auto"/>
              </w:rPr>
            </w:pPr>
          </w:p>
        </w:tc>
        <w:tc>
          <w:tcPr>
            <w:tcW w:w="80" w:type="dxa"/>
            <w:vAlign w:val="bottom"/>
            <w:gridSpan w:val="3"/>
          </w:tcPr>
          <w:p>
            <w:pPr>
              <w:spacing w:after="0"/>
              <w:rPr>
                <w:sz w:val="24"/>
                <w:szCs w:val="24"/>
                <w:color w:val="auto"/>
              </w:rPr>
            </w:pPr>
          </w:p>
        </w:tc>
        <w:tc>
          <w:tcPr>
            <w:tcW w:w="2200" w:type="dxa"/>
            <w:vAlign w:val="bottom"/>
            <w:gridSpan w:val="11"/>
          </w:tcPr>
          <w:p>
            <w:pPr>
              <w:spacing w:after="0"/>
              <w:rPr>
                <w:sz w:val="24"/>
                <w:szCs w:val="24"/>
                <w:color w:val="auto"/>
              </w:rPr>
            </w:pPr>
          </w:p>
        </w:tc>
        <w:tc>
          <w:tcPr>
            <w:tcW w:w="11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6"/>
              </w:rPr>
              <w:t>SECTION 9.02.</w:t>
            </w:r>
          </w:p>
        </w:tc>
        <w:tc>
          <w:tcPr>
            <w:tcW w:w="2160" w:type="dxa"/>
            <w:vAlign w:val="bottom"/>
            <w:gridSpan w:val="9"/>
            <w:vMerge w:val="restart"/>
          </w:tcPr>
          <w:p>
            <w:pPr>
              <w:ind w:left="180"/>
              <w:spacing w:after="0"/>
              <w:rPr>
                <w:sz w:val="20"/>
                <w:szCs w:val="20"/>
                <w:color w:val="auto"/>
              </w:rPr>
            </w:pPr>
            <w:r>
              <w:rPr>
                <w:rFonts w:ascii="Times New Roman" w:cs="Times New Roman" w:eastAsia="Times New Roman" w:hAnsi="Times New Roman"/>
                <w:sz w:val="22"/>
                <w:szCs w:val="22"/>
                <w:color w:val="0000FF"/>
                <w:w w:val="96"/>
              </w:rPr>
              <w:t>Waivers; Amendments</w:t>
            </w:r>
          </w:p>
        </w:tc>
        <w:tc>
          <w:tcPr>
            <w:tcW w:w="80" w:type="dxa"/>
            <w:vAlign w:val="bottom"/>
            <w:gridSpan w:val="3"/>
          </w:tcPr>
          <w:p>
            <w:pPr>
              <w:spacing w:after="0" w:line="20" w:lineRule="exact"/>
              <w:rPr>
                <w:sz w:val="1"/>
                <w:szCs w:val="1"/>
                <w:color w:val="auto"/>
              </w:rPr>
            </w:pPr>
          </w:p>
        </w:tc>
        <w:tc>
          <w:tcPr>
            <w:tcW w:w="2200" w:type="dxa"/>
            <w:vAlign w:val="bottom"/>
            <w:gridSpan w:val="11"/>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00" w:type="dxa"/>
            <w:vAlign w:val="bottom"/>
            <w:tcBorders>
              <w:bottom w:val="single" w:sz="8" w:color="0000FF"/>
            </w:tcBorders>
            <w:vMerge w:val="continue"/>
          </w:tcPr>
          <w:p>
            <w:pPr>
              <w:spacing w:after="0"/>
              <w:rPr>
                <w:sz w:val="24"/>
                <w:szCs w:val="24"/>
                <w:color w:val="auto"/>
              </w:rPr>
            </w:pPr>
          </w:p>
        </w:tc>
        <w:tc>
          <w:tcPr>
            <w:tcW w:w="2160" w:type="dxa"/>
            <w:vAlign w:val="bottom"/>
            <w:tcBorders>
              <w:bottom w:val="single" w:sz="8" w:color="0000FF"/>
            </w:tcBorders>
            <w:gridSpan w:val="9"/>
            <w:vMerge w:val="continue"/>
          </w:tcPr>
          <w:p>
            <w:pPr>
              <w:spacing w:after="0"/>
              <w:rPr>
                <w:sz w:val="24"/>
                <w:szCs w:val="24"/>
                <w:color w:val="auto"/>
              </w:rPr>
            </w:pPr>
          </w:p>
        </w:tc>
        <w:tc>
          <w:tcPr>
            <w:tcW w:w="80" w:type="dxa"/>
            <w:vAlign w:val="bottom"/>
            <w:gridSpan w:val="3"/>
          </w:tcPr>
          <w:p>
            <w:pPr>
              <w:spacing w:after="0"/>
              <w:rPr>
                <w:sz w:val="24"/>
                <w:szCs w:val="24"/>
                <w:color w:val="auto"/>
              </w:rPr>
            </w:pPr>
          </w:p>
        </w:tc>
        <w:tc>
          <w:tcPr>
            <w:tcW w:w="2200" w:type="dxa"/>
            <w:vAlign w:val="bottom"/>
            <w:gridSpan w:val="11"/>
          </w:tcPr>
          <w:p>
            <w:pPr>
              <w:spacing w:after="0"/>
              <w:rPr>
                <w:sz w:val="24"/>
                <w:szCs w:val="24"/>
                <w:color w:val="auto"/>
              </w:rPr>
            </w:pPr>
          </w:p>
        </w:tc>
        <w:tc>
          <w:tcPr>
            <w:tcW w:w="11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22"/>
                <w:szCs w:val="22"/>
                <w:color w:val="0000FF"/>
                <w:w w:val="90"/>
              </w:rPr>
              <w:t>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gridSpan w:val="24"/>
            <w:vMerge w:val="restart"/>
          </w:tcPr>
          <w:p>
            <w:pPr>
              <w:spacing w:after="0"/>
              <w:rPr>
                <w:sz w:val="20"/>
                <w:szCs w:val="20"/>
                <w:color w:val="auto"/>
              </w:rPr>
            </w:pPr>
            <w:r>
              <w:rPr>
                <w:rFonts w:ascii="Times New Roman" w:cs="Times New Roman" w:eastAsia="Times New Roman" w:hAnsi="Times New Roman"/>
                <w:sz w:val="22"/>
                <w:szCs w:val="22"/>
                <w:color w:val="0000FF"/>
                <w:w w:val="98"/>
              </w:rPr>
              <w:t>SECTION 9.03.  Expenses; Limitation of Liability; Indemnity, Etc</w:t>
            </w:r>
          </w:p>
        </w:tc>
        <w:tc>
          <w:tcPr>
            <w:tcW w:w="1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840" w:type="dxa"/>
            <w:vAlign w:val="bottom"/>
            <w:tcBorders>
              <w:bottom w:val="single" w:sz="8" w:color="0000FF"/>
            </w:tcBorders>
            <w:gridSpan w:val="24"/>
            <w:vMerge w:val="continue"/>
          </w:tcPr>
          <w:p>
            <w:pPr>
              <w:spacing w:after="0"/>
              <w:rPr>
                <w:sz w:val="24"/>
                <w:szCs w:val="24"/>
                <w:color w:val="auto"/>
              </w:rPr>
            </w:pPr>
          </w:p>
        </w:tc>
        <w:tc>
          <w:tcPr>
            <w:tcW w:w="11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2100" w:type="dxa"/>
            <w:vAlign w:val="bottom"/>
            <w:gridSpan w:val="3"/>
          </w:tcPr>
          <w:p>
            <w:pPr>
              <w:ind w:left="1780"/>
              <w:spacing w:after="0"/>
              <w:rPr>
                <w:sz w:val="20"/>
                <w:szCs w:val="20"/>
                <w:color w:val="auto"/>
              </w:rPr>
            </w:pPr>
            <w:r>
              <w:rPr>
                <w:rFonts w:ascii="Times New Roman" w:cs="Times New Roman" w:eastAsia="Times New Roman" w:hAnsi="Times New Roman"/>
                <w:sz w:val="22"/>
                <w:szCs w:val="22"/>
                <w:color w:val="0000FF"/>
                <w:w w:val="90"/>
              </w:rPr>
              <w:t>100</w:t>
            </w:r>
          </w:p>
        </w:tc>
        <w:tc>
          <w:tcPr>
            <w:tcW w:w="0" w:type="dxa"/>
            <w:vAlign w:val="bottom"/>
          </w:tcPr>
          <w:p>
            <w:pPr>
              <w:spacing w:after="0"/>
              <w:rPr>
                <w:sz w:val="1"/>
                <w:szCs w:val="1"/>
                <w:color w:val="auto"/>
              </w:rPr>
            </w:pPr>
          </w:p>
        </w:tc>
      </w:tr>
      <w:tr>
        <w:trPr>
          <w:trHeight w:val="20"/>
        </w:trPr>
        <w:tc>
          <w:tcPr>
            <w:tcW w:w="3640" w:type="dxa"/>
            <w:vAlign w:val="bottom"/>
            <w:gridSpan w:val="13"/>
            <w:vMerge w:val="restart"/>
          </w:tcPr>
          <w:p>
            <w:pPr>
              <w:spacing w:after="0"/>
              <w:rPr>
                <w:sz w:val="20"/>
                <w:szCs w:val="20"/>
                <w:color w:val="auto"/>
              </w:rPr>
            </w:pPr>
            <w:r>
              <w:rPr>
                <w:rFonts w:ascii="Times New Roman" w:cs="Times New Roman" w:eastAsia="Times New Roman" w:hAnsi="Times New Roman"/>
                <w:sz w:val="22"/>
                <w:szCs w:val="22"/>
                <w:color w:val="0000FF"/>
                <w:w w:val="99"/>
              </w:rPr>
              <w:t>SECTION 9.04.  Successors and Assigns</w:t>
            </w:r>
          </w:p>
        </w:tc>
        <w:tc>
          <w:tcPr>
            <w:tcW w:w="3340" w:type="dxa"/>
            <w:vAlign w:val="bottom"/>
            <w:gridSpan w:val="1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640" w:type="dxa"/>
            <w:vAlign w:val="bottom"/>
            <w:tcBorders>
              <w:bottom w:val="single" w:sz="8" w:color="0000FF"/>
            </w:tcBorders>
            <w:gridSpan w:val="13"/>
            <w:vMerge w:val="continue"/>
          </w:tcPr>
          <w:p>
            <w:pPr>
              <w:spacing w:after="0"/>
              <w:rPr>
                <w:sz w:val="24"/>
                <w:szCs w:val="24"/>
                <w:color w:val="auto"/>
              </w:rPr>
            </w:pPr>
          </w:p>
        </w:tc>
        <w:tc>
          <w:tcPr>
            <w:tcW w:w="3340" w:type="dxa"/>
            <w:vAlign w:val="bottom"/>
            <w:gridSpan w:val="13"/>
          </w:tcPr>
          <w:p>
            <w:pPr>
              <w:spacing w:after="0"/>
              <w:rPr>
                <w:sz w:val="24"/>
                <w:szCs w:val="24"/>
                <w:color w:val="auto"/>
              </w:rPr>
            </w:pPr>
          </w:p>
        </w:tc>
        <w:tc>
          <w:tcPr>
            <w:tcW w:w="1760" w:type="dxa"/>
            <w:vAlign w:val="bottom"/>
          </w:tcPr>
          <w:p>
            <w:pPr>
              <w:spacing w:after="0"/>
              <w:rPr>
                <w:sz w:val="24"/>
                <w:szCs w:val="24"/>
                <w:color w:val="auto"/>
              </w:rPr>
            </w:pPr>
          </w:p>
        </w:tc>
        <w:tc>
          <w:tcPr>
            <w:tcW w:w="2100" w:type="dxa"/>
            <w:vAlign w:val="bottom"/>
            <w:gridSpan w:val="3"/>
          </w:tcPr>
          <w:p>
            <w:pPr>
              <w:ind w:left="1780"/>
              <w:spacing w:after="0"/>
              <w:rPr>
                <w:sz w:val="20"/>
                <w:szCs w:val="20"/>
                <w:color w:val="auto"/>
              </w:rPr>
            </w:pPr>
            <w:r>
              <w:rPr>
                <w:rFonts w:ascii="Times New Roman" w:cs="Times New Roman" w:eastAsia="Times New Roman" w:hAnsi="Times New Roman"/>
                <w:sz w:val="22"/>
                <w:szCs w:val="22"/>
                <w:color w:val="0000FF"/>
                <w:w w:val="90"/>
              </w:rPr>
              <w:t>102</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6"/>
              </w:rPr>
              <w:t>SECTION 9.05.</w:t>
            </w:r>
          </w:p>
        </w:tc>
        <w:tc>
          <w:tcPr>
            <w:tcW w:w="920" w:type="dxa"/>
            <w:vAlign w:val="bottom"/>
            <w:gridSpan w:val="3"/>
            <w:vMerge w:val="restart"/>
          </w:tcPr>
          <w:p>
            <w:pPr>
              <w:ind w:left="180"/>
              <w:spacing w:after="0"/>
              <w:rPr>
                <w:sz w:val="20"/>
                <w:szCs w:val="20"/>
                <w:color w:val="auto"/>
              </w:rPr>
            </w:pPr>
            <w:r>
              <w:rPr>
                <w:rFonts w:ascii="Times New Roman" w:cs="Times New Roman" w:eastAsia="Times New Roman" w:hAnsi="Times New Roman"/>
                <w:sz w:val="22"/>
                <w:szCs w:val="22"/>
                <w:color w:val="0000FF"/>
                <w:w w:val="96"/>
              </w:rPr>
              <w:t>Survival</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gridSpan w:val="2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00" w:type="dxa"/>
            <w:vAlign w:val="bottom"/>
            <w:tcBorders>
              <w:bottom w:val="single" w:sz="8" w:color="0000FF"/>
            </w:tcBorders>
            <w:vMerge w:val="continue"/>
          </w:tcPr>
          <w:p>
            <w:pPr>
              <w:spacing w:after="0"/>
              <w:rPr>
                <w:sz w:val="24"/>
                <w:szCs w:val="24"/>
                <w:color w:val="auto"/>
              </w:rPr>
            </w:pPr>
          </w:p>
        </w:tc>
        <w:tc>
          <w:tcPr>
            <w:tcW w:w="920" w:type="dxa"/>
            <w:vAlign w:val="bottom"/>
            <w:tcBorders>
              <w:bottom w:val="single" w:sz="8" w:color="0000FF"/>
            </w:tcBorders>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20"/>
          </w:tcPr>
          <w:p>
            <w:pPr>
              <w:spacing w:after="0"/>
              <w:rPr>
                <w:sz w:val="24"/>
                <w:szCs w:val="24"/>
                <w:color w:val="auto"/>
              </w:rPr>
            </w:pPr>
          </w:p>
        </w:tc>
        <w:tc>
          <w:tcPr>
            <w:tcW w:w="1760" w:type="dxa"/>
            <w:vAlign w:val="bottom"/>
          </w:tcPr>
          <w:p>
            <w:pPr>
              <w:spacing w:after="0"/>
              <w:rPr>
                <w:sz w:val="24"/>
                <w:szCs w:val="24"/>
                <w:color w:val="auto"/>
              </w:rPr>
            </w:pPr>
          </w:p>
        </w:tc>
        <w:tc>
          <w:tcPr>
            <w:tcW w:w="2100" w:type="dxa"/>
            <w:vAlign w:val="bottom"/>
            <w:gridSpan w:val="3"/>
          </w:tcPr>
          <w:p>
            <w:pPr>
              <w:ind w:left="1780"/>
              <w:spacing w:after="0"/>
              <w:rPr>
                <w:sz w:val="20"/>
                <w:szCs w:val="20"/>
                <w:color w:val="auto"/>
              </w:rPr>
            </w:pPr>
            <w:r>
              <w:rPr>
                <w:rFonts w:ascii="Times New Roman" w:cs="Times New Roman" w:eastAsia="Times New Roman" w:hAnsi="Times New Roman"/>
                <w:sz w:val="22"/>
                <w:szCs w:val="22"/>
                <w:color w:val="0000FF"/>
                <w:w w:val="90"/>
              </w:rPr>
              <w:t>106</w:t>
            </w:r>
          </w:p>
        </w:tc>
        <w:tc>
          <w:tcPr>
            <w:tcW w:w="0" w:type="dxa"/>
            <w:vAlign w:val="bottom"/>
          </w:tcPr>
          <w:p>
            <w:pPr>
              <w:spacing w:after="0"/>
              <w:rPr>
                <w:sz w:val="1"/>
                <w:szCs w:val="1"/>
                <w:color w:val="auto"/>
              </w:rPr>
            </w:pPr>
          </w:p>
        </w:tc>
      </w:tr>
      <w:tr>
        <w:trPr>
          <w:trHeight w:val="20"/>
        </w:trPr>
        <w:tc>
          <w:tcPr>
            <w:tcW w:w="6980" w:type="dxa"/>
            <w:vAlign w:val="bottom"/>
            <w:gridSpan w:val="26"/>
            <w:vMerge w:val="restart"/>
          </w:tcPr>
          <w:p>
            <w:pPr>
              <w:spacing w:after="0"/>
              <w:rPr>
                <w:sz w:val="20"/>
                <w:szCs w:val="20"/>
                <w:color w:val="auto"/>
              </w:rPr>
            </w:pPr>
            <w:r>
              <w:rPr>
                <w:rFonts w:ascii="Times New Roman" w:cs="Times New Roman" w:eastAsia="Times New Roman" w:hAnsi="Times New Roman"/>
                <w:sz w:val="22"/>
                <w:szCs w:val="22"/>
                <w:color w:val="0000FF"/>
                <w:w w:val="99"/>
              </w:rPr>
              <w:t>SECTION 9.06.  Counterparts; Integration; Effectiveness; Electronic Execution</w:t>
            </w: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980" w:type="dxa"/>
            <w:vAlign w:val="bottom"/>
            <w:tcBorders>
              <w:bottom w:val="single" w:sz="8" w:color="0000FF"/>
            </w:tcBorders>
            <w:gridSpan w:val="26"/>
            <w:vMerge w:val="continue"/>
          </w:tcPr>
          <w:p>
            <w:pPr>
              <w:spacing w:after="0"/>
              <w:rPr>
                <w:sz w:val="24"/>
                <w:szCs w:val="24"/>
                <w:color w:val="auto"/>
              </w:rPr>
            </w:pPr>
          </w:p>
        </w:tc>
        <w:tc>
          <w:tcPr>
            <w:tcW w:w="1760" w:type="dxa"/>
            <w:vAlign w:val="bottom"/>
            <w:vMerge w:val="restart"/>
          </w:tcPr>
          <w:p>
            <w:pPr>
              <w:spacing w:after="0"/>
              <w:rPr>
                <w:sz w:val="24"/>
                <w:szCs w:val="24"/>
                <w:color w:val="auto"/>
              </w:rPr>
            </w:pPr>
          </w:p>
        </w:tc>
        <w:tc>
          <w:tcPr>
            <w:tcW w:w="1780" w:type="dxa"/>
            <w:vAlign w:val="bottom"/>
            <w:vMerge w:val="restart"/>
          </w:tcPr>
          <w:p>
            <w:pPr>
              <w:spacing w:after="0"/>
              <w:rPr>
                <w:sz w:val="24"/>
                <w:szCs w:val="2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0000FF"/>
                <w:w w:val="90"/>
              </w:rPr>
              <w:t>107</w:t>
            </w:r>
          </w:p>
        </w:tc>
        <w:tc>
          <w:tcPr>
            <w:tcW w:w="0" w:type="dxa"/>
            <w:vAlign w:val="bottom"/>
          </w:tcPr>
          <w:p>
            <w:pPr>
              <w:spacing w:after="0"/>
              <w:rPr>
                <w:sz w:val="1"/>
                <w:szCs w:val="1"/>
                <w:color w:val="auto"/>
              </w:rPr>
            </w:pPr>
          </w:p>
        </w:tc>
      </w:tr>
      <w:tr>
        <w:trPr>
          <w:trHeight w:val="25"/>
        </w:trPr>
        <w:tc>
          <w:tcPr>
            <w:tcW w:w="15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gridSpan w:val="20"/>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32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6"/>
              </w:rPr>
              <w:t>SECTION 9.07.</w:t>
            </w:r>
          </w:p>
        </w:tc>
        <w:tc>
          <w:tcPr>
            <w:tcW w:w="1240" w:type="dxa"/>
            <w:vAlign w:val="bottom"/>
            <w:tcBorders>
              <w:bottom w:val="single" w:sz="8" w:color="0000FF"/>
            </w:tcBorders>
            <w:gridSpan w:val="5"/>
          </w:tcPr>
          <w:p>
            <w:pPr>
              <w:ind w:left="180"/>
              <w:spacing w:after="0"/>
              <w:rPr>
                <w:sz w:val="20"/>
                <w:szCs w:val="20"/>
                <w:color w:val="auto"/>
              </w:rPr>
            </w:pPr>
            <w:r>
              <w:rPr>
                <w:rFonts w:ascii="Times New Roman" w:cs="Times New Roman" w:eastAsia="Times New Roman" w:hAnsi="Times New Roman"/>
                <w:sz w:val="22"/>
                <w:szCs w:val="22"/>
                <w:color w:val="0000FF"/>
                <w:w w:val="97"/>
              </w:rPr>
              <w:t>Severability</w:t>
            </w:r>
          </w:p>
        </w:tc>
        <w:tc>
          <w:tcPr>
            <w:tcW w:w="6100" w:type="dxa"/>
            <w:vAlign w:val="bottom"/>
            <w:gridSpan w:val="21"/>
          </w:tcPr>
          <w:p>
            <w:pPr>
              <w:spacing w:after="0"/>
              <w:rPr>
                <w:sz w:val="24"/>
                <w:szCs w:val="24"/>
                <w:color w:val="auto"/>
              </w:rPr>
            </w:pPr>
          </w:p>
        </w:tc>
        <w:tc>
          <w:tcPr>
            <w:tcW w:w="2100" w:type="dxa"/>
            <w:vAlign w:val="bottom"/>
            <w:gridSpan w:val="3"/>
          </w:tcPr>
          <w:p>
            <w:pPr>
              <w:ind w:left="1780"/>
              <w:spacing w:after="0"/>
              <w:rPr>
                <w:sz w:val="20"/>
                <w:szCs w:val="20"/>
                <w:color w:val="auto"/>
              </w:rPr>
            </w:pPr>
            <w:r>
              <w:rPr>
                <w:rFonts w:ascii="Times New Roman" w:cs="Times New Roman" w:eastAsia="Times New Roman" w:hAnsi="Times New Roman"/>
                <w:sz w:val="22"/>
                <w:szCs w:val="22"/>
                <w:color w:val="0000FF"/>
                <w:w w:val="90"/>
              </w:rPr>
              <w:t>108</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6"/>
              </w:rPr>
              <w:t>SECTION 9.08.</w:t>
            </w:r>
          </w:p>
        </w:tc>
        <w:tc>
          <w:tcPr>
            <w:tcW w:w="180" w:type="dxa"/>
            <w:vAlign w:val="bottom"/>
          </w:tcPr>
          <w:p>
            <w:pPr>
              <w:spacing w:after="0" w:line="20" w:lineRule="exact"/>
              <w:rPr>
                <w:sz w:val="1"/>
                <w:szCs w:val="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0000FF"/>
                <w:w w:val="97"/>
              </w:rPr>
              <w:t>Reserved</w:t>
            </w:r>
          </w:p>
        </w:tc>
        <w:tc>
          <w:tcPr>
            <w:tcW w:w="6340" w:type="dxa"/>
            <w:vAlign w:val="bottom"/>
            <w:gridSpan w:val="2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00" w:type="dxa"/>
            <w:vAlign w:val="bottom"/>
            <w:tcBorders>
              <w:bottom w:val="single" w:sz="8" w:color="0000FF"/>
            </w:tcBorders>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bottom w:val="single" w:sz="8" w:color="0000FF"/>
            </w:tcBorders>
            <w:gridSpan w:val="3"/>
            <w:vMerge w:val="continue"/>
          </w:tcPr>
          <w:p>
            <w:pPr>
              <w:spacing w:after="0"/>
              <w:rPr>
                <w:sz w:val="24"/>
                <w:szCs w:val="24"/>
                <w:color w:val="auto"/>
              </w:rPr>
            </w:pPr>
          </w:p>
        </w:tc>
        <w:tc>
          <w:tcPr>
            <w:tcW w:w="6340" w:type="dxa"/>
            <w:vAlign w:val="bottom"/>
            <w:gridSpan w:val="22"/>
          </w:tcPr>
          <w:p>
            <w:pPr>
              <w:spacing w:after="0"/>
              <w:rPr>
                <w:sz w:val="24"/>
                <w:szCs w:val="24"/>
                <w:color w:val="auto"/>
              </w:rPr>
            </w:pPr>
          </w:p>
        </w:tc>
        <w:tc>
          <w:tcPr>
            <w:tcW w:w="2100" w:type="dxa"/>
            <w:vAlign w:val="bottom"/>
            <w:gridSpan w:val="3"/>
          </w:tcPr>
          <w:p>
            <w:pPr>
              <w:ind w:left="1780"/>
              <w:spacing w:after="0"/>
              <w:rPr>
                <w:sz w:val="20"/>
                <w:szCs w:val="20"/>
                <w:color w:val="auto"/>
              </w:rPr>
            </w:pPr>
            <w:r>
              <w:rPr>
                <w:rFonts w:ascii="Times New Roman" w:cs="Times New Roman" w:eastAsia="Times New Roman" w:hAnsi="Times New Roman"/>
                <w:sz w:val="22"/>
                <w:szCs w:val="22"/>
                <w:color w:val="auto"/>
                <w:w w:val="90"/>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400" w:top="1440" w:right="659" w:bottom="6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840"/>
          </w:cols>
          <w:pgMar w:left="400" w:top="1440" w:right="659" w:bottom="647" w:gutter="0" w:footer="0" w:header="0"/>
          <w:type w:val="continuous"/>
        </w:sectPr>
      </w:pPr>
    </w:p>
    <w:bookmarkStart w:id="90" w:name="page91"/>
    <w:bookmarkEnd w:id="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spacing w:after="0" w:line="182"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6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w w:val="99"/>
              </w:rPr>
              <w:t>SECTION 9.09.  Governing Law; Jurisdiction; Consent to Service of Process</w:t>
            </w:r>
          </w:p>
        </w:tc>
        <w:tc>
          <w:tcPr>
            <w:tcW w:w="1400" w:type="dxa"/>
            <w:vAlign w:val="bottom"/>
          </w:tcPr>
          <w:p>
            <w:pPr>
              <w:spacing w:after="0"/>
              <w:rPr>
                <w:sz w:val="23"/>
                <w:szCs w:val="23"/>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108</w:t>
            </w:r>
          </w:p>
        </w:tc>
        <w:tc>
          <w:tcPr>
            <w:tcW w:w="0" w:type="dxa"/>
            <w:vAlign w:val="bottom"/>
          </w:tcPr>
          <w:p>
            <w:pPr>
              <w:spacing w:after="0"/>
              <w:rPr>
                <w:sz w:val="1"/>
                <w:szCs w:val="1"/>
                <w:color w:val="auto"/>
              </w:rPr>
            </w:pPr>
          </w:p>
        </w:tc>
      </w:tr>
      <w:tr>
        <w:trPr>
          <w:trHeight w:val="20"/>
        </w:trPr>
        <w:tc>
          <w:tcPr>
            <w:tcW w:w="4040" w:type="dxa"/>
            <w:vAlign w:val="bottom"/>
            <w:gridSpan w:val="8"/>
            <w:vMerge w:val="restart"/>
          </w:tcPr>
          <w:p>
            <w:pPr>
              <w:spacing w:after="0"/>
              <w:rPr>
                <w:sz w:val="20"/>
                <w:szCs w:val="20"/>
                <w:color w:val="auto"/>
              </w:rPr>
            </w:pPr>
            <w:r>
              <w:rPr>
                <w:rFonts w:ascii="Times New Roman" w:cs="Times New Roman" w:eastAsia="Times New Roman" w:hAnsi="Times New Roman"/>
                <w:sz w:val="22"/>
                <w:szCs w:val="22"/>
                <w:color w:val="0000FF"/>
                <w:w w:val="99"/>
              </w:rPr>
              <w:t>SECTION 9.10.  WAIVER OF JURY TRIAL</w:t>
            </w:r>
          </w:p>
        </w:tc>
        <w:tc>
          <w:tcPr>
            <w:tcW w:w="42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040" w:type="dxa"/>
            <w:vAlign w:val="bottom"/>
            <w:tcBorders>
              <w:bottom w:val="single" w:sz="8" w:color="0000FF"/>
            </w:tcBorders>
            <w:gridSpan w:val="8"/>
            <w:vMerge w:val="continue"/>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gridSpan w:val="2"/>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109</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9.11.</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0000FF"/>
                <w:w w:val="96"/>
              </w:rPr>
              <w:t>Headings</w:t>
            </w: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80" w:type="dxa"/>
            <w:vAlign w:val="bottom"/>
            <w:tcBorders>
              <w:bottom w:val="single" w:sz="8" w:color="0000FF"/>
            </w:tcBorders>
            <w:vMerge w:val="continue"/>
          </w:tcPr>
          <w:p>
            <w:pPr>
              <w:spacing w:after="0"/>
              <w:rPr>
                <w:sz w:val="24"/>
                <w:szCs w:val="24"/>
                <w:color w:val="auto"/>
              </w:rPr>
            </w:pPr>
          </w:p>
        </w:tc>
        <w:tc>
          <w:tcPr>
            <w:tcW w:w="920" w:type="dxa"/>
            <w:vAlign w:val="bottom"/>
            <w:tcBorders>
              <w:bottom w:val="single" w:sz="8" w:color="0000FF"/>
            </w:tcBorders>
            <w:vMerge w:val="continue"/>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3700" w:type="dxa"/>
            <w:vAlign w:val="bottom"/>
            <w:gridSpan w:val="2"/>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110</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9.12.</w:t>
            </w: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0000FF"/>
                <w:w w:val="97"/>
              </w:rPr>
              <w:t>Confidentiality</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480" w:type="dxa"/>
            <w:vAlign w:val="bottom"/>
            <w:tcBorders>
              <w:bottom w:val="single" w:sz="8" w:color="0000FF"/>
            </w:tcBorders>
            <w:vMerge w:val="continue"/>
          </w:tcPr>
          <w:p>
            <w:pPr>
              <w:spacing w:after="0"/>
              <w:rPr>
                <w:sz w:val="24"/>
                <w:szCs w:val="24"/>
                <w:color w:val="auto"/>
              </w:rPr>
            </w:pPr>
          </w:p>
        </w:tc>
        <w:tc>
          <w:tcPr>
            <w:tcW w:w="1420" w:type="dxa"/>
            <w:vAlign w:val="bottom"/>
            <w:tcBorders>
              <w:bottom w:val="single" w:sz="8" w:color="0000FF"/>
            </w:tcBorders>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3700" w:type="dxa"/>
            <w:vAlign w:val="bottom"/>
            <w:gridSpan w:val="2"/>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110</w:t>
            </w:r>
          </w:p>
        </w:tc>
        <w:tc>
          <w:tcPr>
            <w:tcW w:w="0" w:type="dxa"/>
            <w:vAlign w:val="bottom"/>
          </w:tcPr>
          <w:p>
            <w:pPr>
              <w:spacing w:after="0"/>
              <w:rPr>
                <w:sz w:val="1"/>
                <w:szCs w:val="1"/>
                <w:color w:val="auto"/>
              </w:rPr>
            </w:pPr>
          </w:p>
        </w:tc>
      </w:tr>
      <w:tr>
        <w:trPr>
          <w:trHeight w:val="20"/>
        </w:trPr>
        <w:tc>
          <w:tcPr>
            <w:tcW w:w="4460" w:type="dxa"/>
            <w:vAlign w:val="bottom"/>
            <w:gridSpan w:val="9"/>
            <w:vMerge w:val="restart"/>
          </w:tcPr>
          <w:p>
            <w:pPr>
              <w:spacing w:after="0"/>
              <w:rPr>
                <w:sz w:val="20"/>
                <w:szCs w:val="20"/>
                <w:color w:val="auto"/>
              </w:rPr>
            </w:pPr>
            <w:r>
              <w:rPr>
                <w:rFonts w:ascii="Times New Roman" w:cs="Times New Roman" w:eastAsia="Times New Roman" w:hAnsi="Times New Roman"/>
                <w:sz w:val="22"/>
                <w:szCs w:val="22"/>
                <w:color w:val="0000FF"/>
                <w:w w:val="99"/>
              </w:rPr>
              <w:t>SECTION 9.13.  Material Non-Public Information</w:t>
            </w:r>
          </w:p>
        </w:tc>
        <w:tc>
          <w:tcPr>
            <w:tcW w:w="37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460" w:type="dxa"/>
            <w:vAlign w:val="bottom"/>
            <w:tcBorders>
              <w:bottom w:val="single" w:sz="8" w:color="0000FF"/>
            </w:tcBorders>
            <w:gridSpan w:val="9"/>
            <w:vMerge w:val="continue"/>
          </w:tcPr>
          <w:p>
            <w:pPr>
              <w:spacing w:after="0"/>
              <w:rPr>
                <w:sz w:val="24"/>
                <w:szCs w:val="24"/>
                <w:color w:val="auto"/>
              </w:rPr>
            </w:pPr>
          </w:p>
        </w:tc>
        <w:tc>
          <w:tcPr>
            <w:tcW w:w="3700" w:type="dxa"/>
            <w:vAlign w:val="bottom"/>
            <w:gridSpan w:val="2"/>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111</w:t>
            </w:r>
          </w:p>
        </w:tc>
        <w:tc>
          <w:tcPr>
            <w:tcW w:w="0" w:type="dxa"/>
            <w:vAlign w:val="bottom"/>
          </w:tcPr>
          <w:p>
            <w:pPr>
              <w:spacing w:after="0"/>
              <w:rPr>
                <w:sz w:val="1"/>
                <w:szCs w:val="1"/>
                <w:color w:val="auto"/>
              </w:rPr>
            </w:pPr>
          </w:p>
        </w:tc>
      </w:tr>
      <w:tr>
        <w:trPr>
          <w:trHeight w:val="20"/>
        </w:trPr>
        <w:tc>
          <w:tcPr>
            <w:tcW w:w="3660" w:type="dxa"/>
            <w:vAlign w:val="bottom"/>
            <w:gridSpan w:val="7"/>
            <w:vMerge w:val="restart"/>
          </w:tcPr>
          <w:p>
            <w:pPr>
              <w:spacing w:after="0"/>
              <w:rPr>
                <w:sz w:val="20"/>
                <w:szCs w:val="20"/>
                <w:color w:val="auto"/>
              </w:rPr>
            </w:pPr>
            <w:r>
              <w:rPr>
                <w:rFonts w:ascii="Times New Roman" w:cs="Times New Roman" w:eastAsia="Times New Roman" w:hAnsi="Times New Roman"/>
                <w:sz w:val="22"/>
                <w:szCs w:val="22"/>
                <w:color w:val="0000FF"/>
              </w:rPr>
              <w:t>SECTION 9.14.  Interest Rate Limitation</w:t>
            </w:r>
          </w:p>
        </w:tc>
        <w:tc>
          <w:tcPr>
            <w:tcW w:w="45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660" w:type="dxa"/>
            <w:vAlign w:val="bottom"/>
            <w:tcBorders>
              <w:bottom w:val="single" w:sz="8" w:color="0000FF"/>
            </w:tcBorders>
            <w:gridSpan w:val="7"/>
            <w:vMerge w:val="continue"/>
          </w:tcPr>
          <w:p>
            <w:pPr>
              <w:spacing w:after="0"/>
              <w:rPr>
                <w:sz w:val="24"/>
                <w:szCs w:val="24"/>
                <w:color w:val="auto"/>
              </w:rPr>
            </w:pPr>
          </w:p>
        </w:tc>
        <w:tc>
          <w:tcPr>
            <w:tcW w:w="4500" w:type="dxa"/>
            <w:vAlign w:val="bottom"/>
            <w:gridSpan w:val="4"/>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111</w:t>
            </w:r>
          </w:p>
        </w:tc>
        <w:tc>
          <w:tcPr>
            <w:tcW w:w="0" w:type="dxa"/>
            <w:vAlign w:val="bottom"/>
          </w:tcPr>
          <w:p>
            <w:pPr>
              <w:spacing w:after="0"/>
              <w:rPr>
                <w:sz w:val="1"/>
                <w:szCs w:val="1"/>
                <w:color w:val="auto"/>
              </w:rPr>
            </w:pPr>
          </w:p>
        </w:tc>
      </w:tr>
      <w:tr>
        <w:trPr>
          <w:trHeight w:val="20"/>
        </w:trPr>
        <w:tc>
          <w:tcPr>
            <w:tcW w:w="360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color w:val="0000FF"/>
                <w:w w:val="99"/>
              </w:rPr>
              <w:t>SECTION 9.15.  No Fiduciary Duty, Etc</w:t>
            </w:r>
          </w:p>
        </w:tc>
        <w:tc>
          <w:tcPr>
            <w:tcW w:w="456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600" w:type="dxa"/>
            <w:vAlign w:val="bottom"/>
            <w:tcBorders>
              <w:bottom w:val="single" w:sz="8" w:color="0000FF"/>
            </w:tcBorders>
            <w:gridSpan w:val="6"/>
            <w:vMerge w:val="continue"/>
          </w:tcPr>
          <w:p>
            <w:pPr>
              <w:spacing w:after="0"/>
              <w:rPr>
                <w:sz w:val="24"/>
                <w:szCs w:val="24"/>
                <w:color w:val="auto"/>
              </w:rPr>
            </w:pPr>
          </w:p>
        </w:tc>
        <w:tc>
          <w:tcPr>
            <w:tcW w:w="4560" w:type="dxa"/>
            <w:vAlign w:val="bottom"/>
            <w:gridSpan w:val="5"/>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112</w:t>
            </w:r>
          </w:p>
        </w:tc>
        <w:tc>
          <w:tcPr>
            <w:tcW w:w="0" w:type="dxa"/>
            <w:vAlign w:val="bottom"/>
          </w:tcPr>
          <w:p>
            <w:pPr>
              <w:spacing w:after="0"/>
              <w:rPr>
                <w:sz w:val="1"/>
                <w:szCs w:val="1"/>
                <w:color w:val="auto"/>
              </w:rPr>
            </w:pPr>
          </w:p>
        </w:tc>
      </w:tr>
      <w:tr>
        <w:trPr>
          <w:trHeight w:val="20"/>
        </w:trPr>
        <w:tc>
          <w:tcPr>
            <w:tcW w:w="330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0000FF"/>
                <w:w w:val="98"/>
              </w:rPr>
              <w:t>SECTION 9.16.  USA PATRIOT Act</w:t>
            </w:r>
          </w:p>
        </w:tc>
        <w:tc>
          <w:tcPr>
            <w:tcW w:w="4860" w:type="dxa"/>
            <w:vAlign w:val="bottom"/>
            <w:gridSpan w:val="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300" w:type="dxa"/>
            <w:vAlign w:val="bottom"/>
            <w:tcBorders>
              <w:bottom w:val="single" w:sz="8" w:color="0000FF"/>
            </w:tcBorders>
            <w:gridSpan w:val="5"/>
            <w:vMerge w:val="continue"/>
          </w:tcPr>
          <w:p>
            <w:pPr>
              <w:spacing w:after="0"/>
              <w:rPr>
                <w:sz w:val="24"/>
                <w:szCs w:val="24"/>
                <w:color w:val="auto"/>
              </w:rPr>
            </w:pPr>
          </w:p>
        </w:tc>
        <w:tc>
          <w:tcPr>
            <w:tcW w:w="4860" w:type="dxa"/>
            <w:vAlign w:val="bottom"/>
            <w:gridSpan w:val="6"/>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113</w:t>
            </w:r>
          </w:p>
        </w:tc>
        <w:tc>
          <w:tcPr>
            <w:tcW w:w="0" w:type="dxa"/>
            <w:vAlign w:val="bottom"/>
          </w:tcPr>
          <w:p>
            <w:pPr>
              <w:spacing w:after="0"/>
              <w:rPr>
                <w:sz w:val="1"/>
                <w:szCs w:val="1"/>
                <w:color w:val="auto"/>
              </w:rPr>
            </w:pPr>
          </w:p>
        </w:tc>
      </w:tr>
      <w:tr>
        <w:trPr>
          <w:trHeight w:val="20"/>
        </w:trPr>
        <w:tc>
          <w:tcPr>
            <w:tcW w:w="8160" w:type="dxa"/>
            <w:vAlign w:val="bottom"/>
            <w:gridSpan w:val="11"/>
            <w:vMerge w:val="restart"/>
          </w:tcPr>
          <w:p>
            <w:pPr>
              <w:spacing w:after="0"/>
              <w:rPr>
                <w:sz w:val="20"/>
                <w:szCs w:val="20"/>
                <w:color w:val="auto"/>
              </w:rPr>
            </w:pPr>
            <w:r>
              <w:rPr>
                <w:rFonts w:ascii="Times New Roman" w:cs="Times New Roman" w:eastAsia="Times New Roman" w:hAnsi="Times New Roman"/>
                <w:sz w:val="22"/>
                <w:szCs w:val="22"/>
                <w:color w:val="0000FF"/>
                <w:w w:val="98"/>
              </w:rPr>
              <w:t>SECTION 9.17.  Acknowledgement and Consent to Bail-In of Affected Financial Institutions</w:t>
            </w: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8160" w:type="dxa"/>
            <w:vAlign w:val="bottom"/>
            <w:tcBorders>
              <w:bottom w:val="single" w:sz="8" w:color="0000FF"/>
            </w:tcBorders>
            <w:gridSpan w:val="11"/>
            <w:vMerge w:val="continue"/>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113</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SECTION 9.18.</w:t>
            </w:r>
          </w:p>
        </w:tc>
        <w:tc>
          <w:tcPr>
            <w:tcW w:w="1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0000FF"/>
                <w:w w:val="97"/>
              </w:rPr>
              <w:t>Erroneous Payment</w:t>
            </w:r>
          </w:p>
        </w:tc>
        <w:tc>
          <w:tcPr>
            <w:tcW w:w="4880" w:type="dxa"/>
            <w:vAlign w:val="bottom"/>
            <w:gridSpan w:val="7"/>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80" w:type="dxa"/>
            <w:vAlign w:val="bottom"/>
            <w:tcBorders>
              <w:bottom w:val="single" w:sz="8" w:color="0000FF"/>
            </w:tcBorders>
            <w:vMerge w:val="continue"/>
          </w:tcPr>
          <w:p>
            <w:pPr>
              <w:spacing w:after="0"/>
              <w:rPr>
                <w:sz w:val="24"/>
                <w:szCs w:val="24"/>
                <w:color w:val="auto"/>
              </w:rPr>
            </w:pPr>
          </w:p>
        </w:tc>
        <w:tc>
          <w:tcPr>
            <w:tcW w:w="1800" w:type="dxa"/>
            <w:vAlign w:val="bottom"/>
            <w:tcBorders>
              <w:bottom w:val="single" w:sz="8" w:color="0000FF"/>
            </w:tcBorders>
            <w:gridSpan w:val="3"/>
            <w:vMerge w:val="continue"/>
          </w:tcPr>
          <w:p>
            <w:pPr>
              <w:spacing w:after="0"/>
              <w:rPr>
                <w:sz w:val="24"/>
                <w:szCs w:val="24"/>
                <w:color w:val="auto"/>
              </w:rPr>
            </w:pPr>
          </w:p>
        </w:tc>
        <w:tc>
          <w:tcPr>
            <w:tcW w:w="4880" w:type="dxa"/>
            <w:vAlign w:val="bottom"/>
            <w:gridSpan w:val="7"/>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rPr>
              <w:t>114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1.01 – Specified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2.01A – Commitments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3.06 – Disclosed Matters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3.17 – Subsidiaries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5.09 – Excluded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6.02 – Existing Liens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6.08 – Existing Transactions with Affiliates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Form of Assignment and Assumption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Form of Borrowing Request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 Form of Interest Election Request</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920"/>
          </w:cols>
          <w:pgMar w:left="320" w:top="1440" w:right="659" w:bottom="1440" w:gutter="0" w:footer="0" w:header="0"/>
          <w:type w:val="continuous"/>
        </w:sectPr>
      </w:pPr>
    </w:p>
    <w:bookmarkStart w:id="92" w:name="page93"/>
    <w:bookmarkEnd w:id="92"/>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 – Form of Guaranty</w:t>
      </w:r>
    </w:p>
    <w:p>
      <w:pPr>
        <w:spacing w:after="0" w:line="220" w:lineRule="exact"/>
        <w:rPr>
          <w:sz w:val="20"/>
          <w:szCs w:val="20"/>
          <w:color w:val="auto"/>
        </w:rPr>
      </w:pPr>
    </w:p>
    <w:p>
      <w:pPr>
        <w:ind w:left="1220" w:right="320" w:hanging="1214"/>
        <w:spacing w:after="0" w:line="296" w:lineRule="auto"/>
        <w:rPr>
          <w:sz w:val="20"/>
          <w:szCs w:val="20"/>
          <w:color w:val="auto"/>
        </w:rPr>
      </w:pPr>
      <w:r>
        <w:rPr>
          <w:rFonts w:ascii="Times New Roman" w:cs="Times New Roman" w:eastAsia="Times New Roman" w:hAnsi="Times New Roman"/>
          <w:sz w:val="22"/>
          <w:szCs w:val="22"/>
          <w:color w:val="auto"/>
        </w:rPr>
        <w:t xml:space="preserve">Exhibit E-1 – U.S. Tax Compliance Certificate (For Non-U.S. Lenders that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Partnerships for U.S. Federal Income Tax Purposes)</w:t>
      </w:r>
    </w:p>
    <w:p>
      <w:pPr>
        <w:spacing w:after="0" w:line="132" w:lineRule="exact"/>
        <w:rPr>
          <w:sz w:val="20"/>
          <w:szCs w:val="20"/>
          <w:color w:val="auto"/>
        </w:rPr>
      </w:pPr>
    </w:p>
    <w:p>
      <w:pPr>
        <w:ind w:left="1220" w:hanging="1214"/>
        <w:spacing w:after="0" w:line="296" w:lineRule="auto"/>
        <w:rPr>
          <w:sz w:val="20"/>
          <w:szCs w:val="20"/>
          <w:color w:val="auto"/>
        </w:rPr>
      </w:pPr>
      <w:r>
        <w:rPr>
          <w:rFonts w:ascii="Times New Roman" w:cs="Times New Roman" w:eastAsia="Times New Roman" w:hAnsi="Times New Roman"/>
          <w:sz w:val="22"/>
          <w:szCs w:val="22"/>
          <w:color w:val="auto"/>
        </w:rPr>
        <w:t xml:space="preserve">Exhibit E-2 – U.S. Tax Compliance Certificate (For Non-U.S. Participants that </w:t>
      </w:r>
      <w:r>
        <w:rPr>
          <w:rFonts w:ascii="Times New Roman" w:cs="Times New Roman" w:eastAsia="Times New Roman" w:hAnsi="Times New Roman"/>
          <w:sz w:val="22"/>
          <w:szCs w:val="22"/>
          <w:u w:val="single" w:color="auto"/>
          <w:color w:val="auto"/>
        </w:rPr>
        <w:t>are</w:t>
      </w:r>
      <w:r>
        <w:rPr>
          <w:rFonts w:ascii="Times New Roman" w:cs="Times New Roman" w:eastAsia="Times New Roman" w:hAnsi="Times New Roman"/>
          <w:sz w:val="22"/>
          <w:szCs w:val="22"/>
          <w:color w:val="auto"/>
        </w:rPr>
        <w:t xml:space="preserve"> not Partnerships for U.S. Federal Income Tax Purposes)</w:t>
      </w:r>
    </w:p>
    <w:p>
      <w:pPr>
        <w:spacing w:after="0" w:line="132" w:lineRule="exact"/>
        <w:rPr>
          <w:sz w:val="20"/>
          <w:szCs w:val="20"/>
          <w:color w:val="auto"/>
        </w:rPr>
      </w:pPr>
    </w:p>
    <w:p>
      <w:pPr>
        <w:ind w:left="1220" w:right="340" w:hanging="1214"/>
        <w:spacing w:after="0" w:line="296" w:lineRule="auto"/>
        <w:rPr>
          <w:sz w:val="20"/>
          <w:szCs w:val="20"/>
          <w:color w:val="auto"/>
        </w:rPr>
      </w:pPr>
      <w:r>
        <w:rPr>
          <w:rFonts w:ascii="Times New Roman" w:cs="Times New Roman" w:eastAsia="Times New Roman" w:hAnsi="Times New Roman"/>
          <w:sz w:val="22"/>
          <w:szCs w:val="22"/>
          <w:color w:val="auto"/>
        </w:rPr>
        <w:t>Exhibit E-3 – U.S. Tax Compliance Certificate (For Non-U.S. Participants that are Partnerships for U.S. Federal Income Tax Purposes)</w:t>
      </w:r>
    </w:p>
    <w:p>
      <w:pPr>
        <w:spacing w:after="0" w:line="132" w:lineRule="exact"/>
        <w:rPr>
          <w:sz w:val="20"/>
          <w:szCs w:val="20"/>
          <w:color w:val="auto"/>
        </w:rPr>
      </w:pPr>
    </w:p>
    <w:p>
      <w:pPr>
        <w:ind w:left="1220" w:right="660" w:hanging="1214"/>
        <w:spacing w:after="0" w:line="296" w:lineRule="auto"/>
        <w:rPr>
          <w:sz w:val="20"/>
          <w:szCs w:val="20"/>
          <w:color w:val="auto"/>
        </w:rPr>
      </w:pPr>
      <w:r>
        <w:rPr>
          <w:rFonts w:ascii="Times New Roman" w:cs="Times New Roman" w:eastAsia="Times New Roman" w:hAnsi="Times New Roman"/>
          <w:sz w:val="22"/>
          <w:szCs w:val="22"/>
          <w:color w:val="auto"/>
        </w:rPr>
        <w:t xml:space="preserve">Exhibit E-4 – U.S. Tax Compliance Certificate (For Non-U.S. Lenders that </w:t>
      </w:r>
      <w:r>
        <w:rPr>
          <w:rFonts w:ascii="Times New Roman" w:cs="Times New Roman" w:eastAsia="Times New Roman" w:hAnsi="Times New Roman"/>
          <w:sz w:val="22"/>
          <w:szCs w:val="22"/>
          <w:u w:val="single" w:color="auto"/>
          <w:color w:val="auto"/>
        </w:rPr>
        <w:t>are</w:t>
      </w:r>
      <w:r>
        <w:rPr>
          <w:rFonts w:ascii="Times New Roman" w:cs="Times New Roman" w:eastAsia="Times New Roman" w:hAnsi="Times New Roman"/>
          <w:sz w:val="22"/>
          <w:szCs w:val="22"/>
          <w:color w:val="auto"/>
        </w:rPr>
        <w:t xml:space="preserve"> Partnerships for U.S. Federal Income Tax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 – Monthly Receivables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G – Quarterly Receivables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 – Compliance Certificate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Prepayment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100"/>
          </w:cols>
          <w:pgMar w:left="320" w:top="1440" w:right="479" w:bottom="1440" w:gutter="0" w:footer="0" w:header="0"/>
        </w:sectPr>
      </w:pPr>
    </w:p>
    <w:bookmarkStart w:id="93" w:name="page94"/>
    <w:bookmarkEnd w:id="93"/>
    <w:p>
      <w:pPr>
        <w:spacing w:after="0" w:line="171" w:lineRule="exact"/>
        <w:rPr>
          <w:sz w:val="20"/>
          <w:szCs w:val="20"/>
          <w:color w:val="auto"/>
        </w:rPr>
      </w:pPr>
    </w:p>
    <w:p>
      <w:pPr>
        <w:ind w:right="40" w:firstLine="1296"/>
        <w:spacing w:after="0" w:line="289" w:lineRule="auto"/>
        <w:rPr>
          <w:sz w:val="20"/>
          <w:szCs w:val="20"/>
          <w:color w:val="auto"/>
        </w:rPr>
      </w:pPr>
      <w:r>
        <w:rPr>
          <w:rFonts w:ascii="Times New Roman" w:cs="Times New Roman" w:eastAsia="Times New Roman" w:hAnsi="Times New Roman"/>
          <w:sz w:val="22"/>
          <w:szCs w:val="22"/>
          <w:color w:val="auto"/>
        </w:rPr>
        <w:t>REVOLVING 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February 4, 2022, among AFFIRM, INC., a Delaware corporation, AFFIRM HOLDINGS, INC., a Delaware corporation, the LENDERS party hereto, and BARCLAYS BANK PLC, as Administrative Agent.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have the meanings specified below:</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3-Month Rolling Average Delinquent Receivable Ratio</w:t>
      </w:r>
      <w:r>
        <w:rPr>
          <w:rFonts w:ascii="Times New Roman" w:cs="Times New Roman" w:eastAsia="Times New Roman" w:hAnsi="Times New Roman"/>
          <w:sz w:val="22"/>
          <w:szCs w:val="22"/>
          <w:color w:val="auto"/>
        </w:rPr>
        <w:t>” means, with respect to any Due Period, the percentage equivalent of a fraction, (x) the numerator of which is the sum of the Delinquent Receivable Ratio for such Due Period and the Delinquent Receivable Ratios for the preceding two Due Periods, and (y) the denominator of which is three (3).</w:t>
      </w:r>
    </w:p>
    <w:p>
      <w:pPr>
        <w:spacing w:after="0" w:line="188"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bear interest at a rate determined by reference to the Alternate Base Rate.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Borrowing</w:t>
      </w:r>
      <w:r>
        <w:rPr>
          <w:rFonts w:ascii="Times New Roman" w:cs="Times New Roman" w:eastAsia="Times New Roman" w:hAnsi="Times New Roman"/>
          <w:sz w:val="22"/>
          <w:szCs w:val="22"/>
          <w:color w:val="auto"/>
        </w:rPr>
        <w:t>” means, as to any Borrowing, the ABR Loans comprising such Borrowing.</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Loan</w:t>
      </w:r>
      <w:r>
        <w:rPr>
          <w:rFonts w:ascii="Times New Roman" w:cs="Times New Roman" w:eastAsia="Times New Roman" w:hAnsi="Times New Roman"/>
          <w:sz w:val="22"/>
          <w:szCs w:val="22"/>
          <w:color w:val="auto"/>
        </w:rPr>
        <w:t>” means a Loan that bears interest based on the ABR.</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47"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means any Person or Persons that are an obligor in respect of any loan or other financial accommodation.</w:t>
      </w:r>
    </w:p>
    <w:p>
      <w:pPr>
        <w:spacing w:after="0" w:line="17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 Interest Rate</w:t>
      </w:r>
      <w:r>
        <w:rPr>
          <w:rFonts w:ascii="Times New Roman" w:cs="Times New Roman" w:eastAsia="Times New Roman" w:hAnsi="Times New Roman"/>
          <w:sz w:val="22"/>
          <w:szCs w:val="22"/>
          <w:color w:val="auto"/>
        </w:rPr>
        <w:t>” means, with respect to any Receivable, the contractual interest rate per annum payable by the Account Debtor under the terms of such Receivable.</w:t>
      </w:r>
    </w:p>
    <w:p>
      <w:pPr>
        <w:spacing w:after="0" w:line="15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Debt</w:t>
      </w:r>
      <w:r>
        <w:rPr>
          <w:rFonts w:ascii="Times New Roman" w:cs="Times New Roman" w:eastAsia="Times New Roman" w:hAnsi="Times New Roman"/>
          <w:sz w:val="22"/>
          <w:szCs w:val="22"/>
          <w:color w:val="auto"/>
        </w:rPr>
        <w:t>” means, in connection with an acquisition, Indebtedness of a Person operating a Permitted Business existing at the time the Person becomes a Subsidiary and not incurred in connection with, or in contemplation of, the Person becoming a Subsidiary.</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Barclays Bank PLC in its capacity as administrative agent for the Lenders hereunder.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w:t>
      </w:r>
      <w:r>
        <w:rPr>
          <w:rFonts w:ascii="Times New Roman" w:cs="Times New Roman" w:eastAsia="Times New Roman" w:hAnsi="Times New Roman"/>
          <w:sz w:val="22"/>
          <w:szCs w:val="22"/>
          <w:color w:val="auto"/>
        </w:rPr>
        <w:t>” has the meaning assigned to it in Section 9.03(d).</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means, for any day, a rate per annum equal to the greatest of (a) the Prime Rate in effect on such day, (b) the NYFRB Rate in effect on such day plus ½ of 1% and (c) the Term SOFR for a one-month Interest Period on such day plus 1%. Any change in the Alternate Base Rate due to a change in the Prime Rate, the NYFRB Rate or the Term SOFR shall be effective from and including the effective date of such change in the Prime Rate, the NYFRB Rate or the Term SOFR, respectively. If the Alternate Base Rate is being used as an alternate rate of interest pursuant to Section 2.14,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has the meaning assigned to it in Section 9.06(b).</w:t>
      </w:r>
    </w:p>
    <w:p>
      <w:pPr>
        <w:spacing w:after="0" w:line="26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Holdings or any of its Subsidiaries from time to time concerning or relating to bribery or corruption.</w:t>
      </w:r>
    </w:p>
    <w:p>
      <w:pPr>
        <w:spacing w:after="0" w:line="15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any and all federal, state, local and applicable foreign law, statutes, ordinances, rules, regulations, court orders and decrees, administrative orders and decrees, and other legal requirements applicable to the Loans, the Loan Documents, the Borrower or Originator.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Party</w:t>
      </w:r>
      <w:r>
        <w:rPr>
          <w:rFonts w:ascii="Times New Roman" w:cs="Times New Roman" w:eastAsia="Times New Roman" w:hAnsi="Times New Roman"/>
          <w:sz w:val="22"/>
          <w:szCs w:val="22"/>
          <w:color w:val="auto"/>
        </w:rPr>
        <w:t>” has the meaning assigned to it in Section 8.03(c).</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the percentage of the total Commitments represented by such Lender’s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Section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2.20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61"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for any day, with respect to any ABR Loan, 0.85% per annum, and with respect to any SOFR Loan, 1.85% per annum.</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 has the meaning assigned to it in Section 8.03(a).</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APR</w:t>
      </w:r>
      <w:r>
        <w:rPr>
          <w:rFonts w:ascii="Times New Roman" w:cs="Times New Roman" w:eastAsia="Times New Roman" w:hAnsi="Times New Roman"/>
          <w:sz w:val="22"/>
          <w:szCs w:val="22"/>
          <w:color w:val="auto"/>
        </w:rPr>
        <w:t>” means, with respect to any Receivable, the annual percentage rate required to be disclosed on the truth-in-lending statement delivered to the Account Debtor with respect to such Receivable.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individually or collectively, Barclays Bank PLC, in its capacity as lead arranger hereunder.</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Maturity Date and the date of termination of the Commitments.</w:t>
      </w:r>
    </w:p>
    <w:p>
      <w:pPr>
        <w:spacing w:after="0" w:line="145" w:lineRule="exact"/>
        <w:rPr>
          <w:sz w:val="20"/>
          <w:szCs w:val="20"/>
          <w:color w:val="auto"/>
        </w:rPr>
      </w:pPr>
    </w:p>
    <w:p>
      <w:pPr>
        <w:jc w:val="both"/>
        <w:ind w:right="240"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any tenor for such Benchmark or payment period for interest calculated with reference to such Benchmark, as applicable, that is or may be used for determining the length of an Interest Period pursuant to this Agreement as of such date and, for the avoidance of doubt, shall exclude any tenor for such Benchmark that is removed from the definition of “Interest Period” pursuant to clause (e) of Section 2.14.</w:t>
      </w:r>
    </w:p>
    <w:p>
      <w:pPr>
        <w:spacing w:after="0" w:line="19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4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Benchmark Replacement Date with respect thereto have occurred with respect to Term SOFR or the then-current Benchmark, then “Benchmark” means the applicable Benchmark Replacement to the extent that such Benchmark Replacement has replaced such prior benchmark rate pursuant to clause (b) or (c) of Section 2.14.</w:t>
      </w:r>
    </w:p>
    <w:p>
      <w:pPr>
        <w:spacing w:after="0" w:line="19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w:t>
      </w:r>
    </w:p>
    <w:p>
      <w:pPr>
        <w:spacing w:after="0" w:line="159" w:lineRule="exact"/>
        <w:rPr>
          <w:sz w:val="20"/>
          <w:szCs w:val="20"/>
          <w:color w:val="auto"/>
        </w:rPr>
      </w:pPr>
    </w:p>
    <w:p>
      <w:pPr>
        <w:ind w:left="1200" w:hanging="436"/>
        <w:spacing w:after="0"/>
        <w:tabs>
          <w:tab w:leader="none" w:pos="12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Daily Simple SOFR;</w:t>
      </w:r>
    </w:p>
    <w:p>
      <w:pPr>
        <w:spacing w:after="0" w:line="260" w:lineRule="exact"/>
        <w:rPr>
          <w:rFonts w:ascii="Times New Roman" w:cs="Times New Roman" w:eastAsia="Times New Roman" w:hAnsi="Times New Roman"/>
          <w:sz w:val="20"/>
          <w:szCs w:val="20"/>
          <w:color w:val="auto"/>
        </w:rPr>
      </w:pPr>
    </w:p>
    <w:p>
      <w:pPr>
        <w:jc w:val="both"/>
        <w:ind w:left="1120" w:right="380" w:hanging="357"/>
        <w:spacing w:after="0" w:line="282" w:lineRule="auto"/>
        <w:tabs>
          <w:tab w:leader="none" w:pos="132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sum of: (a) the alternate benchmark rate that has been selected by the Administrative Agent and the Borrower as the replacement for the then-current Benchmark for the applicable Corresponding Tenor giving due consideration to</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1" w:lineRule="exact"/>
        <w:rPr>
          <w:sz w:val="20"/>
          <w:szCs w:val="20"/>
          <w:color w:val="auto"/>
        </w:rPr>
      </w:pPr>
    </w:p>
    <w:p>
      <w:pPr>
        <w:jc w:val="both"/>
        <w:ind w:left="1120" w:right="360" w:hanging="1"/>
        <w:spacing w:after="0" w:line="282" w:lineRule="auto"/>
        <w:tabs>
          <w:tab w:leader="none" w:pos="138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Benchmark Replacement Adjustment with respect thereto;</w:t>
      </w:r>
    </w:p>
    <w:p>
      <w:pPr>
        <w:spacing w:after="0" w:line="175"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1"/>
          <w:szCs w:val="21"/>
          <w:color w:val="auto"/>
        </w:rPr>
        <w:t>If the Benchmark Replacement as determined pursuant to clause (1) or (2) above of this definition would be less than the Floor, the Benchmark Replacement will be deemed to be the Floor for the purposes of this Agreement and the other Loan Documents.</w:t>
      </w:r>
    </w:p>
    <w:p>
      <w:pPr>
        <w:spacing w:after="0" w:line="122" w:lineRule="exact"/>
        <w:rPr>
          <w:sz w:val="20"/>
          <w:szCs w:val="20"/>
          <w:color w:val="auto"/>
        </w:rPr>
      </w:pPr>
    </w:p>
    <w:p>
      <w:pPr>
        <w:jc w:val="both"/>
        <w:ind w:firstLine="607"/>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4" w:lineRule="exact"/>
        <w:rPr>
          <w:sz w:val="20"/>
          <w:szCs w:val="20"/>
          <w:color w:val="auto"/>
        </w:rPr>
      </w:pPr>
    </w:p>
    <w:p>
      <w:pPr>
        <w:jc w:val="both"/>
        <w:ind w:firstLine="675"/>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Benchmark:</w:t>
      </w:r>
    </w:p>
    <w:p>
      <w:pPr>
        <w:spacing w:after="0" w:line="247" w:lineRule="exact"/>
        <w:rPr>
          <w:sz w:val="20"/>
          <w:szCs w:val="20"/>
          <w:color w:val="auto"/>
        </w:rPr>
      </w:pPr>
    </w:p>
    <w:p>
      <w:pPr>
        <w:jc w:val="both"/>
        <w:ind w:left="660" w:right="80" w:hanging="4"/>
        <w:spacing w:after="0" w:line="282" w:lineRule="auto"/>
        <w:tabs>
          <w:tab w:leader="none" w:pos="11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1" w:lineRule="exact"/>
        <w:rPr>
          <w:rFonts w:ascii="Times New Roman" w:cs="Times New Roman" w:eastAsia="Times New Roman" w:hAnsi="Times New Roman"/>
          <w:sz w:val="22"/>
          <w:szCs w:val="22"/>
          <w:color w:val="auto"/>
        </w:rPr>
      </w:pPr>
    </w:p>
    <w:p>
      <w:pPr>
        <w:jc w:val="both"/>
        <w:ind w:left="660" w:right="80" w:hanging="4"/>
        <w:spacing w:after="0" w:line="276" w:lineRule="auto"/>
        <w:tabs>
          <w:tab w:leader="none" w:pos="113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31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6" w:lineRule="exact"/>
        <w:rPr>
          <w:sz w:val="20"/>
          <w:szCs w:val="20"/>
          <w:color w:val="auto"/>
        </w:rPr>
      </w:pPr>
    </w:p>
    <w:p>
      <w:pPr>
        <w:ind w:left="120" w:right="400" w:firstLine="647"/>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9" w:lineRule="exact"/>
        <w:rPr>
          <w:sz w:val="20"/>
          <w:szCs w:val="20"/>
          <w:color w:val="auto"/>
        </w:rPr>
      </w:pPr>
    </w:p>
    <w:p>
      <w:pPr>
        <w:jc w:val="both"/>
        <w:ind w:left="660" w:right="80" w:hanging="4"/>
        <w:spacing w:after="0" w:line="279" w:lineRule="auto"/>
        <w:tabs>
          <w:tab w:leader="none" w:pos="120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jc w:val="both"/>
        <w:ind w:left="660" w:right="80" w:hanging="4"/>
        <w:spacing w:after="0" w:line="276" w:lineRule="auto"/>
        <w:tabs>
          <w:tab w:leader="none" w:pos="131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9" w:lineRule="exact"/>
        <w:rPr>
          <w:rFonts w:ascii="Times New Roman" w:cs="Times New Roman" w:eastAsia="Times New Roman" w:hAnsi="Times New Roman"/>
          <w:sz w:val="22"/>
          <w:szCs w:val="22"/>
          <w:color w:val="auto"/>
        </w:rPr>
      </w:pPr>
    </w:p>
    <w:p>
      <w:pPr>
        <w:jc w:val="both"/>
        <w:ind w:left="660" w:right="80" w:hanging="4"/>
        <w:spacing w:after="0" w:line="279" w:lineRule="auto"/>
        <w:tabs>
          <w:tab w:leader="none" w:pos="131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3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6" w:lineRule="exact"/>
        <w:rPr>
          <w:sz w:val="20"/>
          <w:szCs w:val="20"/>
          <w:color w:val="auto"/>
        </w:rPr>
      </w:pPr>
    </w:p>
    <w:p>
      <w:pPr>
        <w:jc w:val="both"/>
        <w:ind w:firstLine="445"/>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means the period (if any) (x) beginning at the time that a Benchmark Replacement Date has occurred if, at such time, no Benchmark Replacement has replaced the then-current Benchmark for all purposes hereunder and under any Loan Document in accordance with Section 2.14 and (y) ending at the time that a Benchmark Replacement has replaced the then-current Benchmark for all purposes hereunder and under any Loan Document in accordance with Section 2.14.</w:t>
      </w:r>
    </w:p>
    <w:p>
      <w:pPr>
        <w:spacing w:after="0" w:line="160"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Bookrunners</w:t>
      </w:r>
      <w:r>
        <w:rPr>
          <w:rFonts w:ascii="Times New Roman" w:cs="Times New Roman" w:eastAsia="Times New Roman" w:hAnsi="Times New Roman"/>
          <w:sz w:val="22"/>
          <w:szCs w:val="22"/>
          <w:color w:val="auto"/>
        </w:rPr>
        <w:t>” means Barclays Bank PLC, in its capacity as bookrunner hereunder.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Affirm, Inc., a Delaware corporation.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Revolving Borrowing.</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means a request by the Borrower for a Revolving Borrowing in accordance with Section 2.03, which shall be substantially in the form of Exhibit B or any other form approved by the Administrative Agent.</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when used in connection with a SOFR Loan, the term “Business Day” shall also exclude any day on which banks are not open for dealings in dollar deposits in the London interbank market.</w:t>
      </w:r>
    </w:p>
    <w:p>
      <w:pPr>
        <w:spacing w:after="0" w:line="161"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 Obligations</w:t>
      </w:r>
      <w:r>
        <w:rPr>
          <w:rFonts w:ascii="Times New Roman" w:cs="Times New Roman" w:eastAsia="Times New Roman" w:hAnsi="Times New Roman"/>
          <w:sz w:val="21"/>
          <w:szCs w:val="21"/>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any of the following: (a) marketable direct obligations issued by, or unconditionally guaranteed or insured by, the United States Government or issued by any agency thereof, in each case maturing within ninety</w:t>
      </w:r>
    </w:p>
    <w:p>
      <w:pPr>
        <w:spacing w:after="0" w:line="2" w:lineRule="exact"/>
        <w:rPr>
          <w:sz w:val="20"/>
          <w:szCs w:val="20"/>
          <w:color w:val="auto"/>
        </w:rPr>
      </w:pPr>
    </w:p>
    <w:p>
      <w:pPr>
        <w:jc w:val="both"/>
        <w:ind w:firstLine="8"/>
        <w:spacing w:after="0" w:line="276" w:lineRule="auto"/>
        <w:tabs>
          <w:tab w:leader="none" w:pos="44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or less after the date of the applicable financial statement reporting such amounts, (b) certificates of deposit, time deposits or eurodollar or SOFR time deposits having maturities of ninety (90) days or less after the date of the applicable financial statement reporting such amounts, or overnight bank deposits, issued by any well-capitalized commercial bank organized under the laws of the United States or any state thereof having combined capital and surplus of not less than $500,000,000, (c) repurchase obligations of any commercial bank satisfying the requirements of clause (b) of this definition, having a term of not more than seven (7) days with respect to securities issued or fully guaranteed or insured by the United States Government, (d) commercial paper of a domestic issuer rated at least A-1 or the equivalent thereof by S&amp;P or P-1 or the equivalent thereof by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Moody’s and in either case maturing within ninety (90) days after the day of acquisition, (e) securities with maturities of ninety</w:t>
      </w:r>
    </w:p>
    <w:p>
      <w:pPr>
        <w:spacing w:after="0" w:line="44" w:lineRule="exact"/>
        <w:rPr>
          <w:sz w:val="20"/>
          <w:szCs w:val="20"/>
          <w:color w:val="auto"/>
        </w:rPr>
      </w:pPr>
    </w:p>
    <w:p>
      <w:pPr>
        <w:jc w:val="both"/>
        <w:ind w:firstLine="8"/>
        <w:spacing w:after="0" w:line="284" w:lineRule="auto"/>
        <w:tabs>
          <w:tab w:leader="none" w:pos="43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ninety (90) days or less from the date of acquisition backed by standby letters of credit issued by any commercial bank satisfying the requirements of clause</w:t>
      </w:r>
    </w:p>
    <w:p>
      <w:pPr>
        <w:spacing w:after="0" w:line="2" w:lineRule="exact"/>
        <w:rPr>
          <w:rFonts w:ascii="Times New Roman" w:cs="Times New Roman" w:eastAsia="Times New Roman" w:hAnsi="Times New Roman"/>
          <w:sz w:val="21"/>
          <w:szCs w:val="21"/>
          <w:color w:val="auto"/>
        </w:rPr>
      </w:pPr>
    </w:p>
    <w:p>
      <w:pPr>
        <w:spacing w:after="0" w:line="29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of this definition, (g) shares of money market mutual or similar funds or (h) 70% of the unencumbered marketable securities in the Borrower or its Subsidiaries’ accounts.</w:t>
      </w:r>
    </w:p>
    <w:p>
      <w:pPr>
        <w:spacing w:after="0" w:line="159"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 the sale, lease or transfer, in one or a series of related transactions, of all or substantially all the assets of Holdings and its Subsidiaries, taken as a whole, to a person other than any of the Permitted Holders, (b) Holdings ceases to own directly or indirectly 100% of the issued and outstanding equity interests of the Borrower or (c) the acquisition of ownership, directly or indirectly, beneficially or of record, by any Person or group (within the meaning of the Exchange Act and the rules of the SEC thereunder as in effect on the date hereof) other than any of the Permitted Holders, of Equity Interests representing more than 45% of the aggregate ordinary voting power represented by the issued and outstanding Equity Interests of Holdings, unless the Permitted Holders have, at such time, the right or the ability by voting power, contract or otherwise to elect or designate for election at least a majority of the members of the board of directors or equivalent governing body of Holdings. For purposes of determining Equity Interests of Holdings owned by the Permitted Holders under the preceding clause (b), all amounts indirectly or beneficially owned by the Permitted Holders shall be included in the determination thereof.</w:t>
      </w:r>
    </w:p>
    <w:p>
      <w:pPr>
        <w:spacing w:after="0" w:line="1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Notwithstanding the foregoing: (i) the transfer of assets between or among Holdings and its Subsidiaries shall not itself constitute a Change in Control and (ii) a Person or group shall not be deemed to have beneficial ownership of securities subject to a stock purchase agreement, merger agreement or similar agreement (or voting or option agreement related thereto) prior to the consummation of the transactions contemplated by such agreement.</w:t>
      </w:r>
    </w:p>
    <w:p>
      <w:pPr>
        <w:spacing w:after="0" w:line="17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In addition, notwithstanding the foregoing, a transaction in which Holdings or a parent entity of Holdings becomes a Subsidiary of another Person (such Person, the “</w:t>
      </w:r>
      <w:r>
        <w:rPr>
          <w:rFonts w:ascii="Times New Roman" w:cs="Times New Roman" w:eastAsia="Times New Roman" w:hAnsi="Times New Roman"/>
          <w:sz w:val="22"/>
          <w:szCs w:val="22"/>
          <w:u w:val="single" w:color="auto"/>
          <w:color w:val="auto"/>
        </w:rPr>
        <w:t>New Parent</w:t>
      </w:r>
      <w:r>
        <w:rPr>
          <w:rFonts w:ascii="Times New Roman" w:cs="Times New Roman" w:eastAsia="Times New Roman" w:hAnsi="Times New Roman"/>
          <w:sz w:val="22"/>
          <w:szCs w:val="22"/>
          <w:color w:val="auto"/>
        </w:rPr>
        <w:t>”) shall not constitute a Change in Control if the equityholders of Holdings or such parent entity immediately prior to such transaction beneficially own, directly or indirectly through one or more intermediaries, at least a majority of the total voting power of the equity interests of Holdings or such New Parent immediately following the consummation of such transaction.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for purposes of Section 2.15(b),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 Receivable that has been (a) specifically and separately reserved against by the Borrower or any of its Subsidiaries (other than Specified Subsidiaries) or (b) deemed charged-off or non-collectible by the Borrower or any of its Subsidiaries (other than Specified Subsidiaries) or that should have been charged off consistent with the Underwriting/Servicing Policies.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has the meaning assigned to it in Section 9.14.</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47"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means, with respect to each Lender, the amount set forth on Schedule 2.01 opposite such Lender’s name,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reduction in such amount from time to time pursuant to Section 2.09,</w:t>
      </w:r>
    </w:p>
    <w:p>
      <w:pPr>
        <w:jc w:val="both"/>
        <w:ind w:firstLine="8"/>
        <w:spacing w:after="0" w:line="282" w:lineRule="auto"/>
        <w:tabs>
          <w:tab w:leader="none" w:pos="31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increases from time to time pursuant to an Increased Commitment Supplement and (c) any reduction or increase in such amount from time to time pursuant to assignments by or to such Lender pursuant to Section 9.04;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no time shall the Revolving Credit Exposure of any Lender exceed its Commitment. The initial aggregate amount of the Lenders’ Commitments is $165,000,000.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has the meaning assigned to it in Section 8.03(c).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3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Assets</w:t>
      </w:r>
      <w:r>
        <w:rPr>
          <w:rFonts w:ascii="Times New Roman" w:cs="Times New Roman" w:eastAsia="Times New Roman" w:hAnsi="Times New Roman"/>
          <w:sz w:val="22"/>
          <w:szCs w:val="22"/>
          <w:color w:val="auto"/>
        </w:rPr>
        <w:t>” means the total assets of Holdings and its Subsidiaries, determined on a consolidated basis in accordance with GAAP, as shown on the balance sheet as of the end of the most recent fiscal quarter for which financial statements have been delivered, adjusted on a pro forma basis to reflect any acquisition or dispositions of assets.</w:t>
      </w:r>
    </w:p>
    <w:p>
      <w:pPr>
        <w:spacing w:after="0" w:line="16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3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Administrative Agent or any Lender.</w:t>
      </w:r>
    </w:p>
    <w:p>
      <w:pPr>
        <w:spacing w:after="0" w:line="247"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Cumulative Default Amount</w:t>
      </w:r>
      <w:r>
        <w:rPr>
          <w:rFonts w:ascii="Times New Roman" w:cs="Times New Roman" w:eastAsia="Times New Roman" w:hAnsi="Times New Roman"/>
          <w:sz w:val="21"/>
          <w:szCs w:val="21"/>
          <w:color w:val="auto"/>
        </w:rPr>
        <w:t>” means, for any Quarterly Vintage, the aggregate of the Default Amounts of all Past/Present Financed Receivables in such Quarterly Vintage that became Defaulted Receivables at any time after the Effective Date.</w:t>
      </w:r>
    </w:p>
    <w:p>
      <w:pPr>
        <w:spacing w:after="0" w:line="14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Default Ratio</w:t>
      </w:r>
      <w:r>
        <w:rPr>
          <w:rFonts w:ascii="Times New Roman" w:cs="Times New Roman" w:eastAsia="Times New Roman" w:hAnsi="Times New Roman"/>
          <w:sz w:val="22"/>
          <w:szCs w:val="22"/>
          <w:color w:val="auto"/>
        </w:rPr>
        <w:t>” means, for any Quarterly Vintage, the ratio expressed as a percentage of (i) the Cumulative Default Amount for such Quarterly Vintage to (ii) the sum of the initial Receivable Balances of all Past/Present Financed Receivables in such Quarterly Vintage. The Cumulative Default Ratio for each Quarterly Vintage shall be calculated as of the last day of the most recently ended calendar quarter and shall be reported on each quarterly report delivered pursuant to Section 5.01(e)(ii).</w:t>
      </w:r>
    </w:p>
    <w:p>
      <w:pPr>
        <w:spacing w:after="0" w:line="17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w:t>
      </w:r>
      <w:r>
        <w:rPr>
          <w:rFonts w:ascii="Times New Roman" w:cs="Times New Roman" w:eastAsia="Times New Roman" w:hAnsi="Times New Roman"/>
          <w:sz w:val="22"/>
          <w:szCs w:val="22"/>
          <w:color w:val="auto"/>
        </w:rPr>
        <w:t>” means that in the good faith judgment of the Borrower’s senior management, (a) the terms are customary in the market or (b) such terms are not customary but are not materially worse for the Lenders than customary terms.</w:t>
      </w:r>
    </w:p>
    <w:p>
      <w:pPr>
        <w:spacing w:after="0" w:line="172"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the greater of (a) SOFR for the day (such day “i”)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Administrator’s Website, and (b) the Floor. If by 5:00 pm (New York City time) on the second (2nd) U.S. Government Securities Business Day immediately following any day “i”, the SOFR in respect of such day “i” has not been published on the SOFR Administrator’s Website and a Benchmark Replacement Date with respect to the Daily Simple SOFR has not occurred, then the SOFR for such day “i” will be the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8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w:t>
      </w:r>
      <w:r>
        <w:rPr>
          <w:rFonts w:ascii="Times New Roman" w:cs="Times New Roman" w:eastAsia="Times New Roman" w:hAnsi="Times New Roman"/>
          <w:sz w:val="22"/>
          <w:szCs w:val="22"/>
          <w:color w:val="auto"/>
        </w:rPr>
        <w:t>” means, collectively, the Bankruptcy Code and all other United States federal, State or foreign applicable liquidation, conservatorship, bankruptcy, moratorium, rearrangement, receivership, insolvency, reorganization or similar debtor relief laws from time to time in effect affecting the rights of creditors generally, as amended from time to time.</w:t>
      </w:r>
    </w:p>
    <w:p>
      <w:pPr>
        <w:spacing w:after="0" w:line="16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45"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Amount</w:t>
      </w:r>
      <w:r>
        <w:rPr>
          <w:rFonts w:ascii="Times New Roman" w:cs="Times New Roman" w:eastAsia="Times New Roman" w:hAnsi="Times New Roman"/>
          <w:sz w:val="22"/>
          <w:szCs w:val="22"/>
          <w:color w:val="auto"/>
        </w:rPr>
        <w:t>” means, for any Defaulted Receivable, the outstanding Receivable Balance of such Receivable at the time such Receivable became a Defaulted Receivable.</w:t>
      </w:r>
    </w:p>
    <w:p>
      <w:pPr>
        <w:spacing w:after="0" w:line="15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as of any date of determination, a Receivable (i) for which the related Account Debtor is more than 120 calendar days past due on all or any portion of any payment required to be made thereunder in an amount greater than $1.00, (ii) for which the related Account Debtor is the subject of a proceeding under a Debtor Relief Law and the Borrower or any of its Subsidiaries has knowledge of such proceeding, or (iii) which constitutes a Charged-Off Receivable and has an outstanding principal balance of more than $1.00.</w:t>
      </w:r>
    </w:p>
    <w:p>
      <w:pPr>
        <w:spacing w:after="0" w:line="19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within two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18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means, as of any date of determination, a Receivable (other than any Defaulted Receivable, any Fraudulent Receivable that has been repurchased or substituted for by the Borrower and any Designated Receivable that has been sold to a Designated Receivable Purchaser pursuant to the related Designated Receivable Sale Agreement) for which the related Account Debtor is more than 30 calendar days past due on all or any portion of any payment required to be made thereunder in an amount greater than $1.00.</w:t>
      </w:r>
    </w:p>
    <w:p>
      <w:pPr>
        <w:spacing w:after="0" w:line="190"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 Ratio</w:t>
      </w:r>
      <w:r>
        <w:rPr>
          <w:rFonts w:ascii="Times New Roman" w:cs="Times New Roman" w:eastAsia="Times New Roman" w:hAnsi="Times New Roman"/>
          <w:sz w:val="22"/>
          <w:szCs w:val="22"/>
          <w:color w:val="auto"/>
        </w:rPr>
        <w:t>” means, for any Due Period, the percentage equivalent of a fraction, (x) the numerator of which is equal to the sum of the Receivable Balances of each Past/Present Financed Receivable that is a Delinquent Receivable, and (y) the denominator of which is the sum of the Receivable Balances of each Past/Present Financed Receivable, in each case determined as of the end of such Due Period.</w:t>
      </w:r>
    </w:p>
    <w:p>
      <w:pPr>
        <w:spacing w:after="0" w:line="19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w:t>
      </w:r>
      <w:r>
        <w:rPr>
          <w:rFonts w:ascii="Times New Roman" w:cs="Times New Roman" w:eastAsia="Times New Roman" w:hAnsi="Times New Roman"/>
          <w:sz w:val="22"/>
          <w:szCs w:val="22"/>
          <w:color w:val="auto"/>
        </w:rPr>
        <w:t>” means any Receivable (a) where if the Account Debtor of such Receivable was a resident of the State of New York, Vermont or Connecticut as of the related Origination Date, such Receivable’s APR exceeds the applicable maximum rate of interest prescribed in the usury statute(s) of such State for consumer loans, including any rate that solely gives rise to civil remedies, notwithstanding the fact that (i) such Receivable may not have been subject to the Applicable Law of such State on the applicable Origination Date or (ii) the Applicable Law of such State did not, or does not, apply to Originator or the Borrower, and (b) which Receivable’s APR or Account Debtor Interest Rate, as applicable, exceeds the then applicable maximum rate of interest prescribed for consumer loans in the usury statute(s) of the State in which the Account Debtor was a resident as of the related Origination Date, excluding any rate that solely gives rise to civil remedies.</w:t>
      </w:r>
    </w:p>
    <w:p>
      <w:pPr>
        <w:spacing w:after="0" w:line="17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 Purchaser</w:t>
      </w:r>
      <w:r>
        <w:rPr>
          <w:rFonts w:ascii="Times New Roman" w:cs="Times New Roman" w:eastAsia="Times New Roman" w:hAnsi="Times New Roman"/>
          <w:sz w:val="22"/>
          <w:szCs w:val="22"/>
          <w:color w:val="auto"/>
        </w:rPr>
        <w:t>” means an entity designated by the Borrower in writing to the Administrative Agent and the Lenders and for which the Borrower has provided the Administrative Agent and the Lenders reasonable comfort (including, if requested, an opinion of outside counsel) that neither the Borrower nor any of its Subsidiaries would be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substantively consolidated into such entity in the event of a bankruptcy or other insolvency proceeding where such entity is the debtor.</w:t>
      </w:r>
    </w:p>
    <w:p>
      <w:pPr>
        <w:spacing w:after="0" w:line="132"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Receivable Sale Agreement</w:t>
      </w:r>
      <w:r>
        <w:rPr>
          <w:rFonts w:ascii="Times New Roman" w:cs="Times New Roman" w:eastAsia="Times New Roman" w:hAnsi="Times New Roman"/>
          <w:sz w:val="22"/>
          <w:szCs w:val="22"/>
          <w:color w:val="auto"/>
        </w:rPr>
        <w:t>” means, with respect to a Designated Receivable Purchaser, a transfer agreement to be entered into among the Borrower, such Designated Receivable Purchaser and others pursuant to which the Borrower may sell, from time to time, Designated Receivables to such Designated Receivable Purchaser, in form and substance reasonably satisfactory to the Administrative Agent (including as it relates to matters of true sale), as such agreement may be amended, restated, supplemented or otherwise modified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Disclosed Matters</w:t>
      </w:r>
      <w:r>
        <w:rPr>
          <w:rFonts w:ascii="Times New Roman" w:cs="Times New Roman" w:eastAsia="Times New Roman" w:hAnsi="Times New Roman"/>
          <w:sz w:val="22"/>
          <w:szCs w:val="22"/>
          <w:color w:val="auto"/>
        </w:rPr>
        <w:t>” has the meaning assigned to it in Section 3.06(a).</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6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Equity Interests</w:t>
      </w:r>
      <w:r>
        <w:rPr>
          <w:rFonts w:ascii="Times New Roman" w:cs="Times New Roman" w:eastAsia="Times New Roman" w:hAnsi="Times New Roman"/>
          <w:sz w:val="21"/>
          <w:szCs w:val="21"/>
          <w:color w:val="auto"/>
        </w:rPr>
        <w:t xml:space="preserve">” means Equity Interests that by their terms or upon the happening of any event are (a) required to be redeemed or redeemable at the option of the holder prior to the Maturity Date for consideration other than Qualified Equity Interests or (b) convertible at the option of the holder into Disqualified Equity Interests or exchangeable for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Equity Interests will not constitute Disqualified Equity Interests solely because of provisions giving holders thereof the right to require repurchase or redemption upon an “asset sale” or “change in control” occurring prior to the Maturity Date if those provisions (i) are no more favorable to the holders thereof than to the Lenders under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-389890</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firstLine="8"/>
        <w:spacing w:after="0" w:line="309" w:lineRule="auto"/>
        <w:tabs>
          <w:tab w:leader="none" w:pos="32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specifically state that repurchase or redemption pursuant thereto will not be required prior to any required prepayments under this Agreement.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 of America.</w:t>
      </w:r>
    </w:p>
    <w:p>
      <w:pPr>
        <w:spacing w:after="0" w:line="23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any political subdivision of the United States, excluding (x) any such Subsidiary substantially all of the assets of which consist of Equity Interests in one or more Subsidiaries that are “controlled foreign corporations” within the meaning of Section 957 of the Code and (y) any such Subsidiary that is owned (directly or indirectly) by a Subsidiary that is a “controlled foreign corporation” within the meaning of Section 957 of the Code.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7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Period</w:t>
      </w:r>
      <w:r>
        <w:rPr>
          <w:rFonts w:ascii="Times New Roman" w:cs="Times New Roman" w:eastAsia="Times New Roman" w:hAnsi="Times New Roman"/>
          <w:sz w:val="22"/>
          <w:szCs w:val="22"/>
          <w:color w:val="auto"/>
        </w:rPr>
        <w:t>” means (i) the period from and including the Effective Date to and including the last day of the first calendar month ending after the Effective Date and (ii) each subsequent calendar month.</w:t>
      </w:r>
    </w:p>
    <w:p>
      <w:pPr>
        <w:spacing w:after="0" w:line="132"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on which the conditions specified in Section 4.01 are satisfied (or waived in accordance with Section 9.02).</w:t>
      </w:r>
    </w:p>
    <w:p>
      <w:pPr>
        <w:spacing w:after="0" w:line="14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32"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 as they relate to exposure to Hazardous Materials.</w:t>
      </w:r>
    </w:p>
    <w:p>
      <w:pPr>
        <w:spacing w:after="0" w:line="16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4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5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endangered or critical status, within the meaning of Title IV of ERISA.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Recipient</w:t>
      </w:r>
      <w:r>
        <w:rPr>
          <w:rFonts w:ascii="Times New Roman" w:cs="Times New Roman" w:eastAsia="Times New Roman" w:hAnsi="Times New Roman"/>
          <w:sz w:val="22"/>
          <w:szCs w:val="22"/>
          <w:color w:val="auto"/>
        </w:rPr>
        <w:t>” has the meaning assigned to it in Section 9.18.</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assigned to such term in Section 7.01.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7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xml:space="preserve">” means (a) any Subsidiary that is prohibited by applicable law, rule or regulation (including in respect of any self-regulatory organization) or by any contractual obligation to which such Subsidiary is a party or by which it or any of its property or assets is bound from guaranteeing the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agreement, instrument or other undertaking (i) is in existence on the Effective Date (or, with respect to a Subsidiary acquired after the Effective Date, as of the date such acquisition) and (ii) in the case of a Subsidiary acquired after the Effective Date, was not entered into in connection with, or in contemplation of, such acquisition, (b) any Subsidiary with respect to which guaranteeing the Obligations would require consent, approval, license or authorization from any Governmental Authority or self-regulatory organization, unless such consent, approval, license or authorization has been obtained, (c) any other Subsidiary with respect to which the Administrative Agent, in consultation with the Borrower, consents to the exclusion thereof either because the burden or cost or other consequences is excessive in view of the benefits to be obtained by the Lenders or otherwise, (d) any Subsidiary that is a broker-dealer, (e) an Immaterial Subsidiary, (f) a Securitization Subsidiary and (g) a Specified Subsidiary. Excluded Subsidiaries as of the Effective Date are set forth on Schedule 5.09.</w:t>
      </w:r>
    </w:p>
    <w:p>
      <w:pPr>
        <w:spacing w:after="0" w:line="17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withholding Taxes imposed under FATCA.</w:t>
      </w:r>
    </w:p>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Experimental or Exploratory Receivable</w:t>
      </w:r>
      <w:r>
        <w:rPr>
          <w:rFonts w:ascii="Times New Roman" w:cs="Times New Roman" w:eastAsia="Times New Roman" w:hAnsi="Times New Roman"/>
          <w:sz w:val="22"/>
          <w:szCs w:val="22"/>
          <w:color w:val="auto"/>
        </w:rPr>
        <w:t xml:space="preserve">” means any Receivable designated as such by Borrower at the time of origination of such Receivable;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Receivable may be designated as an Experimental or Exploratory Receivable if after giving effect thereto, the aggregate Receivable Balance of all Experimental or Exploratory Receivables would exceed 2% of the Receivable Balance of all Receivables.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Federal Funds Effective Rate as so determined would be less than zero, such rate shall be deemed to be zero for the purposes of this Agreement.</w:t>
      </w:r>
    </w:p>
    <w:p>
      <w:pPr>
        <w:spacing w:after="0" w:line="16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Bank of New York’s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 America.</w:t>
      </w:r>
    </w:p>
    <w:p>
      <w:pPr>
        <w:spacing w:after="0" w:line="2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Financeable Assets</w:t>
      </w:r>
      <w:r>
        <w:rPr>
          <w:rFonts w:ascii="Times New Roman" w:cs="Times New Roman" w:eastAsia="Times New Roman" w:hAnsi="Times New Roman"/>
          <w:sz w:val="22"/>
          <w:szCs w:val="22"/>
          <w:color w:val="auto"/>
        </w:rPr>
        <w:t>” means (a) Receivables, (b) Residual Interests and (c) any assets related to the foregoing that are of the type transferred in connection with securitization transactions involving assets such as, or similar to, such Receivables or Residual Interests, as the case may be or other similar assets, interests in any of the foregoing and any collections or proceeds of any of the foregoing.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has the meaning assigned to it in Section 6.10.</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 Compliance</w:t>
      </w:r>
      <w:r>
        <w:rPr>
          <w:rFonts w:ascii="Times New Roman" w:cs="Times New Roman" w:eastAsia="Times New Roman" w:hAnsi="Times New Roman"/>
          <w:sz w:val="22"/>
          <w:szCs w:val="22"/>
          <w:color w:val="auto"/>
        </w:rPr>
        <w:t xml:space="preserve">” means compliance with the Financial Covenants levels set forth in Section 6.10 as of the last day of the most recent fiscal quarter for which financial statements have been delivered, whether or not any such Financial Covenant is required to be tested on such date, and on the proposed Borrowing date or on a Transaction Date, as applicable, if such compliance were determined on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 proposed Borrowing or a Restricted Payment, Tangible Net Worth may be calculated as of the last day of the most recent fiscal quarter for which financial statements have been delivered (or as of the last day of the most recent fiscal month for which financial statements are internally available) but adjusted on a pro forma basis to reflect any Restricted Payments made after such quarter end or month end and the Borrower’s good faith estimate of net income after such quarter end or month end.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Officer</w:t>
      </w:r>
      <w:r>
        <w:rPr>
          <w:rFonts w:ascii="Times New Roman" w:cs="Times New Roman" w:eastAsia="Times New Roman" w:hAnsi="Times New Roman"/>
          <w:sz w:val="21"/>
          <w:szCs w:val="21"/>
          <w:color w:val="auto"/>
        </w:rPr>
        <w:t>” means the chief financial officer, principal accounting officer, treasurer or controller of the Borrower.</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(or any successor thereto).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0.00%.</w:t>
      </w:r>
    </w:p>
    <w:p>
      <w:pPr>
        <w:spacing w:after="0" w:line="23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Fraudulent Receivable</w:t>
      </w:r>
      <w:r>
        <w:rPr>
          <w:rFonts w:ascii="Times New Roman" w:cs="Times New Roman" w:eastAsia="Times New Roman" w:hAnsi="Times New Roman"/>
          <w:sz w:val="22"/>
          <w:szCs w:val="22"/>
          <w:color w:val="auto"/>
        </w:rPr>
        <w:t>” means any Receivable that was fraudulently obtained by the related Account Debtor.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 as in effect from time to time.</w:t>
      </w:r>
    </w:p>
    <w:p>
      <w:pPr>
        <w:spacing w:after="0" w:line="2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in any manner, whether directly or indirectly, and including any obligation of the guarantor, direct or indirect,</w:t>
      </w:r>
    </w:p>
    <w:p>
      <w:pPr>
        <w:spacing w:after="0" w:line="1" w:lineRule="exact"/>
        <w:rPr>
          <w:sz w:val="20"/>
          <w:szCs w:val="20"/>
          <w:color w:val="auto"/>
        </w:rPr>
      </w:pPr>
    </w:p>
    <w:p>
      <w:pPr>
        <w:jc w:val="both"/>
        <w:ind w:firstLine="8"/>
        <w:spacing w:after="0" w:line="275" w:lineRule="auto"/>
        <w:tabs>
          <w:tab w:leader="none" w:pos="31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185"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Holdings and any Domestic Subsidiary of Holdings (other than the Borrower) that has delivered a Guaranty or a joinder agreement to a Guaranty pursuant to Section 4.01(a)(ii) or 5.09 hereof.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a guaranty agreement in substantially the form of Exhibit D hereto.</w:t>
      </w:r>
    </w:p>
    <w:p>
      <w:pPr>
        <w:spacing w:after="0" w:line="260"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per- and polyfluoroalkyl substances, radon gas, infectious or medical wastes and all other substances or wastes of any nature regulated pursuant to any Environmental Law.</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(i) any interest rate swap agreement, interest rate cap agreement or other agreement designed to protect against fluctuations in interest rates or (ii) any foreign exchange forward contract, currency swap agreement or other agreement designed to protect against fluctuations in foreign exchange rates.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means Affirm Holdings, Inc., a Delaware corporation.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 means ICE Benchmark Administration together with any successor thereto.</w:t>
      </w:r>
    </w:p>
    <w:p>
      <w:pPr>
        <w:spacing w:after="0" w:line="26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xml:space="preserve">” means, at any date of determination, any Subsidiary of the Borrower (a) whose Consolidated Total Assets as of the most recent available quarterly or year-end financial statements do not exceed 2.5% of the Consolidated Total Assets of Holdings and its Subsidiaries at such date and (b) whose revenues for the most recently ended four-quarter period for which financial statements are available do not exceed 2.5% of the consolidated revenues of Holdings and its Subsidiaries for such period, in each case determined 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Consolidated Total Assets of all such Subsidiaries as of the most recent available quarterly or year-end financial statements shall not exceed 5.0% of the Consolidated Total Assets of Holdings and its Subsidiaries at such date and (ii) the total revenues of all such Subsidiaries for the most recently ended four-quarter period for which financial statements are available shall not exceed 5.0% of the consolidated revenues of Holdings and its Subsidiaries for such period, in each case determined in accordance with GAAP. For any determination made as of or prior to the time any Person becomes an indirect or direct Subsidiary of the Borrower, such determination and designation shall be made based on financial statements provided by or on behalf of such Person in connection with the acquisition of such Person or such Person’s assets.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Increased Commitment Supplement</w:t>
      </w:r>
      <w:r>
        <w:rPr>
          <w:rFonts w:ascii="Times New Roman" w:cs="Times New Roman" w:eastAsia="Times New Roman" w:hAnsi="Times New Roman"/>
          <w:sz w:val="22"/>
          <w:szCs w:val="22"/>
          <w:color w:val="auto"/>
        </w:rPr>
        <w:t>” means a supplement to this Agreement executed pursuant to the terms of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Commitment</w:t>
      </w:r>
      <w:r>
        <w:rPr>
          <w:rFonts w:ascii="Times New Roman" w:cs="Times New Roman" w:eastAsia="Times New Roman" w:hAnsi="Times New Roman"/>
          <w:sz w:val="22"/>
          <w:szCs w:val="22"/>
          <w:color w:val="auto"/>
        </w:rPr>
        <w:t>” has the meaning assigned to such term in Section 2.21(a).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Facility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2.21(a)</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Loans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2.21(a)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with respect to any Person, without duplication,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within 90 days of the date the related goods are delivered or services are rendered, arising in the ordinary course of business, and other than to pay accrued expenses incurred in the ordinary course of business, (c) indebtedness of others secured by a lien on the property of such Person, whether or not the respective indebtedness so secured has been assumed by such Person, (d) obligations (contingent or otherwise) of such Person in respect of letters of credit or similar instruments issued or accepted by banks and other financial institutions for account of such Person, (e) Capital Lease Obligations of such Person, (f) obligations of such Person under repurchase agreements, sale/buy-back agreements or like arrangements, (g) indebtedness of others Guaranteed by such Person, (h) all obligations of such Person incurred in connection with the acquisition or carrying of fixed assets by such Person, (i) indebtedness of general partnerships of which such Person is a general partner and (j) any other indebtedness of such Person evidenced by a note, bond, debenture or similar instrument.</w:t>
      </w:r>
    </w:p>
    <w:p>
      <w:pPr>
        <w:spacing w:after="0" w:line="17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has the meaning assigned to it in Section 9.03(c).</w:t>
      </w:r>
    </w:p>
    <w:p>
      <w:pPr>
        <w:spacing w:after="0" w:line="24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Ineligible Institution</w:t>
      </w:r>
      <w:r>
        <w:rPr>
          <w:rFonts w:ascii="Times New Roman" w:cs="Times New Roman" w:eastAsia="Times New Roman" w:hAnsi="Times New Roman"/>
          <w:sz w:val="21"/>
          <w:szCs w:val="21"/>
          <w:color w:val="auto"/>
        </w:rPr>
        <w:t>” means (a) a natural person, (b) a Defaulting Lender or its Lender Parent, (c) a holding company, investment vehicle or trust for, or owned and operated for the primary benefit of, a natural person or relative(s) thereof or (d) the Borrower or any of its Affiliates; provided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significant part of its activities consist of making or purchasing commercial loans and similar extensions of credit in the ordinary course of its business.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has the meaning assigned to it in Section 9.12.</w:t>
      </w:r>
    </w:p>
    <w:p>
      <w:pPr>
        <w:spacing w:after="0" w:line="247"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Election Request</w:t>
      </w:r>
      <w:r>
        <w:rPr>
          <w:rFonts w:ascii="Times New Roman" w:cs="Times New Roman" w:eastAsia="Times New Roman" w:hAnsi="Times New Roman"/>
          <w:sz w:val="21"/>
          <w:szCs w:val="21"/>
          <w:color w:val="auto"/>
        </w:rPr>
        <w:t>” means a request by the Borrower to convert or continue a Revolving Borrowing in accordance with Section 2.08, which shall be substantially in the form of Exhibit C or any other form approved by the Administrative Agent.</w:t>
      </w:r>
    </w:p>
    <w:p>
      <w:pPr>
        <w:spacing w:after="0" w:line="14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or Daily Simple SOFR Loan, the last day of each March, June, September and December and the Maturity Date and (b) with respect to any SOFR Loan, the last day of each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7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 with respect to any SOFR Borrowing, the period commencing on the date of such Borrowing and ending on the numerically corresponding day in the calendar month that is one, three or six months thereafter, as the Borrower may elect;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pertaining to a SOFR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means any loan, advance, extension of credit (by way of Guarantee or otherwise) or capital contributions by Holdings or any of its Subsidiaries to any other Person. For the avoidance of doubt, notwithstanding anything to the contrary herein, the value of any Investment shall be deemed to be the original cost of such Investment plus the cost of all additions thereto, without any adjustments for increases or decreases in value, or write-ups, write-downs or write-offs with respect to such Investment;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value of such Investment shall be net of cash return received after the Effective Date as a result of any sale for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7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cash, repayment, redemption, liquidation, distribution or other cash realization, not to exceed the original cost of such Investment.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Parent</w:t>
      </w:r>
      <w:r>
        <w:rPr>
          <w:rFonts w:ascii="Times New Roman" w:cs="Times New Roman" w:eastAsia="Times New Roman" w:hAnsi="Times New Roman"/>
          <w:sz w:val="22"/>
          <w:szCs w:val="22"/>
          <w:color w:val="auto"/>
        </w:rPr>
        <w:t>” means, with respect to any Lender, any Person as to which such Lender is, directly or indirectly, a Subsidiary.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has the meaning assigned to it in Section 9.03(b).</w:t>
      </w:r>
    </w:p>
    <w:p>
      <w:pPr>
        <w:spacing w:after="0" w:line="24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Persons listed on Schedule 2.01A and any other Person that shall have become a party hereto pursuant to an Assignment and Assumption or otherwise, other than any such Person that ceases to be a party hereto pursuant to an Assignment and Assumption or otherwise.</w:t>
      </w:r>
    </w:p>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xml:space="preserve">” means the ratio of (i) the Total Liabilities of Holdings and its consolidated Subsidiaries, less the amount of any Non-Recourse Indebtedness of Holdings and its consolidated Subsidiaries, to (ii) the Tangible Net Worth of Holdings and its consolidated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Permitted Securitization Indebtedness shall be excluded for the purpose of calculating such ratio.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an operating lease be deemed to constitute a Lien.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w:t>
      </w:r>
      <w:r>
        <w:rPr>
          <w:rFonts w:ascii="Times New Roman" w:cs="Times New Roman" w:eastAsia="Times New Roman" w:hAnsi="Times New Roman"/>
          <w:sz w:val="22"/>
          <w:szCs w:val="22"/>
          <w:color w:val="auto"/>
        </w:rPr>
        <w:t>” means any Person that is a limited liability company under the laws of its jurisdiction of formation.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including schedules and exhibits hereto, the promissory notes executed under this Agreement and any agreements entered into in connection herewith by the Borrower with or in favor of the Administrative Agent and/or the Lenders.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Borrower and the Guarantors.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within the meaning of Regulations T, U and X, as applicable.</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means any event, development or circumstances that has had or would reasonably be expected to have a Material Adverse Effect.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assets, property or condition (financial or otherwise) of the Borrower and its Subsidiaries taken as a whole, (b) the ability of the Borrower and the Guarantors, taken as a whole, to perform their respective payment obligations under this Agreement or any of the other Loan Documents or (c) the validity or enforceability of this Agreement or any other Loan Document or the rights or remedies of the Administrative Agent and the Lenders hereunder or thereunder.</w:t>
      </w:r>
    </w:p>
    <w:p>
      <w:pPr>
        <w:spacing w:after="0" w:line="170"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February 4, 2025;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such date is not a Business Day, the Maturity Date shall be the next preceding Business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Domestic Subsidiary</w:t>
      </w:r>
      <w:r>
        <w:rPr>
          <w:rFonts w:ascii="Times New Roman" w:cs="Times New Roman" w:eastAsia="Times New Roman" w:hAnsi="Times New Roman"/>
          <w:sz w:val="22"/>
          <w:szCs w:val="22"/>
          <w:color w:val="auto"/>
        </w:rPr>
        <w:t>” means a wholly-owned Domestic Subsidiary that is not an Excluded Subsidiary.</w:t>
      </w:r>
    </w:p>
    <w:p>
      <w:pPr>
        <w:spacing w:after="0" w:line="260"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Obligation</w:t>
      </w:r>
      <w:r>
        <w:rPr>
          <w:rFonts w:ascii="Times New Roman" w:cs="Times New Roman" w:eastAsia="Times New Roman" w:hAnsi="Times New Roman"/>
          <w:sz w:val="22"/>
          <w:szCs w:val="22"/>
          <w:color w:val="auto"/>
        </w:rPr>
        <w:t>” means (i) Indebtedness of any Loan Party or its Subsidiaries which individually, or taken together with any other such Indebtedness, exceeds $15,000,000 or (ii) without duplication, any other obligation of any Loan Party or of any of its Subsidiaries in respect of any agreement involving aggregate payment or consideration in excess of $15,000,000, in each case other than Non-Recourse Indebtedness.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has the meaning assigned to it in Section 9.14.</w:t>
      </w:r>
    </w:p>
    <w:p>
      <w:pPr>
        <w:spacing w:after="0" w:line="247"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Receivables Report</w:t>
      </w:r>
      <w:r>
        <w:rPr>
          <w:rFonts w:ascii="Times New Roman" w:cs="Times New Roman" w:eastAsia="Times New Roman" w:hAnsi="Times New Roman"/>
          <w:sz w:val="22"/>
          <w:szCs w:val="22"/>
          <w:color w:val="auto"/>
        </w:rPr>
        <w:t>” means the report substantially in the form of Exhibit F hereto or in such other form as may be approved by the Administrative Agent in its sole discretion.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has the meaning assigned to such term in Section 2.21(c).</w:t>
      </w:r>
    </w:p>
    <w:p>
      <w:pPr>
        <w:spacing w:after="0" w:line="2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Indebtedness</w:t>
      </w:r>
      <w:r>
        <w:rPr>
          <w:rFonts w:ascii="Times New Roman" w:cs="Times New Roman" w:eastAsia="Times New Roman" w:hAnsi="Times New Roman"/>
          <w:sz w:val="22"/>
          <w:szCs w:val="22"/>
          <w:color w:val="auto"/>
        </w:rPr>
        <w:t xml:space="preserve">” means (i) any Indebtedness of any Subsidiary that is a special-purpose, bankruptcy remote vehicle established in connection with a securitization or structured financing (including any warehouse or term credit agreement) and which is non-recourse to any Loan Party (other than with respect to Standard Securitization Undertakings), and (ii) any Indebtedness resulting from a transaction in which all or substantially all of the economic value of loans have been sold, transferred or assigned, directly or indirectly through a series of related transactions, by Borrower or a Subsidiary of Borrower to a Person that is not an Affiliate of Borrower, which Indebtedness is non-recourse to any Loan Party (other than with respect to Standard Securitization Undertakings);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at no time shall Residual Funding Facilities be Non-Recourse Indebtedness.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4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any of the aforesaid rates as so determined be less than zero, such rate shall be deemed to be zero for purposes of this Agreement.</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the Borrower arising under any Loan Document or otherwise with respect to any Loan, whether direct or indirect,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Principal Balance</w:t>
      </w:r>
      <w:r>
        <w:rPr>
          <w:rFonts w:ascii="Times New Roman" w:cs="Times New Roman" w:eastAsia="Times New Roman" w:hAnsi="Times New Roman"/>
          <w:sz w:val="22"/>
          <w:szCs w:val="22"/>
          <w:color w:val="auto"/>
        </w:rPr>
        <w:t>” means, for any Receivable and as of any date of determination, the outstanding principal amount (excluding any capitalized interest) required to be paid by the related Account Debtor in respect thereof, as such amount may have been reduced from time to time in accordance with the Underwriting/Servicing Policies, including without limitation by refunded amounts in respect thereof.</w:t>
      </w:r>
    </w:p>
    <w:p>
      <w:pPr>
        <w:spacing w:after="0" w:line="175"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Originating Bank</w:t>
      </w:r>
      <w:r>
        <w:rPr>
          <w:rFonts w:ascii="Times New Roman" w:cs="Times New Roman" w:eastAsia="Times New Roman" w:hAnsi="Times New Roman"/>
          <w:sz w:val="22"/>
          <w:szCs w:val="22"/>
          <w:color w:val="auto"/>
        </w:rPr>
        <w:t>” means (i) Cross River Bank, a New Jersey state-chartered commercial bank, (ii) Celtic Bank Corporation, a Utah industrial bank, (iii) Affirm Loan Services LLC, and (iv) such other bank or financial institution that originates and sells Receivables to Borrower.</w:t>
      </w:r>
    </w:p>
    <w:p>
      <w:pPr>
        <w:spacing w:after="0" w:line="16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Origination Date</w:t>
      </w:r>
      <w:r>
        <w:rPr>
          <w:rFonts w:ascii="Times New Roman" w:cs="Times New Roman" w:eastAsia="Times New Roman" w:hAnsi="Times New Roman"/>
          <w:sz w:val="22"/>
          <w:szCs w:val="22"/>
          <w:color w:val="auto"/>
        </w:rPr>
        <w:t>” means the date of the closing and funding of the applicable Receivable between an Originator and the applicable Account Debtor.</w:t>
      </w:r>
    </w:p>
    <w:p>
      <w:pPr>
        <w:spacing w:after="0" w:line="14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with respect to any Receivable, (i) the Borrower or any of its Subsidiaries (other than Specified Subsidiaries), (ii) Cross River Bank, a New Jersey state chartered bank, (iii) Celtic Bank, a Utah state-chartered industrial bank or (iv) any other banking institution approved by the Required Lenders in writing in their sole discretion.</w:t>
      </w:r>
    </w:p>
    <w:p>
      <w:pPr>
        <w:spacing w:after="0" w:line="15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or SOFR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7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Past/Present Financed Receivable</w:t>
      </w:r>
      <w:r>
        <w:rPr>
          <w:rFonts w:ascii="Times New Roman" w:cs="Times New Roman" w:eastAsia="Times New Roman" w:hAnsi="Times New Roman"/>
          <w:sz w:val="22"/>
          <w:szCs w:val="22"/>
          <w:color w:val="auto"/>
        </w:rPr>
        <w:t>” means, on any date of determination, any Receivable that is or was, at any time from and after the Effective Date, acquired by the Borrower from 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Originating Bank in the ordinary course of business consistent with past practices, but excluding (i) any Fraudulent Receivable,</w:t>
      </w:r>
    </w:p>
    <w:p>
      <w:pPr>
        <w:spacing w:after="0" w:line="44" w:lineRule="exact"/>
        <w:rPr>
          <w:sz w:val="20"/>
          <w:szCs w:val="20"/>
          <w:color w:val="auto"/>
        </w:rPr>
      </w:pPr>
    </w:p>
    <w:p>
      <w:pPr>
        <w:ind w:right="20" w:firstLine="8"/>
        <w:spacing w:after="0" w:line="296" w:lineRule="auto"/>
        <w:tabs>
          <w:tab w:leader="none" w:pos="35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Designated Receivable that has been sold to a Designated Receivable Purchaser pursuant to the related Designated Receivable Sale Agreement and (iii) any Experimental or Exploratory Receivable.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assigned to such term in Section 9.04(c).</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assigned to such term in Section 9.04(c).</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has the meaning assigned to it in Section 9.16.</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has the meaning assigned to it in Section 9.18.</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means, with respect to any Receivable, the date a payment is due in accordance with the Receivables Agreement with respect to such Receivable as in effect as of the date of determination.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has the meaning assigned to it in Section 9.18.</w:t>
      </w:r>
    </w:p>
    <w:p>
      <w:pPr>
        <w:spacing w:after="0" w:line="2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means any of the businesses in which the Borrower and its Subsidiaries are engaged on the Effective Date, and any business reasonably related, incidental, complementary or ancillary thereto or any business deemed strategically desirable by the Borrower in good faith in connection therewith.</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w:t>
      </w:r>
    </w:p>
    <w:p>
      <w:pPr>
        <w:spacing w:after="0" w:line="247" w:lineRule="exact"/>
        <w:rPr>
          <w:sz w:val="20"/>
          <w:szCs w:val="20"/>
          <w:color w:val="auto"/>
        </w:rPr>
      </w:pPr>
    </w:p>
    <w:p>
      <w:pPr>
        <w:ind w:left="1600" w:hanging="296"/>
        <w:spacing w:after="0"/>
        <w:tabs>
          <w:tab w:leader="none" w:pos="16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that are not yet due or are being contested in compliance with Section 5.04;</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66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161" w:lineRule="exact"/>
        <w:rPr>
          <w:rFonts w:ascii="Times New Roman" w:cs="Times New Roman" w:eastAsia="Times New Roman" w:hAnsi="Times New Roman"/>
          <w:sz w:val="22"/>
          <w:szCs w:val="22"/>
          <w:color w:val="auto"/>
        </w:rPr>
      </w:pPr>
    </w:p>
    <w:p>
      <w:pPr>
        <w:ind w:left="660" w:firstLine="644"/>
        <w:spacing w:after="0" w:line="296" w:lineRule="auto"/>
        <w:tabs>
          <w:tab w:leader="none" w:pos="16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in the ordinary course of business in compliance with workers’ compensation, unemployment insurance and other social security laws 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regulations or employment laws or to secure other public, statutory or regulatory obligations;</w:t>
      </w:r>
    </w:p>
    <w:p>
      <w:pPr>
        <w:spacing w:after="0" w:line="233" w:lineRule="exact"/>
        <w:rPr>
          <w:sz w:val="20"/>
          <w:szCs w:val="20"/>
          <w:color w:val="auto"/>
        </w:rPr>
      </w:pPr>
    </w:p>
    <w:p>
      <w:pPr>
        <w:ind w:left="660" w:firstLine="644"/>
        <w:spacing w:after="0" w:line="309" w:lineRule="auto"/>
        <w:tabs>
          <w:tab w:leader="none" w:pos="164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18"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in respect of judgments that do not constitute an Event of Default under Section 7.01(k);</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63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survey exceptions, title exceptions, encumbrances, easements or reservations of, or rights of others for, licenses, rights of way, sewers, electric lines, telegraph and telephone lines and other similar purposes, or zoning or other restrictions as to the use of real property, not interfering in any material respect with the conduct of the business of the Borrower and its Subsidiaries;</w:t>
      </w:r>
    </w:p>
    <w:p>
      <w:pPr>
        <w:spacing w:after="0" w:line="161" w:lineRule="exact"/>
        <w:rPr>
          <w:rFonts w:ascii="Times New Roman" w:cs="Times New Roman" w:eastAsia="Times New Roman" w:hAnsi="Times New Roman"/>
          <w:sz w:val="22"/>
          <w:szCs w:val="22"/>
          <w:color w:val="auto"/>
        </w:rPr>
      </w:pPr>
    </w:p>
    <w:p>
      <w:pPr>
        <w:ind w:left="660" w:firstLine="644"/>
        <w:spacing w:after="0" w:line="296" w:lineRule="auto"/>
        <w:tabs>
          <w:tab w:leader="none" w:pos="162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licenses, subleases or sublicenses granted to third parties in the ordinary course of business, including of intellectual property;</w:t>
      </w:r>
    </w:p>
    <w:p>
      <w:pPr>
        <w:spacing w:after="0" w:line="145" w:lineRule="exact"/>
        <w:rPr>
          <w:rFonts w:ascii="Times New Roman" w:cs="Times New Roman" w:eastAsia="Times New Roman" w:hAnsi="Times New Roman"/>
          <w:sz w:val="22"/>
          <w:szCs w:val="22"/>
          <w:color w:val="auto"/>
        </w:rPr>
      </w:pPr>
    </w:p>
    <w:p>
      <w:pPr>
        <w:jc w:val="both"/>
        <w:ind w:left="660" w:firstLine="644"/>
        <w:spacing w:after="0" w:line="289" w:lineRule="auto"/>
        <w:tabs>
          <w:tab w:leader="none" w:pos="165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Liens in favor of trustees and escrow agents, Liens to secure cash management services or to implement pooling arrangements and netting and setoff rights, banker’s liens and the like in favor of financial institutions, depositories, securities intermediaries and counterparties to financial obligations and instruments;</w:t>
      </w:r>
    </w:p>
    <w:p>
      <w:pPr>
        <w:spacing w:after="0" w:line="152" w:lineRule="exact"/>
        <w:rPr>
          <w:rFonts w:ascii="Times New Roman" w:cs="Times New Roman" w:eastAsia="Times New Roman" w:hAnsi="Times New Roman"/>
          <w:sz w:val="22"/>
          <w:szCs w:val="22"/>
          <w:color w:val="auto"/>
        </w:rPr>
      </w:pPr>
    </w:p>
    <w:p>
      <w:pPr>
        <w:ind w:left="660" w:firstLine="644"/>
        <w:spacing w:after="0" w:line="296" w:lineRule="auto"/>
        <w:tabs>
          <w:tab w:leader="none" w:pos="15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reimbursement obligations with respect to letters of credit that encumber documents and other property relating to such letters of credit and the proceeds thereof;</w:t>
      </w:r>
    </w:p>
    <w:p>
      <w:pPr>
        <w:spacing w:after="0" w:line="145"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5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 so long as such Liens only cover the related goods; and</w:t>
      </w:r>
    </w:p>
    <w:p>
      <w:pPr>
        <w:spacing w:after="0" w:line="161" w:lineRule="exact"/>
        <w:rPr>
          <w:rFonts w:ascii="Times New Roman" w:cs="Times New Roman" w:eastAsia="Times New Roman" w:hAnsi="Times New Roman"/>
          <w:sz w:val="22"/>
          <w:szCs w:val="22"/>
          <w:color w:val="auto"/>
        </w:rPr>
      </w:pPr>
    </w:p>
    <w:p>
      <w:pPr>
        <w:jc w:val="both"/>
        <w:ind w:left="660" w:firstLine="644"/>
        <w:spacing w:after="0" w:line="289" w:lineRule="auto"/>
        <w:tabs>
          <w:tab w:leader="none" w:pos="163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term “Permitted Encumbrances” shall not include any Lien securing Indebtedness.</w:t>
      </w:r>
    </w:p>
    <w:p>
      <w:pPr>
        <w:spacing w:after="0" w:line="237"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Holders</w:t>
      </w:r>
      <w:r>
        <w:rPr>
          <w:rFonts w:ascii="Times New Roman" w:cs="Times New Roman" w:eastAsia="Times New Roman" w:hAnsi="Times New Roman"/>
          <w:sz w:val="22"/>
          <w:szCs w:val="22"/>
          <w:color w:val="auto"/>
        </w:rPr>
        <w:t>” means the holders of Equity Interests in Holdings immediately prior to the consummation of Holdings’ initial public offering of its equity securities on Nasdaq on January 15,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7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Refinancing Indebtedness</w:t>
      </w:r>
      <w:r>
        <w:rPr>
          <w:rFonts w:ascii="Times New Roman" w:cs="Times New Roman" w:eastAsia="Times New Roman" w:hAnsi="Times New Roman"/>
          <w:sz w:val="22"/>
          <w:szCs w:val="22"/>
          <w:color w:val="auto"/>
        </w:rPr>
        <w:t>” means an extension or renewal of, replacement of, or substitution for, or issued in exchange for, or the net proceeds of which are used to repay, prepay, defease, retire, redeem, repurchase, refinance or refund, including by way of defeasance (all of the above, for purposes of this clause, “</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xml:space="preserve">”) in whole or in part then outstanding Indebtedness in an amount (after deduction of any original issue discount) not to exceed the principal amount of the Indebtedness so refinanced, plus premiums, accrued interest, fees and expenses;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in case the Indebtedness to be refinanced is Subordinated Debt, the new Indebtedness, by its terms or by the terms of any agreement or instrument pursuant to which it is outstanding, is expressly made subordinate in right of payment to the Revolving Facility at least to the extent that the Indebtedness to be refinanced is subordinated to the Revolving Facility and (B) the new Indebtedness does not have a stated maturity prior to the earlier of (x) the stated maturity of the Indebtedness to be refinanced and (y) 91 days following the final scheduled maturity of the Revolving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subclause (B) will not apply to any refunding or refinancing of any secured Indebtedness).</w:t>
      </w:r>
    </w:p>
    <w:p>
      <w:pPr>
        <w:spacing w:after="0" w:line="17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Securitization Indebtedness</w:t>
      </w:r>
      <w:r>
        <w:rPr>
          <w:rFonts w:ascii="Times New Roman" w:cs="Times New Roman" w:eastAsia="Times New Roman" w:hAnsi="Times New Roman"/>
          <w:sz w:val="22"/>
          <w:szCs w:val="22"/>
          <w:color w:val="auto"/>
        </w:rPr>
        <w:t>” means Indebtedness of any Securitization Subsidiary of the Borrower where no portion of such Indebtedness is guaranteed by the Borrower or any of its Subsidiaries other than pursuant to Standard Securitization Undertakings, is recourse to or obligates the Borrower or any of its Subsidiaries (other than such Securitization Subsidiary) in any way other than pursuant to Standard Securitization Undertakings or subjects any property or asset of the Borrower or any of its other Subsidiaries (other than such Securitization Subsidiary), directly or indirectly, contingently or otherwise, to the satisfaction thereof, other than pursuant to Standard Securitization Undertakings.</w:t>
      </w:r>
    </w:p>
    <w:p>
      <w:pPr>
        <w:spacing w:after="0" w:line="16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Regulations</w:t>
      </w:r>
      <w:r>
        <w:rPr>
          <w:rFonts w:ascii="Times New Roman" w:cs="Times New Roman" w:eastAsia="Times New Roman" w:hAnsi="Times New Roman"/>
          <w:sz w:val="22"/>
          <w:szCs w:val="22"/>
          <w:color w:val="auto"/>
        </w:rPr>
        <w:t xml:space="preserve">” means 29 CFR § 2510.3-101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as modified by Section 3(42) of ERISA, as amended from time to time.</w:t>
      </w:r>
    </w:p>
    <w:p>
      <w:pPr>
        <w:spacing w:after="0" w:line="145"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means, with respect to any Person, any and all Equity Interests which is preferred as to the payment of dividends or distributions, upon liquidation or otherwise, over another class of Equity Interests of such Person.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claim, litigation, investigation, action, suit, arbitration or administrative, judicial or regulatory action or proceeding in any jurisdiction.</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Company Compliance</w:t>
      </w:r>
      <w:r>
        <w:rPr>
          <w:rFonts w:ascii="Times New Roman" w:cs="Times New Roman" w:eastAsia="Times New Roman" w:hAnsi="Times New Roman"/>
          <w:sz w:val="22"/>
          <w:szCs w:val="22"/>
          <w:color w:val="auto"/>
        </w:rPr>
        <w:t>” means compliance with the requirements of the Sarbanes-Oxley Act of 2002 and the rules and regulations promulgated in connection therewith, the provisions of the Securities Act and the Exchange Act, and the rules of national securities exchange listed companies (in each case, as applicable to companies with equity or debt securities held by the public), including procuring directors’ and officers’ insurance, legal and other professional fees, and listing fees.</w:t>
      </w:r>
    </w:p>
    <w:p>
      <w:pPr>
        <w:spacing w:after="0" w:line="16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Principal Balance</w:t>
      </w:r>
      <w:r>
        <w:rPr>
          <w:rFonts w:ascii="Times New Roman" w:cs="Times New Roman" w:eastAsia="Times New Roman" w:hAnsi="Times New Roman"/>
          <w:sz w:val="22"/>
          <w:szCs w:val="22"/>
          <w:color w:val="auto"/>
        </w:rPr>
        <w:t>” means, for any Receivable, an amount equal to (a) in the case of any Zero Interest Receivable, the related Risk-Based Price for such Receivable, as measured on the date the Borrower or any of its Subsidiaries acquired such Receivable, and (b) in the case of any other Receivable, the Obligor Principal Balance of such Receivable, as measured as of the end of the day immediately preceding the date on which the Borrower or its Subsidiaries acquired such Receivable.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Interests</w:t>
      </w:r>
      <w:r>
        <w:rPr>
          <w:rFonts w:ascii="Times New Roman" w:cs="Times New Roman" w:eastAsia="Times New Roman" w:hAnsi="Times New Roman"/>
          <w:sz w:val="22"/>
          <w:szCs w:val="22"/>
          <w:color w:val="auto"/>
        </w:rPr>
        <w:t>” means all Equity Interests of a Person other than Disqualified Equity Interests.</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Receivables Report</w:t>
      </w:r>
      <w:r>
        <w:rPr>
          <w:rFonts w:ascii="Times New Roman" w:cs="Times New Roman" w:eastAsia="Times New Roman" w:hAnsi="Times New Roman"/>
          <w:sz w:val="22"/>
          <w:szCs w:val="22"/>
          <w:color w:val="auto"/>
        </w:rPr>
        <w:t>” means the report substantially in the form of Exhibit F hereto or in such other form as may be approved by the Administrative Agent in its sole discretion.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Vintage</w:t>
      </w:r>
      <w:r>
        <w:rPr>
          <w:rFonts w:ascii="Times New Roman" w:cs="Times New Roman" w:eastAsia="Times New Roman" w:hAnsi="Times New Roman"/>
          <w:sz w:val="22"/>
          <w:szCs w:val="22"/>
          <w:color w:val="auto"/>
        </w:rPr>
        <w:t>” means, for any calendar quarter, all Receivables that were originated during such calendar quarter.</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means all rights to payment of indebtedness and other obligations (including without limitation, unpaid principal, accrued interest, costs, fees, expenses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and indemnity obligations) owing by an Account Debtor in respect of a loan or loans or other financial accommodations made or extended by an Originator to or for the benefit of such Account Debtor and if such Originator is not the Borrower or any of its Subsidiaries (other than a Specified Subsidiary), subsequently sold to the Borrower or a Subsidiary (other than a Specified Subsidiary) of the Borrower.</w:t>
      </w:r>
    </w:p>
    <w:p>
      <w:pPr>
        <w:spacing w:after="0" w:line="161"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Balance</w:t>
      </w:r>
      <w:r>
        <w:rPr>
          <w:rFonts w:ascii="Times New Roman" w:cs="Times New Roman" w:eastAsia="Times New Roman" w:hAnsi="Times New Roman"/>
          <w:sz w:val="22"/>
          <w:szCs w:val="22"/>
          <w:color w:val="auto"/>
        </w:rPr>
        <w:t xml:space="preserve">” means, for any Receivable and as of any date of determination, the positive difference, if any, of (i) the Purchase Principal Balance of such Receivable,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aggregate amount, if any, by which the principal balance of such Receivable has been reduced in accordance with the Underwriting/Servicing Policies of the Borrower and its applicable Subsidiaries with respect to the Receivables, including without limitation by refunded amounts in respect thereof, after the date as of which such Purchase Principal Balance was determined;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Receivable Balance of any Defaulted Receivable (other than for purposes of determining its Release Price) shall be equal to $0.</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and (b) any Lender, as applicable.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assigned to such term in Section 9.04(b).</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means Regulation D of the Federal Reserve Board, as in effect from time to time and all official rulings and interpretations thereunder or thereof.</w:t>
      </w:r>
    </w:p>
    <w:p>
      <w:pPr>
        <w:spacing w:after="0" w:line="145"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T</w:t>
      </w:r>
      <w:r>
        <w:rPr>
          <w:rFonts w:ascii="Times New Roman" w:cs="Times New Roman" w:eastAsia="Times New Roman" w:hAnsi="Times New Roman"/>
          <w:sz w:val="22"/>
          <w:szCs w:val="22"/>
          <w:color w:val="auto"/>
        </w:rPr>
        <w:t>” means Regulation T of the Federal Reserve Board, as in effect from time to time and all official rulings and interpretations thereunder or thereof.</w:t>
      </w:r>
    </w:p>
    <w:p>
      <w:pPr>
        <w:spacing w:after="0" w:line="13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U</w:t>
      </w:r>
      <w:r>
        <w:rPr>
          <w:rFonts w:ascii="Times New Roman" w:cs="Times New Roman" w:eastAsia="Times New Roman" w:hAnsi="Times New Roman"/>
          <w:sz w:val="22"/>
          <w:szCs w:val="22"/>
          <w:color w:val="auto"/>
        </w:rPr>
        <w:t>” means Regulation U of the Federal Reserve Board, as in effect from time to time and all official rulings and interpretations thereunder or thereof.</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X</w:t>
      </w:r>
      <w:r>
        <w:rPr>
          <w:rFonts w:ascii="Times New Roman" w:cs="Times New Roman" w:eastAsia="Times New Roman" w:hAnsi="Times New Roman"/>
          <w:sz w:val="22"/>
          <w:szCs w:val="22"/>
          <w:color w:val="auto"/>
        </w:rPr>
        <w:t>” means Regulation X of the Federal Reserve Board, as in effect from time to time and all official rulings and interpretations thereunder or thereof.</w:t>
      </w:r>
    </w:p>
    <w:p>
      <w:pPr>
        <w:spacing w:after="0" w:line="145"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and advisors of such Person and such Person’s Affiliates.</w:t>
      </w:r>
    </w:p>
    <w:p>
      <w:pPr>
        <w:spacing w:after="0" w:line="14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Entity</w:t>
      </w:r>
      <w:r>
        <w:rPr>
          <w:rFonts w:ascii="Times New Roman" w:cs="Times New Roman" w:eastAsia="Times New Roman" w:hAnsi="Times New Roman"/>
          <w:sz w:val="22"/>
          <w:szCs w:val="22"/>
          <w:color w:val="auto"/>
        </w:rPr>
        <w:t>” has the meaning assigned to such term in Section 5.01.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subject to Section 2.20, (a) at any time prior to the earlier of the Loans becoming due and payable pursuant to Section 7.01 or the Commitments terminating or expiring, at least two Lenders (that are not Affiliates of each other) having Revolving Credit Exposures and Unfunded Commitments representing more than 50.0% of the sum of the Total Revolving Credit Exposure and Unfunded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at least two Lenders (that are not Affiliates of each other) having Revolving Credit Exposures representing more than 50.0% of the Total Revolving Credit Exposure at such time. Notwithstanding the foregoing, Required Lenders shall include each Lender party to this Agreement as of the Effective Date so long as such Lender maintains a Commitment not less than the Commitment of such Lenders as of the Effective Date (or such lesser Commitment equal to such Lender’s ratable amount of the aggregate Commitments to the extent reduced or terminated by the Borrower in accordance with Section 2.09).</w:t>
      </w:r>
    </w:p>
    <w:p>
      <w:pPr>
        <w:spacing w:after="0" w:line="17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Residual Funding Facility</w:t>
      </w:r>
      <w:r>
        <w:rPr>
          <w:rFonts w:ascii="Times New Roman" w:cs="Times New Roman" w:eastAsia="Times New Roman" w:hAnsi="Times New Roman"/>
          <w:sz w:val="22"/>
          <w:szCs w:val="22"/>
          <w:color w:val="auto"/>
        </w:rPr>
        <w:t>” means any funding arrangement with a financial institution or institutions or other lenders or purchasers under which advances are made to the Borrower or any Subsidiary secured solely by Residual Interests.</w:t>
      </w:r>
    </w:p>
    <w:p>
      <w:pPr>
        <w:spacing w:after="0" w:line="14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Residual Interest</w:t>
      </w:r>
      <w:r>
        <w:rPr>
          <w:rFonts w:ascii="Times New Roman" w:cs="Times New Roman" w:eastAsia="Times New Roman" w:hAnsi="Times New Roman"/>
          <w:sz w:val="22"/>
          <w:szCs w:val="22"/>
          <w:color w:val="auto"/>
        </w:rPr>
        <w:t>” means (i) any residual and subordinated (after giving effect to the incurrence of Permitted Securitization Indebtedness or Non-Recourse Indebtedness) reserve accounts and ownership (including equity) or participation interest held by the Borrower or a Subsidiary in Securitization Subsidiaries or their assets, regardless of whether required to appear on the face of the consolidated financial statements in accordance with GAAP or (ii) with respect to any Securitization Subsidiary, the residual right (which may be represented by an equity interest or a subordinated debt obligation of such entity) owned or held by the Borrower or a Subsidiary (other than a Securitization Subsidiary) to receive cash flows from the Financeable Assets sold to such Securitization Subsidiary in excess of amounts needed to pay principal of, interest on and other amounts in respect of Securitization Indebtedness of such entity, servicing expenses of such entity, costs in respect of hedging obligations of such entity (if any) and other fees and obligations in respect of the third-party securities issued by such entity and secured by such Financeable Assets.</w:t>
      </w:r>
    </w:p>
    <w:p>
      <w:pPr>
        <w:spacing w:after="0" w:line="20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the chief financial officer, the president or the treasurer of the Borrower.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7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(other than any debt securities convertible into such Equity Interests).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means, as applicable, Thomson Reuters Corp., Refinitiv, or any successor thereto.</w:t>
      </w:r>
    </w:p>
    <w:p>
      <w:pPr>
        <w:spacing w:after="0" w:line="233"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means Revolving Loans of the same Type, made, converted or continued on the same date and, in the case of SOFR Loans, as to which a single Interest Period is in effect.</w:t>
      </w:r>
    </w:p>
    <w:p>
      <w:pPr>
        <w:spacing w:after="0" w:line="11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with respect to any Lender at any time, the outstanding principal amount of such Lender’s Revolving Loans at such time.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Facility</w:t>
      </w:r>
      <w:r>
        <w:rPr>
          <w:rFonts w:ascii="Times New Roman" w:cs="Times New Roman" w:eastAsia="Times New Roman" w:hAnsi="Times New Roman"/>
          <w:sz w:val="22"/>
          <w:szCs w:val="22"/>
          <w:color w:val="auto"/>
        </w:rPr>
        <w:t>” means the Commitments and the Revolving Loans made thereunder.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means a Loan made pursuant to Section 2.03 and any Incremental Revolving Loan.</w:t>
      </w:r>
    </w:p>
    <w:p>
      <w:pPr>
        <w:spacing w:after="0" w:line="22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Risk-Based Discount Rate</w:t>
      </w:r>
      <w:r>
        <w:rPr>
          <w:rFonts w:ascii="Times New Roman" w:cs="Times New Roman" w:eastAsia="Times New Roman" w:hAnsi="Times New Roman"/>
          <w:sz w:val="22"/>
          <w:szCs w:val="22"/>
          <w:color w:val="auto"/>
        </w:rPr>
        <w:t>” means for any Zero Interest Receivable, a rate per annum equal to, if such Receivable was assigned a credit grade by the Borrower as of the related Origination Date of: (1) “A”, 7.10%, (2) “B”, 10.70%, (3) “C”, 16.93%, or (4) “D”, 29.65%; or such other per annum rates as may be consented to by the Required Lenders from time to time.</w:t>
      </w:r>
    </w:p>
    <w:p>
      <w:pPr>
        <w:spacing w:after="0" w:line="15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Risk-Based Price</w:t>
      </w:r>
      <w:r>
        <w:rPr>
          <w:rFonts w:ascii="Times New Roman" w:cs="Times New Roman" w:eastAsia="Times New Roman" w:hAnsi="Times New Roman"/>
          <w:sz w:val="22"/>
          <w:szCs w:val="22"/>
          <w:color w:val="auto"/>
        </w:rPr>
        <w:t>” means, with respect to any Zero Interest Receivable and as of any date of determination, the result of the following formula (in Microsoft Excel):</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PV ( D / 12, T, PMT ( 0, T, 1 ) ) x B</w:t>
      </w:r>
    </w:p>
    <w:p>
      <w:pPr>
        <w:spacing w:after="0" w:line="23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where “D” is the Risk-Based Discount Rate for such Receivable, “T” is the original term to maturity (in months) of such Receivable and “B” is the Obligor Principal Balance of such Receivable as of the end of the day immediately preceding such date of determination. For the avoidance of the doubt, the Risk-Based Price cannot exceed the value of B.</w:t>
      </w:r>
    </w:p>
    <w:p>
      <w:pPr>
        <w:spacing w:after="0" w:line="13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 Services, a Standard &amp; Poor’s Financial Services LLC business (or any successor thereto).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the target of comprehensive Sanctions (at the time of this Agreement, Crimea, Cuba, Iran, North Korea and Syria).</w:t>
      </w:r>
    </w:p>
    <w:p>
      <w:pPr>
        <w:spacing w:after="0" w:line="13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located, organized or resident in a Sanctioned Country, (c) any Person owned 50% or more by, or controlled by, any such Person or Persons described in the foregoing clauses (a) or (b), or (d) any Person otherwise the target of Sanctions.</w:t>
      </w:r>
    </w:p>
    <w:p>
      <w:pPr>
        <w:spacing w:after="0" w:line="1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of the United State of America.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Subsidiary</w:t>
      </w:r>
      <w:r>
        <w:rPr>
          <w:rFonts w:ascii="Times New Roman" w:cs="Times New Roman" w:eastAsia="Times New Roman" w:hAnsi="Times New Roman"/>
          <w:sz w:val="22"/>
          <w:szCs w:val="22"/>
          <w:color w:val="auto"/>
        </w:rPr>
        <w:t>” means a direct or indirect wholly-owned, special purpose bankruptcy remote Subsidiary or other Affiliate of Borrower formed for the purpose of directly or indirectly purchasing Receivables or other Financeable Assets from the Borrower or any of its Subsidiaries in connection with any Permitted Securitization Indebtedness or Non-Recourse Indebtedness (other than Standard Securitization Undertakings).</w:t>
      </w:r>
    </w:p>
    <w:p>
      <w:pPr>
        <w:spacing w:after="0" w:line="16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any Subsidiary that would be a “Significant Subsidiary” of the Borrower within the meaning of Rule 1-02 under Regulation S-X promulgated by the SEC (or any successor provision).</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with respect to any U.S. Government Securities Business Day, a rate per annum equal to the secured overnight financing rate for such U.S. Government Securities Business Day published by the SOFR Administrator on the website of the SOFR Administrator, currently at http://www.newyorkfed.org (or any successor source for the secured overnight financing rate identified as such by the SOFR Administrator from time to time) on the immediately succeeding U.S. Government Securities Business Day.</w:t>
      </w:r>
    </w:p>
    <w:p>
      <w:pPr>
        <w:spacing w:after="0" w:line="16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Borrowing</w:t>
      </w:r>
      <w:r>
        <w:rPr>
          <w:rFonts w:ascii="Times New Roman" w:cs="Times New Roman" w:eastAsia="Times New Roman" w:hAnsi="Times New Roman"/>
          <w:sz w:val="22"/>
          <w:szCs w:val="22"/>
          <w:color w:val="auto"/>
        </w:rPr>
        <w:t>” means, as to any Borrowing, the SOFR Loans comprising such Borrowing.</w:t>
      </w:r>
    </w:p>
    <w:p>
      <w:pPr>
        <w:spacing w:after="0" w:line="23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means a Loan that bears interest at a rate based on Term SOFR, other than pursuant to clause (c) of the definition of “Alternate Base Rate”.</w:t>
      </w:r>
    </w:p>
    <w:p>
      <w:pPr>
        <w:spacing w:after="0" w:line="11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5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Convertible Notes</w:t>
      </w:r>
      <w:r>
        <w:rPr>
          <w:rFonts w:ascii="Times New Roman" w:cs="Times New Roman" w:eastAsia="Times New Roman" w:hAnsi="Times New Roman"/>
          <w:sz w:val="22"/>
          <w:szCs w:val="22"/>
          <w:color w:val="auto"/>
        </w:rPr>
        <w:t>” means the 0% convertible notes due 2026 in the aggregate principal amount of $1.725 billion issued by Holdings pursuant to the Indenture dated as of November 23, 2021 between Holdings and Wilmington Trust, National Association, as trustee.</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Subsidiary</w:t>
      </w:r>
      <w:r>
        <w:rPr>
          <w:rFonts w:ascii="Times New Roman" w:cs="Times New Roman" w:eastAsia="Times New Roman" w:hAnsi="Times New Roman"/>
          <w:sz w:val="22"/>
          <w:szCs w:val="22"/>
          <w:color w:val="auto"/>
        </w:rPr>
        <w:t>” means each Subsidiary that is not organized under the laws of any political subdivision of the United States and is either (a) listed on Schedule 1.01 or (b) designated as a Specified Subsidiary by the Borrower after the Effective Date. The board of directors of the Borrower may designate after the Effective Date any Subsidiary of the Borrower, including a newly acquired or created Subsidiary, to be a Specified Subsidiary if it meets the following qualifications:</w:t>
      </w:r>
    </w:p>
    <w:p>
      <w:pPr>
        <w:spacing w:after="0" w:line="161" w:lineRule="exact"/>
        <w:rPr>
          <w:sz w:val="20"/>
          <w:szCs w:val="20"/>
          <w:color w:val="auto"/>
        </w:rPr>
      </w:pPr>
    </w:p>
    <w:p>
      <w:pPr>
        <w:ind w:left="920" w:hanging="264"/>
        <w:spacing w:after="0"/>
        <w:tabs>
          <w:tab w:leader="none" w:pos="9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Subsidiary does not own any Equity Interest of the Borrower or any Subsidiary that is not a Specified Subsidiary;</w:t>
      </w:r>
    </w:p>
    <w:p>
      <w:pPr>
        <w:spacing w:after="0" w:line="244" w:lineRule="exact"/>
        <w:rPr>
          <w:rFonts w:ascii="Times New Roman" w:cs="Times New Roman" w:eastAsia="Times New Roman" w:hAnsi="Times New Roman"/>
          <w:sz w:val="21"/>
          <w:szCs w:val="21"/>
          <w:color w:val="auto"/>
        </w:rPr>
      </w:pPr>
    </w:p>
    <w:p>
      <w:pPr>
        <w:jc w:val="both"/>
        <w:ind w:firstLine="656"/>
        <w:spacing w:after="0" w:line="282" w:lineRule="auto"/>
        <w:tabs>
          <w:tab w:leader="none" w:pos="99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would be permitted to make an Investment at the time of the designation in an amount equal to the aggregate fair market value of all Investments in such Subsidiary by the Borrower or its Subsidiaries that are not Specified Subsidiaries;</w:t>
      </w:r>
    </w:p>
    <w:p>
      <w:pPr>
        <w:spacing w:after="0" w:line="161" w:lineRule="exact"/>
        <w:rPr>
          <w:rFonts w:ascii="Times New Roman" w:cs="Times New Roman" w:eastAsia="Times New Roman" w:hAnsi="Times New Roman"/>
          <w:sz w:val="22"/>
          <w:szCs w:val="22"/>
          <w:color w:val="auto"/>
        </w:rPr>
      </w:pPr>
    </w:p>
    <w:p>
      <w:pPr>
        <w:ind w:firstLine="656"/>
        <w:spacing w:after="0" w:line="296" w:lineRule="auto"/>
        <w:tabs>
          <w:tab w:leader="none" w:pos="1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or other credit support thereof by the Borrower or any Subsidiary that is not a Specified Subsidiary is permitted under Sections 6.01 and 6.04;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1" w:lineRule="exact"/>
        <w:rPr>
          <w:sz w:val="20"/>
          <w:szCs w:val="20"/>
          <w:color w:val="auto"/>
        </w:rPr>
      </w:pPr>
    </w:p>
    <w:p>
      <w:pPr>
        <w:jc w:val="both"/>
        <w:ind w:firstLine="656"/>
        <w:spacing w:after="0" w:line="289" w:lineRule="auto"/>
        <w:tabs>
          <w:tab w:leader="none" w:pos="105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that is not a Specified Subsidiary has any obligation to subscribe for additional Equity Interests of such Subsidiary or cause it to achieve specified levels of operating results except to the extent permitted by Sections 6.01 and 6.04;</w:t>
      </w:r>
    </w:p>
    <w:p>
      <w:pPr>
        <w:spacing w:after="0" w:line="152" w:lineRule="exact"/>
        <w:rPr>
          <w:rFonts w:ascii="Times New Roman" w:cs="Times New Roman" w:eastAsia="Times New Roman" w:hAnsi="Times New Roman"/>
          <w:sz w:val="22"/>
          <w:szCs w:val="22"/>
          <w:color w:val="auto"/>
        </w:rPr>
      </w:pPr>
    </w:p>
    <w:p>
      <w:pPr>
        <w:ind w:firstLine="656"/>
        <w:spacing w:after="0" w:line="296" w:lineRule="auto"/>
        <w:tabs>
          <w:tab w:leader="none" w:pos="9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after such designation, no Default or Event of Default shall have occurred and be continuing or would result from such designation; and</w:t>
      </w:r>
    </w:p>
    <w:p>
      <w:pPr>
        <w:spacing w:after="0" w:line="145" w:lineRule="exact"/>
        <w:rPr>
          <w:rFonts w:ascii="Times New Roman" w:cs="Times New Roman" w:eastAsia="Times New Roman" w:hAnsi="Times New Roman"/>
          <w:sz w:val="22"/>
          <w:szCs w:val="22"/>
          <w:color w:val="auto"/>
        </w:rPr>
      </w:pPr>
    </w:p>
    <w:p>
      <w:pPr>
        <w:ind w:firstLine="656"/>
        <w:spacing w:after="0" w:line="296" w:lineRule="auto"/>
        <w:tabs>
          <w:tab w:leader="none" w:pos="10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may be designated as a Specified Subsidiary if it is a “restricted subsidiary” or a “guarantor” (or any similar designation) for any other Material Obligation of the Borrower or any Subsidiary that is not a Specified Subsidiary.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Once so designated, the Subsidiary will remain a Specified Subsidiary.</w:t>
      </w:r>
    </w:p>
    <w:p>
      <w:pPr>
        <w:spacing w:after="0" w:line="23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representations, warranties, covenants, pledges and indemnities made or provided by the Borrower in connection with Permitted Securitization Indebtedness or Non-Recourse Indebtedness which are (a) customary for the sponsor of a non-recourse financing transaction in which receivables are transferred, directly or indirectly, to a special purpose, bankruptcy remote securitization vehicle or (b) consented to in writing by the Required Lenders. For the avoidance of doubt, the granting and perfection of liens in any applicable servicing account and servicing agreement in connection with a Permitted Securitization Indebtedness or Non-Recourse Indebtedness shall constitute a Standard Securitization Undertaking.</w:t>
      </w:r>
    </w:p>
    <w:p>
      <w:pPr>
        <w:spacing w:after="0" w:line="170"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Debt</w:t>
      </w:r>
      <w:r>
        <w:rPr>
          <w:rFonts w:ascii="Times New Roman" w:cs="Times New Roman" w:eastAsia="Times New Roman" w:hAnsi="Times New Roman"/>
          <w:sz w:val="22"/>
          <w:szCs w:val="22"/>
          <w:color w:val="auto"/>
        </w:rPr>
        <w:t>” means any Indebtedness of Holdings or its Subsidiaries which is subordinated in right of payment to the Loans, pursuant to a written agreement in form and substance reasonably acceptable to the Administrative Agent.</w:t>
      </w:r>
    </w:p>
    <w:p>
      <w:pPr>
        <w:spacing w:after="0" w:line="14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Except for purposes of the definition of “Leverage Ratio”,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5.01(b)</w:t>
      </w:r>
      <w:r>
        <w:rPr>
          <w:rFonts w:ascii="Times New Roman" w:cs="Times New Roman" w:eastAsia="Times New Roman" w:hAnsi="Times New Roman"/>
          <w:sz w:val="22"/>
          <w:szCs w:val="22"/>
          <w:color w:val="auto"/>
        </w:rPr>
        <w:t xml:space="preserve"> and unless otherwise specified, all references herein to a “Subsidiary” or to “Subsidiaries” shall refer to a Subsidiary (but shall exclude a Specified Subsidiary) or Subsidiaries (but shall exclude Specified Subsidiaries) of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Syndication Agent</w:t>
      </w:r>
      <w:r>
        <w:rPr>
          <w:rFonts w:ascii="Times New Roman" w:cs="Times New Roman" w:eastAsia="Times New Roman" w:hAnsi="Times New Roman"/>
          <w:sz w:val="22"/>
          <w:szCs w:val="22"/>
          <w:color w:val="auto"/>
        </w:rPr>
        <w:t>” means Barclays Bank PLC, in its capacity as syndication agent hereunder.</w:t>
      </w:r>
    </w:p>
    <w:p>
      <w:pPr>
        <w:spacing w:after="0" w:line="22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Tangible Net Worth</w:t>
      </w:r>
      <w:r>
        <w:rPr>
          <w:rFonts w:ascii="Times New Roman" w:cs="Times New Roman" w:eastAsia="Times New Roman" w:hAnsi="Times New Roman"/>
          <w:sz w:val="21"/>
          <w:szCs w:val="21"/>
          <w:color w:val="auto"/>
        </w:rPr>
        <w:t xml:space="preserve">” means, for any Person, such Person’s (a) assets,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liabilities,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(c) any intangible assets of such person, including but not limited to, goodwill, trademarks, tradenames, copyrights, patents, patent allocations, licenses and rights in any of the foregoing and other items treated as intangibles,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(d) amounts due to such Person from any of its Affiliates (excluding such Person and its consolidated Subsidiaries), in each case as determined in accordance with GAAP.</w:t>
      </w:r>
    </w:p>
    <w:p>
      <w:pPr>
        <w:spacing w:after="0" w:line="13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 Level</w:t>
      </w:r>
      <w:r>
        <w:rPr>
          <w:rFonts w:ascii="Times New Roman" w:cs="Times New Roman" w:eastAsia="Times New Roman" w:hAnsi="Times New Roman"/>
          <w:sz w:val="22"/>
          <w:szCs w:val="22"/>
          <w:color w:val="auto"/>
        </w:rPr>
        <w:t xml:space="preserve">” means, at any time, (a) $850,000,000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60% of the aggregate amount of net proceeds from each sale or issuance of Equity Interests by the Borrower or any of its parent entity (including Holdings) after the Effective Date (excluding, for the avoidance of doubt, the initial public offering of Holdings’ equity securities described in Section 4.01(i) and any issuance of Equity Interests to its directors, officers or employees).</w:t>
      </w:r>
    </w:p>
    <w:p>
      <w:pPr>
        <w:spacing w:after="0" w:line="1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jc w:val="both"/>
        <w:ind w:firstLine="656"/>
        <w:spacing w:after="0" w:line="274" w:lineRule="auto"/>
        <w:tabs>
          <w:tab w:leader="none" w:pos="119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6" w:lineRule="exact"/>
        <w:rPr>
          <w:rFonts w:ascii="Times New Roman" w:cs="Times New Roman" w:eastAsia="Times New Roman" w:hAnsi="Times New Roman"/>
          <w:sz w:val="22"/>
          <w:szCs w:val="22"/>
          <w:color w:val="auto"/>
        </w:rPr>
      </w:pPr>
    </w:p>
    <w:p>
      <w:pPr>
        <w:jc w:val="both"/>
        <w:ind w:firstLine="656"/>
        <w:spacing w:after="0" w:line="282" w:lineRule="auto"/>
        <w:tabs>
          <w:tab w:leader="none" w:pos="119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2"/>
          <w:szCs w:val="22"/>
          <w:u w:val="single" w:color="auto"/>
          <w:color w:val="auto"/>
        </w:rPr>
        <w:t>ABR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ABR Term SOFR Determination Day the Term SOFR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6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Term SOFR determined as provided above (including pursuant to the proviso under clause (a) or clause (b) above) shall ever be less than the Floor, then Term SOFR shall be deemed to be the Floor.</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the CME Group Benchmark Administration Limited (CBA) (or a successor administrator of the Term SOFR Reference Rate selected by the Administrative Agent in its reasonable discretion).</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rate per annum determined by the Administrative Agent as the forward-looking term rate based on SOFR.</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Liabilities</w:t>
      </w:r>
      <w:r>
        <w:rPr>
          <w:rFonts w:ascii="Times New Roman" w:cs="Times New Roman" w:eastAsia="Times New Roman" w:hAnsi="Times New Roman"/>
          <w:sz w:val="22"/>
          <w:szCs w:val="22"/>
          <w:color w:val="auto"/>
        </w:rPr>
        <w:t>” means, for any Person, as at any date of determination, the aggregate amount of all Indebtedness of such Person, as determined on a consolidated basis in accordance with GAAP.</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Revolving Credit Exposure</w:t>
      </w:r>
      <w:r>
        <w:rPr>
          <w:rFonts w:ascii="Times New Roman" w:cs="Times New Roman" w:eastAsia="Times New Roman" w:hAnsi="Times New Roman"/>
          <w:sz w:val="21"/>
          <w:szCs w:val="21"/>
          <w:color w:val="auto"/>
        </w:rPr>
        <w:t>” means, at any time, the outstanding principal amount of the Revolving Loans at such</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this Agreement, the borrowing of Loans and the use of the proceeds thereof.</w:t>
      </w:r>
    </w:p>
    <w:p>
      <w:pPr>
        <w:spacing w:after="0" w:line="14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Term SOFR or the Alternate Base Rate.</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Institutions</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1"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32"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Benchmark Replacement Adjustment with respect thereto.</w:t>
      </w:r>
    </w:p>
    <w:p>
      <w:pPr>
        <w:spacing w:after="0" w:line="1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Underwriting/Servicing Policies</w:t>
      </w:r>
      <w:r>
        <w:rPr>
          <w:rFonts w:ascii="Times New Roman" w:cs="Times New Roman" w:eastAsia="Times New Roman" w:hAnsi="Times New Roman"/>
          <w:sz w:val="22"/>
          <w:szCs w:val="22"/>
          <w:color w:val="auto"/>
        </w:rPr>
        <w:t>” means the credit and collection policies and procedures of the Borrower and its Subsidiaries, including their underwriting guidelines and methodology, and the collection, servicing and administration policies and procedures of the Borrower and its Subsidiaries, as such policies, procedures, guidelines and methodologies may be amended, supplemented or otherwise modified from time to time.</w:t>
      </w:r>
    </w:p>
    <w:p>
      <w:pPr>
        <w:spacing w:after="0" w:line="14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u w:val="single" w:color="auto"/>
          <w:color w:val="auto"/>
        </w:rPr>
        <w:t>“Unfunded Commitment</w:t>
      </w:r>
      <w:r>
        <w:rPr>
          <w:rFonts w:ascii="Times New Roman" w:cs="Times New Roman" w:eastAsia="Times New Roman" w:hAnsi="Times New Roman"/>
          <w:sz w:val="22"/>
          <w:szCs w:val="22"/>
          <w:color w:val="auto"/>
        </w:rPr>
        <w:t>” means, with respect to each Lender, the Commitment of such Lender less its Revolving Credit Exposure.</w:t>
      </w:r>
    </w:p>
    <w:p>
      <w:pPr>
        <w:spacing w:after="0" w:line="13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“United States person” within the meaning of Section 7701(a)(30) of the Code.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has the meaning assigned to such term in Section 2.17(f)(ii)(B)(3).</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4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Zero Interest Receivable</w:t>
      </w:r>
      <w:r>
        <w:rPr>
          <w:rFonts w:ascii="Times New Roman" w:cs="Times New Roman" w:eastAsia="Times New Roman" w:hAnsi="Times New Roman"/>
          <w:sz w:val="22"/>
          <w:szCs w:val="22"/>
          <w:color w:val="auto"/>
        </w:rPr>
        <w:t>” means a Receivable the stated APR of which is 0.0% (or which has no stated APR).</w:t>
      </w:r>
    </w:p>
    <w:p>
      <w:pPr>
        <w:spacing w:after="0" w:line="233" w:lineRule="exact"/>
        <w:rPr>
          <w:sz w:val="20"/>
          <w:szCs w:val="20"/>
          <w:color w:val="auto"/>
        </w:rPr>
      </w:pPr>
    </w:p>
    <w:p>
      <w:pPr>
        <w:jc w:val="both"/>
        <w:ind w:firstLine="648"/>
        <w:spacing w:after="0" w:line="335"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Classification of Loans and Borrowings</w:t>
      </w:r>
      <w:r>
        <w:rPr>
          <w:rFonts w:ascii="Times New Roman" w:cs="Times New Roman" w:eastAsia="Times New Roman" w:hAnsi="Times New Roman"/>
          <w:sz w:val="21"/>
          <w:szCs w:val="21"/>
          <w:color w:val="auto"/>
        </w:rPr>
        <w:t>. For purposes of this Agreement, Loans may be classified and referred to by Type (e.g., a “SOFR Loan”). Borrowings also may be classified and referred to Type (e.g., a “SOFR Borrowing”).</w:t>
      </w:r>
    </w:p>
    <w:p>
      <w:pPr>
        <w:spacing w:after="0" w:line="12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w:t>
      </w:r>
    </w:p>
    <w:p>
      <w:pPr>
        <w:spacing w:after="0" w:line="7" w:lineRule="exact"/>
        <w:rPr>
          <w:sz w:val="20"/>
          <w:szCs w:val="20"/>
          <w:color w:val="auto"/>
        </w:rPr>
      </w:pPr>
    </w:p>
    <w:p>
      <w:pPr>
        <w:jc w:val="both"/>
        <w:ind w:firstLine="8"/>
        <w:spacing w:after="0" w:line="279" w:lineRule="auto"/>
        <w:tabs>
          <w:tab w:leader="none" w:pos="31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9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CREDITS</w:t>
      </w:r>
    </w:p>
    <w:p>
      <w:pPr>
        <w:spacing w:after="0" w:line="23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Subject to the terms and conditions set forth herein, each Lender agrees to make Revolving Loans to the Borrower from time to time during the Availability Period in an aggregate principal amount that will not result (after giving effect to any application of proceeds of such Borrowing pursuant to Section 2.10) in (a) such Lender’s Revolving Credit Exposure exceeding such Lender’s Commitment or (b) the Total Revolving Credit Exposure exceeding the total Commitments. Within the foregoing limits and subject to the terms and conditions set forth herein, the Borrower may borrow, prepay and reborrow Revolving Loans.</w:t>
      </w:r>
    </w:p>
    <w:p>
      <w:pPr>
        <w:spacing w:after="0" w:line="192"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Loans and Borrowings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2" w:lineRule="auto"/>
        <w:tabs>
          <w:tab w:leader="none" w:pos="18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71" w:lineRule="exact"/>
        <w:rPr>
          <w:sz w:val="20"/>
          <w:szCs w:val="20"/>
          <w:color w:val="auto"/>
        </w:rPr>
      </w:pPr>
    </w:p>
    <w:p>
      <w:pPr>
        <w:jc w:val="both"/>
        <w:ind w:firstLine="1304"/>
        <w:spacing w:after="0" w:line="282" w:lineRule="auto"/>
        <w:tabs>
          <w:tab w:leader="none" w:pos="186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2.14, each Revolving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61" w:lineRule="exact"/>
        <w:rPr>
          <w:rFonts w:ascii="Times New Roman" w:cs="Times New Roman" w:eastAsia="Times New Roman" w:hAnsi="Times New Roman"/>
          <w:sz w:val="22"/>
          <w:szCs w:val="22"/>
          <w:color w:val="auto"/>
        </w:rPr>
      </w:pPr>
    </w:p>
    <w:p>
      <w:pPr>
        <w:jc w:val="both"/>
        <w:ind w:firstLine="1304"/>
        <w:spacing w:after="0" w:line="277" w:lineRule="auto"/>
        <w:tabs>
          <w:tab w:leader="none" w:pos="176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commencement of each Interest Period for any SOFR Revolving Borrowing, such Borrowing shall be in an aggregate amount that is an integral multiple of $1,000,000 and not less than $5,000,000. At the time that each ABR Revolving Borrowing is made, such Borrowing shall be in an aggregate amount that is an integral multiple of $500,000 and not less than $1,000,000;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 ABR Revolving Borrowing may be in an aggregate amount that is equal to the entire unused balance of the total Commitments. Borrowings of more than one Type may be outstanding at the same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not at any time be more than a total of five SOFR Revolving Borrowings outstanding.</w:t>
      </w:r>
    </w:p>
    <w:p>
      <w:pPr>
        <w:spacing w:after="0" w:line="165" w:lineRule="exact"/>
        <w:rPr>
          <w:rFonts w:ascii="Times New Roman" w:cs="Times New Roman" w:eastAsia="Times New Roman" w:hAnsi="Times New Roman"/>
          <w:sz w:val="22"/>
          <w:szCs w:val="22"/>
          <w:color w:val="auto"/>
        </w:rPr>
      </w:pPr>
    </w:p>
    <w:p>
      <w:pPr>
        <w:jc w:val="both"/>
        <w:ind w:firstLine="1304"/>
        <w:spacing w:after="0" w:line="289" w:lineRule="auto"/>
        <w:tabs>
          <w:tab w:leader="none" w:pos="18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53"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Revolving Borrowings</w:t>
      </w:r>
      <w:r>
        <w:rPr>
          <w:rFonts w:ascii="Times New Roman" w:cs="Times New Roman" w:eastAsia="Times New Roman" w:hAnsi="Times New Roman"/>
          <w:sz w:val="22"/>
          <w:szCs w:val="22"/>
          <w:color w:val="auto"/>
        </w:rPr>
        <w:t>. To request a Revolving Borrowing, the Borrower shall notify the Administrative Agent of such request by submitting a Borrowing Request (a) in the case of a SOFR Borrowing, not later than 12:00 p.m., New York City time, three Business Days before the date of the proposed Borrowing or (b) in the case of an</w:t>
      </w:r>
    </w:p>
    <w:p>
      <w:pPr>
        <w:spacing w:after="0" w:line="1"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22"/>
          <w:szCs w:val="22"/>
          <w:color w:val="auto"/>
        </w:rPr>
        <w:t>ABR Borrowing, not later than 12:00 p.m., New York City time, on the date of the proposed Borrowing. Each such Borrowing Request shall specify the following information in compliance with Section 2.02:</w:t>
      </w:r>
    </w:p>
    <w:p>
      <w:pPr>
        <w:spacing w:after="0" w:line="159" w:lineRule="exact"/>
        <w:rPr>
          <w:sz w:val="20"/>
          <w:szCs w:val="20"/>
          <w:color w:val="auto"/>
        </w:rPr>
      </w:pPr>
    </w:p>
    <w:p>
      <w:pPr>
        <w:ind w:left="2380" w:hanging="428"/>
        <w:spacing w:after="0"/>
        <w:tabs>
          <w:tab w:leader="none" w:pos="2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Borrowing;</w:t>
      </w:r>
    </w:p>
    <w:p>
      <w:pPr>
        <w:spacing w:after="0" w:line="233"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33"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an ABR Borrowing or a SOFR Borrowing;</w:t>
      </w:r>
    </w:p>
    <w:p>
      <w:pPr>
        <w:spacing w:after="0" w:line="233" w:lineRule="exact"/>
        <w:rPr>
          <w:rFonts w:ascii="Times New Roman" w:cs="Times New Roman" w:eastAsia="Times New Roman" w:hAnsi="Times New Roman"/>
          <w:sz w:val="22"/>
          <w:szCs w:val="22"/>
          <w:color w:val="auto"/>
        </w:rPr>
      </w:pPr>
    </w:p>
    <w:p>
      <w:pPr>
        <w:ind w:right="40" w:firstLine="1952"/>
        <w:spacing w:after="0" w:line="296" w:lineRule="auto"/>
        <w:tabs>
          <w:tab w:leader="none" w:pos="247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SOFR Borrowing, the initial Interest Period to be applicable thereto, which shall be a period contemplated by the definition of the term “Interest Period”; and</w:t>
      </w:r>
    </w:p>
    <w:p>
      <w:pPr>
        <w:spacing w:after="0" w:line="145" w:lineRule="exact"/>
        <w:rPr>
          <w:rFonts w:ascii="Times New Roman" w:cs="Times New Roman" w:eastAsia="Times New Roman" w:hAnsi="Times New Roman"/>
          <w:sz w:val="22"/>
          <w:szCs w:val="22"/>
          <w:color w:val="auto"/>
        </w:rPr>
      </w:pPr>
    </w:p>
    <w:p>
      <w:pPr>
        <w:ind w:right="300" w:firstLine="1952"/>
        <w:spacing w:after="0" w:line="296" w:lineRule="auto"/>
        <w:tabs>
          <w:tab w:leader="none" w:pos="241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 which shall comply with the requirements of Section 2.07.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no election as to the Type of Revolving Borrowing is specified, then the requested Revolving Borrowing shall be an</w:t>
      </w:r>
    </w:p>
    <w:p>
      <w:pPr>
        <w:spacing w:after="0" w:line="4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2"/>
          <w:szCs w:val="22"/>
          <w:color w:val="auto"/>
        </w:rPr>
        <w:t>ABR Borrowing. If no Interest Period is specified with respect to any requested SOFR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1"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Funding of Borrowings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9" w:lineRule="auto"/>
        <w:tabs>
          <w:tab w:leader="none" w:pos="180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make each Loan to be made by it hereunder on the proposed date thereof solely by wire transfer of immediately available funds, by 11:00 a.m., New York City time, to the account of the Administrative Agent most recently designated by it for such purpose by notice to the Lenders. The Administrative Agent will make such Loans available to the Borrower by promptly (and in no event later than 3:00 p.m., New York City time) crediting the funds so received to an account designated by the Borrower in the applicable Borrowing Request.</w:t>
      </w:r>
    </w:p>
    <w:p>
      <w:pPr>
        <w:spacing w:after="0" w:line="16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9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Administrative Agent, then such amount shall constitute such Lender’s Loan included in such Borrowing.</w:t>
      </w:r>
    </w:p>
    <w:p>
      <w:pPr>
        <w:spacing w:after="0" w:line="23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5" w:lineRule="auto"/>
        <w:tabs>
          <w:tab w:leader="none" w:pos="178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Borrowing initially shall be of the Type specified in the applicable Borrowing Request and, in the case of a SOFR Revolving Borrowing, shall have an initial Interest Period as specified in such Borrowing Request. Thereafter, the Borrower may elect to convert such Borrowing to a different Type or to continue such Borrowing and, in the case of a SOFR Revolving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7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election pursuant to this Section, the Borrower shall notify the Administrative Agent of such election by the time that a Borrowing Request would be required under Section 2.03 if the Borrower were requesting a Revolving Borrowing of the Type resulting from such election to be made on the effective date of such election. Each such Interest Election Request shall be irrevocable and shall be signed by a Responsible Officer of the Borrower.</w:t>
      </w:r>
    </w:p>
    <w:p>
      <w:pPr>
        <w:spacing w:after="0" w:line="16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Interest Election Request shall specify the following information in compliance with Section 2.02:</w:t>
      </w:r>
    </w:p>
    <w:p>
      <w:pPr>
        <w:spacing w:after="0" w:line="233" w:lineRule="exact"/>
        <w:rPr>
          <w:rFonts w:ascii="Times New Roman" w:cs="Times New Roman" w:eastAsia="Times New Roman" w:hAnsi="Times New Roman"/>
          <w:sz w:val="22"/>
          <w:szCs w:val="22"/>
          <w:color w:val="auto"/>
        </w:rPr>
      </w:pPr>
    </w:p>
    <w:p>
      <w:pPr>
        <w:jc w:val="both"/>
        <w:ind w:firstLine="1952"/>
        <w:spacing w:after="0" w:line="282" w:lineRule="auto"/>
        <w:tabs>
          <w:tab w:leader="none" w:pos="248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1"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w:t>
      </w:r>
    </w:p>
    <w:p>
      <w:pPr>
        <w:spacing w:after="0" w:line="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w:t>
      </w:r>
    </w:p>
    <w:p>
      <w:pPr>
        <w:spacing w:after="0" w:line="233"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SOFR Borrowing; and</w:t>
      </w:r>
    </w:p>
    <w:p>
      <w:pPr>
        <w:spacing w:after="0" w:line="233" w:lineRule="exact"/>
        <w:rPr>
          <w:rFonts w:ascii="Times New Roman" w:cs="Times New Roman" w:eastAsia="Times New Roman" w:hAnsi="Times New Roman"/>
          <w:sz w:val="22"/>
          <w:szCs w:val="22"/>
          <w:color w:val="auto"/>
        </w:rPr>
      </w:pPr>
    </w:p>
    <w:p>
      <w:pPr>
        <w:ind w:right="20" w:firstLine="1952"/>
        <w:spacing w:after="0" w:line="309" w:lineRule="auto"/>
        <w:tabs>
          <w:tab w:leader="none" w:pos="254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SOFR Borrowing, the Interest Period to be applicable thereto after giving effect to such election, which shall be a period contemplated by the definition of the term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If any such Interest Election Request requests a SOFR Borrowing but does not specify an Interest Period, then the Borrower shall be deemed to have selected an Interest Period of one month’s duration.</w:t>
      </w:r>
    </w:p>
    <w:p>
      <w:pPr>
        <w:spacing w:after="0" w:line="145" w:lineRule="exact"/>
        <w:rPr>
          <w:sz w:val="20"/>
          <w:szCs w:val="20"/>
          <w:color w:val="auto"/>
        </w:rPr>
      </w:pPr>
    </w:p>
    <w:p>
      <w:pPr>
        <w:ind w:firstLine="1304"/>
        <w:spacing w:after="0" w:line="296" w:lineRule="auto"/>
        <w:tabs>
          <w:tab w:leader="none" w:pos="19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details thereof and of such Lender’s portion of each resulting Borrowing.</w:t>
      </w:r>
    </w:p>
    <w:p>
      <w:pPr>
        <w:spacing w:after="0" w:line="145" w:lineRule="exact"/>
        <w:rPr>
          <w:rFonts w:ascii="Times New Roman" w:cs="Times New Roman" w:eastAsia="Times New Roman" w:hAnsi="Times New Roman"/>
          <w:sz w:val="22"/>
          <w:szCs w:val="22"/>
          <w:color w:val="auto"/>
        </w:rPr>
      </w:pPr>
    </w:p>
    <w:p>
      <w:pPr>
        <w:ind w:right="60" w:firstLine="1304"/>
        <w:spacing w:after="0" w:line="285" w:lineRule="auto"/>
        <w:tabs>
          <w:tab w:leader="none" w:pos="175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fails to deliver a timely Interest Election Request with respect to a SOFR Revolving Borrowing prior to the end of the Interest Period applicable thereto, then, unless such Borrowing is repaid as provided herein, at the end of such Interest Period such Borrowing shall, if not repaid, be continued as a SOFR Revolving Borrowing with an Interest Period of the same duration as the Interest Period then ended. Notwithstanding any contrary provision hereof, if an Event of Default has occurred and is continuing and the Administrative Agent, at the request of the Required Lenders, so notifies the Borrower, then, so long as an Event of Default is continuing (i) no outstanding Revolving Borrowing may be converted to or continued as a SOFR Borrowing and (ii) unless repaid, each SOFR Revolving Borrowing shall be converted to an</w:t>
      </w:r>
    </w:p>
    <w:p>
      <w:pPr>
        <w:spacing w:after="0" w:line="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ABR Borrowing at the end of the Interest Period applicable thereto.</w:t>
      </w:r>
    </w:p>
    <w:p>
      <w:pPr>
        <w:spacing w:after="0" w:line="23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Termination and Reduction of Commitments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760" w:hanging="456"/>
        <w:spacing w:after="0"/>
        <w:tabs>
          <w:tab w:leader="none" w:pos="17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previously terminated, the Commitments shall terminate on the Maturity Date.</w:t>
      </w:r>
    </w:p>
    <w:p>
      <w:pPr>
        <w:spacing w:after="0" w:line="22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terminate, or from time to time reduce, the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34" w:lineRule="exact"/>
        <w:rPr>
          <w:rFonts w:ascii="Times New Roman" w:cs="Times New Roman" w:eastAsia="Times New Roman" w:hAnsi="Times New Roman"/>
          <w:sz w:val="22"/>
          <w:szCs w:val="22"/>
          <w:color w:val="auto"/>
        </w:rPr>
      </w:pPr>
    </w:p>
    <w:p>
      <w:pPr>
        <w:jc w:val="both"/>
        <w:ind w:firstLine="8"/>
        <w:spacing w:after="0" w:line="282" w:lineRule="auto"/>
        <w:tabs>
          <w:tab w:leader="none" w:pos="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reduction of the Commitments shall be in an amount that is an integral multiple of $1,000,000 and not less than $5,000,000 and (ii) the Borrower shall not terminate or reduce the Commitments if, after giving effect to any concurrent prepayment of the Loans in accordance with Section 2.11, (A) any Lender’s Revolving Credit Exposure would exceed its Commitment or (B) the sum of the Total Revolving Credit Exposure would exceed the total Commitments.</w:t>
      </w:r>
    </w:p>
    <w:p>
      <w:pPr>
        <w:spacing w:after="0" w:line="161" w:lineRule="exact"/>
        <w:rPr>
          <w:rFonts w:ascii="Times New Roman" w:cs="Times New Roman" w:eastAsia="Times New Roman" w:hAnsi="Times New Roman"/>
          <w:sz w:val="22"/>
          <w:szCs w:val="22"/>
          <w:color w:val="auto"/>
        </w:rPr>
      </w:pPr>
    </w:p>
    <w:p>
      <w:pPr>
        <w:jc w:val="both"/>
        <w:ind w:firstLine="1304"/>
        <w:spacing w:after="0" w:line="292" w:lineRule="auto"/>
        <w:tabs>
          <w:tab w:leader="none" w:pos="176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notice of termination of the Commitments delivered by the Borrower may state that such notice is conditioned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upon the effectiveness of other credit facilities, indentures or similar agreements or other transactions specified therein, in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5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Repayment of Loans; Evidence of Indebtedness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1304"/>
        <w:spacing w:after="0" w:line="296" w:lineRule="auto"/>
        <w:tabs>
          <w:tab w:leader="none" w:pos="180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to the Administrative Agent for the account of each Lender the then unpaid principal amount of each Revolving Loan on the Maturity Date.</w:t>
      </w:r>
    </w:p>
    <w:p>
      <w:pPr>
        <w:spacing w:after="0" w:line="145" w:lineRule="exact"/>
        <w:rPr>
          <w:rFonts w:ascii="Times New Roman" w:cs="Times New Roman" w:eastAsia="Times New Roman" w:hAnsi="Times New Roman"/>
          <w:sz w:val="22"/>
          <w:szCs w:val="22"/>
          <w:color w:val="auto"/>
        </w:rPr>
      </w:pPr>
    </w:p>
    <w:p>
      <w:pPr>
        <w:jc w:val="both"/>
        <w:ind w:firstLine="1304"/>
        <w:spacing w:after="0" w:line="289" w:lineRule="auto"/>
        <w:tabs>
          <w:tab w:leader="none" w:pos="194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78" w:lineRule="auto"/>
        <w:tabs>
          <w:tab w:leader="none" w:pos="176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and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64"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0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(b) or (c) of this Section shall be </w:t>
      </w:r>
      <w:r>
        <w:rPr>
          <w:rFonts w:ascii="Times New Roman" w:cs="Times New Roman" w:eastAsia="Times New Roman" w:hAnsi="Times New Roman"/>
          <w:sz w:val="22"/>
          <w:szCs w:val="22"/>
          <w:u w:val="single" w:color="auto"/>
          <w:color w:val="auto"/>
        </w:rPr>
        <w:t>prima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facie</w:t>
      </w:r>
      <w:r>
        <w:rPr>
          <w:rFonts w:ascii="Times New Roman" w:cs="Times New Roman" w:eastAsia="Times New Roman" w:hAnsi="Times New Roman"/>
          <w:sz w:val="22"/>
          <w:szCs w:val="22"/>
          <w:color w:val="auto"/>
        </w:rPr>
        <w:t xml:space="preserve"> evidence of the existence and amounts of the obligations recorded therein;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61"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7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Prepayment of Loans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right="20" w:firstLine="1304"/>
        <w:spacing w:after="0" w:line="296" w:lineRule="auto"/>
        <w:tabs>
          <w:tab w:leader="none" w:pos="176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the right at any time and from time to time to prepay any Borrowing in whole or in part, subject to prior notice in accordance with paragraph (b) of this Section.</w:t>
      </w:r>
    </w:p>
    <w:p>
      <w:pPr>
        <w:spacing w:after="0" w:line="145" w:lineRule="exact"/>
        <w:rPr>
          <w:rFonts w:ascii="Times New Roman" w:cs="Times New Roman" w:eastAsia="Times New Roman" w:hAnsi="Times New Roman"/>
          <w:sz w:val="22"/>
          <w:szCs w:val="22"/>
          <w:color w:val="auto"/>
        </w:rPr>
      </w:pPr>
    </w:p>
    <w:p>
      <w:pPr>
        <w:jc w:val="both"/>
        <w:ind w:firstLine="1304"/>
        <w:spacing w:after="0" w:line="274" w:lineRule="auto"/>
        <w:tabs>
          <w:tab w:leader="none" w:pos="17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by telephone (confirmed by telecopy or electronic mail) of any prepayment hereunder (i) in the case of prepayment of a SOFR Revolving Borrowing, not later than 11:00 a.m., New York City time, three Business Days before the date of prepayment or (ii) in the case of prepayment of an ABR Revolving Borrowing, not later than 11:00 a.m., New York City time, on the date of prepayment. Each such notice shall be irrevocable, may be in the form of Exhibit I and shall specify the prepayment date and the principal amount of each Borrowing or portion thereof to be prepaid;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accrued interest to the extent required by Section 2.13 and any break funding payments required by Section 2.16.</w:t>
      </w:r>
    </w:p>
    <w:p>
      <w:pPr>
        <w:spacing w:after="0" w:line="17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77" w:lineRule="auto"/>
        <w:tabs>
          <w:tab w:leader="none" w:pos="179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the account of each Lender a commitment fee, which shall accrue at 0.20% per annum on the average daily amount of the Unfunded Commitment of such Lender during the period from and including the Effective Date to but excluding the date on which such Commitment terminates. Commitment fees accrued through and including the last day of March, June, September and December of each year shall be payable in arrears on the fifteenth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70" w:lineRule="exact"/>
        <w:rPr>
          <w:rFonts w:ascii="Times New Roman" w:cs="Times New Roman" w:eastAsia="Times New Roman" w:hAnsi="Times New Roman"/>
          <w:sz w:val="22"/>
          <w:szCs w:val="22"/>
          <w:color w:val="auto"/>
        </w:rPr>
      </w:pPr>
    </w:p>
    <w:p>
      <w:pPr>
        <w:ind w:firstLine="1304"/>
        <w:spacing w:after="0" w:line="296" w:lineRule="auto"/>
        <w:tabs>
          <w:tab w:leader="none" w:pos="181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fees payable in the amounts and at the times separately agreed upon between the Borrower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71" w:lineRule="exact"/>
        <w:rPr>
          <w:sz w:val="20"/>
          <w:szCs w:val="20"/>
          <w:color w:val="auto"/>
        </w:rPr>
      </w:pPr>
    </w:p>
    <w:p>
      <w:pPr>
        <w:jc w:val="both"/>
        <w:ind w:firstLine="1304"/>
        <w:spacing w:after="0" w:line="289" w:lineRule="auto"/>
        <w:tabs>
          <w:tab w:leader="none" w:pos="17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on the dates due, in Dollars in immediately available funds, to the Administrative Agent for distribution, in the case of commitment fees, to the Lenders. Fees paid shall not be refundable under any circumstances.</w:t>
      </w:r>
    </w:p>
    <w:p>
      <w:pPr>
        <w:spacing w:after="0" w:line="15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960" w:hanging="656"/>
        <w:spacing w:after="0"/>
        <w:tabs>
          <w:tab w:leader="none" w:pos="1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ABR Borrowing shall bear interest at the Alternate Base Rate plus the</w:t>
      </w:r>
    </w:p>
    <w:p>
      <w:pPr>
        <w:spacing w:after="0" w:line="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Rate.</w:t>
      </w:r>
    </w:p>
    <w:p>
      <w:pPr>
        <w:spacing w:after="0" w:line="233" w:lineRule="exact"/>
        <w:rPr>
          <w:rFonts w:ascii="Times New Roman" w:cs="Times New Roman" w:eastAsia="Times New Roman" w:hAnsi="Times New Roman"/>
          <w:sz w:val="22"/>
          <w:szCs w:val="22"/>
          <w:color w:val="auto"/>
        </w:rPr>
      </w:pPr>
    </w:p>
    <w:p>
      <w:pPr>
        <w:ind w:firstLine="1304"/>
        <w:spacing w:after="0" w:line="309" w:lineRule="auto"/>
        <w:tabs>
          <w:tab w:leader="none" w:pos="178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SOFR Borrowing shall bear interest at the Term SOFR for the Interest Period in effect for such Borrowing plus the Applicable Rate.</w:t>
      </w:r>
    </w:p>
    <w:p>
      <w:pPr>
        <w:spacing w:after="0" w:line="118" w:lineRule="exact"/>
        <w:rPr>
          <w:rFonts w:ascii="Times New Roman" w:cs="Times New Roman" w:eastAsia="Times New Roman" w:hAnsi="Times New Roman"/>
          <w:sz w:val="22"/>
          <w:szCs w:val="22"/>
          <w:color w:val="auto"/>
        </w:rPr>
      </w:pPr>
    </w:p>
    <w:p>
      <w:pPr>
        <w:jc w:val="both"/>
        <w:ind w:firstLine="1304"/>
        <w:spacing w:after="0" w:line="295" w:lineRule="auto"/>
        <w:tabs>
          <w:tab w:leader="none" w:pos="175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w:t>
      </w:r>
      <w:r>
        <w:rPr>
          <w:rFonts w:ascii="Times New Roman" w:cs="Times New Roman" w:eastAsia="Times New Roman" w:hAnsi="Times New Roman"/>
          <w:sz w:val="21"/>
          <w:szCs w:val="21"/>
          <w:u w:val="single" w:color="auto"/>
          <w:color w:val="auto"/>
        </w:rPr>
        <w:t>per annum</w:t>
      </w:r>
      <w:r>
        <w:rPr>
          <w:rFonts w:ascii="Times New Roman" w:cs="Times New Roman" w:eastAsia="Times New Roman" w:hAnsi="Times New Roman"/>
          <w:sz w:val="21"/>
          <w:szCs w:val="21"/>
          <w:color w:val="auto"/>
        </w:rPr>
        <w:t xml:space="preserve">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49" w:lineRule="exact"/>
        <w:rPr>
          <w:rFonts w:ascii="Times New Roman" w:cs="Times New Roman" w:eastAsia="Times New Roman" w:hAnsi="Times New Roman"/>
          <w:sz w:val="21"/>
          <w:szCs w:val="21"/>
          <w:color w:val="auto"/>
        </w:rPr>
      </w:pPr>
    </w:p>
    <w:p>
      <w:pPr>
        <w:jc w:val="both"/>
        <w:ind w:firstLine="1304"/>
        <w:spacing w:after="0" w:line="295" w:lineRule="auto"/>
        <w:tabs>
          <w:tab w:leader="none" w:pos="179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Accrued interest on each Loan shall be payable in arrears on each Interest Payment Date for such Loan and upon termination of the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SOFR Revolving Loan prior to the end of the current Interest Period therefor, accrued interest on such Loan shall be payable on the effective date of such conversion.</w:t>
      </w:r>
    </w:p>
    <w:p>
      <w:pPr>
        <w:spacing w:after="0" w:line="149" w:lineRule="exact"/>
        <w:rPr>
          <w:rFonts w:ascii="Times New Roman" w:cs="Times New Roman" w:eastAsia="Times New Roman" w:hAnsi="Times New Roman"/>
          <w:sz w:val="21"/>
          <w:szCs w:val="21"/>
          <w:color w:val="auto"/>
        </w:rPr>
      </w:pPr>
    </w:p>
    <w:p>
      <w:pPr>
        <w:jc w:val="both"/>
        <w:ind w:firstLine="1304"/>
        <w:spacing w:after="0" w:line="279" w:lineRule="auto"/>
        <w:tabs>
          <w:tab w:leader="none" w:pos="176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w:t>
      </w:r>
    </w:p>
    <w:p>
      <w:pPr>
        <w:spacing w:after="0" w:line="16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Alternate Rate of Interest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1304"/>
        <w:spacing w:after="0" w:line="296" w:lineRule="auto"/>
        <w:tabs>
          <w:tab w:leader="none" w:pos="178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clauses (b), (c), (d), (e) and (f) of this Section 2.14, if prior to the commencement of any Interest Period for a SOFR Loan: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71" w:lineRule="exact"/>
        <w:rPr>
          <w:sz w:val="20"/>
          <w:szCs w:val="20"/>
          <w:color w:val="auto"/>
        </w:rPr>
      </w:pPr>
    </w:p>
    <w:p>
      <w:pPr>
        <w:ind w:firstLine="1952"/>
        <w:spacing w:after="0" w:line="309" w:lineRule="auto"/>
        <w:tabs>
          <w:tab w:leader="none" w:pos="23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that adequate and reasonable means do not exist for ascertaining the Term SOFR for such Interest Period; or</w:t>
      </w:r>
    </w:p>
    <w:p>
      <w:pPr>
        <w:spacing w:after="0" w:line="131" w:lineRule="exact"/>
        <w:rPr>
          <w:rFonts w:ascii="Times New Roman" w:cs="Times New Roman" w:eastAsia="Times New Roman" w:hAnsi="Times New Roman"/>
          <w:sz w:val="22"/>
          <w:szCs w:val="22"/>
          <w:color w:val="auto"/>
        </w:rPr>
      </w:pPr>
    </w:p>
    <w:p>
      <w:pPr>
        <w:jc w:val="both"/>
        <w:ind w:firstLine="1952"/>
        <w:spacing w:after="0" w:line="282" w:lineRule="auto"/>
        <w:tabs>
          <w:tab w:leader="none" w:pos="24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Lenders that the Term SOFR for such Interest Period will not adequately and fairly reflect the cost to such Lenders (or Lender) of making or maintaining their Loans (or its Loan) included in such Borrowing for such Interest Period;</w:t>
      </w:r>
    </w:p>
    <w:p>
      <w:pPr>
        <w:spacing w:after="0" w:line="1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 any Interest Election Request that requests the conversion of any Revolving Borrowing to, or continuation of any Revolving Borrowing as, a SOFR Borrowing shall be ineffective and (B) if any Borrowing Request requests a SOFR Borrowing, such Borrowing shall be made as an ABR Borrowing;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circumstances giving rise to such notice affect only one Type of Borrowings, then the other Type of Borrowings shall be permitted.</w:t>
      </w:r>
    </w:p>
    <w:p>
      <w:pPr>
        <w:spacing w:after="0" w:line="180" w:lineRule="exact"/>
        <w:rPr>
          <w:sz w:val="20"/>
          <w:szCs w:val="20"/>
          <w:color w:val="auto"/>
        </w:rPr>
      </w:pPr>
    </w:p>
    <w:p>
      <w:pPr>
        <w:ind w:right="20" w:firstLine="1304"/>
        <w:spacing w:after="0" w:line="300" w:lineRule="auto"/>
        <w:tabs>
          <w:tab w:leader="none" w:pos="176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Benchmark Transition Event and a Benchmark Replacement Date have occurred, then:</w:t>
      </w:r>
    </w:p>
    <w:p>
      <w:pPr>
        <w:spacing w:after="0" w:line="141" w:lineRule="exact"/>
        <w:rPr>
          <w:rFonts w:ascii="Times New Roman" w:cs="Times New Roman" w:eastAsia="Times New Roman" w:hAnsi="Times New Roman"/>
          <w:sz w:val="22"/>
          <w:szCs w:val="22"/>
          <w:color w:val="auto"/>
        </w:rPr>
      </w:pPr>
    </w:p>
    <w:p>
      <w:pPr>
        <w:jc w:val="both"/>
        <w:ind w:left="660" w:firstLine="393"/>
        <w:spacing w:after="0" w:line="279" w:lineRule="auto"/>
        <w:tabs>
          <w:tab w:leader="none" w:pos="140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Benchmark Replacement is determined in accordance with clause (1) of the definition of “Benchmark Replacement” for such Benchmark Replacement Date, such Benchmark Replacement will replace the then-current Benchmark for all purposes under this Agreement and under any other Loan Document in respect of such Benchmark setting and subsequent Benchmark settings without requiring any amendment to, or requiring any further action by or consent of any other party to, this Agreement or any other Loan Document, and</w:t>
      </w:r>
    </w:p>
    <w:p>
      <w:pPr>
        <w:spacing w:after="0" w:line="176" w:lineRule="exact"/>
        <w:rPr>
          <w:rFonts w:ascii="Times New Roman" w:cs="Times New Roman" w:eastAsia="Times New Roman" w:hAnsi="Times New Roman"/>
          <w:sz w:val="22"/>
          <w:szCs w:val="22"/>
          <w:color w:val="auto"/>
        </w:rPr>
      </w:pPr>
    </w:p>
    <w:p>
      <w:pPr>
        <w:jc w:val="both"/>
        <w:ind w:left="660" w:firstLine="393"/>
        <w:spacing w:after="0" w:line="295" w:lineRule="auto"/>
        <w:tabs>
          <w:tab w:leader="none" w:pos="140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Benchmark Replacement is determined in accordance with clause (2) of the definition of “Benchmark Replacement” for such Benchmark Replacement Date, such Benchmark Replacement will replace the then-current Benchmark for all purposes under this Agreement and under any other Loan Document in respect of any Benchmark setting at or after 5:00 p.m. (New York City time) on the fifth (5th) Business Day after the date notice of such Benchmark Replacement is provided to the Lenders without requiring any amendment to, or requiring any further action by or consent of any other party to, this Agreement or any other Loan Document so long as the Administrative Agent has not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71" w:lineRule="exact"/>
        <w:rPr>
          <w:sz w:val="20"/>
          <w:szCs w:val="20"/>
          <w:color w:val="auto"/>
        </w:rPr>
      </w:pPr>
    </w:p>
    <w:p>
      <w:pPr>
        <w:ind w:left="660"/>
        <w:spacing w:after="0" w:line="309" w:lineRule="auto"/>
        <w:rPr>
          <w:sz w:val="20"/>
          <w:szCs w:val="20"/>
          <w:color w:val="auto"/>
        </w:rPr>
      </w:pPr>
      <w:r>
        <w:rPr>
          <w:rFonts w:ascii="Times New Roman" w:cs="Times New Roman" w:eastAsia="Times New Roman" w:hAnsi="Times New Roman"/>
          <w:sz w:val="22"/>
          <w:szCs w:val="22"/>
          <w:color w:val="auto"/>
        </w:rPr>
        <w:t>received, by such time, written notice of objection to such Benchmark Replacement from Lenders comprising the Required Lenders; or .</w:t>
      </w:r>
    </w:p>
    <w:p>
      <w:pPr>
        <w:spacing w:after="0" w:line="141" w:lineRule="exact"/>
        <w:rPr>
          <w:sz w:val="20"/>
          <w:szCs w:val="20"/>
          <w:color w:val="auto"/>
        </w:rPr>
      </w:pPr>
    </w:p>
    <w:p>
      <w:pPr>
        <w:jc w:val="both"/>
        <w:ind w:firstLine="1304"/>
        <w:spacing w:after="0" w:line="280" w:lineRule="auto"/>
        <w:tabs>
          <w:tab w:leader="none" w:pos="18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requiring any further action by or consent of any other party to this Agreement or any other Loan Document.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4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65"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6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67" w:lineRule="exact"/>
        <w:rPr>
          <w:sz w:val="20"/>
          <w:szCs w:val="20"/>
          <w:color w:val="auto"/>
        </w:rPr>
      </w:pPr>
    </w:p>
    <w:p>
      <w:pPr>
        <w:jc w:val="both"/>
        <w:ind w:firstLine="1304"/>
        <w:spacing w:after="0" w:line="278" w:lineRule="auto"/>
        <w:tabs>
          <w:tab w:leader="none" w:pos="191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6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760" w:hanging="456"/>
        <w:spacing w:after="0"/>
        <w:tabs>
          <w:tab w:leader="none" w:pos="176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in Law shall:</w:t>
      </w:r>
    </w:p>
    <w:p>
      <w:pPr>
        <w:spacing w:after="0" w:line="233" w:lineRule="exact"/>
        <w:rPr>
          <w:rFonts w:ascii="Times New Roman" w:cs="Times New Roman" w:eastAsia="Times New Roman" w:hAnsi="Times New Roman"/>
          <w:sz w:val="22"/>
          <w:szCs w:val="22"/>
          <w:color w:val="auto"/>
        </w:rPr>
      </w:pPr>
    </w:p>
    <w:p>
      <w:pPr>
        <w:jc w:val="both"/>
        <w:ind w:firstLine="1952"/>
        <w:spacing w:after="0" w:line="289" w:lineRule="auto"/>
        <w:tabs>
          <w:tab w:leader="none" w:pos="2502"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Term SOFR);</w:t>
      </w:r>
    </w:p>
    <w:p>
      <w:pPr>
        <w:spacing w:after="0" w:line="139" w:lineRule="exact"/>
        <w:rPr>
          <w:rFonts w:ascii="Times New Roman" w:cs="Times New Roman" w:eastAsia="Times New Roman" w:hAnsi="Times New Roman"/>
          <w:sz w:val="22"/>
          <w:szCs w:val="22"/>
          <w:color w:val="auto"/>
        </w:rPr>
      </w:pPr>
    </w:p>
    <w:p>
      <w:pPr>
        <w:ind w:firstLine="1952"/>
        <w:spacing w:after="0" w:line="309" w:lineRule="auto"/>
        <w:tabs>
          <w:tab w:leader="none" w:pos="2495"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London interbank market any other condition, cost or expense (other than Taxes) affecting this Agreement or Loans made by such Lender; or</w:t>
      </w:r>
    </w:p>
    <w:p>
      <w:pPr>
        <w:spacing w:after="0" w:line="131"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any Recipient to any Taxes (other than (A) Indemnified Taxes, (B) Taxes described in clauses</w:t>
      </w:r>
    </w:p>
    <w:p>
      <w:pPr>
        <w:spacing w:after="0" w:line="42" w:lineRule="exact"/>
        <w:rPr>
          <w:rFonts w:ascii="Times New Roman" w:cs="Times New Roman" w:eastAsia="Times New Roman" w:hAnsi="Times New Roman"/>
          <w:sz w:val="21"/>
          <w:szCs w:val="21"/>
          <w:color w:val="auto"/>
        </w:rPr>
      </w:pPr>
    </w:p>
    <w:p>
      <w:pPr>
        <w:ind w:firstLine="8"/>
        <w:spacing w:after="0" w:line="296" w:lineRule="auto"/>
        <w:tabs>
          <w:tab w:leader="none" w:pos="31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(d) of the definition of Excluded Taxes and (C) Connection Income Taxes) on its loans, loan principal, commitments, or other obligations, or its deposits, reserves, other liabilities or capital attributable thereto;</w:t>
      </w:r>
    </w:p>
    <w:p>
      <w:pPr>
        <w:spacing w:after="0" w:line="1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Borrower will pay to such Lender or such other Recipient, as the case may be, such additional amount or amounts as will compensate such Lender or such other Recipient, as the case may be, for such additional costs incurred or reduction suffered.</w:t>
      </w:r>
    </w:p>
    <w:p>
      <w:pPr>
        <w:spacing w:after="0" w:line="163" w:lineRule="exact"/>
        <w:rPr>
          <w:sz w:val="20"/>
          <w:szCs w:val="20"/>
          <w:color w:val="auto"/>
        </w:rPr>
      </w:pPr>
    </w:p>
    <w:p>
      <w:pPr>
        <w:jc w:val="both"/>
        <w:ind w:firstLine="1304"/>
        <w:spacing w:after="0" w:line="282" w:lineRule="auto"/>
        <w:tabs>
          <w:tab w:leader="none" w:pos="182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consideration such Lender’s policies and the policies of such Lender’s holding company with respect to capital adequacy and liquidity), then from time to time the Borrower will pay to such Lender, as the case may be, such additional amount or amounts as will compensate such Lender or such Lender’s holding company for any such reduction suffered.</w:t>
      </w:r>
    </w:p>
    <w:p>
      <w:pPr>
        <w:spacing w:after="0" w:line="153" w:lineRule="exact"/>
        <w:rPr>
          <w:sz w:val="20"/>
          <w:szCs w:val="20"/>
          <w:color w:val="auto"/>
        </w:rPr>
      </w:pPr>
    </w:p>
    <w:p>
      <w:pPr>
        <w:jc w:val="both"/>
        <w:ind w:firstLine="1304"/>
        <w:spacing w:after="0" w:line="282" w:lineRule="auto"/>
        <w:tabs>
          <w:tab w:leader="none" w:pos="18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10 days after receipt thereof.</w:t>
      </w:r>
    </w:p>
    <w:p>
      <w:pPr>
        <w:spacing w:after="0" w:line="161"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0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this Section for any increased costs or reductions incurred more than 90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if the Change in Law giving rise to such increased costs or reductions is retroactive, then the 90-day period referred to above shall be extended to include the period of retroactive effect thereof.</w:t>
      </w:r>
    </w:p>
    <w:p>
      <w:pPr>
        <w:spacing w:after="0" w:line="17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1"/>
          <w:szCs w:val="21"/>
          <w:color w:val="auto"/>
        </w:rPr>
        <w:t xml:space="preserve">SECTION 2.16. </w:t>
      </w:r>
      <w:r>
        <w:rPr>
          <w:rFonts w:ascii="Times New Roman" w:cs="Times New Roman" w:eastAsia="Times New Roman" w:hAnsi="Times New Roman"/>
          <w:sz w:val="21"/>
          <w:szCs w:val="21"/>
          <w:u w:val="single" w:color="auto"/>
          <w:color w:val="auto"/>
        </w:rPr>
        <w:t>Break Funding Payments</w:t>
      </w:r>
      <w:r>
        <w:rPr>
          <w:rFonts w:ascii="Times New Roman" w:cs="Times New Roman" w:eastAsia="Times New Roman" w:hAnsi="Times New Roman"/>
          <w:sz w:val="21"/>
          <w:szCs w:val="21"/>
          <w:color w:val="auto"/>
        </w:rPr>
        <w:t>.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SOFR Loan on the date specified in any notice delivered pursuant hereto (regardless of whether such notice may be revoked under Section 2.11(b) and is revoked in accordance therewith) or (d) the assignment of any SOFR Loan other than on the last day of the Interest Period applicable thereto as a result of a request by the Borrower pursuant to Section 2.19, then, in any such event, the Borrower shall compensate each Lender for the loss, cost and expense attributable to such event. In the case of a SOFR Loan, such loss, cost or expense to any Lender shall be deemed to include an amount determined by such Lender to be the excess, if any, of (i) the amount of interest which would have accrued on the principal amount of such Loan had such event not occurred, at the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6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Withholding of Taxes; Gross-Up Payments Free of 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75" w:lineRule="auto"/>
        <w:tabs>
          <w:tab w:leader="none" w:pos="174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or on account of any obligation of the Borrower under any Loan Document shall be made without deduction or withholding for any Taxes, except as required by applicable law (including FATCA). If any applicable law (including FATCA and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(including FATCA)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2" w:lineRule="exact"/>
        <w:rPr>
          <w:rFonts w:ascii="Times New Roman" w:cs="Times New Roman" w:eastAsia="Times New Roman" w:hAnsi="Times New Roman"/>
          <w:sz w:val="22"/>
          <w:szCs w:val="22"/>
          <w:color w:val="auto"/>
        </w:rPr>
      </w:pPr>
    </w:p>
    <w:p>
      <w:pPr>
        <w:jc w:val="both"/>
        <w:ind w:firstLine="1304"/>
        <w:spacing w:after="0" w:line="289" w:lineRule="auto"/>
        <w:tabs>
          <w:tab w:leader="none" w:pos="187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The Borrower shall timely pay to the relevant Governmental Authority in accordance with applicable law (including FATCA), or at the option of the Administrative Agent timely reimburse it for the payment of, Other Taxes.</w:t>
      </w:r>
    </w:p>
    <w:p>
      <w:pPr>
        <w:spacing w:after="0" w:line="152" w:lineRule="exact"/>
        <w:rPr>
          <w:rFonts w:ascii="Times New Roman" w:cs="Times New Roman" w:eastAsia="Times New Roman" w:hAnsi="Times New Roman"/>
          <w:sz w:val="22"/>
          <w:szCs w:val="22"/>
          <w:color w:val="auto"/>
        </w:rPr>
      </w:pPr>
    </w:p>
    <w:p>
      <w:pPr>
        <w:jc w:val="both"/>
        <w:ind w:firstLine="1304"/>
        <w:spacing w:after="0" w:line="278" w:lineRule="auto"/>
        <w:tabs>
          <w:tab w:leader="none" w:pos="19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4" w:lineRule="exact"/>
        <w:rPr>
          <w:rFonts w:ascii="Times New Roman" w:cs="Times New Roman" w:eastAsia="Times New Roman" w:hAnsi="Times New Roman"/>
          <w:sz w:val="22"/>
          <w:szCs w:val="22"/>
          <w:color w:val="auto"/>
        </w:rPr>
      </w:pPr>
    </w:p>
    <w:p>
      <w:pPr>
        <w:jc w:val="both"/>
        <w:ind w:firstLine="1304"/>
        <w:spacing w:after="0" w:line="277" w:lineRule="auto"/>
        <w:tabs>
          <w:tab w:leader="none" w:pos="192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1" w:lineRule="exact"/>
        <w:rPr>
          <w:sz w:val="20"/>
          <w:szCs w:val="20"/>
          <w:color w:val="auto"/>
        </w:rPr>
      </w:pPr>
    </w:p>
    <w:p>
      <w:pPr>
        <w:jc w:val="both"/>
        <w:ind w:firstLine="1304"/>
        <w:spacing w:after="0" w:line="289" w:lineRule="auto"/>
        <w:tabs>
          <w:tab w:leader="none" w:pos="177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Lenders</w:t>
      </w:r>
      <w:r>
        <w:rPr>
          <w:rFonts w:ascii="Times New Roman" w:cs="Times New Roman" w:eastAsia="Times New Roman" w:hAnsi="Times New Roman"/>
          <w:sz w:val="21"/>
          <w:szCs w:val="21"/>
          <w:color w:val="auto"/>
        </w:rPr>
        <w:t>.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2" w:lineRule="exact"/>
        <w:rPr>
          <w:rFonts w:ascii="Times New Roman" w:cs="Times New Roman" w:eastAsia="Times New Roman" w:hAnsi="Times New Roman"/>
          <w:sz w:val="21"/>
          <w:szCs w:val="21"/>
          <w:color w:val="auto"/>
        </w:rPr>
      </w:pPr>
    </w:p>
    <w:p>
      <w:pPr>
        <w:ind w:left="1740" w:hanging="436"/>
        <w:spacing w:after="0"/>
        <w:tabs>
          <w:tab w:leader="none" w:pos="17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74" w:lineRule="auto"/>
        <w:tabs>
          <w:tab w:leader="none" w:pos="245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Borrower is a U.S. Person,</w:t>
      </w:r>
    </w:p>
    <w:p>
      <w:pPr>
        <w:spacing w:after="0" w:line="233" w:lineRule="exact"/>
        <w:rPr>
          <w:rFonts w:ascii="Times New Roman" w:cs="Times New Roman" w:eastAsia="Times New Roman" w:hAnsi="Times New Roman"/>
          <w:sz w:val="22"/>
          <w:szCs w:val="22"/>
          <w:color w:val="auto"/>
        </w:rPr>
      </w:pPr>
    </w:p>
    <w:p>
      <w:pPr>
        <w:ind w:left="660" w:right="20" w:firstLine="1940"/>
        <w:spacing w:after="0" w:line="296" w:lineRule="auto"/>
        <w:tabs>
          <w:tab w:leader="none" w:pos="3157"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66" w:lineRule="exact"/>
        <w:rPr>
          <w:sz w:val="20"/>
          <w:szCs w:val="20"/>
          <w:color w:val="auto"/>
        </w:rPr>
      </w:pPr>
    </w:p>
    <w:p>
      <w:pPr>
        <w:jc w:val="both"/>
        <w:ind w:firstLine="1940"/>
        <w:spacing w:after="0" w:line="282" w:lineRule="auto"/>
        <w:tabs>
          <w:tab w:leader="none" w:pos="248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4" w:lineRule="exact"/>
        <w:rPr>
          <w:rFonts w:ascii="Times New Roman" w:cs="Times New Roman" w:eastAsia="Times New Roman" w:hAnsi="Times New Roman"/>
          <w:sz w:val="22"/>
          <w:szCs w:val="22"/>
          <w:color w:val="auto"/>
        </w:rPr>
      </w:pPr>
    </w:p>
    <w:p>
      <w:pPr>
        <w:jc w:val="both"/>
        <w:ind w:left="640" w:firstLine="1948"/>
        <w:spacing w:after="0" w:line="277" w:lineRule="auto"/>
        <w:tabs>
          <w:tab w:leader="none" w:pos="307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83" w:lineRule="exact"/>
        <w:rPr>
          <w:rFonts w:ascii="Times New Roman" w:cs="Times New Roman" w:eastAsia="Times New Roman" w:hAnsi="Times New Roman"/>
          <w:sz w:val="22"/>
          <w:szCs w:val="22"/>
          <w:color w:val="auto"/>
        </w:rPr>
      </w:pPr>
    </w:p>
    <w:p>
      <w:pPr>
        <w:ind w:left="640" w:firstLine="1948"/>
        <w:spacing w:after="0" w:line="296" w:lineRule="auto"/>
        <w:tabs>
          <w:tab w:leader="none" w:pos="307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that its extension of credit will generate U.S. effectively connected income, an executed copy of IRS Form W-8ECI;</w:t>
      </w:r>
    </w:p>
    <w:p>
      <w:pPr>
        <w:spacing w:after="0" w:line="172" w:lineRule="exact"/>
        <w:rPr>
          <w:rFonts w:ascii="Times New Roman" w:cs="Times New Roman" w:eastAsia="Times New Roman" w:hAnsi="Times New Roman"/>
          <w:sz w:val="22"/>
          <w:szCs w:val="22"/>
          <w:color w:val="auto"/>
        </w:rPr>
      </w:pPr>
    </w:p>
    <w:p>
      <w:pPr>
        <w:jc w:val="both"/>
        <w:ind w:left="640" w:firstLine="1948"/>
        <w:spacing w:after="0" w:line="277" w:lineRule="auto"/>
        <w:tabs>
          <w:tab w:leader="none" w:pos="312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w:t>
      </w:r>
      <w:r>
        <w:rPr>
          <w:rFonts w:ascii="Times New Roman" w:cs="Times New Roman" w:eastAsia="Times New Roman" w:hAnsi="Times New Roman"/>
          <w:sz w:val="22"/>
          <w:szCs w:val="22"/>
          <w:u w:val="single" w:color="auto"/>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and (y) an executed copy of IRS Form W-8BEN-E or IRS Form W-8BEN; or</w:t>
      </w:r>
    </w:p>
    <w:p>
      <w:pPr>
        <w:spacing w:after="0" w:line="178" w:lineRule="exact"/>
        <w:rPr>
          <w:rFonts w:ascii="Times New Roman" w:cs="Times New Roman" w:eastAsia="Times New Roman" w:hAnsi="Times New Roman"/>
          <w:sz w:val="22"/>
          <w:szCs w:val="22"/>
          <w:color w:val="auto"/>
        </w:rPr>
      </w:pPr>
    </w:p>
    <w:p>
      <w:pPr>
        <w:jc w:val="both"/>
        <w:ind w:left="640" w:firstLine="1948"/>
        <w:spacing w:after="0" w:line="289" w:lineRule="auto"/>
        <w:tabs>
          <w:tab w:leader="none" w:pos="312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an executed copy of IRS Form W-8IMY, accompanied by IRS Form W-8ECI, IRS Form W-8BEN-E, IRS Form W-8BEN, a U.S. Tax Compliance Certificate substantially in the form of Exhibit E-2 or Exhibit E-3, IRS Form W-9,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0580"/>
          </w:cols>
          <w:pgMar w:left="980" w:top="1440" w:right="339" w:bottom="1440" w:gutter="0" w:footer="0" w:header="0"/>
        </w:sectPr>
      </w:pPr>
    </w:p>
    <w:bookmarkStart w:id="148" w:name="page149"/>
    <w:bookmarkEnd w:id="148"/>
    <w:p>
      <w:pPr>
        <w:spacing w:after="0" w:line="167" w:lineRule="exact"/>
        <w:rPr>
          <w:sz w:val="20"/>
          <w:szCs w:val="20"/>
          <w:color w:val="auto"/>
        </w:rPr>
      </w:pPr>
    </w:p>
    <w:p>
      <w:pPr>
        <w:jc w:val="both"/>
        <w:ind w:left="1300"/>
        <w:spacing w:after="0" w:line="283" w:lineRule="auto"/>
        <w:rPr>
          <w:sz w:val="20"/>
          <w:szCs w:val="20"/>
          <w:color w:val="auto"/>
        </w:rPr>
      </w:pPr>
      <w:r>
        <w:rPr>
          <w:rFonts w:ascii="Times New Roman" w:cs="Times New Roman" w:eastAsia="Times New Roman" w:hAnsi="Times New Roman"/>
          <w:sz w:val="22"/>
          <w:szCs w:val="22"/>
          <w:color w:val="auto"/>
        </w:rPr>
        <w:t xml:space="preserve">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74" w:lineRule="exact"/>
        <w:rPr>
          <w:sz w:val="20"/>
          <w:szCs w:val="20"/>
          <w:color w:val="auto"/>
        </w:rPr>
      </w:pPr>
    </w:p>
    <w:p>
      <w:pPr>
        <w:jc w:val="both"/>
        <w:ind w:left="660" w:firstLine="1940"/>
        <w:spacing w:after="0" w:line="276" w:lineRule="auto"/>
        <w:tabs>
          <w:tab w:leader="none" w:pos="314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(including FATCA) as a basis for claiming exemption from or a reduction in U.S. federal withholding Tax, duly completed, together with such supplementary documentation as may be prescribed by applicable law (including FATCA) to permit the Borrower or the Administrative Agent to determine the withholding or deduction required to be made; and</w:t>
      </w:r>
    </w:p>
    <w:p>
      <w:pPr>
        <w:spacing w:after="0" w:line="197" w:lineRule="exact"/>
        <w:rPr>
          <w:rFonts w:ascii="Times New Roman" w:cs="Times New Roman" w:eastAsia="Times New Roman" w:hAnsi="Times New Roman"/>
          <w:sz w:val="22"/>
          <w:szCs w:val="22"/>
          <w:color w:val="auto"/>
        </w:rPr>
      </w:pPr>
    </w:p>
    <w:p>
      <w:pPr>
        <w:jc w:val="both"/>
        <w:ind w:left="660" w:firstLine="1940"/>
        <w:spacing w:after="0" w:line="289" w:lineRule="auto"/>
        <w:tabs>
          <w:tab w:leader="none" w:pos="317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FATCA and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0"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6" w:lineRule="exact"/>
        <w:rPr>
          <w:sz w:val="20"/>
          <w:szCs w:val="20"/>
          <w:color w:val="auto"/>
        </w:rPr>
      </w:pPr>
    </w:p>
    <w:p>
      <w:pPr>
        <w:ind w:firstLine="1304"/>
        <w:spacing w:after="0" w:line="296" w:lineRule="auto"/>
        <w:tabs>
          <w:tab w:leader="none" w:pos="18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If any party determines, in its sole discretion exercised in good faith, that it has received a refund of any Taxes as to which it has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1"/>
          <w:szCs w:val="21"/>
          <w:color w:val="auto"/>
        </w:rPr>
        <w:t>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48" w:lineRule="exact"/>
        <w:rPr>
          <w:sz w:val="20"/>
          <w:szCs w:val="20"/>
          <w:color w:val="auto"/>
        </w:rPr>
      </w:pPr>
    </w:p>
    <w:p>
      <w:pPr>
        <w:jc w:val="both"/>
        <w:ind w:firstLine="1304"/>
        <w:spacing w:after="0" w:line="289" w:lineRule="auto"/>
        <w:tabs>
          <w:tab w:leader="none" w:pos="188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 Sharing of Setoffs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6" w:lineRule="auto"/>
        <w:tabs>
          <w:tab w:leader="none" w:pos="185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or prepayment required to be made by it hereunder (whether of principal, interest, fees or of amounts payable under Section 2.15, 2.16 or 2.17, or otherwise) prior to 12:00 noon,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set forth in Section 9.01.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71" w:lineRule="exact"/>
        <w:rPr>
          <w:sz w:val="20"/>
          <w:szCs w:val="20"/>
          <w:color w:val="auto"/>
        </w:rPr>
      </w:pPr>
    </w:p>
    <w:p>
      <w:pPr>
        <w:jc w:val="both"/>
        <w:ind w:firstLine="1304"/>
        <w:spacing w:after="0" w:line="279" w:lineRule="auto"/>
        <w:tabs>
          <w:tab w:leader="none" w:pos="183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63" w:lineRule="exact"/>
        <w:rPr>
          <w:rFonts w:ascii="Times New Roman" w:cs="Times New Roman" w:eastAsia="Times New Roman" w:hAnsi="Times New Roman"/>
          <w:sz w:val="22"/>
          <w:szCs w:val="22"/>
          <w:color w:val="auto"/>
        </w:rPr>
      </w:pPr>
    </w:p>
    <w:p>
      <w:pPr>
        <w:jc w:val="both"/>
        <w:ind w:firstLine="1304"/>
        <w:spacing w:after="0" w:line="274" w:lineRule="auto"/>
        <w:tabs>
          <w:tab w:leader="none" w:pos="177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by exercising any right of setoff or counterclaim or otherwise, obtain payment in respect of any principal of or interest on any of its Revolving Loans resulting in such Lender receiving payment of a greater proportion of the aggregate amount of its Revolving Loans and accrued interest thereon than the proportion received by any other Lender, then the Lender receiving such greater proportion shall purchase (for cash at face value) participations in the Revolving Loans of other Lenders to the extent necessary so that the benefit of all such payments shall be shared by the Lenders ratably in accordance with the aggregate amount of principal of and accrued interest on their respective Revolving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76" w:lineRule="auto"/>
        <w:tabs>
          <w:tab w:leader="none" w:pos="181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prior to any date on which any payment is due to the Administrative Agent for the account of the Lenders pursuant to the terms hereof or any other Loan Document (including any date that is fixed for prepayment by notice from the Borrower to the Administrative Agent pursuant to Section 2.11(b)), notice from the Borrower that the Borrower will not make such payment or prepayment,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71"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2"/>
          <w:szCs w:val="22"/>
          <w:color w:val="auto"/>
        </w:rPr>
        <w:t>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32"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2.19.</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6" w:lineRule="auto"/>
        <w:tabs>
          <w:tab w:leader="none" w:pos="195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0" w:lineRule="exact"/>
        <w:rPr>
          <w:rFonts w:ascii="Times New Roman" w:cs="Times New Roman" w:eastAsia="Times New Roman" w:hAnsi="Times New Roman"/>
          <w:sz w:val="22"/>
          <w:szCs w:val="22"/>
          <w:color w:val="auto"/>
        </w:rPr>
      </w:pPr>
    </w:p>
    <w:p>
      <w:pPr>
        <w:jc w:val="both"/>
        <w:ind w:firstLine="1304"/>
        <w:spacing w:after="0" w:line="273" w:lineRule="auto"/>
        <w:tabs>
          <w:tab w:leader="none" w:pos="196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 xml:space="preserve">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following the effectiveness of any such assignment, the other parties to such assignment agree to execute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 such documents necessary to evidence such assignment as reasonably requested by the applicable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documents shall be without recourse to or warranty by the parties thereto.</w:t>
      </w:r>
    </w:p>
    <w:p>
      <w:pPr>
        <w:spacing w:after="0" w:line="166"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59" w:lineRule="exact"/>
        <w:rPr>
          <w:sz w:val="20"/>
          <w:szCs w:val="20"/>
          <w:color w:val="auto"/>
        </w:rPr>
      </w:pPr>
    </w:p>
    <w:p>
      <w:pPr>
        <w:ind w:left="1780" w:hanging="476"/>
        <w:spacing w:after="0"/>
        <w:tabs>
          <w:tab w:leader="none" w:pos="178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shall cease to accrue on the unfunded portion of the Commitment of such Defaulting Lender pursuant to</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2.12(a);</w:t>
      </w:r>
    </w:p>
    <w:p>
      <w:pPr>
        <w:spacing w:after="0" w:line="233" w:lineRule="exact"/>
        <w:rPr>
          <w:rFonts w:ascii="Times New Roman" w:cs="Times New Roman" w:eastAsia="Times New Roman" w:hAnsi="Times New Roman"/>
          <w:sz w:val="21"/>
          <w:szCs w:val="21"/>
          <w:color w:val="auto"/>
        </w:rPr>
      </w:pPr>
    </w:p>
    <w:p>
      <w:pPr>
        <w:jc w:val="both"/>
        <w:ind w:firstLine="1304"/>
        <w:spacing w:after="0" w:line="288" w:lineRule="auto"/>
        <w:tabs>
          <w:tab w:leader="none" w:pos="19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1"/>
          <w:szCs w:val="21"/>
          <w:u w:val="single" w:color="auto"/>
          <w:color w:val="auto"/>
        </w:rPr>
        <w:t>sixth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such Defaulting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Lender until such time as all Loans are held by the Lenders pro rata in accordance with the Commitments.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 and</w:t>
      </w:r>
    </w:p>
    <w:p>
      <w:pPr>
        <w:spacing w:after="0" w:line="161" w:lineRule="exact"/>
        <w:rPr>
          <w:sz w:val="20"/>
          <w:szCs w:val="20"/>
          <w:color w:val="auto"/>
        </w:rPr>
      </w:pPr>
    </w:p>
    <w:p>
      <w:pPr>
        <w:jc w:val="both"/>
        <w:ind w:firstLine="1304"/>
        <w:spacing w:after="0" w:line="277" w:lineRule="auto"/>
        <w:tabs>
          <w:tab w:leader="none" w:pos="193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clause (c) shall not apply to the vote of a Defaulting Lender except (i) such Defaulting Lender’s Commitment may not be increased or extended without its consent and (ii) the principal amount of, or interest or fees payable on, Loans may not be reduced or excused or the scheduled date of payment may not be postponed as to such Defaulting Lender without such Defaulting Lender’s consent.</w:t>
      </w:r>
    </w:p>
    <w:p>
      <w:pPr>
        <w:spacing w:after="0" w:line="16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In the event that the Administrative Agent and the Borrower agree that a Defaulting Lender has adequately remedied all matters that caused such Lender to be a Defaulting Lender, then the Revolving Credit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6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2.21.</w:t>
      </w:r>
      <w:r>
        <w:rPr>
          <w:sz w:val="20"/>
          <w:szCs w:val="20"/>
          <w:color w:val="auto"/>
        </w:rPr>
        <w:tab/>
      </w:r>
      <w:r>
        <w:rPr>
          <w:rFonts w:ascii="Times New Roman" w:cs="Times New Roman" w:eastAsia="Times New Roman" w:hAnsi="Times New Roman"/>
          <w:sz w:val="21"/>
          <w:szCs w:val="21"/>
          <w:u w:val="single" w:color="auto"/>
          <w:color w:val="auto"/>
        </w:rPr>
        <w:t>Incremental Revolving Facilities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9" w:lineRule="auto"/>
        <w:tabs>
          <w:tab w:leader="none" w:pos="187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on no more than five occasions, pursuant to an Increased Commitment Supplement increase the aggregate amount of the Commitments (the commitment of any Lender to provide such increase, an “</w:t>
      </w:r>
      <w:r>
        <w:rPr>
          <w:rFonts w:ascii="Times New Roman" w:cs="Times New Roman" w:eastAsia="Times New Roman" w:hAnsi="Times New Roman"/>
          <w:sz w:val="22"/>
          <w:szCs w:val="22"/>
          <w:u w:val="single" w:color="auto"/>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and such increase, an “</w:t>
      </w:r>
      <w:r>
        <w:rPr>
          <w:rFonts w:ascii="Times New Roman" w:cs="Times New Roman" w:eastAsia="Times New Roman" w:hAnsi="Times New Roman"/>
          <w:sz w:val="22"/>
          <w:szCs w:val="22"/>
          <w:u w:val="single" w:color="auto"/>
          <w:color w:val="auto"/>
        </w:rPr>
        <w:t>Incremental Revolving Facility</w:t>
      </w:r>
      <w:r>
        <w:rPr>
          <w:rFonts w:ascii="Times New Roman" w:cs="Times New Roman" w:eastAsia="Times New Roman" w:hAnsi="Times New Roman"/>
          <w:sz w:val="22"/>
          <w:szCs w:val="22"/>
          <w:color w:val="auto"/>
        </w:rPr>
        <w:t>” and any loans made pursuant to an Incremental Revolving Facility, “</w:t>
      </w:r>
      <w:r>
        <w:rPr>
          <w:rFonts w:ascii="Times New Roman" w:cs="Times New Roman" w:eastAsia="Times New Roman" w:hAnsi="Times New Roman"/>
          <w:sz w:val="22"/>
          <w:szCs w:val="22"/>
          <w:u w:val="single" w:color="auto"/>
          <w:color w:val="auto"/>
        </w:rPr>
        <w:t>Incremental Revolving Loans</w:t>
      </w:r>
      <w:r>
        <w:rPr>
          <w:rFonts w:ascii="Times New Roman" w:cs="Times New Roman" w:eastAsia="Times New Roman" w:hAnsi="Times New Roman"/>
          <w:sz w:val="22"/>
          <w:szCs w:val="22"/>
          <w:color w:val="auto"/>
        </w:rPr>
        <w:t>”) in an aggregate outstanding principal amount not to exceed $100,000,000, which increase shall be requested in dollars.</w:t>
      </w:r>
    </w:p>
    <w:p>
      <w:pPr>
        <w:spacing w:after="0" w:line="16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Revolving Facility shall be subject to the following provisions:</w:t>
      </w:r>
    </w:p>
    <w:p>
      <w:pPr>
        <w:spacing w:after="0" w:line="219" w:lineRule="exact"/>
        <w:rPr>
          <w:rFonts w:ascii="Times New Roman" w:cs="Times New Roman" w:eastAsia="Times New Roman" w:hAnsi="Times New Roman"/>
          <w:sz w:val="22"/>
          <w:szCs w:val="22"/>
          <w:color w:val="auto"/>
        </w:rPr>
      </w:pPr>
    </w:p>
    <w:p>
      <w:pPr>
        <w:jc w:val="both"/>
        <w:ind w:firstLine="1952"/>
        <w:spacing w:after="0" w:line="289" w:lineRule="auto"/>
        <w:tabs>
          <w:tab w:leader="none" w:pos="2507"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Revolving Commitment must be in an aggregate amount equal to any integral multiple of $5,000,000 and not less than $10,000,000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such amount may be less than $10,000,000 if such amount represents all remaining availability for Incremental Revolving Facilities under the limit set forth above),</w:t>
      </w:r>
    </w:p>
    <w:p>
      <w:pPr>
        <w:spacing w:after="0" w:line="152" w:lineRule="exact"/>
        <w:rPr>
          <w:rFonts w:ascii="Times New Roman" w:cs="Times New Roman" w:eastAsia="Times New Roman" w:hAnsi="Times New Roman"/>
          <w:sz w:val="22"/>
          <w:szCs w:val="22"/>
          <w:color w:val="auto"/>
        </w:rPr>
      </w:pPr>
    </w:p>
    <w:p>
      <w:pPr>
        <w:ind w:firstLine="1952"/>
        <w:spacing w:after="0" w:line="296" w:lineRule="auto"/>
        <w:tabs>
          <w:tab w:leader="none" w:pos="242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the Borrower and any Lender may separately agree, no Lender shall be obligated to provide any Incremental Revolving Commitment, and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determination to provide any Incremental Revolving Commitment shall be within the sole discretion of such Lender,</w:t>
      </w:r>
    </w:p>
    <w:p>
      <w:pPr>
        <w:spacing w:after="0" w:line="233" w:lineRule="exact"/>
        <w:rPr>
          <w:sz w:val="20"/>
          <w:szCs w:val="20"/>
          <w:color w:val="auto"/>
        </w:rPr>
      </w:pPr>
    </w:p>
    <w:p>
      <w:pPr>
        <w:jc w:val="both"/>
        <w:ind w:firstLine="1952"/>
        <w:spacing w:after="0" w:line="289" w:lineRule="auto"/>
        <w:tabs>
          <w:tab w:leader="none" w:pos="255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Incremental Revolving Facility, Incremental Revolving Commitment or Incremental Revolving Loan (nor the creation, provision or implementation thereof) shall require the approval of any existing Lender other than in its capacity, if any, as a lender providing all or part of any Incremental Revolving Commitment,</w:t>
      </w:r>
    </w:p>
    <w:p>
      <w:pPr>
        <w:spacing w:after="0" w:line="152" w:lineRule="exact"/>
        <w:rPr>
          <w:rFonts w:ascii="Times New Roman" w:cs="Times New Roman" w:eastAsia="Times New Roman" w:hAnsi="Times New Roman"/>
          <w:sz w:val="22"/>
          <w:szCs w:val="22"/>
          <w:color w:val="auto"/>
        </w:rPr>
      </w:pPr>
    </w:p>
    <w:p>
      <w:pPr>
        <w:jc w:val="both"/>
        <w:ind w:firstLine="1952"/>
        <w:spacing w:after="0" w:line="282" w:lineRule="auto"/>
        <w:tabs>
          <w:tab w:leader="none" w:pos="258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any Incremental Revolving Facility shall be identical to the existing Revolving Loans and Commitments (other than with respect to fees) and, for purposes of this Agreement and the other Loan Documents, all Revolving Loans made under any Incremental Revolving Commitment shall be deemed to be Revolving Loans,</w:t>
      </w:r>
    </w:p>
    <w:p>
      <w:pPr>
        <w:spacing w:after="0" w:line="161" w:lineRule="exact"/>
        <w:rPr>
          <w:rFonts w:ascii="Times New Roman" w:cs="Times New Roman" w:eastAsia="Times New Roman" w:hAnsi="Times New Roman"/>
          <w:sz w:val="22"/>
          <w:szCs w:val="22"/>
          <w:color w:val="auto"/>
        </w:rPr>
      </w:pPr>
    </w:p>
    <w:p>
      <w:pPr>
        <w:ind w:firstLine="1952"/>
        <w:spacing w:after="0" w:line="296" w:lineRule="auto"/>
        <w:tabs>
          <w:tab w:leader="none" w:pos="241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any fees payable in connection with any Incremental Revolving Facility shall be determined by the Borrower and the arrangers and/or lenders providing such Incremental Revolving Facility,</w:t>
      </w:r>
    </w:p>
    <w:p>
      <w:pPr>
        <w:spacing w:after="0" w:line="145"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Incremental Revolving Facility may be guaranteed by any Person and no Incremental Revolving</w:t>
      </w:r>
    </w:p>
    <w:p>
      <w:pPr>
        <w:spacing w:after="0" w:line="5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Facility shall be secured,</w:t>
      </w:r>
    </w:p>
    <w:p>
      <w:pPr>
        <w:spacing w:after="0" w:line="233" w:lineRule="exact"/>
        <w:rPr>
          <w:rFonts w:ascii="Times New Roman" w:cs="Times New Roman" w:eastAsia="Times New Roman" w:hAnsi="Times New Roman"/>
          <w:sz w:val="21"/>
          <w:szCs w:val="21"/>
          <w:color w:val="auto"/>
        </w:rPr>
      </w:pPr>
    </w:p>
    <w:p>
      <w:pPr>
        <w:ind w:right="20" w:firstLine="1952"/>
        <w:spacing w:after="0" w:line="296" w:lineRule="auto"/>
        <w:tabs>
          <w:tab w:leader="none" w:pos="253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Incremental Revolving Facility shall be used for general corporate purposes and any other use permitted by this Agreement, and</w:t>
      </w:r>
    </w:p>
    <w:p>
      <w:pPr>
        <w:spacing w:after="0" w:line="145" w:lineRule="exact"/>
        <w:rPr>
          <w:rFonts w:ascii="Times New Roman" w:cs="Times New Roman" w:eastAsia="Times New Roman" w:hAnsi="Times New Roman"/>
          <w:sz w:val="22"/>
          <w:szCs w:val="22"/>
          <w:color w:val="auto"/>
        </w:rPr>
      </w:pPr>
    </w:p>
    <w:p>
      <w:pPr>
        <w:jc w:val="both"/>
        <w:ind w:firstLine="1952"/>
        <w:spacing w:after="0" w:line="275" w:lineRule="auto"/>
        <w:tabs>
          <w:tab w:leader="none" w:pos="266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Default or Event of Default shall exist immediately prior to or after giving effect to such Incremental Revolving Facility and (B) the representations and warranties of the Borrower set forth in the Loan Documents shall be true and correct in all material respects (or, in the case of any representation and warranty qualified by materiality, all respects) on and as of the date of the effectiveness of such Incremental Revolving Facility after giving effect to the Loans made on such date, except to the extent such representations and warranties specifically relate to any earlier date in which case such representations and warranties shall have been true and correct in all material respects as of such earlier date (or, in the case of any representation and warranty qualified by materiality, in all respects as of such earlier date).</w:t>
      </w:r>
    </w:p>
    <w:p>
      <w:pPr>
        <w:spacing w:after="0" w:line="17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Revolving Commitments may be provided by any existing Lender, or by one or more new banks, financial institutions or other entities that are not Ineligible Institutions (any such other lender, a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shall have a right to consent (such consent not to be unreasonably withheld or delayed) to the relevant New Lender’s provision of Incremental Revolving Commitments.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71" w:lineRule="exact"/>
        <w:rPr>
          <w:sz w:val="20"/>
          <w:szCs w:val="20"/>
          <w:color w:val="auto"/>
        </w:rPr>
      </w:pPr>
    </w:p>
    <w:p>
      <w:pPr>
        <w:jc w:val="both"/>
        <w:ind w:firstLine="1304"/>
        <w:spacing w:after="0" w:line="279" w:lineRule="auto"/>
        <w:tabs>
          <w:tab w:leader="none" w:pos="182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New Lender providing a portion of any Incremental Revolving Commitment shall execute and deliver to the Administrative Agent and the Borrower all such documentation (including the relevant Increased Commitment Supplement) as may be reasonably required by the Administrative Agent to evidence and effectuate such Incremental Revolving Commitment. On the effective date of such Incremental Revolving Commitment, each New Lender shall become a Lender for all purposes in connection with this Agreement.</w:t>
      </w:r>
    </w:p>
    <w:p>
      <w:pPr>
        <w:spacing w:after="0" w:line="163" w:lineRule="exact"/>
        <w:rPr>
          <w:rFonts w:ascii="Times New Roman" w:cs="Times New Roman" w:eastAsia="Times New Roman" w:hAnsi="Times New Roman"/>
          <w:sz w:val="22"/>
          <w:szCs w:val="22"/>
          <w:color w:val="auto"/>
        </w:rPr>
      </w:pPr>
    </w:p>
    <w:p>
      <w:pPr>
        <w:jc w:val="both"/>
        <w:ind w:firstLine="1304"/>
        <w:spacing w:after="0" w:line="308" w:lineRule="auto"/>
        <w:tabs>
          <w:tab w:leader="none" w:pos="1764"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hereby irrevocably authorize the Administrative Agent to enter into any Increased Commitment Supplement and/or any amendment to this Agreement and/or to any other Loan Document as may be necessary or appropriate in the reasonable opinion of the Administrative Agent and the Borrower to effect the provisions of this Section 2.21.</w:t>
      </w:r>
    </w:p>
    <w:p>
      <w:pPr>
        <w:spacing w:after="0" w:line="136" w:lineRule="exact"/>
        <w:rPr>
          <w:rFonts w:ascii="Times New Roman" w:cs="Times New Roman" w:eastAsia="Times New Roman" w:hAnsi="Times New Roman"/>
          <w:sz w:val="21"/>
          <w:szCs w:val="21"/>
          <w:color w:val="auto"/>
        </w:rPr>
      </w:pPr>
    </w:p>
    <w:p>
      <w:pPr>
        <w:ind w:left="1740" w:hanging="436"/>
        <w:spacing w:after="0"/>
        <w:tabs>
          <w:tab w:leader="none" w:pos="17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2.21 shall supersede any provision in Section 9.02 to the contrary.</w:t>
      </w:r>
    </w:p>
    <w:p>
      <w:pPr>
        <w:spacing w:after="0" w:line="23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1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increase and addition consummated under this Section 2.21 shall be effective upon the delivery of an Increased Commitment Supplement (herein so called) executed by the Borrower, the Administrative Agent and the Lenders willing to increase their respective Revolving Commitments and/or the New Lenders (if 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37"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Each of Holdings and the Borrower represents and warrants to the Lenders on the date hereof, on the Effective Date and on each date of Borrowing that:</w:t>
      </w:r>
    </w:p>
    <w:p>
      <w:pPr>
        <w:spacing w:after="0" w:line="14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Each of Holdings, the Borrower and its Subsidiaries is duly organized or formed, validly existing and, except to the extent that the failure to do so could not reasonably be expected to result in a Material Adverse Effect in the case of such Subsidiaries, is in good standing (to the extent such concept is applicable in such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(to the extent such concept is applicable in such jurisdiction) is in good standing in, every jurisdiction where such qualification is required.</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Transactions are within Holdings’ and the Borrower’s corporate or other organizational powers and have been duly authorized by all necessary corporate or other organizational and, if required, stockholder action. This Agreement has been duly executed and delivered by Holdings and the Borrower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constitutes a legal, valid and binding obligation of Holdings and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Governmental Approvals; No Conflicts</w:t>
      </w:r>
      <w:r>
        <w:rPr>
          <w:rFonts w:ascii="Times New Roman" w:cs="Times New Roman" w:eastAsia="Times New Roman" w:hAnsi="Times New Roman"/>
          <w:sz w:val="22"/>
          <w:szCs w:val="22"/>
          <w:color w:val="auto"/>
        </w:rPr>
        <w:t>. The Transactions (a) do not require any consent or approval of, registration or filing with, or any other action by, any Governmental Authority, except such as have been obtained or made and are in full force and effect (unless the failure to obtain such consents or approval will not have a Material Adverse Effect),</w:t>
      </w:r>
    </w:p>
    <w:p>
      <w:pPr>
        <w:spacing w:after="0" w:line="1" w:lineRule="exact"/>
        <w:rPr>
          <w:sz w:val="20"/>
          <w:szCs w:val="20"/>
          <w:color w:val="auto"/>
        </w:rPr>
      </w:pPr>
    </w:p>
    <w:p>
      <w:pPr>
        <w:jc w:val="both"/>
        <w:ind w:firstLine="8"/>
        <w:spacing w:after="0" w:line="277" w:lineRule="auto"/>
        <w:tabs>
          <w:tab w:leader="none" w:pos="34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violate in any material respect any applicable law or regulation or the charter, by-laws or other organizational documents of Holdings, the Borrower or any of its Subsidiaries or any order of any Governmental Authority, (c) will not violate or result in a material default under any material indenture, agreement or other instrument binding upon Holdings, the Borrower or any of its Subsidiaries or its assets, or give rise to a right thereunder to require any payment to be made by Holdings, the Borrower or any of its Subsidiaries, unless such violation or default will not have a Material Adverse Effect and (d) will not result in the creation or imposition of, or the requirement to create, any Lien on any asset of Holdings, the Borrower or any of its Subsidiaries.</w:t>
      </w:r>
    </w:p>
    <w:p>
      <w:pPr>
        <w:spacing w:after="0" w:line="18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Financial Condition; No Material Adverse Change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93" w:lineRule="auto"/>
        <w:tabs>
          <w:tab w:leader="none" w:pos="179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heretofore furnished to the Lenders (i) Holdings’ audited consolidated balance sheet and statements of income, stockholders equity and cash flows as of and for the fiscal years ended June 30, 2021 and June 30, 2020, reported by Deloitte &amp; Touche LLP and Ernst &amp; Young LLP, respectively, and (ii) Holdings’ unaudited consolidated balance sheet and statements of income and cash flows as of and for the fiscal quarter ended September 30, 2021, certified by a Financial Officer. Such financial statements present fairly, in all material respects, the financial position and results of operations and cash flows of Holdings and its consolidated Subsidiaries as of such dates and for such periods in accordance with GAAP, subject to year-end audit adjustments and the absence of footnotes in the case of the statements referred to in clause (ii) above.</w:t>
      </w:r>
    </w:p>
    <w:p>
      <w:pPr>
        <w:spacing w:after="0" w:line="150" w:lineRule="exact"/>
        <w:rPr>
          <w:rFonts w:ascii="Times New Roman" w:cs="Times New Roman" w:eastAsia="Times New Roman" w:hAnsi="Times New Roman"/>
          <w:sz w:val="21"/>
          <w:szCs w:val="21"/>
          <w:color w:val="auto"/>
        </w:rPr>
      </w:pPr>
    </w:p>
    <w:p>
      <w:pPr>
        <w:ind w:firstLine="1304"/>
        <w:spacing w:after="0" w:line="296" w:lineRule="auto"/>
        <w:tabs>
          <w:tab w:leader="none" w:pos="189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June 30, 2021, there has been no Material Adverse Change with respect to the Borrower and its Subsidiaries, taken as a whole.</w:t>
      </w:r>
    </w:p>
    <w:p>
      <w:pPr>
        <w:spacing w:after="0" w:line="14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Properties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9" w:lineRule="auto"/>
        <w:tabs>
          <w:tab w:leader="none" w:pos="183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its Subsidiaries has good title to, or valid leasehold interests in, all its real and personal property, except for minor defects in title that do not interfere with its ability to conduct its business as currently conducted or to utilize such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properties for their intended purposes, except where the failure to do so would not reasonably be expected to have, individually or in the aggregate, a Material Adverse Effect.</w:t>
      </w:r>
    </w:p>
    <w:p>
      <w:pPr>
        <w:spacing w:after="0" w:line="132" w:lineRule="exact"/>
        <w:rPr>
          <w:sz w:val="20"/>
          <w:szCs w:val="20"/>
          <w:color w:val="auto"/>
        </w:rPr>
      </w:pPr>
    </w:p>
    <w:p>
      <w:pPr>
        <w:jc w:val="both"/>
        <w:ind w:firstLine="1304"/>
        <w:spacing w:after="0" w:line="278" w:lineRule="auto"/>
        <w:tabs>
          <w:tab w:leader="none" w:pos="196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its Subsidiaries owns, or is licensed to use, all trademarks, trade names, copyrights, patents and other intellectual property material to its business, and the use thereof by the Borrower and its Subsidiaries does not infringe upon the rights of any other Person, except for any such infringements (or ownership or license issues) that, individually or in the aggregate, could not reasonably be expected to result in a Material Adverse Effect.</w:t>
      </w:r>
    </w:p>
    <w:p>
      <w:pPr>
        <w:spacing w:after="0" w:line="16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Litigation and Environmental Matters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right="20" w:firstLine="1304"/>
        <w:spacing w:after="0" w:line="268" w:lineRule="auto"/>
        <w:tabs>
          <w:tab w:leader="none" w:pos="1827"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suits or proceedings by or before any arbitrator or Governmental Authority pending against or, to the knowledge of the Borrower, threatened in writing against or affecting the Borrower or any of its Subsidiaries</w:t>
      </w:r>
    </w:p>
    <w:p>
      <w:pPr>
        <w:spacing w:after="0" w:line="2" w:lineRule="exact"/>
        <w:rPr>
          <w:rFonts w:ascii="Times New Roman" w:cs="Times New Roman" w:eastAsia="Times New Roman" w:hAnsi="Times New Roman"/>
          <w:sz w:val="22"/>
          <w:szCs w:val="22"/>
          <w:color w:val="auto"/>
        </w:rPr>
      </w:pPr>
    </w:p>
    <w:p>
      <w:pPr>
        <w:jc w:val="both"/>
        <w:ind w:firstLine="8"/>
        <w:spacing w:after="0" w:line="289" w:lineRule="auto"/>
        <w:tabs>
          <w:tab w:leader="none" w:pos="27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there is a reasonable possibility of an adverse determination and that, if adversely determined, would reasonably be expected, individually or in the aggregate, to result in a Material Adverse Effect (other than as set forth on Schedule 3.06 (the “</w:t>
      </w:r>
      <w:r>
        <w:rPr>
          <w:rFonts w:ascii="Times New Roman" w:cs="Times New Roman" w:eastAsia="Times New Roman" w:hAnsi="Times New Roman"/>
          <w:sz w:val="22"/>
          <w:szCs w:val="22"/>
          <w:u w:val="single" w:color="auto"/>
          <w:color w:val="auto"/>
        </w:rPr>
        <w:t>Disclosed Matters</w:t>
      </w:r>
      <w:r>
        <w:rPr>
          <w:rFonts w:ascii="Times New Roman" w:cs="Times New Roman" w:eastAsia="Times New Roman" w:hAnsi="Times New Roman"/>
          <w:sz w:val="22"/>
          <w:szCs w:val="22"/>
          <w:color w:val="auto"/>
        </w:rPr>
        <w:t>”)) or (ii) that involve this Agreement or the Transactions.</w:t>
      </w:r>
    </w:p>
    <w:p>
      <w:pPr>
        <w:spacing w:after="0" w:line="139"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4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Disclosed Matters and 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is subject to any Environmental Liability, (iii) has received notice of any claim with respect to any Environmental Liability or (iv) knows of any basis for any Environmental Liability.</w:t>
      </w:r>
    </w:p>
    <w:p>
      <w:pPr>
        <w:spacing w:after="0" w:line="147" w:lineRule="exact"/>
        <w:rPr>
          <w:rFonts w:ascii="Times New Roman" w:cs="Times New Roman" w:eastAsia="Times New Roman" w:hAnsi="Times New Roman"/>
          <w:sz w:val="22"/>
          <w:szCs w:val="22"/>
          <w:color w:val="auto"/>
        </w:rPr>
      </w:pPr>
    </w:p>
    <w:p>
      <w:pPr>
        <w:ind w:right="680" w:firstLine="1304"/>
        <w:spacing w:after="0" w:line="335" w:lineRule="auto"/>
        <w:tabs>
          <w:tab w:leader="none" w:pos="1752"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0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Compliance with Laws and Agreements</w:t>
      </w:r>
      <w:r>
        <w:rPr>
          <w:rFonts w:ascii="Times New Roman" w:cs="Times New Roman" w:eastAsia="Times New Roman" w:hAnsi="Times New Roman"/>
          <w:sz w:val="21"/>
          <w:szCs w:val="21"/>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71"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Neither Holdings nor the Borrower or any of its Subsidiaries is an “investment company” as defined in, or subject to regulation under, the Investment Company Act of 1940.</w:t>
      </w:r>
    </w:p>
    <w:p>
      <w:pPr>
        <w:spacing w:after="0" w:line="14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Borrower and its Subsidiaries has timely filed or caused to be filed all Tax returns and reports required to have been filed and has paid or caused to be paid all Taxes required to have been paid by it, except</w:t>
      </w:r>
    </w:p>
    <w:p>
      <w:pPr>
        <w:spacing w:after="0" w:line="2" w:lineRule="exact"/>
        <w:rPr>
          <w:sz w:val="20"/>
          <w:szCs w:val="20"/>
          <w:color w:val="auto"/>
        </w:rPr>
      </w:pPr>
    </w:p>
    <w:p>
      <w:pPr>
        <w:jc w:val="both"/>
        <w:ind w:firstLine="8"/>
        <w:spacing w:after="0" w:line="289" w:lineRule="auto"/>
        <w:tabs>
          <w:tab w:leader="none" w:pos="30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that are being contested in good faith by appropriate proceedings and for which the Borrower or such Subsidiary, as applicable, has set aside on its books adequate reserves or (b) to the extent that the failure to do so could not reasonably be expected to result in a Material Adverse Effect.</w:t>
      </w:r>
    </w:p>
    <w:p>
      <w:pPr>
        <w:spacing w:after="0" w:line="16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66"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5" w:lineRule="auto"/>
        <w:tabs>
          <w:tab w:leader="none" w:pos="187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reports, lender presentations, information memorandum, financial statements, certificates or other information furnished by or on behalf of the Borrower or any Subsidiary to the Administrative Agent or any Lender in connection with the negotiation of this Agreement or delivered hereunder (as modified or supplemented by other information so furnished) contains, at the time furnished,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projected financial information, the Borrower represents only that such information was prepared in good faith based upon assumptions believed to be reasonable at the time delivered, it being recognized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72"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5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Borrower has implemented and maintains in effect policies and procedures reasonably designed to promote compliance by the Borrower, its Subsidiaries and Affiliates and their respective directors, officers, employees, advisors and agents with Anti-Corruption Laws and applicable Sanctions,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and the Borrower, its Subsidiaries and Affiliates and their respective directors and officers and, to the knowledge of the Borrower, its employees, advisors and agents (when acting in their role as directors, officers, employees, advisors and agents), are in compliance with Anti-Corruption Laws and applicable Sanctions in all respects. None of (a) the Borrower, any Subsidiary or Affiliate thereof, any of their respective directors or officers or, to the Borrower’s knowledge, employees or (b) to the Borrower’s knowledge, any agent or advisor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8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The Borrower is not an Affected Financial Institution.</w:t>
      </w:r>
    </w:p>
    <w:p>
      <w:pPr>
        <w:spacing w:after="0" w:line="24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The Borrower is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to buy or carry any Margin Stock. Following the application of the proceeds of each Borrowing, not more than 25% of the value of the assets (either of the Borrower only or of the Borrower and its Subsidiaries on a consolidated basis) will be Margin Stock.</w:t>
      </w:r>
    </w:p>
    <w:p>
      <w:pPr>
        <w:spacing w:after="0" w:line="17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The Borrower and its Subsidiaries, taken as a whole, are Solvent.</w:t>
      </w:r>
    </w:p>
    <w:p>
      <w:pPr>
        <w:spacing w:after="0" w:line="24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Schedule 3.17 contains an accurate list of all Subsidiaries of the Borrower as of the Effective Date, setting forth their respective jurisdictions of organization and the percentage of their respective Equity Interests owned by the Borrower or other Subsidiaries. All of the issued and outstanding Equity Interests of such Subsidiaries have been (to the extent such concepts are relevant with respect to such ownership interests) duly authorized and issued and are fully paid and nonassessable.</w:t>
      </w:r>
    </w:p>
    <w:p>
      <w:pPr>
        <w:spacing w:after="0" w:line="19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None of the Borrower or its Subsidiaries is engaged in any unfair labor practice that would reasonably be expected to have a Material Adverse Effect. There is (a) no unfair labor practice complaint pending against Borrower or any of its Subsidiaries, or to the knowledge of the Borrower, threatened in writing against the Borrower or any of its Subsidiaries and no grievance or arbitration proceeding arising out of or under any collective bargaining agreement that is so pending against Borrower or any of its Subsidiaries or to the knowledge of the Borrower, threatened in writing against the Borrower 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color w:val="auto"/>
        </w:rPr>
        <w:t>any of its Subsidiaries, (b) no strike, work stoppage or other labor controversy in existence or threatened in writing involving the Borrower or any of its Subsidiaries, and (c) no violation of any laws or regulations, foreign or domestic, with respect to any employee, union or related matters by the Borrower or its Subsidiaries, except (with respect to any matter specified in clause (a),</w:t>
      </w:r>
    </w:p>
    <w:p>
      <w:pPr>
        <w:spacing w:after="0" w:line="1"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(c) above, either individually or in the aggregate) such as is not reasonably likely to have a Material Adverse Effect.</w:t>
      </w:r>
    </w:p>
    <w:p>
      <w:pPr>
        <w:spacing w:after="0" w:line="246" w:lineRule="exact"/>
        <w:rPr>
          <w:rFonts w:ascii="Times New Roman" w:cs="Times New Roman" w:eastAsia="Times New Roman" w:hAnsi="Times New Roman"/>
          <w:sz w:val="22"/>
          <w:szCs w:val="22"/>
          <w:color w:val="auto"/>
        </w:rPr>
      </w:pPr>
    </w:p>
    <w:p>
      <w:pPr>
        <w:ind w:left="50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IV</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w:t>
      </w:r>
    </w:p>
    <w:p>
      <w:pPr>
        <w:spacing w:after="0" w:line="237" w:lineRule="exact"/>
        <w:rPr>
          <w:sz w:val="20"/>
          <w:szCs w:val="20"/>
          <w:color w:val="auto"/>
        </w:rPr>
      </w:pPr>
    </w:p>
    <w:p>
      <w:pPr>
        <w:ind w:right="400"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obligations of the Lenders to make Loans hereunder shall not become effective until the date on which each of the following conditions is satisfied (or waived in accordance with Section 9.02):</w:t>
      </w:r>
    </w:p>
    <w:p>
      <w:pPr>
        <w:spacing w:after="0" w:line="159" w:lineRule="exact"/>
        <w:rPr>
          <w:sz w:val="20"/>
          <w:szCs w:val="20"/>
          <w:color w:val="auto"/>
        </w:rPr>
      </w:pPr>
    </w:p>
    <w:p>
      <w:pPr>
        <w:jc w:val="both"/>
        <w:ind w:firstLine="1304"/>
        <w:spacing w:after="0" w:line="279" w:lineRule="auto"/>
        <w:tabs>
          <w:tab w:leader="none" w:pos="176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from (i) each party hereto a counterpart of this Agreement signed on behalf of such party and (ii) Holdings and each Material Domestic Subsidiary of the Borrower a counterpart of the Guaranty signed on behalf of such Person (which, in each case of clauses (i) and (ii), subject to Section 9.06(b), may include any Electronic Signatures transmitted by telecopy, emailed pdf. or any other electronic means that reproduces an image of an actual executed signature page).</w:t>
      </w:r>
    </w:p>
    <w:p>
      <w:pPr>
        <w:spacing w:after="0" w:line="16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1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favorable written opinion (addressed to the Administrative Agent and the Lenders and dated the Effective Date) of DLA Piper LLP (US), counsel for the Borrower, in form and substance acceptable to the Administrative Agent and covering matters relating to the Borrower, this Agreement or the Transactions as the Required Lenders shall reasonably request. The Borrower hereby requests such counsel to deliver such opinion.</w:t>
      </w:r>
    </w:p>
    <w:p>
      <w:pPr>
        <w:spacing w:after="0" w:line="16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9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the Borrower, and the authorization of this Agreement and the Transactions, all in form and substance reasonably satisfactory to the Administrative Agent and its counsel.</w:t>
      </w:r>
    </w:p>
    <w:p>
      <w:pPr>
        <w:spacing w:after="0" w:line="161" w:lineRule="exact"/>
        <w:rPr>
          <w:rFonts w:ascii="Times New Roman" w:cs="Times New Roman" w:eastAsia="Times New Roman" w:hAnsi="Times New Roman"/>
          <w:sz w:val="22"/>
          <w:szCs w:val="22"/>
          <w:color w:val="auto"/>
        </w:rPr>
      </w:pPr>
    </w:p>
    <w:p>
      <w:pPr>
        <w:jc w:val="both"/>
        <w:ind w:firstLine="1304"/>
        <w:spacing w:after="0" w:line="281" w:lineRule="auto"/>
        <w:tabs>
          <w:tab w:leader="none" w:pos="189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certificate, dated the Effective Date and signed by the president or a Financial Officer of the Borrower, certifying (i) compliance with the conditions set forth in paragraphs (a), (b) and</w:t>
      </w:r>
    </w:p>
    <w:p>
      <w:pPr>
        <w:spacing w:after="0" w:line="1" w:lineRule="exact"/>
        <w:rPr>
          <w:rFonts w:ascii="Times New Roman" w:cs="Times New Roman" w:eastAsia="Times New Roman" w:hAnsi="Times New Roman"/>
          <w:sz w:val="21"/>
          <w:szCs w:val="21"/>
          <w:color w:val="auto"/>
        </w:rPr>
      </w:pPr>
    </w:p>
    <w:p>
      <w:pPr>
        <w:ind w:firstLine="8"/>
        <w:spacing w:after="0" w:line="296" w:lineRule="auto"/>
        <w:tabs>
          <w:tab w:leader="none" w:pos="29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Section 4.02 and (ii) the Borrower and its Subsidiaries, after giving effect to the Effective Date and any Borrowing on such date, taken as a whole, are Solvent.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71" w:lineRule="exact"/>
        <w:rPr>
          <w:sz w:val="20"/>
          <w:szCs w:val="20"/>
          <w:color w:val="auto"/>
        </w:rPr>
      </w:pPr>
    </w:p>
    <w:p>
      <w:pPr>
        <w:jc w:val="both"/>
        <w:ind w:firstLine="1304"/>
        <w:spacing w:after="0" w:line="289" w:lineRule="auto"/>
        <w:tabs>
          <w:tab w:leader="none" w:pos="178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on or prior to the Effective Date, including, to the extent invoiced, reimbursement or payment of all out of pocket expenses and fees of counsel to the Administrative Agent and the Lenders required to be reimbursed or paid by the Borrower.</w:t>
      </w:r>
    </w:p>
    <w:p>
      <w:pPr>
        <w:spacing w:after="0" w:line="152" w:lineRule="exact"/>
        <w:rPr>
          <w:rFonts w:ascii="Times New Roman" w:cs="Times New Roman" w:eastAsia="Times New Roman" w:hAnsi="Times New Roman"/>
          <w:sz w:val="22"/>
          <w:szCs w:val="22"/>
          <w:color w:val="auto"/>
        </w:rPr>
      </w:pPr>
    </w:p>
    <w:p>
      <w:pPr>
        <w:ind w:firstLine="1304"/>
        <w:spacing w:after="0" w:line="296" w:lineRule="auto"/>
        <w:tabs>
          <w:tab w:leader="none" w:pos="184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audited annual financial statements and the unaudited quarterly financial statements of the Borrower referred to in Section 3.04(a).</w:t>
      </w:r>
    </w:p>
    <w:p>
      <w:pPr>
        <w:spacing w:after="0" w:line="145" w:lineRule="exact"/>
        <w:rPr>
          <w:rFonts w:ascii="Times New Roman" w:cs="Times New Roman" w:eastAsia="Times New Roman" w:hAnsi="Times New Roman"/>
          <w:sz w:val="22"/>
          <w:szCs w:val="22"/>
          <w:color w:val="auto"/>
        </w:rPr>
      </w:pPr>
    </w:p>
    <w:p>
      <w:pPr>
        <w:jc w:val="both"/>
        <w:ind w:firstLine="1304"/>
        <w:spacing w:after="0" w:line="291" w:lineRule="auto"/>
        <w:tabs>
          <w:tab w:leader="none" w:pos="196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Business Days prior to the Effective Date and (ii) to the extent the Borrower qualifies as a “legal entity customer” under the Beneficial Ownership Regulation, at least five days prior to the Effective Date, any Lender that has requested, in a written notice to the Borrower at least 10 Business Days prior to the Effective Date, a Beneficial Ownership Certification in relation to the Borrower shall have received such Beneficial Ownership Certification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upon the execution and delivery by such Lender of its signature page to this Agreement, the condition set forth in this clause (ii) shall be deemed to be satisfied).</w:t>
      </w:r>
    </w:p>
    <w:p>
      <w:pPr>
        <w:spacing w:after="0" w:line="155" w:lineRule="exact"/>
        <w:rPr>
          <w:rFonts w:ascii="Times New Roman" w:cs="Times New Roman" w:eastAsia="Times New Roman" w:hAnsi="Times New Roman"/>
          <w:sz w:val="21"/>
          <w:szCs w:val="21"/>
          <w:color w:val="auto"/>
        </w:rPr>
      </w:pPr>
    </w:p>
    <w:p>
      <w:pPr>
        <w:ind w:firstLine="1304"/>
        <w:spacing w:after="0" w:line="322" w:lineRule="auto"/>
        <w:tabs>
          <w:tab w:leader="none" w:pos="178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governmental and third party approvals necessary in connection with the financing contemplated hereby and the continuing operations of the Borrower and its Subsidiaries shall have been obtained and be in full force and effect.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The Administrative Agent shall notify the Borrower and the Lenders of the Effective Date, and such notice shall be conclusive and binding. Notwithstanding the foregoing, the obligations of the Lenders to make Loans hereunder shall not become effective unless each of the foregoing conditions is satisfied (or waived pursuant to Section 9.02) at or prior to 11:59 p.m., New York City time, on February 4, 2022 (and, in the event such conditions are not so satisfied or waived, the Commitments shall terminate at such time).</w:t>
      </w:r>
    </w:p>
    <w:p>
      <w:pPr>
        <w:spacing w:after="0" w:line="163" w:lineRule="exact"/>
        <w:rPr>
          <w:sz w:val="20"/>
          <w:szCs w:val="20"/>
          <w:color w:val="auto"/>
        </w:rPr>
      </w:pPr>
    </w:p>
    <w:p>
      <w:pPr>
        <w:ind w:right="80"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The obligation of each Lender to make a Loan on the occasion of any Borrowing is subject to the satisfaction of the following conditions:</w:t>
      </w:r>
    </w:p>
    <w:p>
      <w:pPr>
        <w:spacing w:after="0" w:line="159" w:lineRule="exact"/>
        <w:rPr>
          <w:sz w:val="20"/>
          <w:szCs w:val="20"/>
          <w:color w:val="auto"/>
        </w:rPr>
      </w:pPr>
    </w:p>
    <w:p>
      <w:pPr>
        <w:jc w:val="both"/>
        <w:ind w:firstLine="1304"/>
        <w:spacing w:after="0" w:line="308" w:lineRule="auto"/>
        <w:tabs>
          <w:tab w:leader="none" w:pos="175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the Borrower set forth in this Agreement shall be true and correct in all material respects on and as of the date of such Borrowing, except to the extent that such representations and warranties specifically refer to an earlier date, in which case they shall have been true and correct in all material respects of such earlier 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71" w:lineRule="exact"/>
        <w:rPr>
          <w:sz w:val="20"/>
          <w:szCs w:val="20"/>
          <w:color w:val="auto"/>
        </w:rPr>
      </w:pPr>
    </w:p>
    <w:p>
      <w:pPr>
        <w:ind w:firstLine="1304"/>
        <w:spacing w:after="0" w:line="309" w:lineRule="auto"/>
        <w:tabs>
          <w:tab w:leader="none" w:pos="180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no Default or Event of Default shall have occurred and be continuing.</w:t>
      </w:r>
    </w:p>
    <w:p>
      <w:pPr>
        <w:spacing w:after="0" w:line="131"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be in Financial Covenant Compliance at the time of and immediately after giving effect</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such Borrowing.</w:t>
      </w:r>
    </w:p>
    <w:p>
      <w:pPr>
        <w:spacing w:after="0" w:line="233"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a Borrowing Request by the deadlines specified in Section 2.03.</w:t>
      </w:r>
    </w:p>
    <w:p>
      <w:pPr>
        <w:spacing w:after="0" w:line="233" w:lineRule="exact"/>
        <w:rPr>
          <w:rFonts w:ascii="Times New Roman" w:cs="Times New Roman" w:eastAsia="Times New Roman" w:hAnsi="Times New Roman"/>
          <w:sz w:val="22"/>
          <w:szCs w:val="22"/>
          <w:color w:val="auto"/>
        </w:rPr>
      </w:pPr>
    </w:p>
    <w:p>
      <w:pPr>
        <w:jc w:val="both"/>
        <w:ind w:firstLine="1304"/>
        <w:spacing w:after="0" w:line="278" w:lineRule="auto"/>
        <w:tabs>
          <w:tab w:leader="none" w:pos="182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Commencing on February 28, 2022, the 3-Month Rolling Average Delinquent Receivable Ratio for the most recently ended Due Period does not exceed 8% and (ii) the Cumulative Default Ratio for the Quarterly Vintage for the most recently ended calendar quarter (commencing with the Quarterly Vintage for the calendar quarter ending March 31, 2022) does not exceed 9%.</w:t>
      </w:r>
    </w:p>
    <w:p>
      <w:pPr>
        <w:spacing w:after="0" w:line="164" w:lineRule="exact"/>
        <w:rPr>
          <w:rFonts w:ascii="Times New Roman" w:cs="Times New Roman" w:eastAsia="Times New Roman" w:hAnsi="Times New Roman"/>
          <w:sz w:val="22"/>
          <w:szCs w:val="22"/>
          <w:color w:val="auto"/>
        </w:rPr>
      </w:pPr>
    </w:p>
    <w:p>
      <w:pPr>
        <w:jc w:val="both"/>
        <w:ind w:firstLine="1304"/>
        <w:spacing w:after="0" w:line="289" w:lineRule="auto"/>
        <w:tabs>
          <w:tab w:leader="none" w:pos="182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 certificate of a Financial Officer of the Borrower dated as of the date of the proposed Borrowing certifying as to the satisfaction of the conditions specified in clauses (a) through (e) above.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237" w:lineRule="exact"/>
        <w:rPr>
          <w:sz w:val="20"/>
          <w:szCs w:val="20"/>
          <w:color w:val="auto"/>
        </w:rPr>
      </w:pPr>
    </w:p>
    <w:p>
      <w:pPr>
        <w:ind w:firstLine="1296"/>
        <w:spacing w:after="0" w:line="288" w:lineRule="auto"/>
        <w:rPr>
          <w:sz w:val="20"/>
          <w:szCs w:val="20"/>
          <w:color w:val="auto"/>
        </w:rPr>
      </w:pPr>
      <w:r>
        <w:rPr>
          <w:rFonts w:ascii="Times New Roman" w:cs="Times New Roman" w:eastAsia="Times New Roman" w:hAnsi="Times New Roman"/>
          <w:sz w:val="21"/>
          <w:szCs w:val="21"/>
          <w:color w:val="auto"/>
        </w:rPr>
        <w:t>Until the Commitments have expired or been terminated and the principal of and interest on each Loan and all fees payable hereunder shall have been paid in full, the Borrower (and in the case of Sections 5.01, 5.03, 5.04, 5.05, 5.06, 5.07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 only, Holdings) covenants and agrees with the Lenders that:</w:t>
      </w:r>
    </w:p>
    <w:p>
      <w:pPr>
        <w:spacing w:after="0" w:line="247" w:lineRule="exact"/>
        <w:rPr>
          <w:sz w:val="20"/>
          <w:szCs w:val="20"/>
          <w:color w:val="auto"/>
        </w:rPr>
      </w:pPr>
    </w:p>
    <w:p>
      <w:pPr>
        <w:ind w:left="6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2"/>
          <w:szCs w:val="22"/>
          <w:u w:val="single" w:color="auto"/>
          <w:color w:val="auto"/>
        </w:rPr>
        <w:t>Financial Statements; Ratings Change and Other Information</w:t>
      </w:r>
      <w:r>
        <w:rPr>
          <w:rFonts w:ascii="Times New Roman" w:cs="Times New Roman" w:eastAsia="Times New Roman" w:hAnsi="Times New Roman"/>
          <w:sz w:val="22"/>
          <w:szCs w:val="22"/>
          <w:color w:val="auto"/>
        </w:rPr>
        <w:t>. The Borrower will furnish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each Lender:</w:t>
      </w:r>
    </w:p>
    <w:p>
      <w:pPr>
        <w:spacing w:after="0" w:line="247" w:lineRule="exact"/>
        <w:rPr>
          <w:sz w:val="20"/>
          <w:szCs w:val="20"/>
          <w:color w:val="auto"/>
        </w:rPr>
      </w:pPr>
    </w:p>
    <w:p>
      <w:pPr>
        <w:jc w:val="both"/>
        <w:ind w:firstLine="1304"/>
        <w:spacing w:after="0" w:line="276" w:lineRule="auto"/>
        <w:tabs>
          <w:tab w:leader="none" w:pos="18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earlier of (x) 120 days after the end of each fiscal year of Holdings and (y) the date by which Holdings is required by the SEC to file such financial statements (including any period as would be permitted by Rule 12b-25 under the Exchange Act or any special order of the SEC), its audited consolidated and consolidating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commentary or exception and without any qualification or exception as to the scope of such audit) to the effect that such consolidated and consolidating financial statements present fairly in all material respects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financial condition and results of operations of Holdings and its consolidated and consolidating Subsidiaries on a consolidated and consolidating basis in accordance with GAAP consistently applied;</w:t>
      </w:r>
    </w:p>
    <w:p>
      <w:pPr>
        <w:spacing w:after="0" w:line="132" w:lineRule="exact"/>
        <w:rPr>
          <w:sz w:val="20"/>
          <w:szCs w:val="20"/>
          <w:color w:val="auto"/>
        </w:rPr>
      </w:pPr>
    </w:p>
    <w:p>
      <w:pPr>
        <w:jc w:val="both"/>
        <w:ind w:firstLine="1304"/>
        <w:spacing w:after="0" w:line="275" w:lineRule="auto"/>
        <w:tabs>
          <w:tab w:leader="none" w:pos="181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earlier of (x) 45 days after the end of each of the first three fiscal quarters of each fiscal year of Holdings and (y) the date by which Holdings is required by the SEC to file such financial statements (including any time period as would be permitted by Rule 12b-25 under the Exchange Act or any special order of the SEC), its consolidated and consolidating balance sheet and related statements of operations and cash flows as of the end of and for such fiscal quarter and the then elapsed portion of the fiscal year, setting forth in each case in comparative form the figures as of the end of and for the corresponding period or periods of the previous fiscal year, all certified by one of its Financial Officers as presenting fairly in all material respects the financial condition and results of operations of Holdings and its consolidated and consolidating Subsidiaries on a consolidated and consolidating basis in accordance with GAAP consistently applied, subject to normal year-end audit adjustments and the absence of footnotes;</w:t>
      </w:r>
    </w:p>
    <w:p>
      <w:pPr>
        <w:spacing w:after="0" w:line="172" w:lineRule="exact"/>
        <w:rPr>
          <w:rFonts w:ascii="Times New Roman" w:cs="Times New Roman" w:eastAsia="Times New Roman" w:hAnsi="Times New Roman"/>
          <w:sz w:val="22"/>
          <w:szCs w:val="22"/>
          <w:color w:val="auto"/>
        </w:rPr>
      </w:pPr>
    </w:p>
    <w:p>
      <w:pPr>
        <w:jc w:val="both"/>
        <w:ind w:firstLine="1304"/>
        <w:spacing w:after="0" w:line="274" w:lineRule="auto"/>
        <w:tabs>
          <w:tab w:leader="none" w:pos="190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clause (a) or (b) above, a certificate of a Financial Officer of the Borrower substantially in the form of Exhibit H (or in such other form as may be reasonably satisfactory to the Administrative Agent) (i) certifying as to whether a Default or Event of Default has occurred and, if a Default or Event of Default has occurred, specifying the details thereof and any action taken or proposed to be taken with respect thereto, (ii) setting forth reasonably detailed calculations of the Financial Covenants set forth in Section 6.10, whether or not such Financial Covenants are required to be tested, and (iii) stating whether any change in GAAP or in the application thereof has occurred since the date of the audited or unaudited financial statements referred to in Section 3.04 and, if any such change has occurred, specifying the effect of such change on the financial statements accompanying such certificate;</w:t>
      </w:r>
    </w:p>
    <w:p>
      <w:pPr>
        <w:spacing w:after="0" w:line="17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7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Holdings, the Borrower or any Subsidiary with the SEC or any Governmental Authority succeeding to any or all of the functions of said Commission, or with any national securities exchange;</w:t>
      </w:r>
    </w:p>
    <w:p>
      <w:pPr>
        <w:spacing w:after="0" w:line="146" w:lineRule="exact"/>
        <w:rPr>
          <w:rFonts w:ascii="Times New Roman" w:cs="Times New Roman" w:eastAsia="Times New Roman" w:hAnsi="Times New Roman"/>
          <w:sz w:val="22"/>
          <w:szCs w:val="22"/>
          <w:color w:val="auto"/>
        </w:rPr>
      </w:pPr>
    </w:p>
    <w:p>
      <w:pPr>
        <w:jc w:val="both"/>
        <w:ind w:firstLine="1304"/>
        <w:spacing w:after="0" w:line="246" w:lineRule="auto"/>
        <w:tabs>
          <w:tab w:leader="none" w:pos="180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the end of each calendar month, commencing with the calendar month ending February 28, 2022, the Monthly Receivables Report setting forth the 3-Month Rolling Average Delinquent Receivable Ratio for the most recently ended Due Period and (ii) no later than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the end of each calendar quarter, commencing with the quarter ending March 31, 2022, the Quarterly Receivables Report setting forth the Cumulative Default Ratio for the Quarterly Vintage for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most recently ended calendar quarter, in each case with reasonable details and certified by a Financial Officer of the Borrower;</w:t>
      </w:r>
    </w:p>
    <w:p>
      <w:pPr>
        <w:spacing w:after="0" w:line="233" w:lineRule="exact"/>
        <w:rPr>
          <w:sz w:val="20"/>
          <w:szCs w:val="20"/>
          <w:color w:val="auto"/>
        </w:rPr>
      </w:pPr>
    </w:p>
    <w:p>
      <w:pPr>
        <w:jc w:val="both"/>
        <w:ind w:firstLine="1304"/>
        <w:spacing w:after="0" w:line="289" w:lineRule="auto"/>
        <w:tabs>
          <w:tab w:leader="none" w:pos="177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copies of accountant letters submitted to the board of directors (or the audit committee of the board of directors) of the Borrower by independent accountants in connection with the accounts or books of the Borrower or any Subsidiary;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79" w:lineRule="auto"/>
        <w:tabs>
          <w:tab w:leader="none" w:pos="177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(x) such other information regarding the operations, business affairs and financial condition of the Borrower or any Subsidiary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63"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Section 5.01(a), (b) or (d)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Holdings’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Section 5.01(a) and (b) only: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20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2"/>
          <w:szCs w:val="22"/>
          <w:color w:val="auto"/>
        </w:rPr>
        <w:t>The financial statements, information and other documents required to be provided pursuant to Section 5.01(a), (b) or (d) may be those of (i) the Borrower or (ii) any direct or indirect parent of the Borrower (any such entity described in clause (i) or (ii), a “</w:t>
      </w:r>
      <w:r>
        <w:rPr>
          <w:rFonts w:ascii="Times New Roman" w:cs="Times New Roman" w:eastAsia="Times New Roman" w:hAnsi="Times New Roman"/>
          <w:sz w:val="22"/>
          <w:szCs w:val="22"/>
          <w:u w:val="single" w:color="auto"/>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so long as in the case of clause (ii) either (1) such direct or indirect parent of the Borrower shall not conduct, transact or otherwise engage, or commit to conduct, transact or otherwise engage, in any business or operations other than its direct or indirect ownership of all of the Equity Interests in, and its management, of the Borrower or (2) if otherwise, the financial information so delivered shall be accompanied by the consolidating financial statements of Holdings and its Subsidiaries prepared in accordance with GAAP and a reasonably detailed description of the material quantitative differences between the information relating to such parent, on the one hand, and the information relating to Holdings and its Subsidiaries on a standalone basis, on the other hand.</w:t>
      </w:r>
    </w:p>
    <w:p>
      <w:pPr>
        <w:spacing w:after="0" w:line="18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2"/>
          <w:szCs w:val="22"/>
          <w:color w:val="auto"/>
        </w:rPr>
        <w:t>If at any time the Borrower or any direct or indirect parent of the Borrower has made a good faith determination to file a registration statement with the SEC with respect to a public offering of such entity’s capital stock, the Borrower will not be required to disclose any information or take any actions that, in the good faith view of the Borrower, would violate the securities laws or the SEC’s “gun jumping” rules.</w:t>
      </w:r>
    </w:p>
    <w:p>
      <w:pPr>
        <w:spacing w:after="0" w:line="175" w:lineRule="exact"/>
        <w:rPr>
          <w:sz w:val="20"/>
          <w:szCs w:val="20"/>
          <w:color w:val="auto"/>
        </w:rPr>
      </w:pPr>
    </w:p>
    <w:p>
      <w:pPr>
        <w:jc w:val="both"/>
        <w:ind w:firstLine="1296"/>
        <w:spacing w:after="0" w:line="290" w:lineRule="auto"/>
        <w:rPr>
          <w:sz w:val="20"/>
          <w:szCs w:val="20"/>
          <w:color w:val="auto"/>
        </w:rPr>
      </w:pPr>
      <w:r>
        <w:rPr>
          <w:rFonts w:ascii="Times New Roman" w:cs="Times New Roman" w:eastAsia="Times New Roman" w:hAnsi="Times New Roman"/>
          <w:sz w:val="21"/>
          <w:szCs w:val="21"/>
          <w:color w:val="auto"/>
        </w:rPr>
        <w:t>Notwithstanding the foregoing, (a) neither the Borrower nor another Reporting Entity will be required to deliver any information, certificates or reports that would otherwise be required by (i) Section 302 or Section 404 of the Sarbanes-Oxley Act of 2002, or related Items 307 or 308 of Regulation S-K or (ii) Item 10(e) of Regulation S-K promulgated by the SEC with respect to any non-generally accepted accounting principles financial measures contained therein, (b) such reports will not be required to contain financial information required by Rule 3-09, Rule 3-10 or Rule 3-16 (or any successor provision, including Rule 13-01 and Rule 13-02) of Regulation S-X or include any exhibits or certifications required by Form 10-K, Form 10-Q or Form 8-K (or any successor or comparable forms) or related rules under Regulation S-K and (c) such reports shall be subject to exceptions, exclusions and other differences consistent with the presentation of financial and other information to the Lenders prior to the date of this Agreement and shall not be required to present compensation or beneficial ownership information.</w:t>
      </w:r>
    </w:p>
    <w:p>
      <w:pPr>
        <w:spacing w:after="0" w:line="182"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Borrower will furnish to the Administrative Agent and each Lender prompt written notice of the following:</w:t>
      </w:r>
    </w:p>
    <w:p>
      <w:pPr>
        <w:spacing w:after="0" w:line="159" w:lineRule="exact"/>
        <w:rPr>
          <w:sz w:val="20"/>
          <w:szCs w:val="20"/>
          <w:color w:val="auto"/>
        </w:rPr>
      </w:pPr>
    </w:p>
    <w:p>
      <w:pPr>
        <w:ind w:left="1760" w:hanging="456"/>
        <w:spacing w:after="0"/>
        <w:tabs>
          <w:tab w:leader="none" w:pos="17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3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90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Proceeding by or before any arbitrator or Governmental Authority against or affecting the Borrower or any Significant Subsidiary as to which there is a reasonable possibility of an adverse determination and which, if adversely determined,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1" w:lineRule="exact"/>
        <w:rPr>
          <w:sz w:val="20"/>
          <w:szCs w:val="20"/>
          <w:color w:val="auto"/>
        </w:rPr>
      </w:pPr>
    </w:p>
    <w:p>
      <w:pPr>
        <w:ind w:right="20" w:firstLine="1304"/>
        <w:spacing w:after="0" w:line="309" w:lineRule="auto"/>
        <w:tabs>
          <w:tab w:leader="none" w:pos="177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would reasonably be expected to result in a Material Adverse Effect;</w:t>
      </w:r>
    </w:p>
    <w:p>
      <w:pPr>
        <w:spacing w:after="0" w:line="131" w:lineRule="exact"/>
        <w:rPr>
          <w:rFonts w:ascii="Times New Roman" w:cs="Times New Roman" w:eastAsia="Times New Roman" w:hAnsi="Times New Roman"/>
          <w:sz w:val="22"/>
          <w:szCs w:val="22"/>
          <w:color w:val="auto"/>
        </w:rPr>
      </w:pPr>
    </w:p>
    <w:p>
      <w:pPr>
        <w:jc w:val="both"/>
        <w:ind w:firstLine="1304"/>
        <w:spacing w:after="0" w:line="278" w:lineRule="auto"/>
        <w:tabs>
          <w:tab w:leader="none" w:pos="179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action arising under any Environmental Law or of any noncompliance by the Borrower or any Subsidiary with any Environmental Law or any permit, approval, license or other authorization required thereunder as to which there is a reasonable possibility of an adverse determination and which, if adversely determined, would reasonably be expected to result in a Material Adverse Effect; and</w:t>
      </w:r>
    </w:p>
    <w:p>
      <w:pPr>
        <w:spacing w:after="0" w:line="164"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results in, or would reasonably be expected to result in, a Material Adverse</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w:t>
      </w:r>
    </w:p>
    <w:p>
      <w:pPr>
        <w:spacing w:after="0" w:line="22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22"/>
          <w:szCs w:val="22"/>
          <w:color w:val="auto"/>
        </w:rPr>
        <w:t>Each notice delivered under this Section (i) shall be in writing and (ii) shall be accompanied by a statement of a Responsible Officer or other executive officer of the Borrower setting forth the details of the event or development requiring such notice and any action taken or proposed to be taken with respect thereto. Information required to be delivered pursuant to this Section 5.02 may be delivered electronically and if so delivered, shall be deemed to have been delivered on the date on which such documents are filed for public availability on the SEC’s Electronic Data Gathering and Retrieval System.</w:t>
      </w:r>
    </w:p>
    <w:p>
      <w:pPr>
        <w:spacing w:after="0" w:line="19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xml:space="preserve">. Each of Holdings, the Borrower will, and will cause each of its Subsidiaries to, do or cause to be done all things necessary to preserve, renew and keep in full force and effect (i) its legal existence and (ii) the rights, licenses, permits, privileges and franchises material to the conduct of the business of the Borrower and its Subsidiaries, in each case except (other than with respect to Holdings and the Borrower in the case of the preceding clause (i)) where the failure to do so would not reasonably be expected to result in a Material Adverse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prohibit any merger, consolidation, liquidation or dissolution permitted under Section 6.03.</w:t>
      </w:r>
    </w:p>
    <w:p>
      <w:pPr>
        <w:spacing w:after="0" w:line="17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Holdings and the Borrower will, and will cause each of their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Holdings and the Borrower will, and will cause each of their Subsidiaries to, (a) keep and maintain all property material to the conduct of its business in good working order and condition, ordinary wear and tear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excepted, and except if failure to do so would not reasonably be expected to have a Material Adverse Effect,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6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Books and Records; Inspection Rights</w:t>
      </w:r>
      <w:r>
        <w:rPr>
          <w:rFonts w:ascii="Times New Roman" w:cs="Times New Roman" w:eastAsia="Times New Roman" w:hAnsi="Times New Roman"/>
          <w:sz w:val="22"/>
          <w:szCs w:val="22"/>
          <w:color w:val="auto"/>
        </w:rPr>
        <w:t xml:space="preserve">. Holdings and the Borrower will, and will cause each of their Subsidiaries to, keep proper books of record and account in which full, true and correct entries in all material respects are made of all material financial dealings and transactions in relation to its business and activities. Holdings and the Borrower will, and will cause each of their Subsidiaries to, permit any representatives designated by the Administrative Agent or any Lender, upon at least 5 Business Days’ notice, subject to the confidentiality requirements of Section 9.12, to examine and make extracts from its books and records (including the form of Receivables Agreements, Receivables Program Agreements, Underwriting/Servicing Policies, information processes and controls, and compliance practices and procedures), to discuss its affairs, finances and condition with its officers and independent accountants, all at such reasonable times and as often as reasonably requested;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 Event of Default has occurred and is continuing, there shall be no more than 2 such requests in any fiscal year.</w:t>
      </w:r>
    </w:p>
    <w:p>
      <w:pPr>
        <w:spacing w:after="0" w:line="18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of Holdings and the Borrower will, and will cause each of their Subsidiaries to, comply with all laws, rules, regulations and orders of any Governmental Authority applicable to it or its property, except where the failure to do so, individually or in the aggregate, could not reasonably be expected to result in a Material Adverse Effect. Each of Holdings and the Borrower will maintain in effect and enforce policies and procedures reasonably designed to promote compliance by Holdings, the Borrower, their Subsidiaries and their respective directors, officers, employees, advisors and agents with Anti-Corruption Laws and applicable Sanctions.</w:t>
      </w:r>
    </w:p>
    <w:p>
      <w:pPr>
        <w:spacing w:after="0" w:line="17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will be used only for general corporate purposes of the Borrower and its Subsidiaries in the ordinary course of business. No part of the proceeds of any Loan will be used, whether directly or indirectly, for any purpose that entails a violation of any of the regulations of the Federal Reserve Board, including Regulations T, U and X.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7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required to comply with Sanctions, or (C) in any manner that would result in the violation of any Sanctions applicable to any party hereto.</w:t>
      </w:r>
    </w:p>
    <w:p>
      <w:pPr>
        <w:spacing w:after="0" w:line="14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If, as of the date of the most recently available financial statements delivered pursuant to Section 5.01(a) or 5.01(b), as the case may be, any Person shall have become a Material Domestic Subsidiary, then Holdings and the Borrower shall, (i) within 45 days thereafter (or such longer period of time as the Administrative Agent may agree in its sole discretion) after delivery of such financial statements, cause such Material Domestic Subsidiary to enter into a Guaranty, or, if a Guaranty has previously been entered into by a Material Domestic Subsidiary (and remains in effect), a joinder agreement to such Guaranty in form and substance reasonably satisfactory to the Administrative Agent, and (ii) on or prior to the date any Guaranty or joinder agreement to a Guaranty has been delivered pursuant to clause (i) above, deliver to the Administrative Agent and each Lender all documentation and other information required by bank regulatory authorities under applicable “know-your-customer” and anti-money laundering rules and regulations, including the USA Patriot Act. For the avoidance of doubt, this Section 5.09 shall not apply to any Excluded Subsidiary. Excluded Subsidiaries as of the Effective Date are set forth on Schedule 5.09. If requested by the Administrative Agent, the Administrative Agent shall receive an opinion of counsel for the Borrower in customary form and substance reasonably satisfactory to the Administrative Agent in respect of matters reasonably requested by the Administrative Agent relating to any Guaranty or joinder agree.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3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Until the Commitments have expired or terminated and the principal of and interest on each Loan and all fees payable hereunder have been paid in full, each of Holdings and the Borrower covenants and agrees with the Lenders that:</w:t>
      </w:r>
    </w:p>
    <w:p>
      <w:pPr>
        <w:spacing w:after="0" w:line="15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Neither Holdings nor the Borrower will, or will permit any Subsidiary (other than any Specified Subsidiary) of the Borrower to, create, incur, assume or permit to exist any Indebtedness (including Preferred Stock of the Subsidiaries), except:</w:t>
      </w:r>
    </w:p>
    <w:p>
      <w:pPr>
        <w:spacing w:after="0" w:line="166" w:lineRule="exact"/>
        <w:rPr>
          <w:sz w:val="20"/>
          <w:szCs w:val="20"/>
          <w:color w:val="auto"/>
        </w:rPr>
      </w:pPr>
    </w:p>
    <w:p>
      <w:pPr>
        <w:ind w:left="1760" w:hanging="456"/>
        <w:spacing w:after="0"/>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hereunder;</w:t>
      </w:r>
    </w:p>
    <w:p>
      <w:pPr>
        <w:spacing w:after="0" w:line="233" w:lineRule="exact"/>
        <w:rPr>
          <w:rFonts w:ascii="Times New Roman" w:cs="Times New Roman" w:eastAsia="Times New Roman" w:hAnsi="Times New Roman"/>
          <w:sz w:val="22"/>
          <w:szCs w:val="22"/>
          <w:color w:val="auto"/>
        </w:rPr>
      </w:pPr>
    </w:p>
    <w:p>
      <w:pPr>
        <w:ind w:right="20" w:firstLine="1304"/>
        <w:spacing w:after="0" w:line="282" w:lineRule="auto"/>
        <w:tabs>
          <w:tab w:leader="none" w:pos="176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of Indebtedness so long as such guaranteed Indebtedness is permitted under this Section 6.01;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Indebtedness that is being Guaranteed is (i) unsecured or subordinated to the Obligations, the Guarantee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also be unsecured and/or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71"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22"/>
          <w:szCs w:val="22"/>
          <w:color w:val="auto"/>
        </w:rPr>
        <w:t>subordinated to the Obligations, and (ii) Permitted Securitization Indebtedness or Non-Recourse Indebtedness, such Guarantee is pursuant to Standard Securitization Undertakings;</w:t>
      </w:r>
    </w:p>
    <w:p>
      <w:pPr>
        <w:spacing w:after="0" w:line="132" w:lineRule="exact"/>
        <w:rPr>
          <w:sz w:val="20"/>
          <w:szCs w:val="20"/>
          <w:color w:val="auto"/>
        </w:rPr>
      </w:pPr>
    </w:p>
    <w:p>
      <w:pPr>
        <w:ind w:left="1760" w:hanging="456"/>
        <w:spacing w:after="0"/>
        <w:tabs>
          <w:tab w:leader="none" w:pos="1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Securitization Indebtedness;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Hedging Agreements;</w:t>
      </w:r>
    </w:p>
    <w:p>
      <w:pPr>
        <w:spacing w:after="0" w:line="233" w:lineRule="exact"/>
        <w:rPr>
          <w:rFonts w:ascii="Times New Roman" w:cs="Times New Roman" w:eastAsia="Times New Roman" w:hAnsi="Times New Roman"/>
          <w:sz w:val="22"/>
          <w:szCs w:val="22"/>
          <w:color w:val="auto"/>
        </w:rPr>
      </w:pPr>
    </w:p>
    <w:p>
      <w:pPr>
        <w:jc w:val="both"/>
        <w:ind w:firstLine="1304"/>
        <w:spacing w:after="0" w:line="276" w:lineRule="auto"/>
        <w:tabs>
          <w:tab w:leader="none" w:pos="188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Holdings, the Borrower or any Subsidiary with respect to (i) performance, bid, appeal, customs or surety bonds and completion guarantees in the ordinary course of business, obligations in respect of any workers’ compensation claims, early retirement or termination obligations, deferred compensatory or employee or director equity plans, pension fund obligations or contributions or similar claims, obligations or contributions or social security or wage taxes, payment obligations in connection with self-insurance, or similar requirements, including letters of credit and bankers’ acceptances supporting any of the foregoing or anything else that is not Indebtedness, or supporting any of the following items in clauses (ii) or (iii), (ii) financing insurance premiums or (iii) indemnification, adjustment of purchase price or similar obligations incurred in connection with the acquisition or disposition of any business or assets;</w:t>
      </w:r>
    </w:p>
    <w:p>
      <w:pPr>
        <w:spacing w:after="0" w:line="170"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5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overdraft protections, automated clearing house transactions, and otherwise in connection with treasury and/or cash management services, including, but not limited to, controlled disbursement services, overdraft facilities, foreign exchange facilities, deposit and other accounts and merchant services;</w:t>
      </w:r>
    </w:p>
    <w:p>
      <w:pPr>
        <w:spacing w:after="0" w:line="152" w:lineRule="exact"/>
        <w:rPr>
          <w:rFonts w:ascii="Times New Roman" w:cs="Times New Roman" w:eastAsia="Times New Roman" w:hAnsi="Times New Roman"/>
          <w:sz w:val="22"/>
          <w:szCs w:val="22"/>
          <w:color w:val="auto"/>
        </w:rPr>
      </w:pPr>
    </w:p>
    <w:p>
      <w:pPr>
        <w:jc w:val="both"/>
        <w:ind w:firstLine="1304"/>
        <w:spacing w:after="0" w:line="282" w:lineRule="auto"/>
        <w:tabs>
          <w:tab w:leader="none" w:pos="198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otherwise constituting Indebtedness, obligations arising from agreements providing for indemnification, adjustment of purchase price, earn-outs or similar obligations, in each case, incurred or assumed in connection with the acquisition or disposition of any business, assets or a Subsidiary;</w:t>
      </w:r>
    </w:p>
    <w:p>
      <w:pPr>
        <w:spacing w:after="0" w:line="16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Indebtedness among Holdings and its Subsidiaries to the extent permitted by Section 6.04;</w:t>
      </w:r>
    </w:p>
    <w:p>
      <w:pPr>
        <w:spacing w:after="0" w:line="23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Non-Recourse Indebtedness;</w:t>
      </w:r>
    </w:p>
    <w:p>
      <w:pPr>
        <w:spacing w:after="0" w:line="233" w:lineRule="exact"/>
        <w:rPr>
          <w:rFonts w:ascii="Times New Roman" w:cs="Times New Roman" w:eastAsia="Times New Roman" w:hAnsi="Times New Roman"/>
          <w:sz w:val="22"/>
          <w:szCs w:val="22"/>
          <w:color w:val="auto"/>
        </w:rPr>
      </w:pPr>
    </w:p>
    <w:p>
      <w:pPr>
        <w:ind w:firstLine="1304"/>
        <w:spacing w:after="0" w:line="296" w:lineRule="auto"/>
        <w:tabs>
          <w:tab w:leader="none" w:pos="181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payables to third party service providers, fees and other general unsecured liabilities incurred in the ordinary course of business;</w:t>
      </w:r>
    </w:p>
    <w:p>
      <w:pPr>
        <w:spacing w:after="0" w:line="14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Subordinated Debt in an aggregate principal amount not to exceed $50,000,000 at any time</w:t>
      </w:r>
    </w:p>
    <w:p>
      <w:pPr>
        <w:spacing w:after="0" w:line="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w:t>
      </w:r>
    </w:p>
    <w:p>
      <w:pPr>
        <w:spacing w:after="0" w:line="23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5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of its Subsidiaries under one or more Residual Funding Facilities in an aggregate principal amount in respect of any Residual Funding Facility at any time outstanding not to exceed 5% of the aggregate assets held by the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Securitization Subsidiaries the Residual Interest with respect to which is pledged to secure such Residual Funding Facility;</w:t>
      </w:r>
    </w:p>
    <w:p>
      <w:pPr>
        <w:spacing w:after="0" w:line="233" w:lineRule="exact"/>
        <w:rPr>
          <w:sz w:val="20"/>
          <w:szCs w:val="20"/>
          <w:color w:val="auto"/>
        </w:rPr>
      </w:pPr>
    </w:p>
    <w:p>
      <w:pPr>
        <w:ind w:right="20" w:firstLine="1304"/>
        <w:spacing w:after="0" w:line="309" w:lineRule="auto"/>
        <w:tabs>
          <w:tab w:leader="none" w:pos="182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connection with an acquisition of a Permitted Business or of assets to be used in a Permitted Business or Acquired Debt in an aggregate principal amount at any time outstanding not to exceed $50,000,000;</w:t>
      </w:r>
    </w:p>
    <w:p>
      <w:pPr>
        <w:spacing w:after="0" w:line="11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to the extent cash collateralized;</w:t>
      </w:r>
    </w:p>
    <w:p>
      <w:pPr>
        <w:spacing w:after="0" w:line="233" w:lineRule="exact"/>
        <w:rPr>
          <w:rFonts w:ascii="Times New Roman" w:cs="Times New Roman" w:eastAsia="Times New Roman" w:hAnsi="Times New Roman"/>
          <w:sz w:val="22"/>
          <w:szCs w:val="22"/>
          <w:color w:val="auto"/>
        </w:rPr>
      </w:pPr>
    </w:p>
    <w:p>
      <w:pPr>
        <w:jc w:val="both"/>
        <w:ind w:firstLine="1304"/>
        <w:spacing w:after="0" w:line="276" w:lineRule="auto"/>
        <w:tabs>
          <w:tab w:leader="none" w:pos="179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principal amount not to exceed $5,000,000 at any time outstanding incurred to finance the development, acquisition, construction, purchase, lease, repair, maintenance or improvement of any fixed or capital assets (real or personal and whether through the direct purchase of assets or the Equity Interest of any person owning such assets), including Capital Lease Obligations and purchase money indebtedness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such Indebtedness is incurred prior to or within 365 days after the consummation of such development, acquisition, construction, purchase, lease, repair, maintenance or improvement</w:t>
      </w:r>
    </w:p>
    <w:p>
      <w:pPr>
        <w:spacing w:after="0" w:line="17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the Specified Convertible Notes; and</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Refinancing Indebtedness in respect of the foregoing.</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Neither Holdings nor the Borrower will, or will permit any Subsidiary (other than any Specified Subsidiary) of the Borrower to, create, incur, assume or permit to exist any Lien on any property or asset now owned or hereafter acquired by it (including on Equity Interests of the Subsidiaries), or assign or sell any income or revenues (including accounts receivable) or rights in respect of any thereof, except:</w:t>
      </w:r>
    </w:p>
    <w:p>
      <w:pPr>
        <w:spacing w:after="0" w:line="175" w:lineRule="exact"/>
        <w:rPr>
          <w:sz w:val="20"/>
          <w:szCs w:val="20"/>
          <w:color w:val="auto"/>
        </w:rPr>
      </w:pPr>
    </w:p>
    <w:p>
      <w:pPr>
        <w:ind w:left="1760" w:hanging="456"/>
        <w:spacing w:after="0"/>
        <w:tabs>
          <w:tab w:leader="none" w:pos="176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233" w:lineRule="exact"/>
        <w:rPr>
          <w:rFonts w:ascii="Times New Roman" w:cs="Times New Roman" w:eastAsia="Times New Roman" w:hAnsi="Times New Roman"/>
          <w:sz w:val="22"/>
          <w:szCs w:val="22"/>
          <w:color w:val="auto"/>
        </w:rPr>
      </w:pPr>
    </w:p>
    <w:p>
      <w:pPr>
        <w:jc w:val="both"/>
        <w:ind w:firstLine="1304"/>
        <w:spacing w:after="0" w:line="288" w:lineRule="auto"/>
        <w:tabs>
          <w:tab w:leader="none" w:pos="1777"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on any property or asset of the Borrower or any Subsidiary existing on the date hereof and set forth in Schedule 6.02;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Lien shall not apply to any other property or asset of the Borrower or any Subsidiary and</w:t>
      </w:r>
    </w:p>
    <w:p>
      <w:pPr>
        <w:ind w:firstLine="8"/>
        <w:spacing w:after="0" w:line="296" w:lineRule="auto"/>
        <w:tabs>
          <w:tab w:leader="none" w:pos="32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shall secure only those obligations which it secures on the date hereof and extensions, renewals and replacements thereof that do not increase the outstanding principal amount thereof;</w:t>
      </w:r>
    </w:p>
    <w:p>
      <w:pPr>
        <w:spacing w:after="0" w:line="145"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incurred in connection with any Permitted Securitization Indebtedness or Non-Recourse Indebtedness;</w:t>
      </w:r>
    </w:p>
    <w:p>
      <w:pPr>
        <w:spacing w:after="0" w:line="244"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Hedging Agreements;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71" w:lineRule="exact"/>
        <w:rPr>
          <w:sz w:val="20"/>
          <w:szCs w:val="20"/>
          <w:color w:val="auto"/>
        </w:rPr>
      </w:pPr>
    </w:p>
    <w:p>
      <w:pPr>
        <w:ind w:firstLine="1304"/>
        <w:spacing w:after="0" w:line="309" w:lineRule="auto"/>
        <w:tabs>
          <w:tab w:leader="none" w:pos="1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pursuant to merger agreements, stock or asset purchase agreements and similar agreements in respect of the disposition of such assets;</w:t>
      </w:r>
    </w:p>
    <w:p>
      <w:pPr>
        <w:spacing w:after="0" w:line="131" w:lineRule="exact"/>
        <w:rPr>
          <w:rFonts w:ascii="Times New Roman" w:cs="Times New Roman" w:eastAsia="Times New Roman" w:hAnsi="Times New Roman"/>
          <w:sz w:val="22"/>
          <w:szCs w:val="22"/>
          <w:color w:val="auto"/>
        </w:rPr>
      </w:pPr>
    </w:p>
    <w:p>
      <w:pPr>
        <w:ind w:firstLine="1304"/>
        <w:spacing w:after="0" w:line="296" w:lineRule="auto"/>
        <w:tabs>
          <w:tab w:leader="none" w:pos="180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put and call arrangements, rights of first refusal and similar rights relating to investments in joint ventures, partnerships and the like;</w:t>
      </w:r>
    </w:p>
    <w:p>
      <w:pPr>
        <w:spacing w:after="0" w:line="145" w:lineRule="exact"/>
        <w:rPr>
          <w:rFonts w:ascii="Times New Roman" w:cs="Times New Roman" w:eastAsia="Times New Roman" w:hAnsi="Times New Roman"/>
          <w:sz w:val="22"/>
          <w:szCs w:val="22"/>
          <w:color w:val="auto"/>
        </w:rPr>
      </w:pPr>
    </w:p>
    <w:p>
      <w:pPr>
        <w:jc w:val="both"/>
        <w:ind w:firstLine="1304"/>
        <w:spacing w:after="0" w:line="302" w:lineRule="auto"/>
        <w:tabs>
          <w:tab w:leader="none" w:pos="1771"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 and title of a lessor or licensor under any lease, license, sublease or sublicense entered into by the Borrower or any Subsidiary in the ordinary course of business not securing Indebtedness and not in the aggregate materially detracting from the value of the properties or their use in the operation of the business of the Borrower and its Subsidiaries;</w:t>
      </w:r>
    </w:p>
    <w:p>
      <w:pPr>
        <w:spacing w:after="0" w:line="141" w:lineRule="exact"/>
        <w:rPr>
          <w:rFonts w:ascii="Times New Roman" w:cs="Times New Roman" w:eastAsia="Times New Roman" w:hAnsi="Times New Roman"/>
          <w:sz w:val="21"/>
          <w:szCs w:val="21"/>
          <w:color w:val="auto"/>
        </w:rPr>
      </w:pPr>
    </w:p>
    <w:p>
      <w:pPr>
        <w:ind w:firstLine="1304"/>
        <w:spacing w:after="0" w:line="296" w:lineRule="auto"/>
        <w:tabs>
          <w:tab w:leader="none" w:pos="176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insurance policies and the proceeds thereof securing the financing of premiums with respect thereto,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Liens shall not exceed the amount of such premiums so financed;</w:t>
      </w:r>
    </w:p>
    <w:p>
      <w:pPr>
        <w:spacing w:after="0" w:line="145"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4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extensions, renewals or replacements of any Liens referred to in Section 6.02(b) in connection with the refinancing, refunding, extension, renewal, or replacement of the obligations secured thereby,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 does not extend to any other property (other than improvements on such property) and, except as contemplated by the definition of “Permitted Refinancing Indebtedness”, the amount secured by such Lien is not increased;</w:t>
      </w:r>
    </w:p>
    <w:p>
      <w:pPr>
        <w:spacing w:after="0" w:line="161"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Residual Interests securing Indebtedness permitted under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 6.01(m)</w:t>
      </w:r>
      <w:r>
        <w:rPr>
          <w:rFonts w:ascii="Times New Roman" w:cs="Times New Roman" w:eastAsia="Times New Roman" w:hAnsi="Times New Roman"/>
          <w:sz w:val="22"/>
          <w:szCs w:val="22"/>
          <w:color w:val="auto"/>
        </w:rPr>
        <w:t xml:space="preserve"> and existing on property at the time of its acquisition or existing on the property of any Person at the time such Person becomes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was not created in contemplation of the relevant acquisition and (ii) such Lien does not extend to or cover any other assets or property (other than, with respect to such Person, any replacements of such property or assets and additions and accessions, proceeds and products thereto);</w:t>
      </w:r>
    </w:p>
    <w:p>
      <w:pPr>
        <w:spacing w:after="0" w:line="163"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5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developed, acquired, constructed, purchased leased, repaired, maintained or improved by the Borrower or any Subsidiary; provided that (i) such security interests secure Indebtedness is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6.01(o)</w:t>
      </w:r>
      <w:r>
        <w:rPr>
          <w:rFonts w:ascii="Times New Roman" w:cs="Times New Roman" w:eastAsia="Times New Roman" w:hAnsi="Times New Roman"/>
          <w:sz w:val="22"/>
          <w:szCs w:val="22"/>
          <w:color w:val="auto"/>
        </w:rPr>
        <w:t>, (ii) such security interests and the Indebtedness secured thereby are incurred prior to or within 365 days after the consummation of such development, acquisition, construction, purchase, lease, repair, maintenance or improvement and (iii) such security interests shall not apply to any other property or assets of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71" w:lineRule="exact"/>
        <w:rPr>
          <w:sz w:val="20"/>
          <w:szCs w:val="20"/>
          <w:color w:val="auto"/>
        </w:rPr>
      </w:pPr>
    </w:p>
    <w:p>
      <w:pPr>
        <w:ind w:left="1780" w:hanging="476"/>
        <w:spacing w:after="0"/>
        <w:tabs>
          <w:tab w:leader="none" w:pos="17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collateral to backstop letters of credit; and</w:t>
      </w:r>
    </w:p>
    <w:p>
      <w:pPr>
        <w:spacing w:after="0" w:line="23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6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with respect to any servicing account and servicing agreement entered into by the Borrower or any of its Subsidiaries in connection with any sale, assignment and transfer of Receivables to any Person that is not an Affiliate of the Borrower.</w:t>
      </w:r>
    </w:p>
    <w:p>
      <w:pPr>
        <w:spacing w:after="0" w:line="15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5" w:lineRule="auto"/>
        <w:tabs>
          <w:tab w:leader="none" w:pos="1777"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Holdings nor the Borrower will, or will permit any Subsidiary (other than any Specified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Default or Event of Default shall have occurred and be continuing, (i) any Subsidiary may merge into the Borrower in a transaction in which the Borrower is the surviving corporation, (ii) any Subsidiary may merge into (A) any Subsidiary in a transaction in which the surviving entity is a Subsidiary or (B) any other Person in a transaction in which the surviving entity is a Subsidiary subject to compliance with Sections 5.09 and 6.04, (iii) any Subsidiary may Dispose of its assets to the Borrower or to another Subsidiary, (iv) any Subsidiary may liquidate or dissolve if the Borrower determines in good faith that such liquidation or dissolution is in the best interests of the Borrower and is not materially disadvantageous to the Lenders,</w:t>
      </w:r>
    </w:p>
    <w:p>
      <w:pPr>
        <w:spacing w:after="0" w:line="7" w:lineRule="exact"/>
        <w:rPr>
          <w:rFonts w:ascii="Times New Roman" w:cs="Times New Roman" w:eastAsia="Times New Roman" w:hAnsi="Times New Roman"/>
          <w:sz w:val="21"/>
          <w:szCs w:val="21"/>
          <w:color w:val="auto"/>
        </w:rPr>
      </w:pPr>
    </w:p>
    <w:p>
      <w:pPr>
        <w:jc w:val="both"/>
        <w:ind w:firstLine="8"/>
        <w:spacing w:after="0" w:line="274" w:lineRule="auto"/>
        <w:tabs>
          <w:tab w:leader="none" w:pos="31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merge into another Person or another person may merge into the Borrower if the Borrower is the surviving Person and (vi) the Borrower may merge or consolidate with a newly formed or incorporated Affiliate of the Borrower formed or incorporated solely for the purpose of changing the form of organization of the Borrower or reincorporating or reorganizing the Borrower in another state of the United States or may convert into a corporation, partnership or limited liability company, so long as the amount of Indebtedness of the Borrower is not increased thereby and there are no material adverse tax consequences from such conversion as reasonably determined by the Borrower. For the avoidance of doubt, this Section 6.03(a) shall not apply to any sale, assignment, transfer, conveyance or other disposition of any assets in connection with any Permitted Securitization Indebtedness.</w:t>
      </w:r>
    </w:p>
    <w:p>
      <w:pPr>
        <w:spacing w:after="0" w:line="17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56"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Holdings nor the Borrower will, or will permit any of its Subsidiaries to, engage to any material extent in any business other than businesses of the type conducted by the Borrower and its Subsidiaries on the date of execution of this Agreement and businesses reasonably related, complementary, ancillary or incidental thereto or that constitute reasonable extensions thereof.</w:t>
      </w:r>
    </w:p>
    <w:p>
      <w:pPr>
        <w:spacing w:after="0" w:line="16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71" w:lineRule="exact"/>
        <w:rPr>
          <w:sz w:val="20"/>
          <w:szCs w:val="20"/>
          <w:color w:val="auto"/>
        </w:rPr>
      </w:pPr>
    </w:p>
    <w:p>
      <w:pPr>
        <w:ind w:firstLine="602"/>
        <w:spacing w:after="0" w:line="309" w:lineRule="auto"/>
        <w:rPr>
          <w:sz w:val="20"/>
          <w:szCs w:val="20"/>
          <w:color w:val="auto"/>
        </w:rPr>
      </w:pPr>
      <w:r>
        <w:rPr>
          <w:rFonts w:ascii="Times New Roman" w:cs="Times New Roman" w:eastAsia="Times New Roman" w:hAnsi="Times New Roman"/>
          <w:sz w:val="22"/>
          <w:szCs w:val="22"/>
          <w:color w:val="auto"/>
        </w:rPr>
        <w:t>Neither Holdings nor the Borrower will, or will permit any of its Subsidiaries (other than any Specified Subsidiary) to, directly or indirectly, make or own any Investment in any Person, except:</w:t>
      </w:r>
    </w:p>
    <w:p>
      <w:pPr>
        <w:spacing w:after="0" w:line="132" w:lineRule="exact"/>
        <w:rPr>
          <w:sz w:val="20"/>
          <w:szCs w:val="20"/>
          <w:color w:val="auto"/>
        </w:rPr>
      </w:pPr>
    </w:p>
    <w:p>
      <w:pPr>
        <w:ind w:left="1760" w:hanging="456"/>
        <w:spacing w:after="0"/>
        <w:tabs>
          <w:tab w:leader="none" w:pos="1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existing on the date hereof;</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Loan Party;</w:t>
      </w:r>
    </w:p>
    <w:p>
      <w:pPr>
        <w:spacing w:after="0" w:line="23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88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acquisitions) made when (i) no Default or Event of Default has occurred and is continuing or shall occur from the making of such Investment and (b) the Borrower and its Subsidiaries are in Financial Covenant Compliance at the time of and immediately after giving effect to such Investment;</w:t>
      </w:r>
    </w:p>
    <w:p>
      <w:pPr>
        <w:spacing w:after="0" w:line="152" w:lineRule="exact"/>
        <w:rPr>
          <w:rFonts w:ascii="Times New Roman" w:cs="Times New Roman" w:eastAsia="Times New Roman" w:hAnsi="Times New Roman"/>
          <w:sz w:val="22"/>
          <w:szCs w:val="22"/>
          <w:color w:val="auto"/>
        </w:rPr>
      </w:pPr>
    </w:p>
    <w:p>
      <w:pPr>
        <w:ind w:firstLine="1304"/>
        <w:spacing w:after="0" w:line="296" w:lineRule="auto"/>
        <w:tabs>
          <w:tab w:leader="none" w:pos="202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Equity Interests of Securitization Subsidiaries arising in connection with Permitted Securitization Indebtedness;</w:t>
      </w:r>
    </w:p>
    <w:p>
      <w:pPr>
        <w:spacing w:after="0" w:line="145"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receivable, security deposits and prepayments arising and trade credit granted in the ordinary course</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business;</w:t>
      </w:r>
    </w:p>
    <w:p>
      <w:pPr>
        <w:spacing w:after="0" w:line="233" w:lineRule="exact"/>
        <w:rPr>
          <w:rFonts w:ascii="Times New Roman" w:cs="Times New Roman" w:eastAsia="Times New Roman" w:hAnsi="Times New Roman"/>
          <w:sz w:val="21"/>
          <w:szCs w:val="21"/>
          <w:color w:val="auto"/>
        </w:rPr>
      </w:pPr>
    </w:p>
    <w:p>
      <w:pPr>
        <w:jc w:val="both"/>
        <w:ind w:firstLine="1304"/>
        <w:spacing w:after="0" w:line="289" w:lineRule="auto"/>
        <w:tabs>
          <w:tab w:leader="none" w:pos="178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 Subsidiary acquired after the Effective Date or of a person merged into the Borrower or a Subsidiary after the Effective Date, in each case to the extent that such Investments were not made in contemplation of or in connection with any such acquisition or merger;</w:t>
      </w:r>
    </w:p>
    <w:p>
      <w:pPr>
        <w:spacing w:after="0" w:line="152" w:lineRule="exact"/>
        <w:rPr>
          <w:rFonts w:ascii="Times New Roman" w:cs="Times New Roman" w:eastAsia="Times New Roman" w:hAnsi="Times New Roman"/>
          <w:sz w:val="22"/>
          <w:szCs w:val="22"/>
          <w:color w:val="auto"/>
        </w:rPr>
      </w:pPr>
    </w:p>
    <w:p>
      <w:pPr>
        <w:ind w:firstLine="1304"/>
        <w:spacing w:after="0" w:line="296" w:lineRule="auto"/>
        <w:tabs>
          <w:tab w:leader="none" w:pos="191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to the extent that payment for such Investments is made with Equity Interests (other than Disqualified Equity Interests) of Holdings;</w:t>
      </w:r>
    </w:p>
    <w:p>
      <w:pPr>
        <w:spacing w:after="0" w:line="145" w:lineRule="exact"/>
        <w:rPr>
          <w:rFonts w:ascii="Times New Roman" w:cs="Times New Roman" w:eastAsia="Times New Roman" w:hAnsi="Times New Roman"/>
          <w:sz w:val="22"/>
          <w:szCs w:val="22"/>
          <w:color w:val="auto"/>
        </w:rPr>
      </w:pPr>
    </w:p>
    <w:p>
      <w:pPr>
        <w:ind w:firstLine="1304"/>
        <w:spacing w:after="0" w:line="296" w:lineRule="auto"/>
        <w:tabs>
          <w:tab w:leader="none" w:pos="185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Specified Subsidiaries not otherwise permitted pursuant to Section 6.04(c) in the ordinary course of business in an aggregate amount not to exceed $50,000,000 at any time outstanding; and</w:t>
      </w:r>
    </w:p>
    <w:p>
      <w:pPr>
        <w:spacing w:after="0" w:line="145"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Equivalents.</w:t>
      </w:r>
    </w:p>
    <w:p>
      <w:pPr>
        <w:spacing w:after="0" w:line="23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Restrictive Agreements</w:t>
      </w:r>
      <w:r>
        <w:rPr>
          <w:rFonts w:ascii="Times New Roman" w:cs="Times New Roman" w:eastAsia="Times New Roman" w:hAnsi="Times New Roman"/>
          <w:sz w:val="22"/>
          <w:szCs w:val="22"/>
          <w:color w:val="auto"/>
        </w:rPr>
        <w:t xml:space="preserve">. Neither Holdings nor the Borrower will, or will permit any of its Subsidiaries (other than any Specified Subsidiary) to, directly or indirectly, enter into, incur or permit to exist any agreement or other arrangement that prohibits, restricts or imposes any condition upon the ability of any Subsidiary (other than any Specified Subsidiary) to pay dividends or other distributions with respect to any shares of its Equity Interests or to make or repay loans or advances to the Borrower or any other Subsidiary (other than any Specified Subsidiary) or of any Subsidiary (other than any Specified Subsidiary) to Guarantee Indebtedness of the Borrower or any other Subsidiary (other than any Specified Subsidiary) under the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foregoing shall not apply 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 xml:space="preserve">restrictions and conditions imposed by law or by this Agreement or any other Loan Document, (ii) the foregoing shall not apply to prohibitions, restrictions and conditions existing on the date hereof (and any amendments or modifications thereof that do not materially expand the scope of any such prohibition, restriction or condition), (iii) the foregoing shall not apply to customary prohibitions, restrictions and conditions contained in agreements relating to the sale of a Subsidiary or assets of the Borrower or any Subsidiary pending such sale;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restrictions and conditions apply only to the Subsidiary or assets to be sold and such sale is not prohibited hereunder, (iv) the foregoing shall not apply to any agreement, prohibition, or restriction or condition in effect at the time any Subsidiary becomes a Subsidiary of the Borrower, so long as such agreement was not entered into solely in contemplation of such Person becoming a Subsidiary of the Borrower (and any amendments or modifications thereof that do not materially expand the scope of any such prohibition restriction or condition),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restricting the assignment thereof, (viii) the foregoing shall not apply to restrictions or conditions set forth in any agreement governing Indebtedness not prohibited by Section 6.01; provided that such restrictions and conditions are customary for such Indebtedness,</w:t>
      </w:r>
    </w:p>
    <w:p>
      <w:pPr>
        <w:spacing w:after="0" w:line="5" w:lineRule="exact"/>
        <w:rPr>
          <w:sz w:val="20"/>
          <w:szCs w:val="20"/>
          <w:color w:val="auto"/>
        </w:rPr>
      </w:pPr>
    </w:p>
    <w:p>
      <w:pPr>
        <w:jc w:val="both"/>
        <w:ind w:right="20" w:firstLine="8"/>
        <w:spacing w:after="0" w:line="279" w:lineRule="auto"/>
        <w:tabs>
          <w:tab w:leader="none" w:pos="38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shall not apply to restrictions on cash or other deposits (including escrowed funds) imposed under contracts entered into in the ordinary course of business or restrictions imposed by the terms of a Lien permitted by Section 6.02 and (x) the foregoing shall not apply to encumbrances, restrictions, limitations, conditions or prohibitions in respect of Receivables subject to, and any other encumbrances, restrictions, limitations, conditions or prohibitions consisting of customary provisions in connection with, any Permitted Securitization Indebtedness.</w:t>
      </w:r>
    </w:p>
    <w:p>
      <w:pPr>
        <w:spacing w:after="0" w:line="190"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22"/>
          <w:szCs w:val="22"/>
          <w:color w:val="auto"/>
        </w:rPr>
        <w:t>. Neither Holdings nor the Borrower will, or will permit any of its Subsidiaries (other than any Specified Subsidiary) to, Dispose of (including, without limitation, any exclusive licensing of) any material intellectual property, that is used in and necessary for the operation of the business of the Borrower or such Subsidiaries (other than any Specified Subsidiary), if such Disposition would prohibit the Borrower or such Subsidiaries, as applicable, from utilizing such intellectual property.</w:t>
      </w:r>
    </w:p>
    <w:p>
      <w:pPr>
        <w:spacing w:after="0" w:line="17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Neither Holdings nor the Borrower will, or will permit any of its Subsidiaries (other than any Specified Subsidiary) to, declare or make, or agree to pay or make, directly or indirectly, any Restricted Payment, unless (a) no Default or Event of Default has occurred and is continuing or shall occur from the making of such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7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2"/>
          <w:szCs w:val="22"/>
          <w:color w:val="auto"/>
        </w:rPr>
        <w:t>Restricted Payment and (b) the Borrower and its Subsidiaries are in Financial Covenant Compliance at the time of and immediately after giving effect to such Restricted Payment.</w:t>
      </w:r>
    </w:p>
    <w:p>
      <w:pPr>
        <w:spacing w:after="0" w:line="145"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 xml:space="preserve">SECTION 6.08. </w:t>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 Neither Holdings nor the Borrower will, or will permit any of its Subsidiaries (other than any Specified Subsidiary) to, sell, lease or otherwise transfer any property or assets to, or purchase, lease or otherwise acquire any property or assets from, or otherwise engage in any other transactions involving an aggregate payment or consideration in excess of $1,000,000 individually or $10,000,000 in the aggregate with, any of its Affiliates, except:</w:t>
      </w:r>
    </w:p>
    <w:p>
      <w:pPr>
        <w:spacing w:after="0" w:line="160" w:lineRule="exact"/>
        <w:rPr>
          <w:sz w:val="20"/>
          <w:szCs w:val="20"/>
          <w:color w:val="auto"/>
        </w:rPr>
      </w:pPr>
    </w:p>
    <w:p>
      <w:pPr>
        <w:ind w:left="1760" w:hanging="456"/>
        <w:spacing w:after="0"/>
        <w:tabs>
          <w:tab w:leader="none" w:pos="17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ordinary course of business;</w:t>
      </w:r>
    </w:p>
    <w:p>
      <w:pPr>
        <w:spacing w:after="0" w:line="233" w:lineRule="exact"/>
        <w:rPr>
          <w:rFonts w:ascii="Times New Roman" w:cs="Times New Roman" w:eastAsia="Times New Roman" w:hAnsi="Times New Roman"/>
          <w:sz w:val="22"/>
          <w:szCs w:val="22"/>
          <w:color w:val="auto"/>
        </w:rPr>
      </w:pPr>
    </w:p>
    <w:p>
      <w:pPr>
        <w:ind w:firstLine="1304"/>
        <w:spacing w:after="0" w:line="296" w:lineRule="auto"/>
        <w:tabs>
          <w:tab w:leader="none" w:pos="183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prices and on terms and conditions not less favorable to the Borrower or such Subsidiary than could be obtained on an arm’s-length basis from unrelated third parties;</w:t>
      </w:r>
    </w:p>
    <w:p>
      <w:pPr>
        <w:spacing w:after="0" w:line="145"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Loan Parties;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transactions permitted by Sections 6.01, 6.03, 6.04 or 6.07;</w:t>
      </w:r>
    </w:p>
    <w:p>
      <w:pPr>
        <w:spacing w:after="0" w:line="233"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9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pursuant to any contract or agreement or investment (including guarantee) in effect on the Effective Date and set forth on Schedule 6.07, as amended, modified or replaced from time to time, or similar transactions, so long as the amended, modified or new agreements, taken as a whole, are no more disadvantageous to the Lenders in any material respect than those in effect on the Effective Date (as determined by the Borrower in good faith);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the modification, amendment or replacement of any such transaction in existence as of the Effective Date on substantially comparable terms, such threshold shall be calculated only with respect to the amount of any net increase in the value of such transaction as a result of such modification, amendment or replacement rather than the aggregate value;</w:t>
      </w:r>
    </w:p>
    <w:p>
      <w:pPr>
        <w:spacing w:after="0" w:line="171" w:lineRule="exact"/>
        <w:rPr>
          <w:rFonts w:ascii="Times New Roman" w:cs="Times New Roman" w:eastAsia="Times New Roman" w:hAnsi="Times New Roman"/>
          <w:sz w:val="22"/>
          <w:szCs w:val="22"/>
          <w:color w:val="auto"/>
        </w:rPr>
      </w:pPr>
    </w:p>
    <w:p>
      <w:pPr>
        <w:jc w:val="both"/>
        <w:ind w:right="20" w:firstLine="1304"/>
        <w:spacing w:after="0" w:line="289" w:lineRule="auto"/>
        <w:tabs>
          <w:tab w:leader="none" w:pos="174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reasonable and customary regular fees to directors of Holdings and the Borrower who are not employees of Holdings and the Borrower and the provision of customary indemnities to directors, officers or employees of Holdings, the Borrower and their Subsidiaries in their capacities as such;</w:t>
      </w:r>
    </w:p>
    <w:p>
      <w:pPr>
        <w:spacing w:after="0" w:line="152" w:lineRule="exact"/>
        <w:rPr>
          <w:rFonts w:ascii="Times New Roman" w:cs="Times New Roman" w:eastAsia="Times New Roman" w:hAnsi="Times New Roman"/>
          <w:sz w:val="22"/>
          <w:szCs w:val="22"/>
          <w:color w:val="auto"/>
        </w:rPr>
      </w:pPr>
    </w:p>
    <w:p>
      <w:pPr>
        <w:ind w:firstLine="1304"/>
        <w:spacing w:after="0" w:line="296" w:lineRule="auto"/>
        <w:tabs>
          <w:tab w:leader="none" w:pos="188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agreements, plans, arrangements or payments pursuant to any employee, officer or director compensation or benefit, travel, relocation or expense advance plans or arrangements;</w:t>
      </w:r>
    </w:p>
    <w:p>
      <w:pPr>
        <w:spacing w:after="0" w:line="14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connection with any Permitted Securitization Indebtedness;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71" w:lineRule="exact"/>
        <w:rPr>
          <w:sz w:val="20"/>
          <w:szCs w:val="20"/>
          <w:color w:val="auto"/>
        </w:rPr>
      </w:pPr>
    </w:p>
    <w:p>
      <w:pPr>
        <w:ind w:left="1720" w:hanging="416"/>
        <w:spacing w:after="0"/>
        <w:tabs>
          <w:tab w:leader="none" w:pos="17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 loans provided to officers, directors or employees on terms consistent with past practice;</w:t>
      </w:r>
    </w:p>
    <w:p>
      <w:pPr>
        <w:spacing w:after="0" w:line="23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licensing of intellectual property rights (whether as licensor or licensee);</w:t>
      </w:r>
    </w:p>
    <w:p>
      <w:pPr>
        <w:spacing w:after="0" w:line="23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6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(including pursuant to joint venture agreements) with customers, clients, suppliers, any Person in which the Borrower or any Subsidiary has made an investment or holds an interest as a joint venture partner (and such Person is an Affiliate solely because of such Investment or interest) or others that are Affiliates of the Borrower, in each case in the ordinary course of business;</w:t>
      </w:r>
    </w:p>
    <w:p>
      <w:pPr>
        <w:spacing w:after="0" w:line="16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2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of real property entered into in the ordinary course of business on terms not materially less favorable to the Borrower and its Subsidiaries than could be obtained at the time in an arm’s length transaction with a Person who was not an Affiliate (as determined in good faith by management of the Borrower);</w:t>
      </w:r>
    </w:p>
    <w:p>
      <w:pPr>
        <w:spacing w:after="0" w:line="161" w:lineRule="exact"/>
        <w:rPr>
          <w:rFonts w:ascii="Times New Roman" w:cs="Times New Roman" w:eastAsia="Times New Roman" w:hAnsi="Times New Roman"/>
          <w:sz w:val="22"/>
          <w:szCs w:val="22"/>
          <w:color w:val="auto"/>
        </w:rPr>
      </w:pPr>
    </w:p>
    <w:p>
      <w:pPr>
        <w:ind w:firstLine="1304"/>
        <w:spacing w:after="0" w:line="309" w:lineRule="auto"/>
        <w:tabs>
          <w:tab w:leader="none" w:pos="196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Qualified Equity Interests by the Borrower or any Subsidiary and capital contributions to the Borrower from Affiliates;</w:t>
      </w:r>
    </w:p>
    <w:p>
      <w:pPr>
        <w:spacing w:after="0" w:line="131"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7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 which the Borrower or any Subsidiary delivers to the Administrative Agent a written opinion from a nationally or regionally recognized investment banking, accounting or appraisal firm as to (i) the fairness of the transaction to the Borrower and its Subsidiaries from a financial point of view or (ii) that such transaction is not materially less favorable to the Borrower and its Subsidiaries than could be obtained at the time in an arm’s length transaction with a Person who was not an Affiliate; or</w:t>
      </w:r>
    </w:p>
    <w:p>
      <w:pPr>
        <w:spacing w:after="0" w:line="163" w:lineRule="exact"/>
        <w:rPr>
          <w:rFonts w:ascii="Times New Roman" w:cs="Times New Roman" w:eastAsia="Times New Roman" w:hAnsi="Times New Roman"/>
          <w:sz w:val="22"/>
          <w:szCs w:val="22"/>
          <w:color w:val="auto"/>
        </w:rPr>
      </w:pPr>
    </w:p>
    <w:p>
      <w:pPr>
        <w:ind w:firstLine="1304"/>
        <w:spacing w:after="0" w:line="296" w:lineRule="auto"/>
        <w:tabs>
          <w:tab w:leader="none" w:pos="178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between a Person and an Affiliate of such Person existing at the time such Person is acquired by, or merged into, the Borrower or a Subsidiary and not entered into in contemplation of such acquisition or merger.</w:t>
      </w:r>
    </w:p>
    <w:p>
      <w:pPr>
        <w:spacing w:after="0" w:line="145" w:lineRule="exact"/>
        <w:rPr>
          <w:sz w:val="20"/>
          <w:szCs w:val="20"/>
          <w:color w:val="auto"/>
        </w:rPr>
      </w:pPr>
    </w:p>
    <w:p>
      <w:pPr>
        <w:ind w:right="80"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Restricted Debt Payments</w:t>
      </w:r>
      <w:r>
        <w:rPr>
          <w:rFonts w:ascii="Times New Roman" w:cs="Times New Roman" w:eastAsia="Times New Roman" w:hAnsi="Times New Roman"/>
          <w:sz w:val="21"/>
          <w:szCs w:val="21"/>
          <w:color w:val="auto"/>
        </w:rPr>
        <w:t>. Neither Holdings nor the Borrower will, or will permit any Subsidiary (other than any Specified Subsidiary) of the Borrower to, voluntarily prepay, redeem, purchase, defease or otherwise satisfy prior to the scheduled maturity thereof in any manner any Subordinated Debt, or make any payment in violation of any subordination terms to which any Subordinated Debt is subject. For the avoidance of doubt, any mandatory or regularly scheduled payments, that are otherwise permitted by the terms of the respective subordination agreement, are not prohibited by this Section 6.09.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71"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22"/>
          <w:szCs w:val="22"/>
          <w:color w:val="auto"/>
        </w:rPr>
        <w:t>. The Borrower will not permit (each of the clauses (a) through (d) below, a “</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760" w:hanging="456"/>
        <w:spacing w:after="0"/>
        <w:tabs>
          <w:tab w:leader="none" w:pos="17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any fiscal quarter ending after the date hereof, the Leverage Ratio to exceed 2.5 to 1.0;</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33" w:lineRule="exact"/>
        <w:rPr>
          <w:rFonts w:ascii="Times New Roman" w:cs="Times New Roman" w:eastAsia="Times New Roman" w:hAnsi="Times New Roman"/>
          <w:sz w:val="22"/>
          <w:szCs w:val="22"/>
          <w:color w:val="auto"/>
        </w:rPr>
      </w:pPr>
    </w:p>
    <w:p>
      <w:pPr>
        <w:ind w:right="20" w:firstLine="1304"/>
        <w:spacing w:after="0" w:line="296" w:lineRule="auto"/>
        <w:tabs>
          <w:tab w:leader="none" w:pos="178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any fiscal quarter ending after the date hereof, the Tangible Net Worth of Holdings and its consolidated Subsidiaries to be less than the Tangible Net Worth Level at such time.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3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If any of the following events (“</w:t>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shall occur:</w:t>
      </w:r>
    </w:p>
    <w:p>
      <w:pPr>
        <w:spacing w:after="0" w:line="247" w:lineRule="exact"/>
        <w:rPr>
          <w:sz w:val="20"/>
          <w:szCs w:val="20"/>
          <w:color w:val="auto"/>
        </w:rPr>
      </w:pPr>
    </w:p>
    <w:p>
      <w:pPr>
        <w:ind w:firstLine="1304"/>
        <w:spacing w:after="0" w:line="309" w:lineRule="auto"/>
        <w:tabs>
          <w:tab w:leader="none" w:pos="175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of any Loan when and as the same shall become due and payable, whether at the due date thereof or at a date fixed for prepayment thereof or otherwise;</w:t>
      </w:r>
    </w:p>
    <w:p>
      <w:pPr>
        <w:spacing w:after="0" w:line="118"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7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Business Days;</w:t>
      </w:r>
    </w:p>
    <w:p>
      <w:pPr>
        <w:spacing w:after="0" w:line="152"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5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Holdings, the Borrower or any Subsidiary in this Agreement,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thereunder, shall prove to have been incorrect in any material respect when made or deemed made;</w:t>
      </w:r>
    </w:p>
    <w:p>
      <w:pPr>
        <w:spacing w:after="0" w:line="163" w:lineRule="exact"/>
        <w:rPr>
          <w:rFonts w:ascii="Times New Roman" w:cs="Times New Roman" w:eastAsia="Times New Roman" w:hAnsi="Times New Roman"/>
          <w:sz w:val="22"/>
          <w:szCs w:val="22"/>
          <w:color w:val="auto"/>
        </w:rPr>
      </w:pPr>
    </w:p>
    <w:p>
      <w:pPr>
        <w:ind w:firstLine="1304"/>
        <w:spacing w:after="0" w:line="296" w:lineRule="auto"/>
        <w:tabs>
          <w:tab w:leader="none" w:pos="19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Subsidiary shall fail to observe or perform any covenant, condition or agreement contained in Section 5.02(a), 5.03 (with respect to the Borrower’s existence only) or 5.08 or in Article VI;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71" w:lineRule="exact"/>
        <w:rPr>
          <w:sz w:val="20"/>
          <w:szCs w:val="20"/>
          <w:color w:val="auto"/>
        </w:rPr>
      </w:pPr>
    </w:p>
    <w:p>
      <w:pPr>
        <w:jc w:val="both"/>
        <w:ind w:firstLine="1304"/>
        <w:spacing w:after="0" w:line="282" w:lineRule="auto"/>
        <w:tabs>
          <w:tab w:leader="none" w:pos="191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Subsidiary shall fail to observe or perform any covenant, condition or agreement contained in this Agreement (other than those specified in clause (a), (b), (c) or (d) of this Article) or any other Loan Document, and such failure shall continue unremedied for a period of thirty (30) days after notice thereof from the Administrative Agent to the Borrower (which notice will be given at the request of any Lender);</w:t>
      </w:r>
    </w:p>
    <w:p>
      <w:pPr>
        <w:spacing w:after="0" w:line="161" w:lineRule="exact"/>
        <w:rPr>
          <w:rFonts w:ascii="Times New Roman" w:cs="Times New Roman" w:eastAsia="Times New Roman" w:hAnsi="Times New Roman"/>
          <w:sz w:val="22"/>
          <w:szCs w:val="22"/>
          <w:color w:val="auto"/>
        </w:rPr>
      </w:pPr>
    </w:p>
    <w:p>
      <w:pPr>
        <w:jc w:val="both"/>
        <w:ind w:firstLine="1304"/>
        <w:spacing w:after="0" w:line="308" w:lineRule="auto"/>
        <w:tabs>
          <w:tab w:leader="none" w:pos="174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Holdings, the Borrower or any Subsidiary shall fail to make any payment (whether of principal or interest) in respect of any Material Obligation, when and as the same shall become due and payable (whether by scheduled maturity, required prepayment, acceleration, demand, or otherwise) and such failure shall have continued after the applicable grace period, if any;</w:t>
      </w:r>
    </w:p>
    <w:p>
      <w:pPr>
        <w:spacing w:after="0" w:line="136" w:lineRule="exact"/>
        <w:rPr>
          <w:rFonts w:ascii="Times New Roman" w:cs="Times New Roman" w:eastAsia="Times New Roman" w:hAnsi="Times New Roman"/>
          <w:sz w:val="21"/>
          <w:szCs w:val="21"/>
          <w:color w:val="auto"/>
        </w:rPr>
      </w:pPr>
    </w:p>
    <w:p>
      <w:pPr>
        <w:jc w:val="both"/>
        <w:ind w:firstLine="1304"/>
        <w:spacing w:after="0" w:line="273" w:lineRule="auto"/>
        <w:tabs>
          <w:tab w:leader="none" w:pos="188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condition or default occurs that results in any Material Obligation becoming due prior to its scheduled maturity or that enables or permits (with or without the giving of notice, the lapse of time or both but with all applicable grace periods in respect of such event or condition under the documentation representing such Material Obligation having expired) the holder or holders of such Material Obligation or any trustee or agent on its or their behalf to cause such Material Obligation to become due, or to require the prepayment, repurchase, redemption or defeasance thereof, prior to its scheduled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(g) shall not apply to (x) any requirement to, or any offer to, repurchase, prepay or redeem any Material Obligation of a Person acquired in an acquisition permitted hereunder, to the extent such offer is required as a result of, or in connection with, such acquisition, (y) an early payment requirement, unwinding or termination with respect to any Hedging Agreement except an early payment, unwinding or termination that results from a default or non-compliance thereunder by the Borrower or any Subsidiary, or another event of the type that would constitute an Event of Default or (z) (i) any event or the satisfaction of any condition that permits holders of any Specified Convertible Notes to convert such Indebtedness pursuant to the terms of such Specified Convertible Notes or (ii) the conversion or exchange of any Specified Convertible Notes, in either case, into common stock of Holdings (or other securities or property following a merger event, reclassification or other change of the common stock of Holdings), cash or a combination thereof, pursuant to the terms of such Specified Convertible Notes;</w:t>
      </w:r>
    </w:p>
    <w:p>
      <w:pPr>
        <w:spacing w:after="0" w:line="179" w:lineRule="exact"/>
        <w:rPr>
          <w:rFonts w:ascii="Times New Roman" w:cs="Times New Roman" w:eastAsia="Times New Roman" w:hAnsi="Times New Roman"/>
          <w:sz w:val="22"/>
          <w:szCs w:val="22"/>
          <w:color w:val="auto"/>
        </w:rPr>
      </w:pPr>
    </w:p>
    <w:p>
      <w:pPr>
        <w:jc w:val="both"/>
        <w:ind w:firstLine="1304"/>
        <w:spacing w:after="0" w:line="277" w:lineRule="auto"/>
        <w:tabs>
          <w:tab w:leader="none" w:pos="180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Significant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Subsidiary or for a substantial part of its assets, (iv) file 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answer admitting the material allegations of a petition filed against it in any such proceeding or (v) make a general assignment for the benefit of creditors;</w:t>
      </w:r>
    </w:p>
    <w:p>
      <w:pPr>
        <w:spacing w:after="0" w:line="132" w:lineRule="exact"/>
        <w:rPr>
          <w:sz w:val="20"/>
          <w:szCs w:val="20"/>
          <w:color w:val="auto"/>
        </w:rPr>
      </w:pPr>
    </w:p>
    <w:p>
      <w:pPr>
        <w:ind w:right="20" w:firstLine="1304"/>
        <w:spacing w:after="0" w:line="296" w:lineRule="auto"/>
        <w:tabs>
          <w:tab w:leader="none" w:pos="177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the Borrower or any Significant Subsidiary shall become unable, admit in writing its inability or fail generally to pay its debts as they become due;</w:t>
      </w:r>
    </w:p>
    <w:p>
      <w:pPr>
        <w:spacing w:after="0" w:line="145" w:lineRule="exact"/>
        <w:rPr>
          <w:rFonts w:ascii="Times New Roman" w:cs="Times New Roman" w:eastAsia="Times New Roman" w:hAnsi="Times New Roman"/>
          <w:sz w:val="22"/>
          <w:szCs w:val="22"/>
          <w:color w:val="auto"/>
        </w:rPr>
      </w:pPr>
    </w:p>
    <w:p>
      <w:pPr>
        <w:jc w:val="both"/>
        <w:ind w:firstLine="1304"/>
        <w:spacing w:after="0" w:line="290" w:lineRule="auto"/>
        <w:tabs>
          <w:tab w:leader="none" w:pos="1734"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judgments for the payment of money in an aggregate amount equal to or exceeding $15,000,000 shall be rendered against Holdings, the Borrower, any Subsidiary or any combination thereof and the same shall remain undischarged for a period of 60 consecutive days during which execution shall not be effectively stayed or vacated; provided, that any such amount shall be calculated after deducting from the sum so payable any amount of such judgment or order that is covered by a valid and binding policy of insurance in favor of Holdings, the Borrower or such Subsidiary (but only if the applicable insurer shall have been advised of such judgment and of the intent of Holdings, the Borrower or such Subsidiary to make a claim in respect of any amount payable by it in connection therewith and such insurer shall not have disputed coverage);</w:t>
      </w:r>
    </w:p>
    <w:p>
      <w:pPr>
        <w:spacing w:after="0" w:line="157" w:lineRule="exact"/>
        <w:rPr>
          <w:rFonts w:ascii="Times New Roman" w:cs="Times New Roman" w:eastAsia="Times New Roman" w:hAnsi="Times New Roman"/>
          <w:sz w:val="21"/>
          <w:szCs w:val="21"/>
          <w:color w:val="auto"/>
        </w:rPr>
      </w:pPr>
    </w:p>
    <w:p>
      <w:pPr>
        <w:ind w:firstLine="1304"/>
        <w:spacing w:after="0" w:line="296" w:lineRule="auto"/>
        <w:tabs>
          <w:tab w:leader="none" w:pos="190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when taken together with all other ERISA Events that have occurred, would reasonably be expected to result in a Material Adverse Effect;</w:t>
      </w:r>
    </w:p>
    <w:p>
      <w:pPr>
        <w:spacing w:after="0" w:line="145"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33" w:lineRule="exact"/>
        <w:rPr>
          <w:rFonts w:ascii="Times New Roman" w:cs="Times New Roman" w:eastAsia="Times New Roman" w:hAnsi="Times New Roman"/>
          <w:sz w:val="22"/>
          <w:szCs w:val="22"/>
          <w:color w:val="auto"/>
        </w:rPr>
      </w:pPr>
    </w:p>
    <w:p>
      <w:pPr>
        <w:ind w:firstLine="1304"/>
        <w:spacing w:after="0" w:line="309" w:lineRule="auto"/>
        <w:tabs>
          <w:tab w:leader="none" w:pos="182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or any other Loan Document is not in full force and effect, or the Borrower or any Guarantor claims to such effect in writing;</w:t>
      </w:r>
    </w:p>
    <w:p>
      <w:pPr>
        <w:spacing w:after="0" w:line="131" w:lineRule="exact"/>
        <w:rPr>
          <w:rFonts w:ascii="Times New Roman" w:cs="Times New Roman" w:eastAsia="Times New Roman" w:hAnsi="Times New Roman"/>
          <w:sz w:val="22"/>
          <w:szCs w:val="22"/>
          <w:color w:val="auto"/>
        </w:rPr>
      </w:pPr>
    </w:p>
    <w:p>
      <w:pPr>
        <w:jc w:val="both"/>
        <w:ind w:firstLine="1304"/>
        <w:spacing w:after="0" w:line="282" w:lineRule="auto"/>
        <w:tabs>
          <w:tab w:leader="none" w:pos="179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commencing February 28, 2022, the 3-Month Rolling Average Delinquent Receivable Ratio shall exceed 10% or (ii) the Cumulative Default Ratio for any three or more Quarterly Vintages (commencing with the Quarterly Vintage for the calendar quarter ending March 31, 2022) shall exceed 12%; or</w:t>
      </w:r>
    </w:p>
    <w:p>
      <w:pPr>
        <w:spacing w:after="0" w:line="161"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6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occur any changes in laws or regulations applicable to the business of Holdings, the Borrower and its Subsidiaries, including without limitation, those with respect to consumer financing, that would reasonably expected to have a Material Adverse Effect.</w:t>
      </w:r>
    </w:p>
    <w:p>
      <w:pPr>
        <w:spacing w:after="0" w:line="13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Remedies Upon an Event of Default</w:t>
      </w:r>
      <w:r>
        <w:rPr>
          <w:rFonts w:ascii="Times New Roman" w:cs="Times New Roman" w:eastAsia="Times New Roman" w:hAnsi="Times New Roman"/>
          <w:sz w:val="22"/>
          <w:szCs w:val="22"/>
          <w:color w:val="auto"/>
        </w:rPr>
        <w:t>. If an Event of Default occurs (other than an event with respect to the Borrower described in Sections 7.01(h) or 7.01(i)), and at any time thereafter during the continuance of such Event of Default,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may with the consent of the Required Lenders, and shall at the request of the Required Lenders, by notice to the Borrower, take any or all of the following actions, at the same or different times:</w:t>
      </w:r>
    </w:p>
    <w:p>
      <w:pPr>
        <w:spacing w:after="0" w:line="145" w:lineRule="exact"/>
        <w:rPr>
          <w:sz w:val="20"/>
          <w:szCs w:val="20"/>
          <w:color w:val="auto"/>
        </w:rPr>
      </w:pPr>
    </w:p>
    <w:p>
      <w:pPr>
        <w:ind w:left="1760" w:hanging="456"/>
        <w:spacing w:after="0"/>
        <w:tabs>
          <w:tab w:leader="none" w:pos="17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the Commitments, and thereupon the Commitments shall terminate immediately;</w:t>
      </w:r>
    </w:p>
    <w:p>
      <w:pPr>
        <w:spacing w:after="0" w:line="233" w:lineRule="exact"/>
        <w:rPr>
          <w:rFonts w:ascii="Times New Roman" w:cs="Times New Roman" w:eastAsia="Times New Roman" w:hAnsi="Times New Roman"/>
          <w:sz w:val="22"/>
          <w:szCs w:val="22"/>
          <w:color w:val="auto"/>
        </w:rPr>
      </w:pPr>
    </w:p>
    <w:p>
      <w:pPr>
        <w:jc w:val="both"/>
        <w:ind w:firstLine="1304"/>
        <w:spacing w:after="0" w:line="279" w:lineRule="auto"/>
        <w:tabs>
          <w:tab w:leader="none" w:pos="18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any other Loan Document, shall become due and payable immediately, without presentment, demand, protest or other notice of any kind, all of which are hereby waived by the Borrower;</w:t>
      </w:r>
    </w:p>
    <w:p>
      <w:pPr>
        <w:spacing w:after="0" w:line="163" w:lineRule="exact"/>
        <w:rPr>
          <w:rFonts w:ascii="Times New Roman" w:cs="Times New Roman" w:eastAsia="Times New Roman" w:hAnsi="Times New Roman"/>
          <w:sz w:val="22"/>
          <w:szCs w:val="22"/>
          <w:color w:val="auto"/>
        </w:rPr>
      </w:pPr>
    </w:p>
    <w:p>
      <w:pPr>
        <w:ind w:right="20" w:firstLine="1304"/>
        <w:spacing w:after="0" w:line="296" w:lineRule="auto"/>
        <w:tabs>
          <w:tab w:leader="none" w:pos="178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and the Lenders all rights and remedies available to it and the Lenders under the Loan Documents and Applicable Law.</w:t>
      </w:r>
    </w:p>
    <w:p>
      <w:pPr>
        <w:spacing w:after="0" w:line="14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If an Event of Default described in Sections 7.01(h) or 7.01(i) occurs with respect to the Borrower, the Commitments shall automatically terminate and the principal of the Loans then outstanding, together with accrued interest thereon and all fees and other obligations of the Borrower accrued hereunder and under any other Loan Document including any break funding payment or prepayment premium, shall automatically become due and payable, in each case, without presentment, demand, protest or other notice of any kind, all of which are hereby waived by the Borrower.</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Notwithstanding anything herein to the contrary, following the occurrence and during the continuance of an Event of Default, and notice thereof to the Administrative Agent by the Borrower or the Required Lenders, all payments received on account of the Obligations shall, subject to Section 2.20, be applied by the Administrative Agent as follows:</w:t>
      </w:r>
    </w:p>
    <w:p>
      <w:pPr>
        <w:spacing w:after="0" w:line="175" w:lineRule="exact"/>
        <w:rPr>
          <w:sz w:val="20"/>
          <w:szCs w:val="20"/>
          <w:color w:val="auto"/>
        </w:rPr>
      </w:pPr>
    </w:p>
    <w:p>
      <w:pPr>
        <w:jc w:val="both"/>
        <w:ind w:firstLine="1952"/>
        <w:spacing w:after="0" w:line="282" w:lineRule="auto"/>
        <w:tabs>
          <w:tab w:leader="none" w:pos="240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 payable to the Administrative Agent (including fees and disbursements and other charges of counsel to the Administrative Agent payable under Section 9.03 and amounts pursuant to Section 2.12(b) payable to the Administrative Agent in its capacity as such);</w:t>
      </w:r>
    </w:p>
    <w:p>
      <w:pPr>
        <w:spacing w:after="0" w:line="161" w:lineRule="exact"/>
        <w:rPr>
          <w:rFonts w:ascii="Times New Roman" w:cs="Times New Roman" w:eastAsia="Times New Roman" w:hAnsi="Times New Roman"/>
          <w:sz w:val="22"/>
          <w:szCs w:val="22"/>
          <w:color w:val="auto"/>
        </w:rPr>
      </w:pPr>
    </w:p>
    <w:p>
      <w:pPr>
        <w:jc w:val="both"/>
        <w:ind w:firstLine="1952"/>
        <w:spacing w:after="0" w:line="289" w:lineRule="auto"/>
        <w:tabs>
          <w:tab w:leader="none" w:pos="250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payment of that portion of the Obligations constituting fees, expenses, indemnities and other amounts (other than principal and interest) payable to the Lenders (including fees and disbursements and other charges of counsel to the Lenders payable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under Section 9.03) arising under the Loan Documents, ratably among them in proportion to the respective amounts described in this clause (ii) payable to them;</w:t>
      </w:r>
    </w:p>
    <w:p>
      <w:pPr>
        <w:spacing w:after="0" w:line="132" w:lineRule="exact"/>
        <w:rPr>
          <w:sz w:val="20"/>
          <w:szCs w:val="20"/>
          <w:color w:val="auto"/>
        </w:rPr>
      </w:pPr>
    </w:p>
    <w:p>
      <w:pPr>
        <w:ind w:firstLine="1952"/>
        <w:spacing w:after="0" w:line="296" w:lineRule="auto"/>
        <w:tabs>
          <w:tab w:leader="none" w:pos="253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payment of that portion of the Obligations constituting accrued and unpaid interest on the Loans, ratably among the Lenders in proportion to the respective amounts described in this clause (iii) payable to them;</w:t>
      </w:r>
    </w:p>
    <w:p>
      <w:pPr>
        <w:spacing w:after="0" w:line="145"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payment of that portion of the Obligations constituting unpaid principal of the Loans;</w:t>
      </w:r>
    </w:p>
    <w:p>
      <w:pPr>
        <w:spacing w:after="0" w:line="233" w:lineRule="exact"/>
        <w:rPr>
          <w:rFonts w:ascii="Times New Roman" w:cs="Times New Roman" w:eastAsia="Times New Roman" w:hAnsi="Times New Roman"/>
          <w:sz w:val="22"/>
          <w:szCs w:val="22"/>
          <w:color w:val="auto"/>
        </w:rPr>
      </w:pPr>
    </w:p>
    <w:p>
      <w:pPr>
        <w:jc w:val="both"/>
        <w:ind w:firstLine="1952"/>
        <w:spacing w:after="0" w:line="282" w:lineRule="auto"/>
        <w:tabs>
          <w:tab w:leader="none" w:pos="246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payment in full of all other Obligations, in each case ratably among the Administrative Agent and the Lenders based upon the respective aggregate amounts of all such Obligations owing to them in accordance with the respective amounts thereof then due and payable; and</w:t>
      </w:r>
    </w:p>
    <w:p>
      <w:pPr>
        <w:spacing w:after="0" w:line="161" w:lineRule="exact"/>
        <w:rPr>
          <w:rFonts w:ascii="Times New Roman" w:cs="Times New Roman" w:eastAsia="Times New Roman" w:hAnsi="Times New Roman"/>
          <w:sz w:val="22"/>
          <w:szCs w:val="22"/>
          <w:color w:val="auto"/>
        </w:rPr>
      </w:pPr>
    </w:p>
    <w:p>
      <w:pPr>
        <w:ind w:right="20" w:firstLine="1952"/>
        <w:spacing w:after="0" w:line="296" w:lineRule="auto"/>
        <w:tabs>
          <w:tab w:leader="none" w:pos="249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finally</w:t>
      </w:r>
      <w:r>
        <w:rPr>
          <w:rFonts w:ascii="Times New Roman" w:cs="Times New Roman" w:eastAsia="Times New Roman" w:hAnsi="Times New Roman"/>
          <w:sz w:val="22"/>
          <w:szCs w:val="22"/>
          <w:color w:val="auto"/>
        </w:rPr>
        <w:t>, the balance, if any, after all Obligations have been indefeasibly paid in full, to the Borrower or as otherwise required by law.</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32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THE ADMINISTRATIVE AGENT</w:t>
      </w:r>
    </w:p>
    <w:p>
      <w:pPr>
        <w:spacing w:after="0" w:line="22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Authorization and Action</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90" w:lineRule="auto"/>
        <w:tabs>
          <w:tab w:leader="none" w:pos="183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irrevocably appoints the entity named as Administrative Agent in the heading of this Agreement and its successors and assigns to serve as the administrative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57" w:lineRule="exact"/>
        <w:rPr>
          <w:rFonts w:ascii="Times New Roman" w:cs="Times New Roman" w:eastAsia="Times New Roman" w:hAnsi="Times New Roman"/>
          <w:sz w:val="21"/>
          <w:szCs w:val="21"/>
          <w:color w:val="auto"/>
        </w:rPr>
      </w:pPr>
    </w:p>
    <w:p>
      <w:pPr>
        <w:jc w:val="both"/>
        <w:ind w:firstLine="1304"/>
        <w:spacing w:after="0" w:line="279" w:lineRule="auto"/>
        <w:tabs>
          <w:tab w:leader="none" w:pos="175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1"/>
          <w:szCs w:val="21"/>
          <w:color w:val="auto"/>
        </w:rPr>
        <w:t xml:space="preserve">writing, such instructions shall be binding upon each Lender;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w:t>
      </w:r>
    </w:p>
    <w:p>
      <w:pPr>
        <w:spacing w:after="0" w:line="2" w:lineRule="exact"/>
        <w:rPr>
          <w:sz w:val="20"/>
          <w:szCs w:val="20"/>
          <w:color w:val="auto"/>
        </w:rPr>
      </w:pPr>
    </w:p>
    <w:p>
      <w:pPr>
        <w:jc w:val="both"/>
        <w:ind w:firstLine="8"/>
        <w:spacing w:after="0" w:line="274" w:lineRule="auto"/>
        <w:tabs>
          <w:tab w:leader="none" w:pos="32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9"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2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spacing w:after="0" w:line="161" w:lineRule="exact"/>
        <w:rPr>
          <w:rFonts w:ascii="Times New Roman" w:cs="Times New Roman" w:eastAsia="Times New Roman" w:hAnsi="Times New Roman"/>
          <w:sz w:val="22"/>
          <w:szCs w:val="22"/>
          <w:color w:val="auto"/>
        </w:rPr>
      </w:pPr>
    </w:p>
    <w:p>
      <w:pPr>
        <w:jc w:val="both"/>
        <w:ind w:firstLine="1952"/>
        <w:spacing w:after="0" w:line="275" w:lineRule="auto"/>
        <w:tabs>
          <w:tab w:leader="none" w:pos="2372"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w:t>
      </w:r>
      <w:r>
        <w:rPr>
          <w:rFonts w:ascii="Times New Roman" w:cs="Times New Roman" w:eastAsia="Times New Roman" w:hAnsi="Times New Roman"/>
          <w:sz w:val="22"/>
          <w:szCs w:val="22"/>
          <w:color w:val="0F0F0F"/>
        </w:rPr>
        <w:t>agrees that it will not assert any claim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F0F0F"/>
        </w:rPr>
        <w:t>against the Administrative Agent based on an alleged breach of fiduciary duty by the Administrative Agent in connection with this Agreement and/or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71" w:lineRule="exact"/>
        <w:rPr>
          <w:sz w:val="20"/>
          <w:szCs w:val="20"/>
          <w:color w:val="auto"/>
        </w:rPr>
      </w:pPr>
    </w:p>
    <w:p>
      <w:pPr>
        <w:ind w:firstLine="1952"/>
        <w:spacing w:after="0" w:line="309" w:lineRule="auto"/>
        <w:tabs>
          <w:tab w:leader="none" w:pos="246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any Loan Document shall require the Administrative Agent to account to any Lender for any sum or the profit element of any sum received by the Administrative Agent for its own account;</w:t>
      </w:r>
    </w:p>
    <w:p>
      <w:pPr>
        <w:spacing w:after="0" w:line="131" w:lineRule="exact"/>
        <w:rPr>
          <w:rFonts w:ascii="Times New Roman" w:cs="Times New Roman" w:eastAsia="Times New Roman" w:hAnsi="Times New Roman"/>
          <w:sz w:val="22"/>
          <w:szCs w:val="22"/>
          <w:color w:val="auto"/>
        </w:rPr>
      </w:pPr>
    </w:p>
    <w:p>
      <w:pPr>
        <w:jc w:val="both"/>
        <w:ind w:firstLine="1304"/>
        <w:spacing w:after="0" w:line="274" w:lineRule="auto"/>
        <w:tabs>
          <w:tab w:leader="none" w:pos="185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73" w:lineRule="exact"/>
        <w:rPr>
          <w:rFonts w:ascii="Times New Roman" w:cs="Times New Roman" w:eastAsia="Times New Roman" w:hAnsi="Times New Roman"/>
          <w:sz w:val="22"/>
          <w:szCs w:val="22"/>
          <w:color w:val="auto"/>
        </w:rPr>
      </w:pPr>
    </w:p>
    <w:p>
      <w:pPr>
        <w:jc w:val="both"/>
        <w:ind w:firstLine="1304"/>
        <w:spacing w:after="0" w:line="308" w:lineRule="auto"/>
        <w:tabs>
          <w:tab w:leader="none" w:pos="186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any Syndication Agent, any Documentation Agent, any Bookrunner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36" w:lineRule="exact"/>
        <w:rPr>
          <w:rFonts w:ascii="Times New Roman" w:cs="Times New Roman" w:eastAsia="Times New Roman" w:hAnsi="Times New Roman"/>
          <w:sz w:val="21"/>
          <w:szCs w:val="21"/>
          <w:color w:val="auto"/>
        </w:rPr>
      </w:pPr>
    </w:p>
    <w:p>
      <w:pPr>
        <w:jc w:val="both"/>
        <w:ind w:firstLine="1304"/>
        <w:spacing w:after="0" w:line="279" w:lineRule="auto"/>
        <w:tabs>
          <w:tab w:leader="none" w:pos="178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63" w:lineRule="exact"/>
        <w:rPr>
          <w:rFonts w:ascii="Times New Roman" w:cs="Times New Roman" w:eastAsia="Times New Roman" w:hAnsi="Times New Roman"/>
          <w:sz w:val="22"/>
          <w:szCs w:val="22"/>
          <w:color w:val="auto"/>
        </w:rPr>
      </w:pPr>
    </w:p>
    <w:p>
      <w:pPr>
        <w:jc w:val="both"/>
        <w:ind w:firstLine="1952"/>
        <w:spacing w:after="0" w:line="282" w:lineRule="auto"/>
        <w:tabs>
          <w:tab w:leader="none" w:pos="247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2.12, 2.13, 2.15, 2.17 and 9.03) allowed in such judicial proceeding; and</w:t>
      </w:r>
    </w:p>
    <w:p>
      <w:pPr>
        <w:spacing w:after="0" w:line="148" w:lineRule="exact"/>
        <w:rPr>
          <w:sz w:val="20"/>
          <w:szCs w:val="20"/>
          <w:color w:val="auto"/>
        </w:rPr>
      </w:pPr>
    </w:p>
    <w:p>
      <w:pPr>
        <w:ind w:left="2460" w:hanging="508"/>
        <w:spacing w:after="0"/>
        <w:tabs>
          <w:tab w:leader="none" w:pos="246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distribute the same;</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of such payments directly to the Lenders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90" w:lineRule="exact"/>
        <w:rPr>
          <w:sz w:val="20"/>
          <w:szCs w:val="20"/>
          <w:color w:val="auto"/>
        </w:rPr>
      </w:pPr>
    </w:p>
    <w:p>
      <w:pPr>
        <w:jc w:val="both"/>
        <w:ind w:firstLine="1304"/>
        <w:spacing w:after="0" w:line="278" w:lineRule="auto"/>
        <w:tabs>
          <w:tab w:leader="none" w:pos="181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Article are solely for the benefit of the Administrative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spacing w:after="0" w:line="16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Administrative Agent’s Reliance, Limitation of Liability, Etc</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4" w:lineRule="auto"/>
        <w:tabs>
          <w:tab w:leader="none" w:pos="184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spacing w:after="0" w:line="168"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1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notice thereof (stating that it is a “notice of Default” or a “notice of an Event of Default”) is given to the Administrative Agent by the Borrower or a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69" w:lineRule="exact"/>
        <w:rPr>
          <w:sz w:val="20"/>
          <w:szCs w:val="20"/>
          <w:color w:val="auto"/>
        </w:rPr>
      </w:pPr>
    </w:p>
    <w:p>
      <w:pPr>
        <w:jc w:val="both"/>
        <w:ind w:firstLine="1304"/>
        <w:spacing w:after="0" w:line="273" w:lineRule="auto"/>
        <w:tabs>
          <w:tab w:leader="none" w:pos="17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the Borrower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9"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Posting of Communications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82" w:lineRule="auto"/>
        <w:tabs>
          <w:tab w:leader="none" w:pos="199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the Administrative Agent may, but shall not be obligated to, make any Communications available to the Lenders by posting the Communications on IntraLinks™, DebtDomain, SyndTrak, ClearPar or any other electronic platform chosen by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Administrative Agent to be its electronic transmission system (the “</w:t>
      </w:r>
      <w:r>
        <w:rPr>
          <w:rFonts w:ascii="Times New Roman" w:cs="Times New Roman" w:eastAsia="Times New Roman" w:hAnsi="Times New Roman"/>
          <w:sz w:val="22"/>
          <w:szCs w:val="22"/>
          <w:u w:val="single" w:color="auto"/>
          <w:color w:val="auto"/>
        </w:rPr>
        <w:t>Approved Electronic Platform</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90" w:lineRule="auto"/>
        <w:tabs>
          <w:tab w:leader="none" w:pos="176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54" w:lineRule="exact"/>
        <w:rPr>
          <w:rFonts w:ascii="Times New Roman" w:cs="Times New Roman" w:eastAsia="Times New Roman" w:hAnsi="Times New Roman"/>
          <w:sz w:val="21"/>
          <w:szCs w:val="21"/>
          <w:color w:val="auto"/>
        </w:rPr>
      </w:pPr>
    </w:p>
    <w:p>
      <w:pPr>
        <w:jc w:val="both"/>
        <w:ind w:firstLine="1304"/>
        <w:spacing w:after="0" w:line="274" w:lineRule="auto"/>
        <w:tabs>
          <w:tab w:leader="none" w:pos="180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BOOKRUNNER, ANY DOCUMENTATION AGENT, ANY SYNDICATION AGENT OR ANY OF THEIR RESPECTIVE RELATED PARTIES (COLLECTIVELY, “</w:t>
      </w:r>
      <w:r>
        <w:rPr>
          <w:rFonts w:ascii="Times New Roman" w:cs="Times New Roman" w:eastAsia="Times New Roman" w:hAnsi="Times New Roman"/>
          <w:sz w:val="22"/>
          <w:szCs w:val="22"/>
          <w:u w:val="single" w:color="auto"/>
          <w:color w:val="auto"/>
        </w:rPr>
        <w:t>APPLICABLE PARTIES</w:t>
      </w:r>
      <w:r>
        <w:rPr>
          <w:rFonts w:ascii="Times New Roman" w:cs="Times New Roman" w:eastAsia="Times New Roman" w:hAnsi="Times New Roman"/>
          <w:sz w:val="22"/>
          <w:szCs w:val="22"/>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7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means, collectively, any notice, demand, communication, information, document or other material provided by or on behalf of the Borrower pursuant to any Loan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Document or the transactions contemplated therein which is distributed by the Administrative Agent or any Lender or by means of electronic communications pursuant to this Section, including through an Approved Electronic Platform.</w:t>
      </w:r>
    </w:p>
    <w:p>
      <w:pPr>
        <w:spacing w:after="0" w:line="145" w:lineRule="exact"/>
        <w:rPr>
          <w:sz w:val="20"/>
          <w:szCs w:val="20"/>
          <w:color w:val="auto"/>
        </w:rPr>
      </w:pPr>
    </w:p>
    <w:p>
      <w:pPr>
        <w:jc w:val="both"/>
        <w:ind w:firstLine="1304"/>
        <w:spacing w:after="0" w:line="279" w:lineRule="auto"/>
        <w:tabs>
          <w:tab w:leader="none" w:pos="178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(as applicable) email address to which the foregoing notice may be sent by electronic transmission and (ii) that the foregoing notice may be sent to such email address.</w:t>
      </w:r>
    </w:p>
    <w:p>
      <w:pPr>
        <w:spacing w:after="0" w:line="163"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5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61" w:lineRule="exact"/>
        <w:rPr>
          <w:rFonts w:ascii="Times New Roman" w:cs="Times New Roman" w:eastAsia="Times New Roman" w:hAnsi="Times New Roman"/>
          <w:sz w:val="22"/>
          <w:szCs w:val="22"/>
          <w:color w:val="auto"/>
        </w:rPr>
      </w:pPr>
    </w:p>
    <w:p>
      <w:pPr>
        <w:ind w:firstLine="1304"/>
        <w:spacing w:after="0" w:line="309" w:lineRule="auto"/>
        <w:tabs>
          <w:tab w:leader="none" w:pos="173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Administrative Agent or any Lender to give any notice or other communication pursuant to any Loan Document in any other manner specified in such Loan Document.</w:t>
      </w:r>
    </w:p>
    <w:p>
      <w:pPr>
        <w:spacing w:after="0" w:line="118"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The Administrative Agent Individually</w:t>
      </w:r>
      <w:r>
        <w:rPr>
          <w:rFonts w:ascii="Times New Roman" w:cs="Times New Roman" w:eastAsia="Times New Roman" w:hAnsi="Times New Roman"/>
          <w:sz w:val="21"/>
          <w:szCs w:val="21"/>
          <w:color w:val="auto"/>
        </w:rPr>
        <w:t>. With respect to its Commitment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w:t>
      </w:r>
    </w:p>
    <w:p>
      <w:pPr>
        <w:spacing w:after="0" w:line="182"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8.05.</w:t>
      </w:r>
      <w:r>
        <w:rPr>
          <w:sz w:val="20"/>
          <w:szCs w:val="20"/>
          <w:color w:val="auto"/>
        </w:rPr>
        <w:tab/>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2" w:lineRule="auto"/>
        <w:tabs>
          <w:tab w:leader="none" w:pos="186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7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1"/>
          <w:szCs w:val="21"/>
          <w:color w:val="auto"/>
        </w:rPr>
        <w:t>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under Sections 7.01(a), (b), (h) or (i)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63" w:lineRule="exact"/>
        <w:rPr>
          <w:sz w:val="20"/>
          <w:szCs w:val="20"/>
          <w:color w:val="auto"/>
        </w:rPr>
      </w:pPr>
    </w:p>
    <w:p>
      <w:pPr>
        <w:jc w:val="both"/>
        <w:ind w:firstLine="1304"/>
        <w:spacing w:after="0" w:line="274" w:lineRule="auto"/>
        <w:tabs>
          <w:tab w:leader="none" w:pos="185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69"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8.06.</w:t>
      </w:r>
      <w:r>
        <w:rPr>
          <w:sz w:val="20"/>
          <w:szCs w:val="20"/>
          <w:color w:val="auto"/>
        </w:rPr>
        <w:tab/>
      </w:r>
      <w:r>
        <w:rPr>
          <w:rFonts w:ascii="Times New Roman" w:cs="Times New Roman" w:eastAsia="Times New Roman" w:hAnsi="Times New Roman"/>
          <w:sz w:val="21"/>
          <w:szCs w:val="21"/>
          <w:u w:val="single" w:color="auto"/>
          <w:color w:val="auto"/>
        </w:rPr>
        <w:t>Acknowledgements of Lenders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firstLine="1304"/>
        <w:spacing w:after="0" w:line="296" w:lineRule="auto"/>
        <w:tabs>
          <w:tab w:leader="none" w:pos="175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represents and warrants that (i) the Loan Documents set forth the terms of a commercial lending facility, (ii) it is engaged in making, acquiring or holding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2"/>
          <w:szCs w:val="22"/>
          <w:color w:val="auto"/>
        </w:rPr>
        <w:t>commercial loans and in providing other facilities set forth herein as may be applicable to such Lender,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any Arranger, any Bookrunner, any Syndication Agent, any Documentation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Bookrunner, any Syndication Agent, any Documentation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1" w:lineRule="exact"/>
        <w:rPr>
          <w:sz w:val="20"/>
          <w:szCs w:val="20"/>
          <w:color w:val="auto"/>
        </w:rPr>
      </w:pPr>
    </w:p>
    <w:p>
      <w:pPr>
        <w:jc w:val="both"/>
        <w:ind w:firstLine="1304"/>
        <w:spacing w:after="0" w:line="279" w:lineRule="auto"/>
        <w:tabs>
          <w:tab w:leader="none" w:pos="18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6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2" w:lineRule="auto"/>
        <w:tabs>
          <w:tab w:leader="none" w:pos="175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each Bookrunner and their respective Affiliates, and not, for the avoidance of doubt, to or for the benefit of the Borrower,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71" w:lineRule="exact"/>
        <w:rPr>
          <w:sz w:val="20"/>
          <w:szCs w:val="20"/>
          <w:color w:val="auto"/>
        </w:rPr>
      </w:pPr>
    </w:p>
    <w:p>
      <w:pPr>
        <w:ind w:firstLine="1952"/>
        <w:spacing w:after="0" w:line="309" w:lineRule="auto"/>
        <w:tabs>
          <w:tab w:leader="none" w:pos="2415"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the Plan Asset Regulations) of one or more Benefit Plans in connection with the Loans or the Commitments,</w:t>
      </w:r>
    </w:p>
    <w:p>
      <w:pPr>
        <w:spacing w:after="0" w:line="131" w:lineRule="exact"/>
        <w:rPr>
          <w:rFonts w:ascii="Times New Roman" w:cs="Times New Roman" w:eastAsia="Times New Roman" w:hAnsi="Times New Roman"/>
          <w:sz w:val="22"/>
          <w:szCs w:val="22"/>
          <w:color w:val="auto"/>
        </w:rPr>
      </w:pPr>
    </w:p>
    <w:p>
      <w:pPr>
        <w:jc w:val="both"/>
        <w:ind w:firstLine="1952"/>
        <w:spacing w:after="0" w:line="275" w:lineRule="auto"/>
        <w:tabs>
          <w:tab w:leader="none" w:pos="2473"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1" w:lineRule="exact"/>
        <w:rPr>
          <w:rFonts w:ascii="Times New Roman" w:cs="Times New Roman" w:eastAsia="Times New Roman" w:hAnsi="Times New Roman"/>
          <w:sz w:val="22"/>
          <w:szCs w:val="22"/>
          <w:color w:val="auto"/>
        </w:rPr>
      </w:pPr>
    </w:p>
    <w:p>
      <w:pPr>
        <w:jc w:val="both"/>
        <w:ind w:firstLine="1952"/>
        <w:spacing w:after="0" w:line="277" w:lineRule="auto"/>
        <w:tabs>
          <w:tab w:leader="none" w:pos="263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0" w:lineRule="exact"/>
        <w:rPr>
          <w:rFonts w:ascii="Times New Roman" w:cs="Times New Roman" w:eastAsia="Times New Roman" w:hAnsi="Times New Roman"/>
          <w:sz w:val="22"/>
          <w:szCs w:val="22"/>
          <w:color w:val="auto"/>
        </w:rPr>
      </w:pPr>
    </w:p>
    <w:p>
      <w:pPr>
        <w:ind w:firstLine="1952"/>
        <w:spacing w:after="0" w:line="296" w:lineRule="auto"/>
        <w:tabs>
          <w:tab w:leader="none" w:pos="2701"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45"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0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Bookrunner and each Arranger and their respective Affiliates, and not, for the avoidance of doubt, to or for the benefit of the Borrower, that none of the Administrative Agent, or any Arranger, Bookrunner, any Syndication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71" w:lineRule="exact"/>
        <w:rPr>
          <w:sz w:val="20"/>
          <w:szCs w:val="20"/>
          <w:color w:val="auto"/>
        </w:rPr>
      </w:pPr>
    </w:p>
    <w:p>
      <w:pPr>
        <w:jc w:val="both"/>
        <w:ind w:firstLine="1304"/>
        <w:spacing w:after="0" w:line="275" w:lineRule="auto"/>
        <w:tabs>
          <w:tab w:leader="none" w:pos="183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each Arranger, Bookrunner, 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89" w:lineRule="auto"/>
        <w:tabs>
          <w:tab w:leader="none" w:pos="181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52"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w:t>
      </w:r>
    </w:p>
    <w:p>
      <w:pPr>
        <w:spacing w:after="0" w:line="2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650 California Street</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San Francisco, CA 94108</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of Chief Legal Officer</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legal@affirm.com</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(855) 423-3729A</w:t>
      </w:r>
    </w:p>
    <w:p>
      <w:pPr>
        <w:spacing w:after="0" w:line="274" w:lineRule="exact"/>
        <w:rPr>
          <w:sz w:val="20"/>
          <w:szCs w:val="20"/>
          <w:color w:val="auto"/>
        </w:rPr>
      </w:pPr>
    </w:p>
    <w:p>
      <w:pPr>
        <w:ind w:right="380" w:firstLine="1952"/>
        <w:spacing w:after="0" w:line="296" w:lineRule="auto"/>
        <w:tabs>
          <w:tab w:leader="none" w:pos="242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for purposes of borrowing notices, conversion notices, prepayment notices and payments of interest and fees, to</w:t>
      </w:r>
    </w:p>
    <w:p>
      <w:pPr>
        <w:spacing w:after="0" w:line="1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William Coshburn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400 Jefferson Park</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Jersey, Whippany 07981</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201 499-8427</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Fax: 201 499-4547</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12145455230@tls.ldsprod.com/william.coshburn@barclays.com</w:t>
      </w:r>
    </w:p>
    <w:p>
      <w:pPr>
        <w:spacing w:after="0" w:line="287" w:lineRule="exact"/>
        <w:rPr>
          <w:sz w:val="20"/>
          <w:szCs w:val="20"/>
          <w:color w:val="auto"/>
        </w:rPr>
      </w:pPr>
    </w:p>
    <w:p>
      <w:pPr>
        <w:ind w:left="2500" w:hanging="548"/>
        <w:spacing w:after="0"/>
        <w:tabs>
          <w:tab w:leader="none" w:pos="25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for purposes of compliance certificates and financial statements or</w:t>
      </w:r>
    </w:p>
    <w:p>
      <w:pPr>
        <w:spacing w:after="0" w:line="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general queries, to</w:t>
      </w:r>
    </w:p>
    <w:p>
      <w:pPr>
        <w:spacing w:after="0" w:line="200" w:lineRule="exact"/>
        <w:rPr>
          <w:sz w:val="20"/>
          <w:szCs w:val="20"/>
          <w:color w:val="auto"/>
        </w:rPr>
      </w:pPr>
    </w:p>
    <w:p>
      <w:pPr>
        <w:spacing w:after="0" w:line="2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May Huang</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745 7th Avenue</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(212) 526-0787</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Fax: 212 526 5115</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may.huang@barclays.com</w:t>
      </w:r>
    </w:p>
    <w:p>
      <w:pPr>
        <w:spacing w:after="0" w:line="200" w:lineRule="exact"/>
        <w:rPr>
          <w:sz w:val="20"/>
          <w:szCs w:val="20"/>
          <w:color w:val="auto"/>
        </w:rPr>
      </w:pPr>
    </w:p>
    <w:p>
      <w:pPr>
        <w:spacing w:after="0" w:line="263"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if to any other Lender, to it at its address (or telecopy number) set forth in its Administrative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Questionnaire.</w:t>
      </w:r>
    </w:p>
    <w:p>
      <w:pPr>
        <w:spacing w:after="0" w:line="2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90" w:lineRule="exact"/>
        <w:rPr>
          <w:sz w:val="20"/>
          <w:szCs w:val="20"/>
          <w:color w:val="auto"/>
        </w:rPr>
      </w:pPr>
    </w:p>
    <w:p>
      <w:pPr>
        <w:jc w:val="both"/>
        <w:ind w:firstLine="1304"/>
        <w:spacing w:after="0" w:line="277" w:lineRule="auto"/>
        <w:tabs>
          <w:tab w:leader="none" w:pos="177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Borrower and the Lenders hereunder may be delivered or furnished by using Approved Electronic Platforms pursuant to procedures approved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71" w:lineRule="exact"/>
        <w:rPr>
          <w:sz w:val="20"/>
          <w:szCs w:val="20"/>
          <w:color w:val="auto"/>
        </w:rPr>
      </w:pPr>
    </w:p>
    <w:p>
      <w:pPr>
        <w:jc w:val="both"/>
        <w:ind w:firstLine="1304"/>
        <w:spacing w:after="0" w:line="276" w:lineRule="auto"/>
        <w:tabs>
          <w:tab w:leader="none" w:pos="17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0" w:lineRule="exact"/>
        <w:rPr>
          <w:rFonts w:ascii="Times New Roman" w:cs="Times New Roman" w:eastAsia="Times New Roman" w:hAnsi="Times New Roman"/>
          <w:sz w:val="22"/>
          <w:szCs w:val="22"/>
          <w:color w:val="auto"/>
        </w:rPr>
      </w:pPr>
    </w:p>
    <w:p>
      <w:pPr>
        <w:ind w:firstLine="1304"/>
        <w:spacing w:after="0" w:line="296" w:lineRule="auto"/>
        <w:tabs>
          <w:tab w:leader="none" w:pos="195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telecopy number for notices and other communications hereunder by notice to the other parties hereto.</w:t>
      </w:r>
    </w:p>
    <w:p>
      <w:pPr>
        <w:spacing w:after="0" w:line="14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9.02.</w:t>
      </w:r>
      <w:r>
        <w:rPr>
          <w:sz w:val="20"/>
          <w:szCs w:val="20"/>
          <w:color w:val="auto"/>
        </w:rPr>
        <w:tab/>
      </w:r>
      <w:r>
        <w:rPr>
          <w:rFonts w:ascii="Times New Roman" w:cs="Times New Roman" w:eastAsia="Times New Roman" w:hAnsi="Times New Roman"/>
          <w:sz w:val="21"/>
          <w:szCs w:val="21"/>
          <w:u w:val="single" w:color="auto"/>
          <w:color w:val="auto"/>
        </w:rPr>
        <w:t>Waivers; Amendments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74" w:lineRule="auto"/>
        <w:tabs>
          <w:tab w:leader="none" w:pos="181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Lender may have had notice or knowledge of such Default or Event of Default at the time.</w:t>
      </w:r>
    </w:p>
    <w:p>
      <w:pPr>
        <w:spacing w:after="0" w:line="176"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0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2.14 and Section 9.02(c) below,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agreement shall (i) increase the Commitment of any Lender without the written consent of such Lender, (ii) reduce the principal amount of any Loan or reduce the rate of interest thereon, or reduce any fees payable hereunder, without the written consent of each Lender affected thereby, (iii) postpone the scheduled date of payment of the principal amount of any Loan, or any interest thereon, or any fees payable hereunder, or reduce the amount of, waive 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excuse any such payment, or postpone the scheduled date of expiration of any Commitment, without the written consent of each Lender affected thereby, (iv) change Section 2.09(c) or 2.18(b) or (c) in a manner that would alter the ratable reduction of Commitments or the pro rata sharing of payments required thereby, without the written consent of each Lender, (v) change the payment waterfall provisions of Section 2.20(b) or 7.03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(vii) release all or substantially all of the value of the Guaranty, without the written consent of each Lender, (viii) amend or waive any condition precedent set forth in Article IV, without the written consent of each Lender or (ix) subordinate any of the Obligations to any other Indebtedness or obligations, without the written consent of each Lender;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 such agreement shall amend, modify or otherwise affect the rights or duties of the Administrative Agent hereunder without the prior written consent of the Administrative Agent.</w:t>
      </w:r>
    </w:p>
    <w:p>
      <w:pPr>
        <w:spacing w:after="0" w:line="173" w:lineRule="exact"/>
        <w:rPr>
          <w:sz w:val="20"/>
          <w:szCs w:val="20"/>
          <w:color w:val="auto"/>
        </w:rPr>
      </w:pPr>
    </w:p>
    <w:p>
      <w:pPr>
        <w:jc w:val="both"/>
        <w:ind w:firstLine="1304"/>
        <w:spacing w:after="0" w:line="279" w:lineRule="auto"/>
        <w:tabs>
          <w:tab w:leader="none" w:pos="185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63"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9.03.</w:t>
      </w:r>
      <w:r>
        <w:rPr>
          <w:sz w:val="20"/>
          <w:szCs w:val="20"/>
          <w:color w:val="auto"/>
        </w:rPr>
        <w:tab/>
      </w:r>
      <w:r>
        <w:rPr>
          <w:rFonts w:ascii="Times New Roman" w:cs="Times New Roman" w:eastAsia="Times New Roman" w:hAnsi="Times New Roman"/>
          <w:sz w:val="21"/>
          <w:szCs w:val="21"/>
          <w:u w:val="single" w:color="auto"/>
          <w:color w:val="auto"/>
        </w:rPr>
        <w:t>Expenses; Limitation of Liability; Indemnity, Etc</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90" w:lineRule="auto"/>
        <w:tabs>
          <w:tab w:leader="none" w:pos="177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The Borrower shall pay (i) all reasonable and documented out of pocket expenses incurred by the Administrative Agent and its Affiliates, including the reasonable fees, charges and disbursements of counsel for the Administrative Agent, in connection with the syndication of the credit facility provided for herein, the preparation and administration of this Agreement and the other Loan Documents or any amendments, modifications or waivers of the provisions hereof or thereof and (ii) all reasonable and documented out-of-pocket expenses incurred by the Administrative Agent or any Lender, including the fees, charges and disbursements of any counsel for the Administrative Agent or any Lender, in connection with the enforcement or protection of its rights in connection with this Agreement and the other Loan Documents, including its rights under this Section, or in connection with the Loans made hereunder, including all such reasonable and documented out-of-pocket expenses incurred during any workout, restructuring or negotiations in respect of such Loans.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71" w:lineRule="exact"/>
        <w:rPr>
          <w:sz w:val="20"/>
          <w:szCs w:val="20"/>
          <w:color w:val="auto"/>
        </w:rPr>
      </w:pPr>
    </w:p>
    <w:p>
      <w:pPr>
        <w:jc w:val="both"/>
        <w:ind w:firstLine="1304"/>
        <w:spacing w:after="0" w:line="274" w:lineRule="auto"/>
        <w:tabs>
          <w:tab w:leader="none" w:pos="181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To the extent permitted by applicable law (i) the Borrower shall not assert, and the Borrower hereby waives, any claim against the Administrative Agent, any Arranger, any Bookrunner, any Syndication Agent, any Documentation Agent and any Lender, and any Related Party of any of the foregoing Persons (each such Person being called a “</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79" w:lineRule="exact"/>
        <w:rPr>
          <w:rFonts w:ascii="Times New Roman" w:cs="Times New Roman" w:eastAsia="Times New Roman" w:hAnsi="Times New Roman"/>
          <w:sz w:val="22"/>
          <w:szCs w:val="22"/>
          <w:color w:val="auto"/>
        </w:rPr>
      </w:pPr>
    </w:p>
    <w:p>
      <w:pPr>
        <w:jc w:val="both"/>
        <w:ind w:firstLine="1304"/>
        <w:spacing w:after="0" w:line="288" w:lineRule="auto"/>
        <w:tabs>
          <w:tab w:leader="none" w:pos="179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xml:space="preserve"> The Borrower shall indemnify the Administrative Agent, each Arranger, each Bookrunner, each Syndication Agent, each Documentation Agent and each Lender,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(ii) any Loan or the use of the proceeds therefrom, (iii) any actual or alleged presence or release of Hazardous Materials on or from any property owned or operated by Holdings, the Borrower or any of their Subsidiaries, or any Environmental Liability related in any way to Holdings, the Borrower or any of their Subsidiaries or (iv) any actual or prospective Proceeding relating to any of the foregoing, whether or not such Proceeding is brought by the Borrower or its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bad faith, gross negligence or willful misconduct of such Indemnitee. This Section 9.03(c) shall not apply with respect to Taxes other than any Taxes that represent losses, claims or damages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1" w:lineRule="exact"/>
        <w:rPr>
          <w:sz w:val="20"/>
          <w:szCs w:val="20"/>
          <w:color w:val="auto"/>
        </w:rPr>
      </w:pPr>
    </w:p>
    <w:p>
      <w:pPr>
        <w:jc w:val="both"/>
        <w:ind w:firstLine="1304"/>
        <w:spacing w:after="0" w:line="274"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Reimbursement.</w:t>
      </w:r>
      <w:r>
        <w:rPr>
          <w:rFonts w:ascii="Times New Roman" w:cs="Times New Roman" w:eastAsia="Times New Roman" w:hAnsi="Times New Roman"/>
          <w:sz w:val="22"/>
          <w:szCs w:val="22"/>
          <w:color w:val="auto"/>
        </w:rPr>
        <w:t xml:space="preserve"> Each Lender severally agrees to pay any amount required to be paid by the Borrower under paragraphs (a), (b) or (c) of this Section 9.03 to the Administrative Agent, and each Related Party of any of the foregoing Persons (each, an “</w:t>
      </w:r>
      <w:r>
        <w:rPr>
          <w:rFonts w:ascii="Times New Roman" w:cs="Times New Roman" w:eastAsia="Times New Roman" w:hAnsi="Times New Roman"/>
          <w:sz w:val="22"/>
          <w:szCs w:val="22"/>
          <w:u w:val="single" w:color="auto"/>
          <w:color w:val="auto"/>
        </w:rPr>
        <w:t>Agent-Related Person</w:t>
      </w:r>
      <w:r>
        <w:rPr>
          <w:rFonts w:ascii="Times New Roman" w:cs="Times New Roman" w:eastAsia="Times New Roman" w:hAnsi="Times New Roman"/>
          <w:sz w:val="22"/>
          <w:szCs w:val="22"/>
          <w:color w:val="auto"/>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79" w:lineRule="exact"/>
        <w:rPr>
          <w:rFonts w:ascii="Times New Roman" w:cs="Times New Roman" w:eastAsia="Times New Roman" w:hAnsi="Times New Roman"/>
          <w:sz w:val="22"/>
          <w:szCs w:val="22"/>
          <w:color w:val="auto"/>
        </w:rPr>
      </w:pPr>
    </w:p>
    <w:p>
      <w:pPr>
        <w:ind w:left="660" w:right="140" w:firstLine="644"/>
        <w:spacing w:after="0" w:line="467" w:lineRule="auto"/>
        <w:tabs>
          <w:tab w:leader="none" w:pos="176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All amounts due under this Section 9.03 shall be payable promptly after written demand therefor. SECTION 9.04.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304"/>
        <w:spacing w:after="0" w:line="291" w:lineRule="auto"/>
        <w:tabs>
          <w:tab w:leader="none" w:pos="1748"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w:t>
      </w:r>
    </w:p>
    <w:p>
      <w:pPr>
        <w:spacing w:after="0" w:line="233" w:lineRule="exact"/>
        <w:rPr>
          <w:sz w:val="20"/>
          <w:szCs w:val="20"/>
          <w:color w:val="auto"/>
        </w:rPr>
      </w:pPr>
    </w:p>
    <w:p>
      <w:pPr>
        <w:jc w:val="both"/>
        <w:ind w:firstLine="1952"/>
        <w:spacing w:after="0" w:line="282" w:lineRule="auto"/>
        <w:tabs>
          <w:tab w:leader="none" w:pos="241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57" w:lineRule="exact"/>
        <w:rPr>
          <w:rFonts w:ascii="Times New Roman" w:cs="Times New Roman" w:eastAsia="Times New Roman" w:hAnsi="Times New Roman"/>
          <w:sz w:val="22"/>
          <w:szCs w:val="22"/>
          <w:color w:val="auto"/>
        </w:rPr>
      </w:pPr>
    </w:p>
    <w:p>
      <w:pPr>
        <w:jc w:val="both"/>
        <w:ind w:left="660" w:firstLine="1940"/>
        <w:spacing w:after="0" w:line="280" w:lineRule="auto"/>
        <w:tabs>
          <w:tab w:leader="none" w:pos="335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be deemed to have consented to an assignment of all or a portion of the Revolving Loans and Commitments unless it shall have objected thereto by written notice to the Administrative Agent within ten (10) Business Days after having received notice thereof;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 consent of the Borrower shall be required for an assignment to a Lender or an Affiliate of a Lender or, if an Event of Default under Sections 7.01(a), (b), (h) or (i) has occurred and is continuing, any other assignee;</w:t>
      </w:r>
    </w:p>
    <w:p>
      <w:pPr>
        <w:spacing w:after="0" w:line="171" w:lineRule="exact"/>
        <w:rPr>
          <w:rFonts w:ascii="Times New Roman" w:cs="Times New Roman" w:eastAsia="Times New Roman" w:hAnsi="Times New Roman"/>
          <w:sz w:val="22"/>
          <w:szCs w:val="22"/>
          <w:color w:val="auto"/>
        </w:rPr>
      </w:pPr>
    </w:p>
    <w:p>
      <w:pPr>
        <w:ind w:left="660" w:firstLine="1940"/>
        <w:spacing w:after="0" w:line="313" w:lineRule="auto"/>
        <w:tabs>
          <w:tab w:leader="none" w:pos="323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to a Lender or an Affiliate of a Lender; and</w:t>
      </w:r>
    </w:p>
    <w:p>
      <w:pPr>
        <w:spacing w:after="0" w:line="14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33" w:lineRule="exact"/>
        <w:rPr>
          <w:rFonts w:ascii="Times New Roman" w:cs="Times New Roman" w:eastAsia="Times New Roman" w:hAnsi="Times New Roman"/>
          <w:sz w:val="22"/>
          <w:szCs w:val="22"/>
          <w:color w:val="auto"/>
        </w:rPr>
      </w:pPr>
    </w:p>
    <w:p>
      <w:pPr>
        <w:jc w:val="both"/>
        <w:ind w:left="660" w:firstLine="1940"/>
        <w:spacing w:after="0" w:line="277" w:lineRule="auto"/>
        <w:tabs>
          <w:tab w:leader="none" w:pos="315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consent of the Borrower shall be required if an Event of Default under Sections 7.01(a), (b), (h) or (i) has occurred and is continuing;</w:t>
      </w:r>
    </w:p>
    <w:p>
      <w:pPr>
        <w:spacing w:after="0" w:line="178" w:lineRule="exact"/>
        <w:rPr>
          <w:rFonts w:ascii="Times New Roman" w:cs="Times New Roman" w:eastAsia="Times New Roman" w:hAnsi="Times New Roman"/>
          <w:sz w:val="22"/>
          <w:szCs w:val="22"/>
          <w:color w:val="auto"/>
        </w:rPr>
      </w:pPr>
    </w:p>
    <w:p>
      <w:pPr>
        <w:ind w:left="660" w:firstLine="1940"/>
        <w:spacing w:after="0" w:line="309" w:lineRule="auto"/>
        <w:tabs>
          <w:tab w:leader="none" w:pos="3219"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45" w:lineRule="exact"/>
        <w:rPr>
          <w:rFonts w:ascii="Times New Roman" w:cs="Times New Roman" w:eastAsia="Times New Roman" w:hAnsi="Times New Roman"/>
          <w:sz w:val="22"/>
          <w:szCs w:val="22"/>
          <w:color w:val="auto"/>
        </w:rPr>
      </w:pPr>
    </w:p>
    <w:p>
      <w:pPr>
        <w:jc w:val="both"/>
        <w:ind w:left="660" w:firstLine="1940"/>
        <w:spacing w:after="0" w:line="282" w:lineRule="auto"/>
        <w:tabs>
          <w:tab w:leader="none" w:pos="3177"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71" w:lineRule="exact"/>
        <w:rPr>
          <w:sz w:val="20"/>
          <w:szCs w:val="20"/>
          <w:color w:val="auto"/>
        </w:rPr>
      </w:pPr>
    </w:p>
    <w:p>
      <w:pPr>
        <w:ind w:left="660"/>
        <w:spacing w:after="0" w:line="309" w:lineRule="auto"/>
        <w:rPr>
          <w:sz w:val="20"/>
          <w:szCs w:val="20"/>
          <w:color w:val="auto"/>
        </w:rPr>
      </w:pPr>
      <w:r>
        <w:rPr>
          <w:rFonts w:ascii="Times New Roman" w:cs="Times New Roman" w:eastAsia="Times New Roman" w:hAnsi="Times New Roman"/>
          <w:sz w:val="22"/>
          <w:szCs w:val="22"/>
          <w:color w:val="auto"/>
        </w:rPr>
        <w:t>the parties to the Assignment and Assumption are participants, together with a processing and recordation fee of $3,500; and</w:t>
      </w:r>
    </w:p>
    <w:p>
      <w:pPr>
        <w:spacing w:after="0" w:line="145" w:lineRule="exact"/>
        <w:rPr>
          <w:sz w:val="20"/>
          <w:szCs w:val="20"/>
          <w:color w:val="auto"/>
        </w:rPr>
      </w:pPr>
    </w:p>
    <w:p>
      <w:pPr>
        <w:jc w:val="both"/>
        <w:ind w:left="660" w:firstLine="1940"/>
        <w:spacing w:after="0" w:line="279" w:lineRule="auto"/>
        <w:tabs>
          <w:tab w:leader="none" w:pos="331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its securities) will be made available and who may receive such information in accordance with the assignee’s compliance procedures and applicable laws, including Federal and state securities laws.</w:t>
      </w:r>
    </w:p>
    <w:p>
      <w:pPr>
        <w:spacing w:after="0" w:line="176" w:lineRule="exact"/>
        <w:rPr>
          <w:rFonts w:ascii="Times New Roman" w:cs="Times New Roman" w:eastAsia="Times New Roman" w:hAnsi="Times New Roman"/>
          <w:sz w:val="22"/>
          <w:szCs w:val="22"/>
          <w:color w:val="auto"/>
        </w:rPr>
      </w:pPr>
    </w:p>
    <w:p>
      <w:pPr>
        <w:jc w:val="both"/>
        <w:ind w:firstLine="1952"/>
        <w:spacing w:after="0" w:line="290" w:lineRule="auto"/>
        <w:tabs>
          <w:tab w:leader="none" w:pos="252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54" w:lineRule="exact"/>
        <w:rPr>
          <w:rFonts w:ascii="Times New Roman" w:cs="Times New Roman" w:eastAsia="Times New Roman" w:hAnsi="Times New Roman"/>
          <w:sz w:val="21"/>
          <w:szCs w:val="21"/>
          <w:color w:val="auto"/>
        </w:rPr>
      </w:pPr>
    </w:p>
    <w:p>
      <w:pPr>
        <w:jc w:val="both"/>
        <w:ind w:firstLine="1952"/>
        <w:spacing w:after="0" w:line="276" w:lineRule="auto"/>
        <w:tabs>
          <w:tab w:leader="none" w:pos="254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70" w:lineRule="exact"/>
        <w:rPr>
          <w:rFonts w:ascii="Times New Roman" w:cs="Times New Roman" w:eastAsia="Times New Roman" w:hAnsi="Times New Roman"/>
          <w:sz w:val="22"/>
          <w:szCs w:val="22"/>
          <w:color w:val="auto"/>
        </w:rPr>
      </w:pPr>
    </w:p>
    <w:p>
      <w:pPr>
        <w:jc w:val="both"/>
        <w:ind w:firstLine="1952"/>
        <w:spacing w:after="0" w:line="308" w:lineRule="auto"/>
        <w:tabs>
          <w:tab w:leader="none" w:pos="2541"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7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1"/>
          <w:szCs w:val="21"/>
          <w:color w:val="auto"/>
        </w:rPr>
        <w:t xml:space="preserve">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either the assigning Lender or the assignee shall have failed to make any payment required to be made by it pursuant to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5" w:lineRule="exact"/>
        <w:rPr>
          <w:sz w:val="20"/>
          <w:szCs w:val="20"/>
          <w:color w:val="auto"/>
        </w:rPr>
      </w:pPr>
    </w:p>
    <w:p>
      <w:pPr>
        <w:jc w:val="both"/>
        <w:ind w:firstLine="1304"/>
        <w:spacing w:after="0" w:line="285" w:lineRule="auto"/>
        <w:tabs>
          <w:tab w:leader="none" w:pos="1894"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without the consent of, or notice to, the Borrower or the Administrative Agent, sell participations to one or more banks or other entities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clauses (i),</w:t>
      </w:r>
    </w:p>
    <w:p>
      <w:pPr>
        <w:spacing w:after="0" w:line="7" w:lineRule="exact"/>
        <w:rPr>
          <w:rFonts w:ascii="Times New Roman" w:cs="Times New Roman" w:eastAsia="Times New Roman" w:hAnsi="Times New Roman"/>
          <w:sz w:val="21"/>
          <w:szCs w:val="21"/>
          <w:color w:val="auto"/>
        </w:rPr>
      </w:pPr>
    </w:p>
    <w:p>
      <w:pPr>
        <w:jc w:val="both"/>
        <w:ind w:firstLine="8"/>
        <w:spacing w:after="0" w:line="274" w:lineRule="auto"/>
        <w:tabs>
          <w:tab w:leader="none" w:pos="3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(iii) the first proviso to Section 9.02(b) that affects such Participant. The Borrower agrees that each Participant shall be entitled to the benefits of Sections 2.15, 2.16 and 2.17 (subject to the requirements and limitations therein, including the requirements under Sections 2.17(f) (it being understood that the documentation required under Section 2.17(f) shall be delivered to the participating Lender and the information)) to the same extent as if it were a Lender and had acquired its interest by assignment pursuant to paragraph (b) of this Section;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 agrees to be subject to the provisions of Section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6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1"/>
          <w:szCs w:val="21"/>
          <w:color w:val="auto"/>
        </w:rPr>
        <w:t xml:space="preserve">each Participant also shall be entitled to the benefits of Section 9.08 as though it were a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agrees to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0" w:lineRule="exact"/>
        <w:rPr>
          <w:sz w:val="20"/>
          <w:szCs w:val="20"/>
          <w:color w:val="auto"/>
        </w:rPr>
      </w:pPr>
    </w:p>
    <w:p>
      <w:pPr>
        <w:jc w:val="both"/>
        <w:ind w:firstLine="1304"/>
        <w:spacing w:after="0" w:line="279" w:lineRule="auto"/>
        <w:tabs>
          <w:tab w:leader="none" w:pos="179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Borrower herein and in the other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Sections 2.15, 2.16, 2.17 and 9.03 and Article VIII shall survive and remain in full force and effect regardless of the consummation of the transactions contemplated hereby, the repayment of the Loans and the Commitments or the termination of this Agreement or any provision hereof.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7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9.06.</w:t>
      </w:r>
      <w:r>
        <w:rPr>
          <w:sz w:val="20"/>
          <w:szCs w:val="20"/>
          <w:color w:val="auto"/>
        </w:rPr>
        <w:tab/>
      </w:r>
      <w:r>
        <w:rPr>
          <w:rFonts w:ascii="Times New Roman" w:cs="Times New Roman" w:eastAsia="Times New Roman" w:hAnsi="Times New Roman"/>
          <w:sz w:val="21"/>
          <w:szCs w:val="21"/>
          <w:u w:val="single" w:color="auto"/>
          <w:color w:val="auto"/>
        </w:rPr>
        <w:t>Counterparts; Integration; Effectiveness; Electronic Execution</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firstLine="1304"/>
        <w:spacing w:after="0" w:line="289" w:lineRule="auto"/>
        <w:tabs>
          <w:tab w:leader="none" w:pos="179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57" w:lineRule="exact"/>
        <w:rPr>
          <w:rFonts w:ascii="Times New Roman" w:cs="Times New Roman" w:eastAsia="Times New Roman" w:hAnsi="Times New Roman"/>
          <w:sz w:val="21"/>
          <w:szCs w:val="21"/>
          <w:color w:val="auto"/>
        </w:rPr>
      </w:pPr>
    </w:p>
    <w:p>
      <w:pPr>
        <w:jc w:val="both"/>
        <w:ind w:firstLine="1304"/>
        <w:spacing w:after="0" w:line="274" w:lineRule="auto"/>
        <w:tabs>
          <w:tab w:leader="none" w:pos="177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2"/>
          <w:szCs w:val="22"/>
          <w:u w:val="single" w:color="auto"/>
          <w:color w:val="auto"/>
        </w:rPr>
        <w:t>Ancillary Document</w:t>
      </w:r>
      <w:r>
        <w:rPr>
          <w:rFonts w:ascii="Times New Roman" w:cs="Times New Roman" w:eastAsia="Times New Roman" w:hAnsi="Times New Roman"/>
          <w:sz w:val="22"/>
          <w:szCs w:val="22"/>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without limiting the foregoing, (i) to the extent the Administrative Agent has agreed to accept any Electronic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2"/>
          <w:szCs w:val="22"/>
          <w:color w:val="auto"/>
        </w:rPr>
        <w:t>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9.08.</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9.09.</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1304"/>
        <w:spacing w:after="0" w:line="296" w:lineRule="auto"/>
        <w:tabs>
          <w:tab w:leader="none" w:pos="179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Loan Documents shall be construed in accordance with and governed by the law of the State of New York.</w:t>
      </w:r>
    </w:p>
    <w:p>
      <w:pPr>
        <w:spacing w:after="0" w:line="145" w:lineRule="exact"/>
        <w:rPr>
          <w:rFonts w:ascii="Times New Roman" w:cs="Times New Roman" w:eastAsia="Times New Roman" w:hAnsi="Times New Roman"/>
          <w:sz w:val="22"/>
          <w:szCs w:val="22"/>
          <w:color w:val="auto"/>
        </w:rPr>
      </w:pPr>
    </w:p>
    <w:p>
      <w:pPr>
        <w:jc w:val="both"/>
        <w:ind w:firstLine="1304"/>
        <w:spacing w:after="0" w:line="308" w:lineRule="auto"/>
        <w:tabs>
          <w:tab w:leader="none" w:pos="191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transactions contemplated hereby or thereby shall be construed in accordance with and governed by the law of the State of New York.</w:t>
      </w:r>
    </w:p>
    <w:p>
      <w:pPr>
        <w:spacing w:after="0" w:line="132" w:lineRule="exact"/>
        <w:rPr>
          <w:sz w:val="20"/>
          <w:szCs w:val="20"/>
          <w:color w:val="auto"/>
        </w:rPr>
      </w:pPr>
    </w:p>
    <w:p>
      <w:pPr>
        <w:jc w:val="both"/>
        <w:ind w:firstLine="1304"/>
        <w:spacing w:after="0" w:line="287" w:lineRule="auto"/>
        <w:tabs>
          <w:tab w:leader="none" w:pos="180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against the Borrower or its properties in the courts of any jurisdiction.</w:t>
      </w:r>
    </w:p>
    <w:p>
      <w:pPr>
        <w:spacing w:after="0" w:line="166" w:lineRule="exact"/>
        <w:rPr>
          <w:rFonts w:ascii="Times New Roman" w:cs="Times New Roman" w:eastAsia="Times New Roman" w:hAnsi="Times New Roman"/>
          <w:sz w:val="21"/>
          <w:szCs w:val="21"/>
          <w:color w:val="auto"/>
        </w:rPr>
      </w:pPr>
    </w:p>
    <w:p>
      <w:pPr>
        <w:jc w:val="both"/>
        <w:ind w:firstLine="1304"/>
        <w:spacing w:after="0" w:line="279" w:lineRule="auto"/>
        <w:tabs>
          <w:tab w:leader="none" w:pos="17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63"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5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9.01. Nothing in this Agreement will affect the right of any party to this Agreement to serve process in any other manner permitted by law.</w:t>
      </w:r>
    </w:p>
    <w:p>
      <w:pPr>
        <w:spacing w:after="0" w:line="15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1"/>
          <w:szCs w:val="21"/>
          <w:color w:val="auto"/>
        </w:rPr>
        <w:t xml:space="preserve">SECTION 9.10.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ANY OTHER LOAN DOCUMENT OR THE TRANSACTIONS CONTEMPLATED HEREBY (WHETHER BASED ON CONTRACT, TORT OR ANY OTHER THEORY). EACH PARTY HERETO (A) CERTIFIES THAT NO REPRESENTATIVE, AGENT OR ATTORNEY OF ANY OTHER PARTY HAS REPRESENTED, EXPRESSLY OR OTHERWISE, THAT SUCH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PARTY WOULD NOT, IN THE EVENT OF LITIGATION, SEEK TO ENFORCE THE FOREGOING WAIVER AND</w:t>
      </w:r>
    </w:p>
    <w:p>
      <w:pPr>
        <w:spacing w:after="0" w:line="56" w:lineRule="exact"/>
        <w:rPr>
          <w:sz w:val="20"/>
          <w:szCs w:val="20"/>
          <w:color w:val="auto"/>
        </w:rPr>
      </w:pPr>
    </w:p>
    <w:p>
      <w:pPr>
        <w:ind w:firstLine="8"/>
        <w:spacing w:after="0" w:line="322" w:lineRule="auto"/>
        <w:tabs>
          <w:tab w:leader="none" w:pos="344"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ACKNOWLEDGES THAT IT AND THE OTHER PARTIES HERETO HAVE BEEN INDUCED TO ENTER INTO THIS AGREEMENT BY, AMONG OTHER THINGS, THE MUTUAL WAIVERS AND CERTIFICATIONS IN THIS SECTION.</w:t>
      </w:r>
    </w:p>
    <w:p>
      <w:pPr>
        <w:spacing w:after="0" w:line="13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6"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21"/>
          <w:szCs w:val="21"/>
          <w:color w:val="auto"/>
        </w:rPr>
        <w:t xml:space="preserve">SECTION 9.12.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subject to, except with respect to any routine or ordinary course audit or examination conducted by bank accountants or any regulatory authority or self-regulatory authority exercising examination or regulatory authority, informing the Borrower promptly prior to such disclosure to the extent practicable and not prohibited by applicable law, (c) to the extent required by applicable laws or regulations or by any subpoena or similar legal process, subject to, except with respect to any routine or ordinary course audit or examination conducted by bank accountants or any regulatory authority or self-regulatory authority exercising examination or regulatory authority, informing the Borrower promptly prior to such disclosure to the extent practicable and not prohibited by applicable law, (d) to any other party to this Agreement, (e) in connection with the exercise of any remedies hereunder or under any other Loan Document or any suit, action or proceeding relating to this Agreement or the enforcement of rights hereunder or under any other Loan Document,</w:t>
      </w:r>
    </w:p>
    <w:p>
      <w:pPr>
        <w:spacing w:after="0" w:line="8" w:lineRule="exact"/>
        <w:rPr>
          <w:sz w:val="20"/>
          <w:szCs w:val="20"/>
          <w:color w:val="auto"/>
        </w:rPr>
      </w:pPr>
    </w:p>
    <w:p>
      <w:pPr>
        <w:jc w:val="both"/>
        <w:ind w:firstLine="8"/>
        <w:spacing w:after="0" w:line="276" w:lineRule="auto"/>
        <w:tabs>
          <w:tab w:leader="none" w:pos="31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(h) with the consent of the Borrower or (i) to the extent such Information (1) becomes publicly available other than as a result of a breach of this Section, (2) is independently developed by the Administrative Agent or any Lender or any of their Affiliates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or (3) becomes available to the Administrative Agent or any Lender on a non-confidential basis from a source other than the Borrower. For the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received from the Borrower relating to the Borrower or its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4"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u w:val="single" w:color="auto"/>
          <w:color w:val="auto"/>
        </w:rPr>
        <w:t>Material Non-Public Information</w:t>
      </w:r>
      <w:r>
        <w:rPr>
          <w:rFonts w:ascii="Times New Roman" w:cs="Times New Roman" w:eastAsia="Times New Roman" w:hAnsi="Times New Roman"/>
          <w:sz w:val="21"/>
          <w:szCs w:val="21"/>
          <w:color w:val="auto"/>
        </w:rPr>
        <w:t>.</w:t>
      </w:r>
    </w:p>
    <w:p>
      <w:pPr>
        <w:spacing w:after="0" w:line="256" w:lineRule="exact"/>
        <w:rPr>
          <w:sz w:val="20"/>
          <w:szCs w:val="20"/>
          <w:color w:val="auto"/>
        </w:rPr>
      </w:pPr>
    </w:p>
    <w:p>
      <w:pPr>
        <w:jc w:val="both"/>
        <w:ind w:firstLine="1304"/>
        <w:spacing w:after="0" w:line="276" w:lineRule="auto"/>
        <w:tabs>
          <w:tab w:leader="none" w:pos="191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LENDER ACKNOWLEDGES THAT INFORMATION AS DEFINED IN SECTION 9.12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4" w:lineRule="exact"/>
        <w:rPr>
          <w:rFonts w:ascii="Times New Roman" w:cs="Times New Roman" w:eastAsia="Times New Roman" w:hAnsi="Times New Roman"/>
          <w:sz w:val="22"/>
          <w:szCs w:val="22"/>
          <w:color w:val="auto"/>
        </w:rPr>
      </w:pPr>
    </w:p>
    <w:p>
      <w:pPr>
        <w:jc w:val="both"/>
        <w:ind w:firstLine="1304"/>
        <w:spacing w:after="0" w:line="277" w:lineRule="auto"/>
        <w:tabs>
          <w:tab w:leader="none" w:pos="212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shall exceed the maximum lawful rate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which may be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79"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u w:val="single" w:color="auto"/>
          <w:color w:val="auto"/>
        </w:rPr>
        <w:t>No Fiduciary Duty, Etc</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5" w:lineRule="auto"/>
        <w:tabs>
          <w:tab w:leader="none" w:pos="182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72" w:lineRule="exact"/>
        <w:rPr>
          <w:rFonts w:ascii="Times New Roman" w:cs="Times New Roman" w:eastAsia="Times New Roman" w:hAnsi="Times New Roman"/>
          <w:sz w:val="22"/>
          <w:szCs w:val="22"/>
          <w:color w:val="auto"/>
        </w:rPr>
      </w:pPr>
    </w:p>
    <w:p>
      <w:pPr>
        <w:jc w:val="both"/>
        <w:ind w:firstLine="1304"/>
        <w:spacing w:after="0" w:line="291" w:lineRule="auto"/>
        <w:tabs>
          <w:tab w:leader="none" w:pos="1773"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71" w:lineRule="exact"/>
        <w:rPr>
          <w:sz w:val="20"/>
          <w:szCs w:val="20"/>
          <w:color w:val="auto"/>
        </w:rPr>
      </w:pPr>
    </w:p>
    <w:p>
      <w:pPr>
        <w:jc w:val="both"/>
        <w:ind w:firstLine="1304"/>
        <w:spacing w:after="0" w:line="291" w:lineRule="auto"/>
        <w:tabs>
          <w:tab w:leader="none" w:pos="1796"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5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requirements of the USA PATRIOT Act of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and the requirements of the Beneficial Ownership Regulation hereby notifies the Borrower and the Guarantors that pursuant to the requirements of the Patriot Act and the Beneficial Ownership Regulation, it is required to obtain, verify and record information that identifies the Borrower and the Guarantors, which information includes the name and address of the Borrower and the Guarantors and other information that will allow such Lender to identify the Borrower and the Guarantors in accordance with the Patriot Act and the Beneficial Ownership Regulation.</w:t>
      </w:r>
    </w:p>
    <w:p>
      <w:pPr>
        <w:spacing w:after="0" w:line="192"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firstLine="1304"/>
        <w:spacing w:after="0" w:line="296" w:lineRule="auto"/>
        <w:tabs>
          <w:tab w:leader="none" w:pos="183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33" w:lineRule="exact"/>
        <w:rPr>
          <w:rFonts w:ascii="Times New Roman" w:cs="Times New Roman" w:eastAsia="Times New Roman" w:hAnsi="Times New Roman"/>
          <w:sz w:val="22"/>
          <w:szCs w:val="22"/>
          <w:color w:val="auto"/>
        </w:rPr>
      </w:pPr>
    </w:p>
    <w:p>
      <w:pPr>
        <w:jc w:val="both"/>
        <w:ind w:firstLine="1952"/>
        <w:spacing w:after="0" w:line="289" w:lineRule="auto"/>
        <w:tabs>
          <w:tab w:leader="none" w:pos="2506"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7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other instruments of ownership will be accepted by it in lieu of any rights with respect to any such liability under this Agreement or any other Loan Document; or</w:t>
      </w:r>
    </w:p>
    <w:p>
      <w:pPr>
        <w:spacing w:after="0" w:line="132" w:lineRule="exact"/>
        <w:rPr>
          <w:sz w:val="20"/>
          <w:szCs w:val="20"/>
          <w:color w:val="auto"/>
        </w:rPr>
      </w:pPr>
    </w:p>
    <w:p>
      <w:pPr>
        <w:ind w:firstLine="1952"/>
        <w:spacing w:after="0" w:line="296" w:lineRule="auto"/>
        <w:tabs>
          <w:tab w:leader="none" w:pos="255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45"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9.18.</w:t>
      </w:r>
      <w:r>
        <w:rPr>
          <w:sz w:val="20"/>
          <w:szCs w:val="20"/>
          <w:color w:val="auto"/>
        </w:rPr>
        <w:tab/>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304"/>
        <w:spacing w:after="0" w:line="275" w:lineRule="auto"/>
        <w:tabs>
          <w:tab w:leader="none" w:pos="178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acknowledges and agrees that if the Administrative Agent notifies such Lender that the Administrative Agent has determined in its sole discretion that any funds (or any portion thereof) received by such Lender (any of the foregoing, an “</w:t>
      </w:r>
      <w:r>
        <w:rPr>
          <w:rFonts w:ascii="Times New Roman" w:cs="Times New Roman" w:eastAsia="Times New Roman" w:hAnsi="Times New Roman"/>
          <w:sz w:val="22"/>
          <w:szCs w:val="22"/>
          <w:u w:val="single" w:color="auto"/>
          <w:color w:val="auto"/>
        </w:rPr>
        <w:t>Erroneous Payment Recipient</w:t>
      </w:r>
      <w:r>
        <w:rPr>
          <w:rFonts w:ascii="Times New Roman" w:cs="Times New Roman" w:eastAsia="Times New Roman" w:hAnsi="Times New Roman"/>
          <w:sz w:val="22"/>
          <w:szCs w:val="22"/>
          <w:color w:val="auto"/>
        </w:rPr>
        <w:t>”) from the Administrative Agent (or any of its Affiliates) were erroneously transmitted to, or otherwise erroneously or mistakenly received by, such Erroneous Payment Recipient (whether or not known to such Erroneous Payment Recipient) (whether as a payment, prepayment or repayment of principal, interest, fees or otherwise; individually and collectively,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and demands the return of such Payment, such Erroneous Payment Recipient shall promptly, but in no event later than one Business Day thereafter, return to the Administrative Agent the amount of any such Payment as to which such a demand was made. A notice of the Administrative Agent to any Erroneous Payment Recipient under this Section shall be conclusive, absent manifest error.</w:t>
      </w:r>
    </w:p>
    <w:p>
      <w:pPr>
        <w:spacing w:after="0" w:line="172" w:lineRule="exact"/>
        <w:rPr>
          <w:rFonts w:ascii="Times New Roman" w:cs="Times New Roman" w:eastAsia="Times New Roman" w:hAnsi="Times New Roman"/>
          <w:sz w:val="22"/>
          <w:szCs w:val="22"/>
          <w:color w:val="auto"/>
        </w:rPr>
      </w:pPr>
    </w:p>
    <w:p>
      <w:pPr>
        <w:jc w:val="both"/>
        <w:ind w:firstLine="1304"/>
        <w:spacing w:after="0" w:line="289" w:lineRule="auto"/>
        <w:tabs>
          <w:tab w:leader="none" w:pos="1795"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limitation of clause (a) above, each Erroneous Payment Recipient further acknowledges and agrees that if such Erroneous Payment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(y) that was not preceded or accompanied by a Payment Notice, or (z) that such Erroneous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Erroneous Payment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156" w:lineRule="exact"/>
        <w:rPr>
          <w:rFonts w:ascii="Times New Roman" w:cs="Times New Roman" w:eastAsia="Times New Roman" w:hAnsi="Times New Roman"/>
          <w:sz w:val="21"/>
          <w:szCs w:val="21"/>
          <w:color w:val="auto"/>
        </w:rPr>
      </w:pPr>
    </w:p>
    <w:p>
      <w:pPr>
        <w:jc w:val="both"/>
        <w:ind w:firstLine="1304"/>
        <w:spacing w:after="0" w:line="289" w:lineRule="auto"/>
        <w:tabs>
          <w:tab w:leader="none" w:pos="174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required to be returned by an Erroneous Payment Recipient under this Section shall be made in same day finds in the currency so received, together with interest thereon in respect of each day from and including the date such Payment (or portion thereof) was received by such Erroneous Payment Recipient to the date such amount is repaid 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the Administrative Agent at the greater of the Federal Funds Effective Rate and a rate determined by the Administrative Agent in accordance with banking industry rules on interbank compensation from time to time in effect. Each Erroneous Payment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66" w:lineRule="exact"/>
        <w:rPr>
          <w:sz w:val="20"/>
          <w:szCs w:val="20"/>
          <w:color w:val="auto"/>
        </w:rPr>
      </w:pPr>
    </w:p>
    <w:p>
      <w:pPr>
        <w:jc w:val="both"/>
        <w:ind w:firstLine="1304"/>
        <w:spacing w:after="0" w:line="277" w:lineRule="auto"/>
        <w:tabs>
          <w:tab w:leader="none" w:pos="188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erroneous Payment is, and with respect to the amount of such erroneous Payment that is, comprised of funds of the Borrower or any other Loan Party.</w:t>
      </w:r>
    </w:p>
    <w:p>
      <w:pPr>
        <w:spacing w:after="0" w:line="165" w:lineRule="exact"/>
        <w:rPr>
          <w:rFonts w:ascii="Times New Roman" w:cs="Times New Roman" w:eastAsia="Times New Roman" w:hAnsi="Times New Roman"/>
          <w:sz w:val="22"/>
          <w:szCs w:val="22"/>
          <w:color w:val="auto"/>
        </w:rPr>
      </w:pPr>
    </w:p>
    <w:p>
      <w:pPr>
        <w:jc w:val="both"/>
        <w:ind w:firstLine="1304"/>
        <w:spacing w:after="0" w:line="282" w:lineRule="auto"/>
        <w:tabs>
          <w:tab w:leader="none" w:pos="185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agreements and waivers under this Section 9.18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71"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respective authorized officers as of the day and year first above written.</w:t>
      </w:r>
    </w:p>
    <w:p>
      <w:pPr>
        <w:spacing w:after="0" w:line="15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AFFIRM, INC.</w:t>
      </w:r>
    </w:p>
    <w:p>
      <w:pPr>
        <w:spacing w:after="0" w:line="200" w:lineRule="exact"/>
        <w:rPr>
          <w:sz w:val="20"/>
          <w:szCs w:val="20"/>
          <w:color w:val="auto"/>
        </w:rPr>
      </w:pPr>
    </w:p>
    <w:p>
      <w:pPr>
        <w:spacing w:after="0" w:line="26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19685</wp:posOffset>
            </wp:positionV>
            <wp:extent cx="2048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w:t>
      </w:r>
    </w:p>
    <w:p>
      <w:pPr>
        <w:spacing w:after="0" w:line="2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720"/>
          </w:cols>
          <w:pgMar w:left="320" w:top="1440" w:right="859" w:bottom="1440" w:gutter="0" w:footer="0" w:header="0"/>
        </w:sectPr>
      </w:pPr>
    </w:p>
    <w:bookmarkStart w:id="211" w:name="page212"/>
    <w:bookmarkEnd w:id="211"/>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BARCLAYS BANK PLC, individually and</w:t>
      </w:r>
    </w:p>
    <w:p>
      <w:pPr>
        <w:spacing w:after="0" w:line="5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19685</wp:posOffset>
            </wp:positionV>
            <wp:extent cx="20485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w:t>
      </w:r>
    </w:p>
    <w:p>
      <w:pPr>
        <w:spacing w:after="0" w:line="26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440" w:right="1440" w:bottom="1440" w:gutter="0" w:footer="0" w:header="0"/>
        </w:sectPr>
      </w:pPr>
    </w:p>
    <w:bookmarkStart w:id="212" w:name="page213"/>
    <w:bookmarkEnd w:id="212"/>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[LENDER], as a Lender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19685</wp:posOffset>
            </wp:positionV>
            <wp:extent cx="20485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w:t>
      </w:r>
    </w:p>
    <w:p>
      <w:pPr>
        <w:spacing w:after="0" w:line="26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440" w:right="1440"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50" w:lineRule="auto"/>
        <w:tabs>
          <w:tab w:leader="none" w:pos="131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214" w:name="page215"/>
    <w:bookmarkEnd w:id="214"/>
    <w:p>
      <w:pPr>
        <w:ind w:left="1280" w:firstLine="166"/>
        <w:spacing w:after="0" w:line="282" w:lineRule="auto"/>
        <w:tabs>
          <w:tab w:leader="none" w:pos="192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34290</wp:posOffset>
            </wp:positionV>
            <wp:extent cx="25114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40" w:top="1012" w:right="41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74" w:lineRule="auto"/>
        <w:tabs>
          <w:tab w:leader="none" w:pos="131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216" w:name="page217"/>
    <w:bookmarkEnd w:id="216"/>
    <w:p>
      <w:pPr>
        <w:ind w:left="1280" w:firstLine="166"/>
        <w:spacing w:after="0" w:line="282" w:lineRule="auto"/>
        <w:tabs>
          <w:tab w:leader="none" w:pos="192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25114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Michael Linford</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40" w:top="1012" w:right="41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8, 2022</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8, 2022</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1)"/>
      <w:numFmt w:val="decimal"/>
      <w:start w:val="1"/>
    </w:lvl>
  </w:abstractNum>
  <w:abstractNum w:abstractNumId="4">
    <w:nsid w:val="3222E7CD"/>
    <w:multiLevelType w:val="hybridMultilevel"/>
    <w:lvl w:ilvl="0">
      <w:lvlJc w:val="left"/>
      <w:lvlText w:val="(%1)"/>
      <w:numFmt w:val="decimal"/>
      <w:start w:val="1"/>
    </w:lvl>
  </w:abstractNum>
  <w:abstractNum w:abstractNumId="5">
    <w:nsid w:val="74DE0EE3"/>
    <w:multiLevelType w:val="hybridMultilevel"/>
    <w:lvl w:ilvl="0">
      <w:lvlJc w:val="left"/>
      <w:lvlText w:val="(%1)"/>
      <w:numFmt w:val="decimal"/>
      <w:start w:val="1"/>
    </w:lvl>
  </w:abstractNum>
  <w:abstractNum w:abstractNumId="6">
    <w:nsid w:val="68EBC550"/>
    <w:multiLevelType w:val="hybridMultilevel"/>
    <w:lvl w:ilvl="0">
      <w:lvlJc w:val="left"/>
      <w:lvlText w:val="%1)"/>
      <w:numFmt w:val="decimal"/>
      <w:start w:val="1"/>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1)"/>
      <w:numFmt w:val="decimal"/>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1)"/>
      <w:numFmt w:val="decimal"/>
      <w:start w:val="1"/>
    </w:lvl>
  </w:abstractNum>
  <w:abstractNum w:abstractNumId="16">
    <w:nsid w:val="7F01579B"/>
    <w:multiLevelType w:val="hybridMultilevel"/>
    <w:lvl w:ilvl="0">
      <w:lvlJc w:val="left"/>
      <w:lvlText w:val="(%1)"/>
      <w:numFmt w:val="decimal"/>
      <w:start w:val="2"/>
    </w:lvl>
  </w:abstractNum>
  <w:abstractNum w:abstractNumId="17">
    <w:nsid w:val="49DA307D"/>
    <w:multiLevelType w:val="hybridMultilevel"/>
    <w:lvl w:ilvl="0">
      <w:lvlJc w:val="left"/>
      <w:lvlText w:val="(%1)"/>
      <w:numFmt w:val="decimal"/>
      <w:start w:val="1"/>
    </w:lvl>
  </w:abstractNum>
  <w:abstractNum w:abstractNumId="18">
    <w:nsid w:val="7055A5F5"/>
    <w:multiLevelType w:val="hybridMultilevel"/>
    <w:lvl w:ilvl="0">
      <w:lvlJc w:val="left"/>
      <w:lvlText w:val="(%1)"/>
      <w:numFmt w:val="decimal"/>
      <w:start w:val="1"/>
    </w:lvl>
  </w:abstractNum>
  <w:abstractNum w:abstractNumId="19">
    <w:nsid w:val="5FB8370B"/>
    <w:multiLevelType w:val="hybridMultilevel"/>
    <w:lvl w:ilvl="0">
      <w:lvlJc w:val="left"/>
      <w:lvlText w:val="%1."/>
      <w:numFmt w:val="upperLetter"/>
      <w:start w:val="1"/>
    </w:lvl>
  </w:abstractNum>
  <w:abstractNum w:abstractNumId="20">
    <w:nsid w:val="50801EE1"/>
    <w:multiLevelType w:val="hybridMultilevel"/>
    <w:lvl w:ilvl="0">
      <w:lvlJc w:val="left"/>
      <w:lvlText w:val="%1."/>
      <w:numFmt w:val="upperLetter"/>
      <w:start w:val="1"/>
    </w:lvl>
  </w:abstractNum>
  <w:abstractNum w:abstractNumId="21">
    <w:nsid w:val="488AC1A"/>
    <w:multiLevelType w:val="hybridMultilevel"/>
    <w:lvl w:ilvl="0">
      <w:lvlJc w:val="left"/>
      <w:lvlText w:val="%1."/>
      <w:numFmt w:val="upperLetter"/>
      <w:start w:val="3"/>
    </w:lvl>
  </w:abstractNum>
  <w:abstractNum w:abstractNumId="22">
    <w:nsid w:val="5FB8011C"/>
    <w:multiLevelType w:val="hybridMultilevel"/>
    <w:lvl w:ilvl="0">
      <w:lvlJc w:val="left"/>
      <w:lvlText w:val="%1."/>
      <w:numFmt w:val="upperLetter"/>
      <w:start w:val="1"/>
    </w:lvl>
  </w:abstractNum>
  <w:abstractNum w:abstractNumId="23">
    <w:nsid w:val="6AA78F7F"/>
    <w:multiLevelType w:val="hybridMultilevel"/>
    <w:lvl w:ilvl="0">
      <w:lvlJc w:val="left"/>
      <w:lvlText w:val="%1."/>
      <w:numFmt w:val="upperLetter"/>
      <w:start w:val="1"/>
    </w:lvl>
  </w:abstractNum>
  <w:abstractNum w:abstractNumId="24">
    <w:nsid w:val="7672BD23"/>
    <w:multiLevelType w:val="hybridMultilevel"/>
    <w:lvl w:ilvl="0">
      <w:lvlJc w:val="left"/>
      <w:lvlText w:val="%1."/>
      <w:numFmt w:val="upperLetter"/>
      <w:start w:val="1"/>
    </w:lvl>
  </w:abstractNum>
  <w:abstractNum w:abstractNumId="25">
    <w:nsid w:val="6FC75AF8"/>
    <w:multiLevelType w:val="hybridMultilevel"/>
    <w:lvl w:ilvl="0">
      <w:lvlJc w:val="left"/>
      <w:lvlText w:val="%1."/>
      <w:numFmt w:val="upperLetter"/>
      <w:start w:val="3"/>
    </w:lvl>
  </w:abstractNum>
  <w:abstractNum w:abstractNumId="26">
    <w:nsid w:val="6A5F7029"/>
    <w:multiLevelType w:val="hybridMultilevel"/>
    <w:lvl w:ilvl="0">
      <w:lvlJc w:val="left"/>
      <w:lvlText w:val="%1."/>
      <w:numFmt w:val="upperLetter"/>
      <w:start w:val="5"/>
    </w:lvl>
  </w:abstractNum>
  <w:abstractNum w:abstractNumId="27">
    <w:nsid w:val="7D5E18F8"/>
    <w:multiLevelType w:val="hybridMultilevel"/>
    <w:lvl w:ilvl="0">
      <w:lvlJc w:val="left"/>
      <w:lvlText w:val="(%1)"/>
      <w:numFmt w:val="decimal"/>
      <w:start w:val="1"/>
    </w:lvl>
  </w:abstractNum>
  <w:abstractNum w:abstractNumId="28">
    <w:nsid w:val="5F3534A4"/>
    <w:multiLevelType w:val="hybridMultilevel"/>
    <w:lvl w:ilvl="0">
      <w:lvlJc w:val="left"/>
      <w:lvlText w:val="(%1)"/>
      <w:numFmt w:val="lowerRoman"/>
      <w:start w:val="1"/>
    </w:lvl>
  </w:abstractNum>
  <w:abstractNum w:abstractNumId="29">
    <w:nsid w:val="73A1821B"/>
    <w:multiLevelType w:val="hybridMultilevel"/>
    <w:lvl w:ilvl="0">
      <w:lvlJc w:val="left"/>
      <w:lvlText w:val="(%1)"/>
      <w:numFmt w:val="decimal"/>
      <w:start w:val="1"/>
    </w:lvl>
  </w:abstractNum>
  <w:abstractNum w:abstractNumId="30">
    <w:nsid w:val="7DE67713"/>
    <w:multiLevelType w:val="hybridMultilevel"/>
    <w:lvl w:ilvl="0">
      <w:lvlJc w:val="left"/>
      <w:lvlText w:val="(%1)"/>
      <w:numFmt w:val="decimal"/>
      <w:start w:val="1"/>
    </w:lvl>
  </w:abstractNum>
  <w:abstractNum w:abstractNumId="31">
    <w:nsid w:val="555C55B5"/>
    <w:multiLevelType w:val="hybridMultilevel"/>
    <w:lvl w:ilvl="0">
      <w:lvlJc w:val="left"/>
      <w:lvlText w:val="(%1)"/>
      <w:numFmt w:val="decimal"/>
      <w:start w:val="2"/>
    </w:lvl>
  </w:abstractNum>
  <w:abstractNum w:abstractNumId="32">
    <w:nsid w:val="3FA62ACA"/>
    <w:multiLevelType w:val="hybridMultilevel"/>
    <w:lvl w:ilvl="0">
      <w:lvlJc w:val="left"/>
      <w:lvlText w:val="(%1)"/>
      <w:numFmt w:val="decimal"/>
      <w:start w:val="90"/>
    </w:lvl>
  </w:abstractNum>
  <w:abstractNum w:abstractNumId="33">
    <w:nsid w:val="14FCE74E"/>
    <w:multiLevelType w:val="hybridMultilevel"/>
    <w:lvl w:ilvl="0">
      <w:lvlJc w:val="left"/>
      <w:lvlText w:val="(%1)"/>
      <w:numFmt w:val="decimal"/>
      <w:start w:val="90"/>
    </w:lvl>
  </w:abstractNum>
  <w:abstractNum w:abstractNumId="34">
    <w:nsid w:val="6A3DD3E8"/>
    <w:multiLevelType w:val="hybridMultilevel"/>
    <w:lvl w:ilvl="0">
      <w:lvlJc w:val="left"/>
      <w:lvlText w:val="(%1)"/>
      <w:numFmt w:val="lowerLetter"/>
      <w:start w:val="2"/>
    </w:lvl>
  </w:abstractNum>
  <w:abstractNum w:abstractNumId="35">
    <w:nsid w:val="71C91298"/>
    <w:multiLevelType w:val="hybridMultilevel"/>
    <w:lvl w:ilvl="0">
      <w:lvlJc w:val="left"/>
      <w:lvlText w:val="(%1)"/>
      <w:numFmt w:val="lowerRoman"/>
      <w:start w:val="2"/>
    </w:lvl>
  </w:abstractNum>
  <w:abstractNum w:abstractNumId="36">
    <w:nsid w:val="9DAF632"/>
    <w:multiLevelType w:val="hybridMultilevel"/>
    <w:lvl w:ilvl="0">
      <w:lvlJc w:val="left"/>
      <w:lvlText w:val="(%1)"/>
      <w:numFmt w:val="lowerLetter"/>
      <w:start w:val="1"/>
    </w:lvl>
  </w:abstractNum>
  <w:abstractNum w:abstractNumId="37">
    <w:nsid w:val="53299938"/>
    <w:multiLevelType w:val="hybridMultilevel"/>
    <w:lvl w:ilvl="0">
      <w:lvlJc w:val="left"/>
      <w:lvlText w:val="(%1)"/>
      <w:numFmt w:val="lowerRoman"/>
      <w:start w:val="2"/>
    </w:lvl>
  </w:abstractNum>
  <w:abstractNum w:abstractNumId="38">
    <w:nsid w:val="1FBFE8E0"/>
    <w:multiLevelType w:val="hybridMultilevel"/>
    <w:lvl w:ilvl="0">
      <w:lvlJc w:val="left"/>
      <w:lvlText w:val="(%1)"/>
      <w:numFmt w:val="lowerLetter"/>
      <w:start w:val="1"/>
    </w:lvl>
  </w:abstractNum>
  <w:abstractNum w:abstractNumId="39">
    <w:nsid w:val="5092CA79"/>
    <w:multiLevelType w:val="hybridMultilevel"/>
    <w:lvl w:ilvl="0">
      <w:lvlJc w:val="left"/>
      <w:lvlText w:val="(%1)"/>
      <w:numFmt w:val="lowerLetter"/>
      <w:start w:val="4"/>
    </w:lvl>
  </w:abstractNum>
  <w:abstractNum w:abstractNumId="40">
    <w:nsid w:val="1D545C4D"/>
    <w:multiLevelType w:val="hybridMultilevel"/>
    <w:lvl w:ilvl="0">
      <w:lvlJc w:val="left"/>
      <w:lvlText w:val="(%1)"/>
      <w:numFmt w:val="lowerRoman"/>
      <w:start w:val="1"/>
    </w:lvl>
  </w:abstractNum>
  <w:abstractNum w:abstractNumId="41">
    <w:nsid w:val="59ADEA3D"/>
    <w:multiLevelType w:val="hybridMultilevel"/>
    <w:lvl w:ilvl="0">
      <w:lvlJc w:val="left"/>
      <w:lvlText w:val="(%1)"/>
      <w:numFmt w:val="lowerRoman"/>
      <w:start w:val="4"/>
    </w:lvl>
  </w:abstractNum>
  <w:abstractNum w:abstractNumId="42">
    <w:nsid w:val="288F1A34"/>
    <w:multiLevelType w:val="hybridMultilevel"/>
    <w:lvl w:ilvl="0">
      <w:lvlJc w:val="left"/>
      <w:lvlText w:val="(%1)"/>
      <w:numFmt w:val="lowerLetter"/>
      <w:start w:val="1"/>
    </w:lvl>
  </w:abstractNum>
  <w:abstractNum w:abstractNumId="43">
    <w:nsid w:val="2A155DBC"/>
    <w:multiLevelType w:val="hybridMultilevel"/>
    <w:lvl w:ilvl="0">
      <w:lvlJc w:val="left"/>
      <w:lvlText w:val="(%1)"/>
      <w:numFmt w:val="lowerLetter"/>
      <w:start w:val="4"/>
    </w:lvl>
  </w:abstractNum>
  <w:abstractNum w:abstractNumId="44">
    <w:nsid w:val="1D9F6E5F"/>
    <w:multiLevelType w:val="hybridMultilevel"/>
    <w:lvl w:ilvl="0">
      <w:lvlJc w:val="left"/>
      <w:lvlText w:val="(%1)"/>
      <w:numFmt w:val="lowerLetter"/>
      <w:start w:val="1"/>
    </w:lvl>
  </w:abstractNum>
  <w:abstractNum w:abstractNumId="45">
    <w:nsid w:val="97E1B4E"/>
    <w:multiLevelType w:val="hybridMultilevel"/>
    <w:lvl w:ilvl="0">
      <w:lvlJc w:val="left"/>
      <w:lvlText w:val="(%1)"/>
      <w:numFmt w:val="lowerLetter"/>
      <w:start w:val="2"/>
    </w:lvl>
  </w:abstractNum>
  <w:abstractNum w:abstractNumId="46">
    <w:nsid w:val="51088277"/>
    <w:multiLevelType w:val="hybridMultilevel"/>
    <w:lvl w:ilvl="0">
      <w:lvlJc w:val="left"/>
      <w:lvlText w:val="(%1)"/>
      <w:numFmt w:val="lowerRoman"/>
      <w:start w:val="1"/>
    </w:lvl>
  </w:abstractNum>
  <w:abstractNum w:abstractNumId="47">
    <w:nsid w:val="1CA0C5FA"/>
    <w:multiLevelType w:val="hybridMultilevel"/>
    <w:lvl w:ilvl="0">
      <w:lvlJc w:val="left"/>
      <w:lvlText w:val="(%1)"/>
      <w:numFmt w:val="lowerLetter"/>
      <w:start w:val="1"/>
    </w:lvl>
  </w:abstractNum>
  <w:abstractNum w:abstractNumId="48">
    <w:nsid w:val="53584BCB"/>
    <w:multiLevelType w:val="hybridMultilevel"/>
    <w:lvl w:ilvl="0">
      <w:lvlJc w:val="left"/>
      <w:lvlText w:val="(%1)"/>
      <w:numFmt w:val="lowerLetter"/>
      <w:start w:val="1"/>
    </w:lvl>
    <w:lvl w:ilvl="1">
      <w:lvlJc w:val="left"/>
      <w:lvlText w:val="(%2)"/>
      <w:numFmt w:val="lowerRoman"/>
      <w:start w:val="1"/>
    </w:lvl>
  </w:abstractNum>
  <w:abstractNum w:abstractNumId="49">
    <w:nsid w:val="415E286C"/>
    <w:multiLevelType w:val="hybridMultilevel"/>
    <w:lvl w:ilvl="0">
      <w:lvlJc w:val="left"/>
      <w:lvlText w:val="(%1)"/>
      <w:numFmt w:val="lowerLetter"/>
      <w:start w:val="4"/>
    </w:lvl>
  </w:abstractNum>
  <w:abstractNum w:abstractNumId="50">
    <w:nsid w:val="7C58FD05"/>
    <w:multiLevelType w:val="hybridMultilevel"/>
    <w:lvl w:ilvl="0">
      <w:lvlJc w:val="left"/>
      <w:lvlText w:val="%1"/>
      <w:numFmt w:val="lowerLetter"/>
      <w:start w:val="1"/>
    </w:lvl>
    <w:lvl w:ilvl="1">
      <w:lvlJc w:val="left"/>
      <w:lvlText w:val="(%2)"/>
      <w:numFmt w:val="lowerLetter"/>
      <w:start w:val="1"/>
    </w:lvl>
  </w:abstractNum>
  <w:abstractNum w:abstractNumId="51">
    <w:nsid w:val="23D86AAC"/>
    <w:multiLevelType w:val="hybridMultilevel"/>
    <w:lvl w:ilvl="0">
      <w:lvlJc w:val="left"/>
      <w:lvlText w:val="(%1)"/>
      <w:numFmt w:val="lowerLetter"/>
      <w:start w:val="9"/>
    </w:lvl>
    <w:lvl w:ilvl="1">
      <w:lvlJc w:val="left"/>
      <w:lvlText w:val="(%2)"/>
      <w:numFmt w:val="lowerLetter"/>
      <w:start w:val="3"/>
    </w:lvl>
  </w:abstractNum>
  <w:abstractNum w:abstractNumId="52">
    <w:nsid w:val="45E6D486"/>
    <w:multiLevelType w:val="hybridMultilevel"/>
    <w:lvl w:ilvl="0">
      <w:lvlJc w:val="left"/>
      <w:lvlText w:val="(%1)"/>
      <w:numFmt w:val="lowerLetter"/>
      <w:start w:val="1"/>
    </w:lvl>
  </w:abstractNum>
  <w:abstractNum w:abstractNumId="53">
    <w:nsid w:val="5C10FE21"/>
    <w:multiLevelType w:val="hybridMultilevel"/>
    <w:lvl w:ilvl="0">
      <w:lvlJc w:val="left"/>
      <w:lvlText w:val="(%1)"/>
      <w:numFmt w:val="lowerLetter"/>
      <w:start w:val="1"/>
    </w:lvl>
  </w:abstractNum>
  <w:abstractNum w:abstractNumId="54">
    <w:nsid w:val="E7FFA2B"/>
    <w:multiLevelType w:val="hybridMultilevel"/>
    <w:lvl w:ilvl="0">
      <w:lvlJc w:val="left"/>
      <w:lvlText w:val="(%1)"/>
      <w:numFmt w:val="lowerLetter"/>
      <w:start w:val="1"/>
    </w:lvl>
  </w:abstractNum>
  <w:abstractNum w:abstractNumId="55">
    <w:nsid w:val="3C5991AA"/>
    <w:multiLevelType w:val="hybridMultilevel"/>
    <w:lvl w:ilvl="0">
      <w:lvlJc w:val="left"/>
      <w:lvlText w:val="(%1)"/>
      <w:numFmt w:val="lowerLetter"/>
      <w:start w:val="3"/>
    </w:lvl>
  </w:abstractNum>
  <w:abstractNum w:abstractNumId="56">
    <w:nsid w:val="4BD8591A"/>
    <w:multiLevelType w:val="hybridMultilevel"/>
    <w:lvl w:ilvl="0">
      <w:lvlJc w:val="left"/>
      <w:lvlText w:val="(%1)"/>
      <w:numFmt w:val="lowerLetter"/>
      <w:start w:val="1"/>
    </w:lvl>
  </w:abstractNum>
  <w:abstractNum w:abstractNumId="57">
    <w:nsid w:val="78DF6A55"/>
    <w:multiLevelType w:val="hybridMultilevel"/>
    <w:lvl w:ilvl="0">
      <w:lvlJc w:val="left"/>
      <w:lvlText w:val="(%1)"/>
      <w:numFmt w:val="lowerLetter"/>
      <w:start w:val="1"/>
    </w:lvl>
  </w:abstractNum>
  <w:abstractNum w:abstractNumId="58">
    <w:nsid w:val="39B7AAA2"/>
    <w:multiLevelType w:val="hybridMultilevel"/>
    <w:lvl w:ilvl="0">
      <w:lvlJc w:val="left"/>
      <w:lvlText w:val="(%1)"/>
      <w:numFmt w:val="lowerRoman"/>
      <w:start w:val="1"/>
    </w:lvl>
  </w:abstractNum>
  <w:abstractNum w:abstractNumId="59">
    <w:nsid w:val="2B0D8DBE"/>
    <w:multiLevelType w:val="hybridMultilevel"/>
    <w:lvl w:ilvl="0">
      <w:lvlJc w:val="left"/>
      <w:lvlText w:val="%1"/>
      <w:numFmt w:val="lowerLetter"/>
      <w:start w:val="1"/>
    </w:lvl>
    <w:lvl w:ilvl="1">
      <w:lvlJc w:val="left"/>
      <w:lvlText w:val="(%2)"/>
      <w:numFmt w:val="lowerLetter"/>
      <w:start w:val="2"/>
    </w:lvl>
  </w:abstractNum>
  <w:abstractNum w:abstractNumId="60">
    <w:nsid w:val="6C80EC70"/>
    <w:multiLevelType w:val="hybridMultilevel"/>
    <w:lvl w:ilvl="0">
      <w:lvlJc w:val="left"/>
      <w:lvlText w:val="(%1)"/>
      <w:numFmt w:val="lowerLetter"/>
      <w:start w:val="24"/>
    </w:lvl>
    <w:lvl w:ilvl="1">
      <w:lvlJc w:val="left"/>
      <w:lvlText w:val="%2"/>
      <w:numFmt w:val="lowerLetter"/>
      <w:start w:val="1"/>
    </w:lvl>
  </w:abstractNum>
  <w:abstractNum w:abstractNumId="61">
    <w:nsid w:val="379E21B5"/>
    <w:multiLevelType w:val="hybridMultilevel"/>
    <w:lvl w:ilvl="0">
      <w:lvlJc w:val="left"/>
      <w:lvlText w:val="(%1)"/>
      <w:numFmt w:val="lowerLetter"/>
      <w:start w:val="3"/>
    </w:lvl>
  </w:abstractNum>
  <w:abstractNum w:abstractNumId="62">
    <w:nsid w:val="69E373"/>
    <w:multiLevelType w:val="hybridMultilevel"/>
    <w:lvl w:ilvl="0">
      <w:lvlJc w:val="left"/>
      <w:lvlText w:val="(%1)"/>
      <w:numFmt w:val="lowerLetter"/>
      <w:start w:val="6"/>
    </w:lvl>
  </w:abstractNum>
  <w:abstractNum w:abstractNumId="63">
    <w:nsid w:val="2C27173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4">
    <w:nsid w:val="4C9B090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65">
    <w:nsid w:val="6AA7B75C"/>
    <w:multiLevelType w:val="hybridMultilevel"/>
    <w:lvl w:ilvl="0">
      <w:lvlJc w:val="left"/>
      <w:lvlText w:val="(%1)"/>
      <w:numFmt w:val="lowerLetter"/>
      <w:start w:val="2"/>
    </w:lvl>
  </w:abstractNum>
  <w:abstractNum w:abstractNumId="66">
    <w:nsid w:val="1DF029D3"/>
    <w:multiLevelType w:val="hybridMultilevel"/>
    <w:lvl w:ilvl="0">
      <w:lvlJc w:val="left"/>
      <w:lvlText w:val="(%1)"/>
      <w:numFmt w:val="lowerLetter"/>
      <w:start w:val="3"/>
    </w:lvl>
  </w:abstractNum>
  <w:abstractNum w:abstractNumId="67">
    <w:nsid w:val="5675FF36"/>
    <w:multiLevelType w:val="hybridMultilevel"/>
    <w:lvl w:ilvl="0">
      <w:lvlJc w:val="left"/>
      <w:lvlText w:val="(%1)"/>
      <w:numFmt w:val="lowerLetter"/>
      <w:start w:val="1"/>
    </w:lvl>
  </w:abstractNum>
  <w:abstractNum w:abstractNumId="68">
    <w:nsid w:val="3DD1509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9">
    <w:nsid w:val="3DB012B3"/>
    <w:multiLevelType w:val="hybridMultilevel"/>
    <w:lvl w:ilvl="0">
      <w:lvlJc w:val="left"/>
      <w:lvlText w:val="(%1)"/>
      <w:numFmt w:val="upperLetter"/>
      <w:start w:val="2"/>
    </w:lvl>
    <w:lvl w:ilvl="1">
      <w:lvlJc w:val="left"/>
      <w:lvlText w:val="(%2)"/>
      <w:numFmt w:val="decimal"/>
      <w:start w:val="1"/>
    </w:lvl>
  </w:abstractNum>
  <w:abstractNum w:abstractNumId="70">
    <w:nsid w:val="2708C9AF"/>
    <w:multiLevelType w:val="hybridMultilevel"/>
    <w:lvl w:ilvl="0">
      <w:lvlJc w:val="left"/>
      <w:lvlText w:val="(%1)"/>
      <w:numFmt w:val="upperLetter"/>
      <w:start w:val="3"/>
    </w:lvl>
  </w:abstractNum>
  <w:abstractNum w:abstractNumId="71">
    <w:nsid w:val="5B25ACE2"/>
    <w:multiLevelType w:val="hybridMultilevel"/>
    <w:lvl w:ilvl="0">
      <w:lvlJc w:val="left"/>
      <w:lvlText w:val="(%1)"/>
      <w:numFmt w:val="lowerLetter"/>
      <w:start w:val="7"/>
    </w:lvl>
  </w:abstractNum>
  <w:abstractNum w:abstractNumId="72">
    <w:nsid w:val="175DFCF0"/>
    <w:multiLevelType w:val="hybridMultilevel"/>
    <w:lvl w:ilvl="0">
      <w:lvlJc w:val="left"/>
      <w:lvlText w:val="(%1)"/>
      <w:numFmt w:val="lowerLetter"/>
      <w:start w:val="8"/>
    </w:lvl>
  </w:abstractNum>
  <w:abstractNum w:abstractNumId="73">
    <w:nsid w:val="4F97E3E4"/>
    <w:multiLevelType w:val="hybridMultilevel"/>
    <w:lvl w:ilvl="0">
      <w:lvlJc w:val="left"/>
      <w:lvlText w:val="(%1)"/>
      <w:numFmt w:val="lowerLetter"/>
      <w:start w:val="1"/>
    </w:lvl>
  </w:abstractNum>
  <w:abstractNum w:abstractNumId="74">
    <w:nsid w:val="53B0A9E"/>
    <w:multiLevelType w:val="hybridMultilevel"/>
    <w:lvl w:ilvl="0">
      <w:lvlJc w:val="left"/>
      <w:lvlText w:val="(%1)"/>
      <w:numFmt w:val="lowerLetter"/>
      <w:start w:val="2"/>
    </w:lvl>
  </w:abstractNum>
  <w:abstractNum w:abstractNumId="75">
    <w:nsid w:val="34FD6B4F"/>
    <w:multiLevelType w:val="hybridMultilevel"/>
    <w:lvl w:ilvl="0">
      <w:lvlJc w:val="left"/>
      <w:lvlText w:val="(%1)"/>
      <w:numFmt w:val="lowerLetter"/>
      <w:start w:val="1"/>
    </w:lvl>
  </w:abstractNum>
  <w:abstractNum w:abstractNumId="76">
    <w:nsid w:val="5915FF32"/>
    <w:multiLevelType w:val="hybridMultilevel"/>
    <w:lvl w:ilvl="0">
      <w:lvlJc w:val="left"/>
      <w:lvlText w:val="(%1)"/>
      <w:numFmt w:val="lowerLetter"/>
      <w:start w:val="1"/>
    </w:lvl>
  </w:abstractNum>
  <w:abstractNum w:abstractNumId="77">
    <w:nsid w:val="56438D15"/>
    <w:multiLevelType w:val="hybridMultilevel"/>
    <w:lvl w:ilvl="0">
      <w:lvlJc w:val="left"/>
      <w:lvlText w:val="(%1)"/>
      <w:numFmt w:val="lowerLetter"/>
      <w:start w:val="3"/>
    </w:lvl>
  </w:abstractNum>
  <w:abstractNum w:abstractNumId="78">
    <w:nsid w:val="519E3149"/>
    <w:multiLevelType w:val="hybridMultilevel"/>
    <w:lvl w:ilvl="0">
      <w:lvlJc w:val="left"/>
      <w:lvlText w:val="(%1)"/>
      <w:numFmt w:val="lowerLetter"/>
      <w:start w:val="1"/>
    </w:lvl>
    <w:lvl w:ilvl="1">
      <w:lvlJc w:val="left"/>
      <w:lvlText w:val="(%2)"/>
      <w:numFmt w:val="lowerRoman"/>
      <w:start w:val="1"/>
    </w:lvl>
  </w:abstractNum>
  <w:abstractNum w:abstractNumId="79">
    <w:nsid w:val="2C6E4AFD"/>
    <w:multiLevelType w:val="hybridMultilevel"/>
    <w:lvl w:ilvl="0">
      <w:lvlJc w:val="left"/>
      <w:lvlText w:val="%1"/>
      <w:numFmt w:val="lowerLetter"/>
      <w:start w:val="1"/>
    </w:lvl>
    <w:lvl w:ilvl="1">
      <w:lvlJc w:val="left"/>
      <w:lvlText w:val="(%2)"/>
      <w:numFmt w:val="lowerRoman"/>
      <w:start w:val="3"/>
    </w:lvl>
  </w:abstractNum>
  <w:abstractNum w:abstractNumId="80">
    <w:nsid w:val="17A1B582"/>
    <w:multiLevelType w:val="hybridMultilevel"/>
    <w:lvl w:ilvl="0">
      <w:lvlJc w:val="left"/>
      <w:lvlText w:val="(%1)"/>
      <w:numFmt w:val="lowerLetter"/>
      <w:start w:val="3"/>
    </w:lvl>
    <w:lvl w:ilvl="1">
      <w:lvlJc w:val="left"/>
      <w:lvlText w:val="%2"/>
      <w:numFmt w:val="lowerRoman"/>
      <w:start w:val="1"/>
    </w:lvl>
  </w:abstractNum>
  <w:abstractNum w:abstractNumId="81">
    <w:nsid w:val="4DF72E4E"/>
    <w:multiLevelType w:val="hybridMultilevel"/>
    <w:lvl w:ilvl="0">
      <w:lvlJc w:val="left"/>
      <w:lvlText w:val="(%1)"/>
      <w:numFmt w:val="lowerLetter"/>
      <w:start w:val="4"/>
    </w:lvl>
  </w:abstractNum>
  <w:abstractNum w:abstractNumId="82">
    <w:nsid w:val="5046B5A9"/>
    <w:multiLevelType w:val="hybridMultilevel"/>
    <w:lvl w:ilvl="0">
      <w:lvlJc w:val="left"/>
      <w:lvlText w:val="(%1)"/>
      <w:numFmt w:val="lowerLetter"/>
      <w:start w:val="2"/>
    </w:lvl>
  </w:abstractNum>
  <w:abstractNum w:abstractNumId="83">
    <w:nsid w:val="5D888A08"/>
    <w:multiLevelType w:val="hybridMultilevel"/>
    <w:lvl w:ilvl="0">
      <w:lvlJc w:val="left"/>
      <w:lvlText w:val="(%1)"/>
      <w:numFmt w:val="lowerLetter"/>
      <w:start w:val="1"/>
    </w:lvl>
  </w:abstractNum>
  <w:abstractNum w:abstractNumId="84">
    <w:nsid w:val="2A082C70"/>
    <w:multiLevelType w:val="hybridMultilevel"/>
    <w:lvl w:ilvl="0">
      <w:lvlJc w:val="left"/>
      <w:lvlText w:val="(%1)"/>
      <w:numFmt w:val="lowerLetter"/>
      <w:start w:val="1"/>
    </w:lvl>
  </w:abstractNum>
  <w:abstractNum w:abstractNumId="85">
    <w:nsid w:val="5EC6AFD4"/>
    <w:multiLevelType w:val="hybridMultilevel"/>
    <w:lvl w:ilvl="0">
      <w:lvlJc w:val="left"/>
      <w:lvlText w:val="(%1)"/>
      <w:numFmt w:val="lowerLetter"/>
      <w:start w:val="2"/>
    </w:lvl>
  </w:abstractNum>
  <w:abstractNum w:abstractNumId="86">
    <w:nsid w:val="19E21BB2"/>
    <w:multiLevelType w:val="hybridMultilevel"/>
    <w:lvl w:ilvl="0">
      <w:lvlJc w:val="left"/>
      <w:lvlText w:val="%1"/>
      <w:numFmt w:val="lowerLetter"/>
      <w:start w:val="1"/>
    </w:lvl>
    <w:lvl w:ilvl="1">
      <w:lvlJc w:val="left"/>
      <w:lvlText w:val="(%2)"/>
      <w:numFmt w:val="lowerLetter"/>
      <w:start w:val="1"/>
    </w:lvl>
  </w:abstractNum>
  <w:abstractNum w:abstractNumId="87">
    <w:nsid w:val="75E0858A"/>
    <w:multiLevelType w:val="hybridMultilevel"/>
    <w:lvl w:ilvl="0">
      <w:lvlJc w:val="left"/>
      <w:lvlText w:val="(%1)"/>
      <w:numFmt w:val="lowerLetter"/>
      <w:start w:val="9"/>
    </w:lvl>
    <w:lvl w:ilvl="1">
      <w:lvlJc w:val="left"/>
      <w:lvlText w:val="(%2)"/>
      <w:numFmt w:val="lowerLetter"/>
      <w:start w:val="2"/>
    </w:lvl>
  </w:abstractNum>
  <w:abstractNum w:abstractNumId="88">
    <w:nsid w:val="57A61A29"/>
    <w:multiLevelType w:val="hybridMultilevel"/>
    <w:lvl w:ilvl="0">
      <w:lvlJc w:val="left"/>
      <w:lvlText w:val="(%1)"/>
      <w:numFmt w:val="lowerLetter"/>
      <w:start w:val="1"/>
    </w:lvl>
  </w:abstractNum>
  <w:abstractNum w:abstractNumId="89">
    <w:nsid w:val="5399C654"/>
    <w:multiLevelType w:val="hybridMultilevel"/>
    <w:lvl w:ilvl="0">
      <w:lvlJc w:val="left"/>
      <w:lvlText w:val="(%1)"/>
      <w:numFmt w:val="lowerLetter"/>
      <w:start w:val="1"/>
    </w:lvl>
  </w:abstractNum>
  <w:abstractNum w:abstractNumId="90">
    <w:nsid w:val="20EE1348"/>
    <w:multiLevelType w:val="hybridMultilevel"/>
    <w:lvl w:ilvl="0">
      <w:lvlJc w:val="left"/>
      <w:lvlText w:val="(%1)"/>
      <w:numFmt w:val="lowerLetter"/>
      <w:start w:val="2"/>
    </w:lvl>
  </w:abstractNum>
  <w:abstractNum w:abstractNumId="91">
    <w:nsid w:val="4427069A"/>
    <w:multiLevelType w:val="hybridMultilevel"/>
    <w:lvl w:ilvl="0">
      <w:lvlJc w:val="left"/>
      <w:lvlText w:val="%1"/>
      <w:numFmt w:val="lowerLetter"/>
      <w:start w:val="1"/>
    </w:lvl>
    <w:lvl w:ilvl="1">
      <w:lvlJc w:val="left"/>
      <w:lvlText w:val="(%2)"/>
      <w:numFmt w:val="lowerLetter"/>
      <w:start w:val="1"/>
    </w:lvl>
  </w:abstractNum>
  <w:abstractNum w:abstractNumId="92">
    <w:nsid w:val="B37E80A"/>
    <w:multiLevelType w:val="hybridMultilevel"/>
    <w:lvl w:ilvl="0">
      <w:lvlJc w:val="left"/>
      <w:lvlText w:val="(%1)"/>
      <w:numFmt w:val="lowerLetter"/>
      <w:start w:val="3"/>
    </w:lvl>
    <w:lvl w:ilvl="1">
      <w:lvlJc w:val="left"/>
      <w:lvlText w:val="%2"/>
      <w:numFmt w:val="lowerLetter"/>
      <w:start w:val="1"/>
    </w:lvl>
  </w:abstractNum>
  <w:abstractNum w:abstractNumId="93">
    <w:nsid w:val="2157F6BC"/>
    <w:multiLevelType w:val="hybridMultilevel"/>
    <w:lvl w:ilvl="0">
      <w:lvlJc w:val="left"/>
      <w:lvlText w:val="(%1)"/>
      <w:numFmt w:val="lowerLetter"/>
      <w:start w:val="5"/>
    </w:lvl>
  </w:abstractNum>
  <w:abstractNum w:abstractNumId="94">
    <w:nsid w:val="704E1DD5"/>
    <w:multiLevelType w:val="hybridMultilevel"/>
    <w:lvl w:ilvl="0">
      <w:lvlJc w:val="left"/>
      <w:lvlText w:val="(%1)"/>
      <w:numFmt w:val="lowerLetter"/>
      <w:start w:val="1"/>
    </w:lvl>
  </w:abstractNum>
  <w:abstractNum w:abstractNumId="95">
    <w:nsid w:val="57D2F10E"/>
    <w:multiLevelType w:val="hybridMultilevel"/>
    <w:lvl w:ilvl="0">
      <w:lvlJc w:val="left"/>
      <w:lvlText w:val="(%1)"/>
      <w:numFmt w:val="lowerLetter"/>
      <w:start w:val="2"/>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2"/>
    </w:lvl>
  </w:abstractNum>
  <w:abstractNum w:abstractNumId="98">
    <w:nsid w:val="2E48F044"/>
    <w:multiLevelType w:val="hybridMultilevel"/>
    <w:lvl w:ilvl="0">
      <w:lvlJc w:val="left"/>
      <w:lvlText w:val="(%1)"/>
      <w:numFmt w:val="lowerLetter"/>
      <w:start w:val="6"/>
    </w:lvl>
  </w:abstractNum>
  <w:abstractNum w:abstractNumId="99">
    <w:nsid w:val="49D0FEAC"/>
    <w:multiLevelType w:val="hybridMultilevel"/>
    <w:lvl w:ilvl="0">
      <w:lvlJc w:val="left"/>
      <w:lvlText w:val="(%1)"/>
      <w:numFmt w:val="lowerLetter"/>
      <w:start w:val="1"/>
    </w:lvl>
  </w:abstractNum>
  <w:abstractNum w:abstractNumId="100">
    <w:nsid w:val="4BEE5A5B"/>
    <w:multiLevelType w:val="hybridMultilevel"/>
    <w:lvl w:ilvl="0">
      <w:lvlJc w:val="left"/>
      <w:lvlText w:val="(%1)"/>
      <w:numFmt w:val="lowerLetter"/>
      <w:start w:val="3"/>
    </w:lvl>
  </w:abstractNum>
  <w:abstractNum w:abstractNumId="101">
    <w:nsid w:val="5551B9F3"/>
    <w:multiLevelType w:val="hybridMultilevel"/>
    <w:lvl w:ilvl="0">
      <w:lvlJc w:val="left"/>
      <w:lvlText w:val="(%1)"/>
      <w:numFmt w:val="lowerLetter"/>
      <w:start w:val="1"/>
    </w:lvl>
  </w:abstractNum>
  <w:abstractNum w:abstractNumId="102">
    <w:nsid w:val="24F6AB8E"/>
    <w:multiLevelType w:val="hybridMultilevel"/>
    <w:lvl w:ilvl="0">
      <w:lvlJc w:val="left"/>
      <w:lvlText w:val="(%1)"/>
      <w:numFmt w:val="lowerLetter"/>
      <w:start w:val="3"/>
    </w:lvl>
  </w:abstractNum>
  <w:abstractNum w:abstractNumId="103">
    <w:nsid w:val="634C574C"/>
    <w:multiLevelType w:val="hybridMultilevel"/>
    <w:lvl w:ilvl="0">
      <w:lvlJc w:val="left"/>
      <w:lvlText w:val="(%1)"/>
      <w:numFmt w:val="lowerLetter"/>
      <w:start w:val="13"/>
    </w:lvl>
  </w:abstractNum>
  <w:abstractNum w:abstractNumId="104">
    <w:nsid w:val="24E99DD7"/>
    <w:multiLevelType w:val="hybridMultilevel"/>
    <w:lvl w:ilvl="0">
      <w:lvlJc w:val="left"/>
      <w:lvlText w:val="%1"/>
      <w:numFmt w:val="lowerLetter"/>
      <w:start w:val="1"/>
    </w:lvl>
    <w:lvl w:ilvl="1">
      <w:lvlJc w:val="left"/>
      <w:lvlText w:val="(%2)"/>
      <w:numFmt w:val="lowerLetter"/>
      <w:start w:val="1"/>
    </w:lvl>
  </w:abstractNum>
  <w:abstractNum w:abstractNumId="105">
    <w:nsid w:val="2A31B62D"/>
    <w:multiLevelType w:val="hybridMultilevel"/>
    <w:lvl w:ilvl="0">
      <w:lvlJc w:val="left"/>
      <w:lvlText w:val="(%1)"/>
      <w:numFmt w:val="lowerLetter"/>
      <w:start w:val="35"/>
    </w:lvl>
    <w:lvl w:ilvl="1">
      <w:lvlJc w:val="left"/>
      <w:lvlText w:val="(%2)"/>
      <w:numFmt w:val="lowerLetter"/>
      <w:start w:val="3"/>
    </w:lvl>
  </w:abstractNum>
  <w:abstractNum w:abstractNumId="106">
    <w:nsid w:val="1849C29B"/>
    <w:multiLevelType w:val="hybridMultilevel"/>
    <w:lvl w:ilvl="0">
      <w:lvlJc w:val="left"/>
      <w:lvlText w:val="(%1)"/>
      <w:numFmt w:val="lowerLetter"/>
      <w:start w:val="5"/>
    </w:lvl>
  </w:abstractNum>
  <w:abstractNum w:abstractNumId="107">
    <w:nsid w:val="7DFF9D09"/>
    <w:multiLevelType w:val="hybridMultilevel"/>
    <w:lvl w:ilvl="0">
      <w:lvlJc w:val="left"/>
      <w:lvlText w:val="(%1)"/>
      <w:numFmt w:val="lowerLetter"/>
      <w:start w:val="14"/>
    </w:lvl>
  </w:abstractNum>
  <w:abstractNum w:abstractNumId="108">
    <w:nsid w:val="754342"/>
    <w:multiLevelType w:val="hybridMultilevel"/>
    <w:lvl w:ilvl="0">
      <w:lvlJc w:val="left"/>
      <w:lvlText w:val="%1"/>
      <w:numFmt w:val="lowerLetter"/>
      <w:start w:val="1"/>
    </w:lvl>
    <w:lvl w:ilvl="1">
      <w:lvlJc w:val="left"/>
      <w:lvlText w:val="(%2)"/>
      <w:numFmt w:val="lowerLetter"/>
      <w:start w:val="1"/>
    </w:lvl>
  </w:abstractNum>
  <w:abstractNum w:abstractNumId="109">
    <w:nsid w:val="69E7F3E5"/>
    <w:multiLevelType w:val="hybridMultilevel"/>
    <w:lvl w:ilvl="0">
      <w:lvlJc w:val="left"/>
      <w:lvlText w:val="(%1)"/>
      <w:numFmt w:val="lowerLetter"/>
      <w:start w:val="22"/>
    </w:lvl>
    <w:lvl w:ilvl="1">
      <w:lvlJc w:val="left"/>
      <w:lvlText w:val="(%2)"/>
      <w:numFmt w:val="lowerLetter"/>
      <w:start w:val="2"/>
    </w:lvl>
  </w:abstractNum>
  <w:abstractNum w:abstractNumId="110">
    <w:nsid w:val="2A6DE806"/>
    <w:multiLevelType w:val="hybridMultilevel"/>
    <w:lvl w:ilvl="0">
      <w:lvlJc w:val="left"/>
      <w:lvlText w:val="(%1)"/>
      <w:numFmt w:val="lowerLetter"/>
      <w:start w:val="1"/>
    </w:lvl>
  </w:abstractNum>
  <w:abstractNum w:abstractNumId="111">
    <w:nsid w:val="1816F8C4"/>
    <w:multiLevelType w:val="hybridMultilevel"/>
    <w:lvl w:ilvl="0">
      <w:lvlJc w:val="left"/>
      <w:lvlText w:val="(%1)"/>
      <w:numFmt w:val="lowerRoman"/>
      <w:start w:val="9"/>
    </w:lvl>
  </w:abstractNum>
  <w:abstractNum w:abstractNumId="112">
    <w:nsid w:val="37DF2233"/>
    <w:multiLevelType w:val="hybridMultilevel"/>
    <w:lvl w:ilvl="0">
      <w:lvlJc w:val="left"/>
      <w:lvlText w:val="(%1)"/>
      <w:numFmt w:val="lowerLetter"/>
      <w:start w:val="1"/>
    </w:lvl>
  </w:abstractNum>
  <w:abstractNum w:abstractNumId="113">
    <w:nsid w:val="7AB49DAF"/>
    <w:multiLevelType w:val="hybridMultilevel"/>
    <w:lvl w:ilvl="0">
      <w:lvlJc w:val="left"/>
      <w:lvlText w:val="(%1)"/>
      <w:numFmt w:val="lowerLetter"/>
      <w:start w:val="9"/>
    </w:lvl>
  </w:abstractNum>
  <w:abstractNum w:abstractNumId="114">
    <w:nsid w:val="759F82CD"/>
    <w:multiLevelType w:val="hybridMultilevel"/>
    <w:lvl w:ilvl="0">
      <w:lvlJc w:val="left"/>
      <w:lvlText w:val="(%1)"/>
      <w:numFmt w:val="lowerLetter"/>
      <w:start w:val="1"/>
    </w:lvl>
  </w:abstractNum>
  <w:abstractNum w:abstractNumId="115">
    <w:nsid w:val="61E74EA3"/>
    <w:multiLevelType w:val="hybridMultilevel"/>
    <w:lvl w:ilvl="0">
      <w:lvlJc w:val="left"/>
      <w:lvlText w:val="(%1)"/>
      <w:numFmt w:val="lowerLetter"/>
      <w:start w:val="1"/>
    </w:lvl>
  </w:abstractNum>
  <w:abstractNum w:abstractNumId="116">
    <w:nsid w:val="597B4D84"/>
    <w:multiLevelType w:val="hybridMultilevel"/>
    <w:lvl w:ilvl="0">
      <w:lvlJc w:val="left"/>
      <w:lvlText w:val="(%1)"/>
      <w:numFmt w:val="lowerLetter"/>
      <w:start w:val="5"/>
    </w:lvl>
  </w:abstractNum>
  <w:abstractNum w:abstractNumId="117">
    <w:nsid w:val="F819E7F"/>
    <w:multiLevelType w:val="hybridMultilevel"/>
    <w:lvl w:ilvl="0">
      <w:lvlJc w:val="left"/>
      <w:lvlText w:val="(%1)"/>
      <w:numFmt w:val="lowerLetter"/>
      <w:start w:val="9"/>
    </w:lvl>
  </w:abstractNum>
  <w:abstractNum w:abstractNumId="118">
    <w:nsid w:val="57C7D42D"/>
    <w:multiLevelType w:val="hybridMultilevel"/>
    <w:lvl w:ilvl="0">
      <w:lvlJc w:val="left"/>
      <w:lvlText w:val="(%1)"/>
      <w:numFmt w:val="lowerLetter"/>
      <w:start w:val="1"/>
    </w:lvl>
  </w:abstractNum>
  <w:abstractNum w:abstractNumId="119">
    <w:nsid w:val="312167AD"/>
    <w:multiLevelType w:val="hybridMultilevel"/>
    <w:lvl w:ilvl="0">
      <w:lvlJc w:val="left"/>
      <w:lvlText w:val="(%1)"/>
      <w:numFmt w:val="lowerRoman"/>
      <w:start w:val="1"/>
    </w:lvl>
  </w:abstractNum>
  <w:abstractNum w:abstractNumId="120">
    <w:nsid w:val="631B64D4"/>
    <w:multiLevelType w:val="hybridMultilevel"/>
    <w:lvl w:ilvl="0">
      <w:lvlJc w:val="left"/>
      <w:lvlText w:val="(%1)"/>
      <w:numFmt w:val="lowerRoman"/>
      <w:start w:val="3"/>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123">
    <w:nsid w:val="6E534CDE"/>
    <w:multiLevelType w:val="hybridMultilevel"/>
    <w:lvl w:ilvl="0">
      <w:lvlJc w:val="left"/>
      <w:lvlText w:val="%1"/>
      <w:numFmt w:val="lowerLetter"/>
      <w:start w:val="1"/>
    </w:lvl>
    <w:lvl w:ilvl="1">
      <w:lvlJc w:val="left"/>
      <w:lvlText w:val="(%2)"/>
      <w:numFmt w:val="lowerLetter"/>
      <w:start w:val="35"/>
    </w:lvl>
  </w:abstractNum>
  <w:abstractNum w:abstractNumId="124">
    <w:nsid w:val="1A0DDE32"/>
    <w:multiLevelType w:val="hybridMultilevel"/>
    <w:lvl w:ilvl="0">
      <w:lvlJc w:val="left"/>
      <w:lvlText w:val="(%1)"/>
      <w:numFmt w:val="lowerLetter"/>
      <w:start w:val="4"/>
    </w:lvl>
    <w:lvl w:ilvl="1">
      <w:lvlJc w:val="left"/>
      <w:lvlText w:val="(%2)"/>
      <w:numFmt w:val="lowerLetter"/>
      <w:start w:val="9"/>
    </w:lvl>
  </w:abstractNum>
  <w:abstractNum w:abstractNumId="125">
    <w:nsid w:val="65968C1C"/>
    <w:multiLevelType w:val="hybridMultilevel"/>
    <w:lvl w:ilvl="0">
      <w:lvlJc w:val="left"/>
      <w:lvlText w:val="(%1)"/>
      <w:numFmt w:val="lowerRoman"/>
      <w:start w:val="2"/>
    </w:lvl>
  </w:abstractNum>
  <w:abstractNum w:abstractNumId="126">
    <w:nsid w:val="46263DEC"/>
    <w:multiLevelType w:val="hybridMultilevel"/>
    <w:lvl w:ilvl="0">
      <w:lvlJc w:val="left"/>
      <w:lvlText w:val="(%1)"/>
      <w:numFmt w:val="lowerLetter"/>
      <w:start w:val="7"/>
    </w:lvl>
  </w:abstractNum>
  <w:abstractNum w:abstractNumId="127">
    <w:nsid w:val="260D8C4A"/>
    <w:multiLevelType w:val="hybridMultilevel"/>
    <w:lvl w:ilvl="0">
      <w:lvlJc w:val="left"/>
      <w:lvlText w:val="(%1)"/>
      <w:numFmt w:val="lowerLetter"/>
      <w:start w:val="1"/>
    </w:lvl>
  </w:abstractNum>
  <w:abstractNum w:abstractNumId="128">
    <w:nsid w:val="73D4D3C4"/>
    <w:multiLevelType w:val="hybridMultilevel"/>
    <w:lvl w:ilvl="0">
      <w:lvlJc w:val="left"/>
      <w:lvlText w:val="(%1)"/>
      <w:numFmt w:val="lowerLetter"/>
      <w:start w:val="3"/>
    </w:lvl>
  </w:abstractNum>
  <w:abstractNum w:abstractNumId="129">
    <w:nsid w:val="746F2E30"/>
    <w:multiLevelType w:val="hybridMultilevel"/>
    <w:lvl w:ilvl="0">
      <w:lvlJc w:val="left"/>
      <w:lvlText w:val="(%1)"/>
      <w:numFmt w:val="lowerLetter"/>
      <w:start w:val="1"/>
    </w:lvl>
  </w:abstractNum>
  <w:abstractNum w:abstractNumId="130">
    <w:nsid w:val="6FDE8AF6"/>
    <w:multiLevelType w:val="hybridMultilevel"/>
    <w:lvl w:ilvl="0">
      <w:lvlJc w:val="left"/>
      <w:lvlText w:val="(%1)"/>
      <w:numFmt w:val="lowerLetter"/>
      <w:start w:val="2"/>
    </w:lvl>
  </w:abstractNum>
  <w:abstractNum w:abstractNumId="131">
    <w:nsid w:val="3FC32E20"/>
    <w:multiLevelType w:val="hybridMultilevel"/>
    <w:lvl w:ilvl="0">
      <w:lvlJc w:val="left"/>
      <w:lvlText w:val="(%1)"/>
      <w:numFmt w:val="lowerLetter"/>
      <w:start w:val="4"/>
    </w:lvl>
  </w:abstractNum>
  <w:abstractNum w:abstractNumId="132">
    <w:nsid w:val="49C0E823"/>
    <w:multiLevelType w:val="hybridMultilevel"/>
    <w:lvl w:ilvl="0">
      <w:lvlJc w:val="left"/>
      <w:lvlText w:val="(%1)"/>
      <w:numFmt w:val="lowerLetter"/>
      <w:start w:val="1"/>
    </w:lvl>
  </w:abstractNum>
  <w:abstractNum w:abstractNumId="133">
    <w:nsid w:val="14D53685"/>
    <w:multiLevelType w:val="hybridMultilevel"/>
    <w:lvl w:ilvl="0">
      <w:lvlJc w:val="left"/>
      <w:lvlText w:val="(%1)"/>
      <w:numFmt w:val="lowerLetter"/>
      <w:start w:val="2"/>
    </w:lvl>
  </w:abstractNum>
  <w:abstractNum w:abstractNumId="134">
    <w:nsid w:val="230F856C"/>
    <w:multiLevelType w:val="hybridMultilevel"/>
    <w:lvl w:ilvl="0">
      <w:lvlJc w:val="left"/>
      <w:lvlText w:val="(%1)"/>
      <w:numFmt w:val="lowerLetter"/>
      <w:start w:val="1"/>
    </w:lvl>
  </w:abstractNum>
  <w:abstractNum w:abstractNumId="135">
    <w:nsid w:val="6EAA85FB"/>
    <w:multiLevelType w:val="hybridMultilevel"/>
    <w:lvl w:ilvl="0">
      <w:lvlJc w:val="left"/>
      <w:lvlText w:val="(%1)"/>
      <w:numFmt w:val="lowerLetter"/>
      <w:start w:val="2"/>
    </w:lvl>
  </w:abstractNum>
  <w:abstractNum w:abstractNumId="136">
    <w:nsid w:val="3F06ECB2"/>
    <w:multiLevelType w:val="hybridMultilevel"/>
    <w:lvl w:ilvl="0">
      <w:lvlJc w:val="left"/>
      <w:lvlText w:val="(%1)"/>
      <w:numFmt w:val="lowerLetter"/>
      <w:start w:val="1"/>
    </w:lvl>
  </w:abstractNum>
  <w:abstractNum w:abstractNumId="137">
    <w:nsid w:val="3B594807"/>
    <w:multiLevelType w:val="hybridMultilevel"/>
    <w:lvl w:ilvl="0">
      <w:lvlJc w:val="left"/>
      <w:lvlText w:val="%1"/>
      <w:numFmt w:val="lowerLetter"/>
      <w:start w:val="1"/>
    </w:lvl>
    <w:lvl w:ilvl="1">
      <w:lvlJc w:val="left"/>
      <w:lvlText w:val="(%2)"/>
      <w:numFmt w:val="lowerRoman"/>
      <w:start w:val="1"/>
    </w:lvl>
  </w:abstractNum>
  <w:abstractNum w:abstractNumId="138">
    <w:nsid w:val="6CAA2304"/>
    <w:multiLevelType w:val="hybridMultilevel"/>
    <w:lvl w:ilvl="0">
      <w:lvlJc w:val="left"/>
      <w:lvlText w:val="(%1)"/>
      <w:numFmt w:val="lowerLetter"/>
      <w:start w:val="2"/>
    </w:lvl>
    <w:lvl w:ilvl="1">
      <w:lvlJc w:val="left"/>
      <w:lvlText w:val="%2"/>
      <w:numFmt w:val="lowerRoman"/>
      <w:start w:val="1"/>
    </w:lvl>
  </w:abstractNum>
  <w:abstractNum w:abstractNumId="139">
    <w:nsid w:val="3F7C2FF4"/>
    <w:multiLevelType w:val="hybridMultilevel"/>
    <w:lvl w:ilvl="0">
      <w:lvlJc w:val="left"/>
      <w:lvlText w:val="(%1)"/>
      <w:numFmt w:val="lowerLetter"/>
      <w:start w:val="3"/>
    </w:lvl>
  </w:abstractNum>
  <w:abstractNum w:abstractNumId="140">
    <w:nsid w:val="25413BEC"/>
    <w:multiLevelType w:val="hybridMultilevel"/>
    <w:lvl w:ilvl="0">
      <w:lvlJc w:val="left"/>
      <w:lvlText w:val="(%1)"/>
      <w:numFmt w:val="lowerLetter"/>
      <w:start w:val="1"/>
    </w:lvl>
    <w:lvl w:ilvl="1">
      <w:lvlJc w:val="left"/>
      <w:lvlText w:val="(%2)"/>
      <w:numFmt w:val="lowerLetter"/>
      <w:start w:val="9"/>
    </w:lvl>
  </w:abstractNum>
  <w:abstractNum w:abstractNumId="141">
    <w:nsid w:val="17180B0B"/>
    <w:multiLevelType w:val="hybridMultilevel"/>
    <w:lvl w:ilvl="0">
      <w:lvlJc w:val="left"/>
      <w:lvlText w:val="(%1)"/>
      <w:numFmt w:val="lowerRoman"/>
      <w:start w:val="2"/>
    </w:lvl>
  </w:abstractNum>
  <w:abstractNum w:abstractNumId="142">
    <w:nsid w:val="579328B9"/>
    <w:multiLevelType w:val="hybridMultilevel"/>
    <w:lvl w:ilvl="0">
      <w:lvlJc w:val="left"/>
      <w:lvlText w:val="(%1)"/>
      <w:numFmt w:val="lowerRoman"/>
      <w:start w:val="3"/>
    </w:lvl>
  </w:abstractNum>
  <w:abstractNum w:abstractNumId="143">
    <w:nsid w:val="5D205E20"/>
    <w:multiLevelType w:val="hybridMultilevel"/>
    <w:lvl w:ilvl="0">
      <w:lvlJc w:val="left"/>
      <w:lvlText w:val="(%1)"/>
      <w:numFmt w:val="lowerLetter"/>
      <w:start w:val="2"/>
    </w:lvl>
  </w:abstractNum>
  <w:abstractNum w:abstractNumId="144">
    <w:nsid w:val="11CCA8BA"/>
    <w:multiLevelType w:val="hybridMultilevel"/>
    <w:lvl w:ilvl="0">
      <w:lvlJc w:val="left"/>
      <w:lvlText w:val="(%1)"/>
      <w:numFmt w:val="lowerLetter"/>
      <w:start w:val="3"/>
    </w:lvl>
  </w:abstractNum>
  <w:abstractNum w:abstractNumId="145">
    <w:nsid w:val="4D32AB86"/>
    <w:multiLevelType w:val="hybridMultilevel"/>
    <w:lvl w:ilvl="0">
      <w:lvlJc w:val="left"/>
      <w:lvlText w:val="(%1)"/>
      <w:numFmt w:val="lowerLetter"/>
      <w:start w:val="1"/>
    </w:lvl>
  </w:abstractNum>
  <w:abstractNum w:abstractNumId="146">
    <w:nsid w:val="3F07ACC3"/>
    <w:multiLevelType w:val="hybridMultilevel"/>
    <w:lvl w:ilvl="0">
      <w:lvlJc w:val="left"/>
      <w:lvlText w:val="(%1)"/>
      <w:numFmt w:val="lowerLetter"/>
      <w:start w:val="3"/>
    </w:lvl>
  </w:abstractNum>
  <w:abstractNum w:abstractNumId="147">
    <w:nsid w:val="6B47F63E"/>
    <w:multiLevelType w:val="hybridMultilevel"/>
    <w:lvl w:ilvl="0">
      <w:lvlJc w:val="left"/>
      <w:lvlText w:val="(%1)"/>
      <w:numFmt w:val="lowerLetter"/>
      <w:start w:val="1"/>
    </w:lvl>
  </w:abstractNum>
  <w:abstractNum w:abstractNumId="148">
    <w:nsid w:val="5CB44A05"/>
    <w:multiLevelType w:val="hybridMultilevel"/>
    <w:lvl w:ilvl="0">
      <w:lvlJc w:val="left"/>
      <w:lvlText w:val="(%1)"/>
      <w:numFmt w:val="lowerLetter"/>
      <w:start w:val="2"/>
    </w:lvl>
  </w:abstractNum>
  <w:abstractNum w:abstractNumId="149">
    <w:nsid w:val="16CF80F1"/>
    <w:multiLevelType w:val="hybridMultilevel"/>
    <w:lvl w:ilvl="0">
      <w:lvlJc w:val="left"/>
      <w:lvlText w:val="(%1)"/>
      <w:numFmt w:val="lowerLetter"/>
      <w:start w:val="4"/>
    </w:lvl>
  </w:abstractNum>
  <w:abstractNum w:abstractNumId="150">
    <w:nsid w:val="1C695DEC"/>
    <w:multiLevelType w:val="hybridMultilevel"/>
    <w:lvl w:ilvl="0">
      <w:lvlJc w:val="left"/>
      <w:lvlText w:val="(%1)"/>
      <w:numFmt w:val="lowerLetter"/>
      <w:start w:val="1"/>
    </w:lvl>
  </w:abstractNum>
  <w:abstractNum w:abstractNumId="151">
    <w:nsid w:val="3FCFAED9"/>
    <w:multiLevelType w:val="hybridMultilevel"/>
    <w:lvl w:ilvl="0">
      <w:lvlJc w:val="left"/>
      <w:lvlText w:val="(%1)"/>
      <w:numFmt w:val="lowerRoman"/>
      <w:start w:val="1"/>
    </w:lvl>
    <w:lvl w:ilvl="1">
      <w:lvlJc w:val="left"/>
      <w:lvlText w:val="(%2)"/>
      <w:numFmt w:val="upperLetter"/>
      <w:start w:val="1"/>
    </w:lvl>
  </w:abstractNum>
  <w:abstractNum w:abstractNumId="152">
    <w:nsid w:val="F856867"/>
    <w:multiLevelType w:val="hybridMultilevel"/>
    <w:lvl w:ilvl="0">
      <w:lvlJc w:val="left"/>
      <w:lvlText w:val="%1"/>
      <w:numFmt w:val="lowerRoman"/>
      <w:start w:val="1"/>
    </w:lvl>
    <w:lvl w:ilvl="1">
      <w:lvlJc w:val="left"/>
      <w:lvlText w:val="(%2)"/>
      <w:numFmt w:val="upperLetter"/>
      <w:start w:val="4"/>
    </w:lvl>
  </w:abstractNum>
  <w:abstractNum w:abstractNumId="153">
    <w:nsid w:val="11B1CC33"/>
    <w:multiLevelType w:val="hybridMultilevel"/>
    <w:lvl w:ilvl="0">
      <w:lvlJc w:val="left"/>
      <w:lvlText w:val="(%1)"/>
      <w:numFmt w:val="lowerRoman"/>
      <w:start w:val="3"/>
    </w:lvl>
    <w:lvl w:ilvl="1">
      <w:lvlJc w:val="left"/>
      <w:lvlText w:val="%2"/>
      <w:numFmt w:val="upperLetter"/>
      <w:start w:val="1"/>
    </w:lvl>
  </w:abstractNum>
  <w:abstractNum w:abstractNumId="154">
    <w:nsid w:val="2E22FBB7"/>
    <w:multiLevelType w:val="hybridMultilevel"/>
    <w:lvl w:ilvl="0">
      <w:lvlJc w:val="left"/>
      <w:lvlText w:val="%1"/>
      <w:numFmt w:val="lowerLetter"/>
      <w:start w:val="1"/>
    </w:lvl>
    <w:lvl w:ilvl="1">
      <w:lvlJc w:val="left"/>
      <w:lvlText w:val="(%2)"/>
      <w:numFmt w:val="lowerLetter"/>
      <w:start w:val="3"/>
    </w:lvl>
  </w:abstractNum>
  <w:abstractNum w:abstractNumId="155">
    <w:nsid w:val="29934699"/>
    <w:multiLevelType w:val="hybridMultilevel"/>
    <w:lvl w:ilvl="0">
      <w:lvlJc w:val="left"/>
      <w:lvlText w:val="(%1)"/>
      <w:numFmt w:val="lowerLetter"/>
      <w:start w:val="35"/>
    </w:lvl>
    <w:lvl w:ilvl="1">
      <w:lvlJc w:val="left"/>
      <w:lvlText w:val="%2"/>
      <w:numFmt w:val="lowerLetter"/>
      <w:start w:val="1"/>
    </w:lvl>
  </w:abstractNum>
  <w:abstractNum w:abstractNumId="156">
    <w:nsid w:val="77485850"/>
    <w:multiLevelType w:val="hybridMultilevel"/>
    <w:lvl w:ilvl="0">
      <w:lvlJc w:val="left"/>
      <w:lvlText w:val="(%1)"/>
      <w:numFmt w:val="lowerLetter"/>
      <w:start w:val="4"/>
    </w:lvl>
  </w:abstractNum>
  <w:abstractNum w:abstractNumId="157">
    <w:nsid w:val="744939A3"/>
    <w:multiLevelType w:val="hybridMultilevel"/>
    <w:lvl w:ilvl="0">
      <w:lvlJc w:val="left"/>
      <w:lvlText w:val="(%1)"/>
      <w:numFmt w:val="lowerLetter"/>
      <w:start w:val="1"/>
    </w:lvl>
  </w:abstractNum>
  <w:abstractNum w:abstractNumId="158">
    <w:nsid w:val="4FA0D2E3"/>
    <w:multiLevelType w:val="hybridMultilevel"/>
    <w:lvl w:ilvl="0">
      <w:lvlJc w:val="left"/>
      <w:lvlText w:val="(%1)"/>
      <w:numFmt w:val="lowerLetter"/>
      <w:start w:val="1"/>
    </w:lvl>
  </w:abstractNum>
  <w:abstractNum w:abstractNumId="159">
    <w:nsid w:val="6B1D2C14"/>
    <w:multiLevelType w:val="hybridMultilevel"/>
    <w:lvl w:ilvl="0">
      <w:lvlJc w:val="left"/>
      <w:lvlText w:val="(%1)"/>
      <w:numFmt w:val="lowerLetter"/>
      <w:start w:val="3"/>
    </w:lvl>
  </w:abstractNum>
  <w:abstractNum w:abstractNumId="160">
    <w:nsid w:val="68B867D3"/>
    <w:multiLevelType w:val="hybridMultilevel"/>
    <w:lvl w:ilvl="0">
      <w:lvlJc w:val="left"/>
      <w:lvlText w:val="(%1)"/>
      <w:numFmt w:val="upperLetter"/>
      <w:start w:val="2"/>
    </w:lvl>
  </w:abstractNum>
  <w:abstractNum w:abstractNumId="161">
    <w:nsid w:val="3F7F5DD9"/>
    <w:multiLevelType w:val="hybridMultilevel"/>
    <w:lvl w:ilvl="0">
      <w:lvlJc w:val="left"/>
      <w:lvlText w:val="(%1)"/>
      <w:numFmt w:val="lowerLetter"/>
      <w:start w:val="6"/>
    </w:lvl>
  </w:abstractNum>
  <w:abstractNum w:abstractNumId="162">
    <w:nsid w:val="2AE05A34"/>
    <w:multiLevelType w:val="hybridMultilevel"/>
    <w:lvl w:ilvl="0">
      <w:lvlJc w:val="left"/>
      <w:lvlText w:val="(%1)"/>
      <w:numFmt w:val="lowerLetter"/>
      <w:start w:val="1"/>
    </w:lvl>
  </w:abstractNum>
  <w:abstractNum w:abstractNumId="163">
    <w:nsid w:val="32794FF7"/>
    <w:multiLevelType w:val="hybridMultilevel"/>
    <w:lvl w:ilvl="0">
      <w:lvlJc w:val="left"/>
      <w:lvlText w:val="(%1)"/>
      <w:numFmt w:val="lowerLetter"/>
      <w:start w:val="1"/>
    </w:lvl>
  </w:abstractNum>
  <w:abstractNum w:abstractNumId="164">
    <w:nsid w:val="5454945E"/>
    <w:multiLevelType w:val="hybridMultilevel"/>
    <w:lvl w:ilvl="0">
      <w:lvlJc w:val="left"/>
      <w:lvlText w:val="(%1)"/>
      <w:numFmt w:val="lowerLetter"/>
      <w:start w:val="3"/>
    </w:lvl>
  </w:abstractNum>
  <w:abstractNum w:abstractNumId="165">
    <w:nsid w:val="4DEFDFA0"/>
    <w:multiLevelType w:val="hybridMultilevel"/>
    <w:lvl w:ilvl="0">
      <w:lvlJc w:val="left"/>
      <w:lvlText w:val="(%1)"/>
      <w:numFmt w:val="lowerLetter"/>
      <w:start w:val="1"/>
    </w:lvl>
    <w:lvl w:ilvl="1">
      <w:lvlJc w:val="left"/>
      <w:lvlText w:val="(%2)"/>
      <w:numFmt w:val="lowerRoman"/>
      <w:start w:val="1"/>
    </w:lvl>
  </w:abstractNum>
  <w:abstractNum w:abstractNumId="166">
    <w:nsid w:val="2123D5F2"/>
    <w:multiLevelType w:val="hybridMultilevel"/>
    <w:lvl w:ilvl="0">
      <w:lvlJc w:val="left"/>
      <w:lvlText w:val="(%1)"/>
      <w:numFmt w:val="lowerRoman"/>
      <w:start w:val="3"/>
    </w:lvl>
  </w:abstractNum>
  <w:abstractNum w:abstractNumId="167">
    <w:nsid w:val="135B8110"/>
    <w:multiLevelType w:val="hybridMultilevel"/>
    <w:lvl w:ilvl="0">
      <w:lvlJc w:val="left"/>
      <w:lvlText w:val="(%1)"/>
      <w:numFmt w:val="lowerLetter"/>
      <w:start w:val="1"/>
    </w:lvl>
  </w:abstractNum>
  <w:abstractNum w:abstractNumId="168">
    <w:nsid w:val="94927A8"/>
    <w:multiLevelType w:val="hybridMultilevel"/>
    <w:lvl w:ilvl="0">
      <w:lvlJc w:val="left"/>
      <w:lvlText w:val="(%1)"/>
      <w:numFmt w:val="lowerLetter"/>
      <w:start w:val="4"/>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lowerLetter"/>
      <w:start w:val="2"/>
    </w:lvl>
  </w:abstractNum>
  <w:abstractNum w:abstractNumId="171">
    <w:nsid w:val="2E8A6394"/>
    <w:multiLevelType w:val="hybridMultilevel"/>
    <w:lvl w:ilvl="0">
      <w:lvlJc w:val="left"/>
      <w:lvlText w:val="%1."/>
      <w:numFmt w:val="decimal"/>
      <w:start w:val="1"/>
    </w:lvl>
    <w:lvl w:ilvl="1">
      <w:lvlJc w:val="left"/>
      <w:lvlText w:val="%2."/>
      <w:numFmt w:val="lowerLetter"/>
      <w:start w:val="1"/>
    </w:lvl>
  </w:abstractNum>
  <w:abstractNum w:abstractNumId="172">
    <w:nsid w:val="24E604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2022-11-08T18:17:12Z</dcterms:created>
  <dcterms:modified xsi:type="dcterms:W3CDTF">2022-11-08T18:17:12Z</dcterms:modified>
</cp:coreProperties>
</file>