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7108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7108190"/>
                    </a:xfrm>
                    <a:prstGeom prst="rect">
                      <a:avLst/>
                    </a:prstGeom>
                    <a:noFill/>
                  </pic:spPr>
                </pic:pic>
              </a:graphicData>
            </a:graphic>
          </wp:anchor>
        </w:drawing>
      </w:r>
    </w:p>
    <w:p>
      <w:pPr>
        <w:spacing w:after="0" w:line="1256" w:lineRule="exact"/>
        <w:rPr>
          <w:sz w:val="24"/>
          <w:szCs w:val="24"/>
          <w:color w:val="auto"/>
        </w:rPr>
      </w:pPr>
    </w:p>
    <w:p>
      <w:pPr>
        <w:sectPr>
          <w:pgSz w:w="11900" w:h="16896"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Jiyane Siphelele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AFFIRM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CALIFORNIA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Affirm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AFRM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539" w:lineRule="exact"/>
        <w:rPr>
          <w:sz w:val="24"/>
          <w:szCs w:val="24"/>
          <w:color w:val="auto"/>
        </w:rPr>
      </w:pPr>
    </w:p>
    <w:p>
      <w:pPr>
        <w:sectPr>
          <w:pgSz w:w="11900" w:h="16896"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200" w:type="dxa"/>
            <w:vAlign w:val="bottom"/>
            <w:tcBorders>
              <w:right w:val="single" w:sz="8" w:color="9A9A9A"/>
            </w:tcBorders>
            <w:shd w:val="clear" w:color="auto" w:fill="9A9A9A"/>
          </w:tcPr>
          <w:p>
            <w:pPr>
              <w:spacing w:after="0"/>
              <w:rPr>
                <w:sz w:val="3"/>
                <w:szCs w:val="3"/>
                <w:color w:val="auto"/>
              </w:rPr>
            </w:pPr>
          </w:p>
        </w:tc>
        <w:tc>
          <w:tcPr>
            <w:tcW w:w="3680" w:type="dxa"/>
            <w:vAlign w:val="bottom"/>
            <w:gridSpan w:val="9"/>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80" w:type="dxa"/>
            <w:vAlign w:val="bottom"/>
            <w:gridSpan w:val="9"/>
            <w:vMerge w:val="continue"/>
          </w:tcPr>
          <w:p>
            <w:pPr>
              <w:spacing w:after="0"/>
              <w:rPr>
                <w:sz w:val="9"/>
                <w:szCs w:val="9"/>
                <w:color w:val="auto"/>
              </w:rPr>
            </w:pPr>
          </w:p>
        </w:tc>
        <w:tc>
          <w:tcPr>
            <w:tcW w:w="36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580" w:type="dxa"/>
            <w:vAlign w:val="bottom"/>
          </w:tcPr>
          <w:p>
            <w:pPr>
              <w:spacing w:after="0"/>
              <w:rPr>
                <w:sz w:val="18"/>
                <w:szCs w:val="18"/>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5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4"/>
              </w:rPr>
              <w:t>11,547</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99"/>
              <w:spacing w:after="0"/>
              <w:rPr>
                <w:sz w:val="20"/>
                <w:szCs w:val="20"/>
                <w:color w:val="auto"/>
              </w:rPr>
            </w:pPr>
            <w:r>
              <w:rPr>
                <w:rFonts w:ascii="Times New Roman" w:cs="Times New Roman" w:eastAsia="Times New Roman" w:hAnsi="Times New Roman"/>
                <w:sz w:val="17"/>
                <w:szCs w:val="17"/>
                <w:color w:val="0000FF"/>
              </w:rPr>
              <w:t>239,757</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1"/>
              </w:rPr>
              <w:t>4,546</w:t>
            </w:r>
            <w:r>
              <w:rPr>
                <w:rFonts w:ascii="Times New Roman" w:cs="Times New Roman" w:eastAsia="Times New Roman" w:hAnsi="Times New Roman"/>
                <w:sz w:val="21"/>
                <w:szCs w:val="21"/>
                <w:color w:val="008000"/>
                <w:w w:val="91"/>
                <w:vertAlign w:val="superscript"/>
              </w:rPr>
              <w:t>(2)</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72.91</w:t>
            </w:r>
          </w:p>
        </w:tc>
        <w:tc>
          <w:tcPr>
            <w:tcW w:w="1200" w:type="dxa"/>
            <w:vAlign w:val="bottom"/>
            <w:tcBorders>
              <w:bottom w:val="single" w:sz="8" w:color="2C2C2C"/>
            </w:tcBorders>
            <w:gridSpan w:val="2"/>
          </w:tcPr>
          <w:p>
            <w:pPr>
              <w:jc w:val="right"/>
              <w:ind w:right="279"/>
              <w:spacing w:after="0"/>
              <w:rPr>
                <w:sz w:val="20"/>
                <w:szCs w:val="20"/>
                <w:color w:val="auto"/>
              </w:rPr>
            </w:pPr>
            <w:r>
              <w:rPr>
                <w:rFonts w:ascii="Times New Roman" w:cs="Times New Roman" w:eastAsia="Times New Roman" w:hAnsi="Times New Roman"/>
                <w:sz w:val="17"/>
                <w:szCs w:val="17"/>
                <w:color w:val="0000FF"/>
              </w:rPr>
              <w:t>235,211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8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4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1,667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1,667</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1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8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4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2,083</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2,083</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5"/>
              </w:rPr>
              <w:t>4,167</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8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4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3,334</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3,334</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10,000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18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(7)</w:t>
            </w:r>
          </w:p>
        </w:tc>
        <w:tc>
          <w:tcPr>
            <w:tcW w:w="4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2,500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2,500</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10,000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18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(8)</w:t>
            </w:r>
          </w:p>
        </w:tc>
        <w:tc>
          <w:tcPr>
            <w:tcW w:w="4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842</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39"/>
              <w:spacing w:after="0" w:line="143" w:lineRule="exact"/>
              <w:rPr>
                <w:sz w:val="20"/>
                <w:szCs w:val="20"/>
                <w:color w:val="auto"/>
              </w:rPr>
            </w:pPr>
            <w:r>
              <w:rPr>
                <w:rFonts w:ascii="Times New Roman" w:cs="Times New Roman" w:eastAsia="Times New Roman" w:hAnsi="Times New Roman"/>
                <w:sz w:val="13"/>
                <w:szCs w:val="13"/>
                <w:color w:val="0000FF"/>
              </w:rPr>
              <w:t>842</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1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(9)</w:t>
            </w:r>
          </w:p>
        </w:tc>
        <w:tc>
          <w:tcPr>
            <w:tcW w:w="18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(9)</w:t>
            </w:r>
          </w:p>
        </w:tc>
        <w:tc>
          <w:tcPr>
            <w:tcW w:w="4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1,121</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1,121</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5"/>
              </w:rPr>
              <w:t>8,975</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-3883660</wp:posOffset>
            </wp:positionV>
            <wp:extent cx="29210" cy="3888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8887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361 shares of common stock purchased in an exempt transaction under the issuer's employee stock purchase plan.</w:t>
      </w:r>
    </w:p>
    <w:p>
      <w:pPr>
        <w:spacing w:after="0" w:line="45" w:lineRule="exact"/>
        <w:rPr>
          <w:rFonts w:ascii="Times New Roman" w:cs="Times New Roman" w:eastAsia="Times New Roman" w:hAnsi="Times New Roman"/>
          <w:sz w:val="13"/>
          <w:szCs w:val="13"/>
          <w:color w:val="008000"/>
        </w:rPr>
      </w:pPr>
    </w:p>
    <w:p>
      <w:pPr>
        <w:ind w:left="40" w:right="6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to satisfy the Reporting Person's tax obligation in connection with the settlement of shares of Common Stock underlying the Reporting Person's restricted stock units that vested on June 1, 2026.</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for a period of three years beginning September 1, 2023, subject to the Reporting Person's continued employment with the Issuer as of each vesting date. This grant has no expiration date.</w:t>
      </w:r>
    </w:p>
    <w:p>
      <w:pPr>
        <w:spacing w:after="0" w:line="1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for a period of three years beginning March 1, 2024, subject to the Reporting Person's continued employment with the Issuer as of each vesting date. This grant has no expiration date.</w:t>
      </w:r>
    </w:p>
    <w:p>
      <w:pPr>
        <w:spacing w:after="0" w:line="1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for a period of three years beginning June 1, 2024, subject to the Reporting Person's continued employment with the Issuer as of each vesting date. This grant has no expiration date.</w:t>
      </w:r>
    </w:p>
    <w:p>
      <w:pPr>
        <w:spacing w:after="0" w:line="1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for a period of three years beginning September 1, 2024, subject to the Reporting Person's continued employment with the Issuer as of each vesting date. This grant has no expiration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for a period of one year beginning September 1, 2025, subject to the Reporting Person's continued employment with the Issuer as of each vesting date. This</w:t>
      </w:r>
    </w:p>
    <w:p>
      <w:pPr>
        <w:sectPr>
          <w:pgSz w:w="11900" w:h="16896"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grant has no expiration date.</w:t>
      </w:r>
    </w:p>
    <w:p>
      <w:pPr>
        <w:spacing w:after="0" w:line="46" w:lineRule="exact"/>
        <w:rPr>
          <w:sz w:val="20"/>
          <w:szCs w:val="20"/>
          <w:color w:val="auto"/>
        </w:rPr>
      </w:pPr>
    </w:p>
    <w:p>
      <w:pPr>
        <w:ind w:firstLine="3"/>
        <w:spacing w:after="0" w:line="259"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for a period of three years beginning September 1, 2025, subject to the Reporting Person's continued employment with the Issuer as of each vesting date. This grant has no expiration date.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Josh Samples,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260" w:firstLine="3"/>
        <w:spacing w:after="0" w:line="339"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2806" TargetMode="External"/><Relationship Id="rId14" Type="http://schemas.openxmlformats.org/officeDocument/2006/relationships/hyperlink" Target="http://www.sec.gov/cgi-bin/browse-edgar?action=getcompany&amp;CIK=0001820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2026-06-03T15:13:06Z</dcterms:created>
  <dcterms:modified xsi:type="dcterms:W3CDTF">2026-06-03T15:13:06Z</dcterms:modified>
</cp:coreProperties>
</file>