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CellMar>
          <w:top w:w="28" w:type="dxa"/>
          <w:left w:w="28" w:type="dxa"/>
          <w:bottom w:w="28" w:type="dxa"/>
          <w:right w:w="28" w:type="dxa"/>
        </w:tblCellMar>
      </w:tblPr>
      <w:tblGrid>
        <w:gridCol w:w="141"/>
        <w:gridCol w:w="124"/>
        <w:gridCol w:w="126"/>
        <w:gridCol w:w="2871"/>
        <w:gridCol w:w="2871"/>
        <w:gridCol w:w="4072"/>
      </w:tblGrid>
      <w:tr>
        <w:trPr/>
        <w:tc>
          <w:tcPr>
            <w:tcW w:w="1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4072" w:type="dxa"/>
            <w:tcBorders/>
            <w:shd w:fill="auto" w:val="clear"/>
            <w:vAlign w:val="center"/>
          </w:tcPr>
          <w:p>
            <w:pPr>
              <w:pStyle w:val="TableContents"/>
              <w:spacing w:before="0" w:after="283"/>
              <w:rPr>
                <w:sz w:val="4"/>
                <w:szCs w:val="4"/>
              </w:rPr>
            </w:pPr>
            <w:r>
              <w:rPr>
                <w:sz w:val="4"/>
                <w:szCs w:val="4"/>
              </w:rPr>
            </w:r>
          </w:p>
        </w:tc>
      </w:tr>
      <w:tr>
        <w:trPr/>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color w:val="000000"/>
              </w:rPr>
            </w:pPr>
            <w:r>
              <w:rPr>
                <w:color w:val="000000"/>
              </w:rPr>
              <w:t> ☒</w:t>
            </w:r>
          </w:p>
        </w:tc>
        <w:tc>
          <w:tcPr>
            <w:tcW w:w="981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41"/>
        <w:gridCol w:w="124"/>
        <w:gridCol w:w="126"/>
        <w:gridCol w:w="2873"/>
        <w:gridCol w:w="2873"/>
        <w:gridCol w:w="4068"/>
      </w:tblGrid>
      <w:tr>
        <w:trPr/>
        <w:tc>
          <w:tcPr>
            <w:tcW w:w="1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8" w:type="dxa"/>
            <w:tcBorders/>
            <w:shd w:fill="auto" w:val="clear"/>
            <w:vAlign w:val="center"/>
          </w:tcPr>
          <w:p>
            <w:pPr>
              <w:pStyle w:val="TableContents"/>
              <w:spacing w:before="0" w:after="283"/>
              <w:rPr>
                <w:sz w:val="4"/>
                <w:szCs w:val="4"/>
              </w:rPr>
            </w:pPr>
            <w:r>
              <w:rPr>
                <w:sz w:val="4"/>
                <w:szCs w:val="4"/>
              </w:rPr>
            </w:r>
          </w:p>
        </w:tc>
      </w:tr>
      <w:tr>
        <w:trPr/>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color w:val="000000"/>
              </w:rPr>
            </w:pPr>
            <w:r>
              <w:rPr>
                <w:color w:val="000000"/>
              </w:rPr>
              <w:t> ☐</w:t>
            </w:r>
          </w:p>
        </w:tc>
        <w:tc>
          <w:tcPr>
            <w:tcW w:w="981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001-39888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Affirm Holdings,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648" w:type="dxa"/>
        <w:jc w:val="center"/>
        <w:tblInd w:w="0" w:type="dxa"/>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84-2224323</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29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650 California 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 Francisco, 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94108</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(415) 984-0490</w:t>
      </w:r>
    </w:p>
    <w:p>
      <w:pPr>
        <w:pStyle w:val="TextBody"/>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Act: </w:t>
      </w:r>
    </w:p>
    <w:tbl>
      <w:tblPr>
        <w:tblW w:w="9607" w:type="dxa"/>
        <w:jc w:val="center"/>
        <w:tblInd w:w="0" w:type="dxa"/>
        <w:tblCellMar>
          <w:top w:w="28" w:type="dxa"/>
          <w:left w:w="28" w:type="dxa"/>
          <w:bottom w:w="28" w:type="dxa"/>
          <w:right w:w="28" w:type="dxa"/>
        </w:tblCellMar>
      </w:tblPr>
      <w:tblGrid>
        <w:gridCol w:w="1415"/>
        <w:gridCol w:w="1246"/>
        <w:gridCol w:w="1254"/>
        <w:gridCol w:w="109"/>
        <w:gridCol w:w="109"/>
        <w:gridCol w:w="109"/>
        <w:gridCol w:w="519"/>
        <w:gridCol w:w="519"/>
        <w:gridCol w:w="521"/>
        <w:gridCol w:w="109"/>
        <w:gridCol w:w="109"/>
        <w:gridCol w:w="109"/>
        <w:gridCol w:w="1019"/>
        <w:gridCol w:w="1019"/>
        <w:gridCol w:w="1441"/>
      </w:tblGrid>
      <w:tr>
        <w:trPr/>
        <w:tc>
          <w:tcPr>
            <w:tcW w:w="1415"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AFRM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spacing w:before="0" w:after="0"/>
        <w:jc w:val="center"/>
        <w:rPr/>
      </w:pPr>
      <w:r>
        <w:rPr/>
      </w:r>
    </w:p>
    <w:p>
      <w:pPr>
        <w:pStyle w:val="TextBody"/>
        <w:spacing w:lineRule="auto" w:line="345" w:before="0" w:after="0"/>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before="0" w:after="0"/>
        <w:jc w:val="both"/>
        <w:rPr/>
      </w:pPr>
      <w:r>
        <w:rPr/>
      </w:r>
    </w:p>
    <w:p>
      <w:pPr>
        <w:pStyle w:val="TextBody"/>
        <w:spacing w:lineRule="auto" w:line="345" w:before="0" w:after="0"/>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617" w:type="dxa"/>
        <w:jc w:val="center"/>
        <w:tblInd w:w="0" w:type="dxa"/>
        <w:tblCellMar>
          <w:top w:w="28" w:type="dxa"/>
          <w:left w:w="28" w:type="dxa"/>
          <w:bottom w:w="28" w:type="dxa"/>
          <w:right w:w="28" w:type="dxa"/>
        </w:tblCellMar>
      </w:tblPr>
      <w:tblGrid>
        <w:gridCol w:w="641"/>
        <w:gridCol w:w="563"/>
        <w:gridCol w:w="565"/>
        <w:gridCol w:w="109"/>
        <w:gridCol w:w="109"/>
        <w:gridCol w:w="109"/>
        <w:gridCol w:w="679"/>
        <w:gridCol w:w="679"/>
        <w:gridCol w:w="682"/>
        <w:gridCol w:w="140"/>
        <w:gridCol w:w="140"/>
        <w:gridCol w:w="201"/>
      </w:tblGrid>
      <w:tr>
        <w:trPr/>
        <w:tc>
          <w:tcPr>
            <w:tcW w:w="64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  ☐</w:t>
            </w:r>
          </w:p>
        </w:tc>
      </w:tr>
      <w:tr>
        <w:trPr/>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0"/>
              <w:ind w:left="0" w:right="0" w:firstLine="90"/>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64" w:before="0" w:after="20"/>
              <w:jc w:val="both"/>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  ☐</w:t>
            </w:r>
          </w:p>
        </w:tc>
      </w:tr>
      <w:tr>
        <w:trPr/>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  ☐</w:t>
            </w:r>
          </w:p>
        </w:tc>
      </w:tr>
    </w:tbl>
    <w:p>
      <w:pPr>
        <w:pStyle w:val="TextBody"/>
        <w:spacing w:lineRule="auto" w:line="345" w:before="0" w:after="0"/>
        <w:jc w:val="center"/>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rPr/>
      </w:pPr>
      <w:r>
        <w:rPr/>
      </w:r>
    </w:p>
    <w:p>
      <w:pPr>
        <w:pStyle w:val="TextBody"/>
        <w:spacing w:lineRule="auto" w:line="264" w:before="0" w:after="0"/>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spacing w:before="0" w:after="0"/>
        <w:rPr/>
      </w:pPr>
      <w:r>
        <w:rPr/>
      </w:r>
    </w:p>
    <w:p>
      <w:pPr>
        <w:pStyle w:val="TextBody"/>
        <w:spacing w:lineRule="auto" w:line="345" w:before="0" w:after="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As of May 10, 2022, the number of shares of the registrant’s Class A common stock outstanding was 226,270,872 and the number of shares of the registrant's Class B common stock outstanding was 60,159,497.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20"/>
        </w:rPr>
        <w:t>TABLE OF CONTENTS</w:t>
      </w:r>
      <w:r>
        <w:rPr>
          <w:color w:val="000000"/>
        </w:rPr>
        <w:t xml:space="preserve"> </w:t>
      </w:r>
    </w:p>
    <w:tbl>
      <w:tblPr>
        <w:tblW w:w="10205" w:type="dxa"/>
        <w:jc w:val="left"/>
        <w:tblInd w:w="0" w:type="dxa"/>
        <w:tblCellMar>
          <w:top w:w="28" w:type="dxa"/>
          <w:left w:w="28" w:type="dxa"/>
          <w:bottom w:w="28" w:type="dxa"/>
          <w:right w:w="28" w:type="dxa"/>
        </w:tblCellMar>
      </w:tblPr>
      <w:tblGrid>
        <w:gridCol w:w="3582"/>
        <w:gridCol w:w="2873"/>
        <w:gridCol w:w="2910"/>
        <w:gridCol w:w="109"/>
        <w:gridCol w:w="109"/>
        <w:gridCol w:w="109"/>
        <w:gridCol w:w="149"/>
        <w:gridCol w:w="149"/>
        <w:gridCol w:w="215"/>
      </w:tblGrid>
      <w:tr>
        <w:trPr/>
        <w:tc>
          <w:tcPr>
            <w:tcW w:w="3582"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29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9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60"/>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65"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0"/>
              <w:jc w:val="left"/>
              <w:rPr/>
            </w:pPr>
            <w:hyperlink w:anchor="ie3f01f6ae4f34ee8b226f5be0bac3307_1">
              <w:r>
                <w:rPr>
                  <w:rStyle w:val="InternetLink"/>
                  <w:rFonts w:ascii="Times New Roman;sans-serif" w:hAnsi="Times New Roman;sans-serif"/>
                  <w:b w:val="false"/>
                  <w:color w:val="0000FF"/>
                  <w:sz w:val="20"/>
                  <w:u w:val="single"/>
                </w:rPr>
                <w:t>Cover</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hyperlink w:anchor="ie3f01f6ae4f34ee8b226f5be0bac3307_1">
              <w:r>
                <w:rPr>
                  <w:rStyle w:val="InternetLink"/>
                  <w:rFonts w:ascii="Times New Roman;sans-serif" w:hAnsi="Times New Roman;sans-serif"/>
                  <w:b w:val="false"/>
                  <w:color w:val="0000FF"/>
                  <w:sz w:val="20"/>
                  <w:u w:val="single"/>
                </w:rPr>
                <w:t>1</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7">
              <w:r>
                <w:rPr>
                  <w:rStyle w:val="InternetLink"/>
                  <w:rFonts w:ascii="Times New Roman;sans-serif" w:hAnsi="Times New Roman;sans-serif"/>
                  <w:b w:val="false"/>
                  <w:color w:val="0000FF"/>
                  <w:sz w:val="20"/>
                  <w:u w:val="single"/>
                </w:rPr>
                <w:t>Table of Contents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7">
              <w:r>
                <w:rPr>
                  <w:rStyle w:val="InternetLink"/>
                  <w:rFonts w:ascii="Times New Roman;sans-serif" w:hAnsi="Times New Roman;sans-serif"/>
                  <w:b w:val="false"/>
                  <w:color w:val="0000FF"/>
                  <w:sz w:val="20"/>
                  <w:u w:val="single"/>
                </w:rPr>
                <w:t>2</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10">
              <w:r>
                <w:rPr>
                  <w:rStyle w:val="InternetLink"/>
                  <w:rFonts w:ascii="Times New Roman;sans-serif" w:hAnsi="Times New Roman;sans-serif"/>
                  <w:b w:val="false"/>
                  <w:color w:val="0000FF"/>
                  <w:sz w:val="20"/>
                  <w:u w:val="single"/>
                </w:rPr>
                <w:t>Part I - Financial Information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10">
              <w:r>
                <w:rPr>
                  <w:rStyle w:val="InternetLink"/>
                  <w:rFonts w:ascii="Times New Roman;sans-serif" w:hAnsi="Times New Roman;sans-serif"/>
                  <w:b w:val="false"/>
                  <w:color w:val="0000FF"/>
                  <w:sz w:val="20"/>
                  <w:u w:val="single"/>
                </w:rPr>
                <w:t>5</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13">
              <w:r>
                <w:rPr>
                  <w:rStyle w:val="InternetLink"/>
                  <w:rFonts w:ascii="Times New Roman;sans-serif" w:hAnsi="Times New Roman;sans-serif"/>
                  <w:b w:val="false"/>
                  <w:color w:val="0000FF"/>
                  <w:sz w:val="20"/>
                  <w:u w:val="single"/>
                </w:rPr>
                <w:t>Item 1. Unaudited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13">
              <w:r>
                <w:rPr>
                  <w:rStyle w:val="InternetLink"/>
                  <w:rFonts w:ascii="Times New Roman;sans-serif" w:hAnsi="Times New Roman;sans-serif"/>
                  <w:b w:val="false"/>
                  <w:color w:val="0000FF"/>
                  <w:sz w:val="20"/>
                  <w:u w:val="single"/>
                </w:rPr>
                <w:t>5</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16">
              <w:r>
                <w:rPr>
                  <w:rStyle w:val="InternetLink"/>
                  <w:rFonts w:ascii="Times New Roman;sans-serif" w:hAnsi="Times New Roman;sans-serif"/>
                  <w:b w:val="false"/>
                  <w:color w:val="0000FF"/>
                  <w:sz w:val="20"/>
                  <w:u w:val="single"/>
                </w:rPr>
                <w:t>CONDENSED CONSOLIDATED BALANCE SHEETS (Unaudited)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16">
              <w:r>
                <w:rPr>
                  <w:rStyle w:val="InternetLink"/>
                  <w:rFonts w:ascii="Times New Roman;sans-serif" w:hAnsi="Times New Roman;sans-serif"/>
                  <w:b w:val="false"/>
                  <w:color w:val="0000FF"/>
                  <w:sz w:val="20"/>
                  <w:u w:val="single"/>
                </w:rPr>
                <w:t>5</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19">
              <w:r>
                <w:rPr>
                  <w:rStyle w:val="InternetLink"/>
                  <w:rFonts w:ascii="Times New Roman;sans-serif" w:hAnsi="Times New Roman;sans-serif"/>
                  <w:b w:val="false"/>
                  <w:color w:val="0000FF"/>
                  <w:sz w:val="20"/>
                  <w:u w:val="single"/>
                </w:rPr>
                <w:t>CONDENSED CONSOLIDATED BALANCE SHEETS, CONT. (Unaudited)</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19">
              <w:r>
                <w:rPr>
                  <w:rStyle w:val="InternetLink"/>
                  <w:rFonts w:ascii="Times New Roman;sans-serif" w:hAnsi="Times New Roman;sans-serif"/>
                  <w:b w:val="false"/>
                  <w:color w:val="0000FF"/>
                  <w:sz w:val="20"/>
                  <w:u w:val="single"/>
                </w:rPr>
                <w:t>6</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2">
              <w:r>
                <w:rPr>
                  <w:rStyle w:val="InternetLink"/>
                  <w:rFonts w:ascii="Times New Roman;sans-serif" w:hAnsi="Times New Roman;sans-serif"/>
                  <w:b w:val="false"/>
                  <w:color w:val="0000FF"/>
                  <w:sz w:val="20"/>
                  <w:u w:val="single"/>
                </w:rPr>
                <w:t>CONDENSED CONSOLIDATED STATEMENTS OF OPERATIONS AND COMPREHENSIVE LOSS (Unaudited)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2">
              <w:r>
                <w:rPr>
                  <w:rStyle w:val="InternetLink"/>
                  <w:rFonts w:ascii="Times New Roman;sans-serif" w:hAnsi="Times New Roman;sans-serif"/>
                  <w:b w:val="false"/>
                  <w:color w:val="0000FF"/>
                  <w:sz w:val="20"/>
                  <w:u w:val="single"/>
                </w:rPr>
                <w:t>7</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5">
              <w:r>
                <w:rPr>
                  <w:rStyle w:val="InternetLink"/>
                  <w:rFonts w:ascii="Times New Roman;sans-serif" w:hAnsi="Times New Roman;sans-serif"/>
                  <w:b w:val="false"/>
                  <w:color w:val="0000FF"/>
                  <w:sz w:val="20"/>
                  <w:u w:val="single"/>
                </w:rPr>
                <w:t>CONDENSED CONSOLIDATED STATEMENT OF REDEEMABLE CONVERTIBLE PREFERRED STOCK AND STOCKHOLDERS’ EQUITY (DEFICIT) (Unaudited)</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5">
              <w:r>
                <w:rPr>
                  <w:rStyle w:val="InternetLink"/>
                  <w:rFonts w:ascii="Times New Roman;sans-serif" w:hAnsi="Times New Roman;sans-serif"/>
                  <w:b w:val="false"/>
                  <w:color w:val="0000FF"/>
                  <w:sz w:val="20"/>
                  <w:u w:val="single"/>
                </w:rPr>
                <w:t>8</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8">
              <w:r>
                <w:rPr>
                  <w:rStyle w:val="InternetLink"/>
                  <w:rFonts w:ascii="Times New Roman;sans-serif" w:hAnsi="Times New Roman;sans-serif"/>
                  <w:b w:val="false"/>
                  <w:color w:val="0000FF"/>
                  <w:sz w:val="20"/>
                  <w:u w:val="single"/>
                </w:rPr>
                <w:t>CONDENSED CONSOLIDATED STATEMENTS OF CASH FLOWS (Unaudited)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8">
              <w:r>
                <w:rPr>
                  <w:rStyle w:val="InternetLink"/>
                  <w:rFonts w:ascii="Times New Roman;sans-serif" w:hAnsi="Times New Roman;sans-serif"/>
                  <w:b w:val="false"/>
                  <w:color w:val="0000FF"/>
                  <w:sz w:val="20"/>
                  <w:u w:val="single"/>
                </w:rPr>
                <w:t>10</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31">
              <w:r>
                <w:rPr>
                  <w:rStyle w:val="InternetLink"/>
                  <w:rFonts w:ascii="Times New Roman;sans-serif" w:hAnsi="Times New Roman;sans-serif"/>
                  <w:b w:val="false"/>
                  <w:color w:val="0000FF"/>
                  <w:sz w:val="20"/>
                  <w:u w:val="single"/>
                </w:rPr>
                <w:t>CONDENSED CONSOLIDATED STATEMENTS OF CASH FLOWS, CONT. (Unaudited)</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31">
              <w:r>
                <w:rPr>
                  <w:rStyle w:val="InternetLink"/>
                  <w:rFonts w:ascii="Times New Roman;sans-serif" w:hAnsi="Times New Roman;sans-serif"/>
                  <w:b w:val="false"/>
                  <w:color w:val="0000FF"/>
                  <w:sz w:val="20"/>
                  <w:u w:val="single"/>
                </w:rPr>
                <w:t>11</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34">
              <w:r>
                <w:rPr>
                  <w:rStyle w:val="InternetLink"/>
                  <w:rFonts w:ascii="Times New Roman;sans-serif" w:hAnsi="Times New Roman;sans-serif"/>
                  <w:b w:val="false"/>
                  <w:color w:val="0000FF"/>
                  <w:sz w:val="20"/>
                  <w:u w:val="single"/>
                </w:rPr>
                <w:t>1.    Business Description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34">
              <w:r>
                <w:rPr>
                  <w:rStyle w:val="InternetLink"/>
                  <w:rFonts w:ascii="Times New Roman;sans-serif" w:hAnsi="Times New Roman;sans-serif"/>
                  <w:b w:val="false"/>
                  <w:color w:val="0000FF"/>
                  <w:sz w:val="20"/>
                  <w:u w:val="single"/>
                </w:rPr>
                <w:t>12</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37">
              <w:r>
                <w:rPr>
                  <w:rStyle w:val="InternetLink"/>
                  <w:rFonts w:ascii="Times New Roman;sans-serif" w:hAnsi="Times New Roman;sans-serif"/>
                  <w:b w:val="false"/>
                  <w:color w:val="0000FF"/>
                  <w:sz w:val="20"/>
                  <w:u w:val="single"/>
                </w:rPr>
                <w:t>2.    Summary of Significant Accounting Policies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37">
              <w:r>
                <w:rPr>
                  <w:rStyle w:val="InternetLink"/>
                  <w:rFonts w:ascii="Times New Roman;sans-serif" w:hAnsi="Times New Roman;sans-serif"/>
                  <w:b w:val="false"/>
                  <w:color w:val="0000FF"/>
                  <w:sz w:val="20"/>
                  <w:u w:val="single"/>
                </w:rPr>
                <w:t>12</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43">
              <w:r>
                <w:rPr>
                  <w:rStyle w:val="InternetLink"/>
                  <w:rFonts w:ascii="Times New Roman;sans-serif" w:hAnsi="Times New Roman;sans-serif"/>
                  <w:b w:val="false"/>
                  <w:color w:val="0000FF"/>
                  <w:sz w:val="20"/>
                  <w:u w:val="single"/>
                </w:rPr>
                <w:t>3.    Interest Income</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43">
              <w:r>
                <w:rPr>
                  <w:rStyle w:val="InternetLink"/>
                  <w:rFonts w:ascii="Times New Roman;sans-serif" w:hAnsi="Times New Roman;sans-serif"/>
                  <w:b w:val="false"/>
                  <w:color w:val="0000FF"/>
                  <w:sz w:val="20"/>
                  <w:u w:val="single"/>
                </w:rPr>
                <w:t>17</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46">
              <w:r>
                <w:rPr>
                  <w:rStyle w:val="InternetLink"/>
                  <w:rFonts w:ascii="Times New Roman;sans-serif" w:hAnsi="Times New Roman;sans-serif"/>
                  <w:b w:val="false"/>
                  <w:color w:val="0000FF"/>
                  <w:sz w:val="20"/>
                  <w:u w:val="single"/>
                </w:rPr>
                <w:t>4. Loans Held for Investment and Allowance for Credit Losses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46">
              <w:r>
                <w:rPr>
                  <w:rStyle w:val="InternetLink"/>
                  <w:rFonts w:ascii="Times New Roman;sans-serif" w:hAnsi="Times New Roman;sans-serif"/>
                  <w:b w:val="false"/>
                  <w:color w:val="0000FF"/>
                  <w:sz w:val="20"/>
                  <w:u w:val="single"/>
                </w:rPr>
                <w:t>18</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49">
              <w:r>
                <w:rPr>
                  <w:rStyle w:val="InternetLink"/>
                  <w:rFonts w:ascii="Times New Roman;sans-serif" w:hAnsi="Times New Roman;sans-serif"/>
                  <w:b w:val="false"/>
                  <w:color w:val="0000FF"/>
                  <w:sz w:val="20"/>
                  <w:u w:val="single"/>
                </w:rPr>
                <w:t>5. Business Combinations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49">
              <w:r>
                <w:rPr>
                  <w:rStyle w:val="InternetLink"/>
                  <w:rFonts w:ascii="Times New Roman;sans-serif" w:hAnsi="Times New Roman;sans-serif"/>
                  <w:b w:val="false"/>
                  <w:color w:val="0000FF"/>
                  <w:sz w:val="20"/>
                  <w:u w:val="single"/>
                </w:rPr>
                <w:t>20</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52">
              <w:r>
                <w:rPr>
                  <w:rStyle w:val="InternetLink"/>
                  <w:rFonts w:ascii="Times New Roman;sans-serif" w:hAnsi="Times New Roman;sans-serif"/>
                  <w:b w:val="false"/>
                  <w:color w:val="0000FF"/>
                  <w:sz w:val="20"/>
                  <w:u w:val="single"/>
                </w:rPr>
                <w:t>6. Balance Sheet Components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52">
              <w:r>
                <w:rPr>
                  <w:rStyle w:val="InternetLink"/>
                  <w:rFonts w:ascii="Times New Roman;sans-serif" w:hAnsi="Times New Roman;sans-serif"/>
                  <w:b w:val="false"/>
                  <w:color w:val="0000FF"/>
                  <w:sz w:val="20"/>
                  <w:u w:val="single"/>
                </w:rPr>
                <w:t>26</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58">
              <w:r>
                <w:rPr>
                  <w:rStyle w:val="InternetLink"/>
                  <w:rFonts w:ascii="Times New Roman;sans-serif" w:hAnsi="Times New Roman;sans-serif"/>
                  <w:b w:val="false"/>
                  <w:color w:val="0000FF"/>
                  <w:sz w:val="20"/>
                  <w:u w:val="single"/>
                </w:rPr>
                <w:t>7. Leases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58">
              <w:r>
                <w:rPr>
                  <w:rStyle w:val="InternetLink"/>
                  <w:rFonts w:ascii="Times New Roman;sans-serif" w:hAnsi="Times New Roman;sans-serif"/>
                  <w:b w:val="false"/>
                  <w:color w:val="0000FF"/>
                  <w:sz w:val="20"/>
                  <w:u w:val="single"/>
                </w:rPr>
                <w:t>29</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64">
              <w:r>
                <w:rPr>
                  <w:rStyle w:val="InternetLink"/>
                  <w:rFonts w:ascii="Times New Roman;sans-serif" w:hAnsi="Times New Roman;sans-serif"/>
                  <w:b w:val="false"/>
                  <w:color w:val="0000FF"/>
                  <w:sz w:val="20"/>
                  <w:u w:val="single"/>
                </w:rPr>
                <w:t>8. Commitments and Contingencies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64">
              <w:r>
                <w:rPr>
                  <w:rStyle w:val="InternetLink"/>
                  <w:rFonts w:ascii="Times New Roman;sans-serif" w:hAnsi="Times New Roman;sans-serif"/>
                  <w:b w:val="false"/>
                  <w:color w:val="0000FF"/>
                  <w:sz w:val="20"/>
                  <w:u w:val="single"/>
                </w:rPr>
                <w:t>30</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67">
              <w:r>
                <w:rPr>
                  <w:rStyle w:val="InternetLink"/>
                  <w:rFonts w:ascii="Times New Roman;sans-serif" w:hAnsi="Times New Roman;sans-serif"/>
                  <w:b w:val="false"/>
                  <w:color w:val="0000FF"/>
                  <w:sz w:val="20"/>
                  <w:u w:val="single"/>
                </w:rPr>
                <w:t>9. Transactions with Related Parties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67">
              <w:r>
                <w:rPr>
                  <w:rStyle w:val="InternetLink"/>
                  <w:rFonts w:ascii="Times New Roman;sans-serif" w:hAnsi="Times New Roman;sans-serif"/>
                  <w:b w:val="false"/>
                  <w:color w:val="0000FF"/>
                  <w:sz w:val="20"/>
                  <w:u w:val="single"/>
                </w:rPr>
                <w:t>31</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70">
              <w:r>
                <w:rPr>
                  <w:rStyle w:val="InternetLink"/>
                  <w:rFonts w:ascii="Times New Roman;sans-serif" w:hAnsi="Times New Roman;sans-serif"/>
                  <w:b w:val="false"/>
                  <w:color w:val="0000FF"/>
                  <w:sz w:val="20"/>
                  <w:u w:val="single"/>
                </w:rPr>
                <w:t>10. Debt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70">
              <w:r>
                <w:rPr>
                  <w:rStyle w:val="InternetLink"/>
                  <w:rFonts w:ascii="Times New Roman;sans-serif" w:hAnsi="Times New Roman;sans-serif"/>
                  <w:b w:val="false"/>
                  <w:color w:val="0000FF"/>
                  <w:sz w:val="20"/>
                  <w:u w:val="single"/>
                </w:rPr>
                <w:t>31</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79">
              <w:r>
                <w:rPr>
                  <w:rStyle w:val="InternetLink"/>
                  <w:rFonts w:ascii="Times New Roman;sans-serif" w:hAnsi="Times New Roman;sans-serif"/>
                  <w:b w:val="false"/>
                  <w:color w:val="0000FF"/>
                  <w:sz w:val="20"/>
                  <w:u w:val="single"/>
                </w:rPr>
                <w:t>11. Securitization and Variable Interest Entities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79">
              <w:r>
                <w:rPr>
                  <w:rStyle w:val="InternetLink"/>
                  <w:rFonts w:ascii="Times New Roman;sans-serif" w:hAnsi="Times New Roman;sans-serif"/>
                  <w:b w:val="false"/>
                  <w:color w:val="0000FF"/>
                  <w:sz w:val="20"/>
                  <w:u w:val="single"/>
                </w:rPr>
                <w:t>34</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85">
              <w:r>
                <w:rPr>
                  <w:rStyle w:val="InternetLink"/>
                  <w:rFonts w:ascii="Times New Roman;sans-serif" w:hAnsi="Times New Roman;sans-serif"/>
                  <w:b w:val="false"/>
                  <w:color w:val="0000FF"/>
                  <w:sz w:val="20"/>
                  <w:u w:val="single"/>
                </w:rPr>
                <w:t>12.  Investments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85">
              <w:r>
                <w:rPr>
                  <w:rStyle w:val="InternetLink"/>
                  <w:rFonts w:ascii="Times New Roman;sans-serif" w:hAnsi="Times New Roman;sans-serif"/>
                  <w:b w:val="false"/>
                  <w:color w:val="0000FF"/>
                  <w:sz w:val="20"/>
                  <w:u w:val="single"/>
                </w:rPr>
                <w:t>38</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88">
              <w:r>
                <w:rPr>
                  <w:rStyle w:val="InternetLink"/>
                  <w:rFonts w:ascii="Times New Roman;sans-serif" w:hAnsi="Times New Roman;sans-serif"/>
                  <w:b w:val="false"/>
                  <w:color w:val="0000FF"/>
                  <w:sz w:val="20"/>
                  <w:u w:val="single"/>
                </w:rPr>
                <w:t>13. Fair Value of Financial Assets and Liabilities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88">
              <w:r>
                <w:rPr>
                  <w:rStyle w:val="InternetLink"/>
                  <w:rFonts w:ascii="Times New Roman;sans-serif" w:hAnsi="Times New Roman;sans-serif"/>
                  <w:b w:val="false"/>
                  <w:color w:val="0000FF"/>
                  <w:sz w:val="20"/>
                  <w:u w:val="single"/>
                </w:rPr>
                <w:t>41</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94">
              <w:r>
                <w:rPr>
                  <w:rStyle w:val="InternetLink"/>
                  <w:rFonts w:ascii="Times New Roman;sans-serif" w:hAnsi="Times New Roman;sans-serif"/>
                  <w:b w:val="false"/>
                  <w:color w:val="0000FF"/>
                  <w:sz w:val="20"/>
                  <w:u w:val="single"/>
                </w:rPr>
                <w:t>14. Redeemable Convertible Preferred Stock and Stockholders' Equity</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94">
              <w:r>
                <w:rPr>
                  <w:rStyle w:val="InternetLink"/>
                  <w:rFonts w:ascii="Times New Roman;sans-serif" w:hAnsi="Times New Roman;sans-serif"/>
                  <w:b w:val="false"/>
                  <w:color w:val="0000FF"/>
                  <w:sz w:val="20"/>
                  <w:u w:val="single"/>
                </w:rPr>
                <w:t>52</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106">
              <w:r>
                <w:rPr>
                  <w:rStyle w:val="InternetLink"/>
                  <w:rFonts w:ascii="Times New Roman;sans-serif" w:hAnsi="Times New Roman;sans-serif"/>
                  <w:b w:val="false"/>
                  <w:color w:val="0000FF"/>
                  <w:sz w:val="20"/>
                  <w:u w:val="single"/>
                </w:rPr>
                <w:t>15. Equity Incentive Plans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106">
              <w:r>
                <w:rPr>
                  <w:rStyle w:val="InternetLink"/>
                  <w:rFonts w:ascii="Times New Roman;sans-serif" w:hAnsi="Times New Roman;sans-serif"/>
                  <w:b w:val="false"/>
                  <w:color w:val="0000FF"/>
                  <w:sz w:val="20"/>
                  <w:u w:val="single"/>
                </w:rPr>
                <w:t>54</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112">
              <w:r>
                <w:rPr>
                  <w:rStyle w:val="InternetLink"/>
                  <w:rFonts w:ascii="Times New Roman;sans-serif" w:hAnsi="Times New Roman;sans-serif"/>
                  <w:b w:val="false"/>
                  <w:color w:val="0000FF"/>
                  <w:sz w:val="20"/>
                  <w:u w:val="single"/>
                </w:rPr>
                <w:t>16. Income Taxes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112">
              <w:r>
                <w:rPr>
                  <w:rStyle w:val="InternetLink"/>
                  <w:rFonts w:ascii="Times New Roman;sans-serif" w:hAnsi="Times New Roman;sans-serif"/>
                  <w:b w:val="false"/>
                  <w:color w:val="0000FF"/>
                  <w:sz w:val="20"/>
                  <w:u w:val="single"/>
                </w:rPr>
                <w:t>56</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115">
              <w:r>
                <w:rPr>
                  <w:rStyle w:val="InternetLink"/>
                  <w:rFonts w:ascii="Times New Roman;sans-serif" w:hAnsi="Times New Roman;sans-serif"/>
                  <w:b w:val="false"/>
                  <w:color w:val="0000FF"/>
                  <w:sz w:val="20"/>
                  <w:u w:val="single"/>
                </w:rPr>
                <w:t>17. Net Loss per Share Attributable to Common Stockholders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115">
              <w:r>
                <w:rPr>
                  <w:rStyle w:val="InternetLink"/>
                  <w:rFonts w:ascii="Times New Roman;sans-serif" w:hAnsi="Times New Roman;sans-serif"/>
                  <w:b w:val="false"/>
                  <w:color w:val="0000FF"/>
                  <w:sz w:val="20"/>
                  <w:u w:val="single"/>
                </w:rPr>
                <w:t>57</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124">
              <w:r>
                <w:rPr>
                  <w:rStyle w:val="InternetLink"/>
                  <w:rFonts w:ascii="Times New Roman;sans-serif" w:hAnsi="Times New Roman;sans-serif"/>
                  <w:b w:val="false"/>
                  <w:color w:val="0000FF"/>
                  <w:sz w:val="20"/>
                  <w:u w:val="single"/>
                </w:rPr>
                <w:t>18. Segments and Geographical Information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124">
              <w:r>
                <w:rPr>
                  <w:rStyle w:val="InternetLink"/>
                  <w:rFonts w:ascii="Times New Roman;sans-serif" w:hAnsi="Times New Roman;sans-serif"/>
                  <w:b w:val="false"/>
                  <w:color w:val="0000FF"/>
                  <w:sz w:val="20"/>
                  <w:u w:val="single"/>
                </w:rPr>
                <w:t>59</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127">
              <w:r>
                <w:rPr>
                  <w:rStyle w:val="InternetLink"/>
                  <w:rFonts w:ascii="Times New Roman;sans-serif" w:hAnsi="Times New Roman;sans-serif"/>
                  <w:b w:val="false"/>
                  <w:color w:val="0000FF"/>
                  <w:sz w:val="20"/>
                  <w:u w:val="single"/>
                </w:rPr>
                <w:t>19. Subsequent Events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127">
              <w:r>
                <w:rPr>
                  <w:rStyle w:val="InternetLink"/>
                  <w:rFonts w:ascii="Times New Roman;sans-serif" w:hAnsi="Times New Roman;sans-serif"/>
                  <w:b w:val="false"/>
                  <w:color w:val="0000FF"/>
                  <w:sz w:val="20"/>
                  <w:u w:val="single"/>
                </w:rPr>
                <w:t>59</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13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133">
              <w:r>
                <w:rPr>
                  <w:rStyle w:val="InternetLink"/>
                  <w:rFonts w:ascii="Times New Roman;sans-serif" w:hAnsi="Times New Roman;sans-serif"/>
                  <w:b w:val="false"/>
                  <w:color w:val="0000FF"/>
                  <w:sz w:val="20"/>
                  <w:u w:val="single"/>
                </w:rPr>
                <w:t>60</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08">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08">
              <w:r>
                <w:rPr>
                  <w:rStyle w:val="InternetLink"/>
                  <w:rFonts w:ascii="Times New Roman;sans-serif" w:hAnsi="Times New Roman;sans-serif"/>
                  <w:b w:val="false"/>
                  <w:color w:val="0000FF"/>
                  <w:sz w:val="20"/>
                  <w:u w:val="single"/>
                </w:rPr>
                <w:t>85</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11">
              <w:r>
                <w:rPr>
                  <w:rStyle w:val="InternetLink"/>
                  <w:rFonts w:ascii="Times New Roman;sans-serif" w:hAnsi="Times New Roman;sans-serif"/>
                  <w:b w:val="false"/>
                  <w:color w:val="0000FF"/>
                  <w:sz w:val="20"/>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11">
              <w:r>
                <w:rPr>
                  <w:rStyle w:val="InternetLink"/>
                  <w:rFonts w:ascii="Times New Roman;sans-serif" w:hAnsi="Times New Roman;sans-serif"/>
                  <w:b w:val="false"/>
                  <w:color w:val="0000FF"/>
                  <w:sz w:val="20"/>
                  <w:u w:val="single"/>
                </w:rPr>
                <w:t>86</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17">
              <w:r>
                <w:rPr>
                  <w:rStyle w:val="InternetLink"/>
                  <w:rFonts w:ascii="Times New Roman;sans-serif" w:hAnsi="Times New Roman;sans-serif"/>
                  <w:b w:val="false"/>
                  <w:color w:val="0000FF"/>
                  <w:sz w:val="20"/>
                  <w:u w:val="single"/>
                </w:rPr>
                <w:t>Part II - Other Information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17">
              <w:r>
                <w:rPr>
                  <w:rStyle w:val="InternetLink"/>
                  <w:rFonts w:ascii="Times New Roman;sans-serif" w:hAnsi="Times New Roman;sans-serif"/>
                  <w:b w:val="false"/>
                  <w:color w:val="0000FF"/>
                  <w:sz w:val="20"/>
                  <w:u w:val="single"/>
                </w:rPr>
                <w:t>87</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20">
              <w:r>
                <w:rPr>
                  <w:rStyle w:val="InternetLink"/>
                  <w:rFonts w:ascii="Times New Roman;sans-serif" w:hAnsi="Times New Roman;sans-serif"/>
                  <w:b w:val="false"/>
                  <w:color w:val="0000FF"/>
                  <w:sz w:val="20"/>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20">
              <w:r>
                <w:rPr>
                  <w:rStyle w:val="InternetLink"/>
                  <w:rFonts w:ascii="Times New Roman;sans-serif" w:hAnsi="Times New Roman;sans-serif"/>
                  <w:b w:val="false"/>
                  <w:color w:val="0000FF"/>
                  <w:sz w:val="20"/>
                  <w:u w:val="single"/>
                </w:rPr>
                <w:t>88</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23">
              <w:r>
                <w:rPr>
                  <w:rStyle w:val="InternetLink"/>
                  <w:rFonts w:ascii="Times New Roman;sans-serif" w:hAnsi="Times New Roman;sans-serif"/>
                  <w:b w:val="false"/>
                  <w:color w:val="0000FF"/>
                  <w:sz w:val="20"/>
                  <w:u w:val="single"/>
                </w:rPr>
                <w:t>Item 1A. Risk Factors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23">
              <w:r>
                <w:rPr>
                  <w:rStyle w:val="InternetLink"/>
                  <w:rFonts w:ascii="Times New Roman;sans-serif" w:hAnsi="Times New Roman;sans-serif"/>
                  <w:b w:val="false"/>
                  <w:color w:val="0000FF"/>
                  <w:sz w:val="20"/>
                  <w:u w:val="single"/>
                </w:rPr>
                <w:t>89</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26">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26">
              <w:r>
                <w:rPr>
                  <w:rStyle w:val="InternetLink"/>
                  <w:rFonts w:ascii="Times New Roman;sans-serif" w:hAnsi="Times New Roman;sans-serif"/>
                  <w:b w:val="false"/>
                  <w:color w:val="0000FF"/>
                  <w:sz w:val="20"/>
                  <w:u w:val="single"/>
                </w:rPr>
                <w:t>93</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29">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29">
              <w:r>
                <w:rPr>
                  <w:rStyle w:val="InternetLink"/>
                  <w:rFonts w:ascii="Times New Roman;sans-serif" w:hAnsi="Times New Roman;sans-serif"/>
                  <w:b w:val="false"/>
                  <w:color w:val="0000FF"/>
                  <w:sz w:val="20"/>
                  <w:u w:val="single"/>
                </w:rPr>
                <w:t>93</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32">
              <w:r>
                <w:rPr>
                  <w:rStyle w:val="InternetLink"/>
                  <w:rFonts w:ascii="Times New Roman;sans-serif" w:hAnsi="Times New Roman;sans-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32">
              <w:r>
                <w:rPr>
                  <w:rStyle w:val="InternetLink"/>
                  <w:rFonts w:ascii="Times New Roman;sans-serif" w:hAnsi="Times New Roman;sans-serif"/>
                  <w:b w:val="false"/>
                  <w:color w:val="0000FF"/>
                  <w:sz w:val="20"/>
                  <w:u w:val="single"/>
                </w:rPr>
                <w:t>93</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35">
              <w:r>
                <w:rPr>
                  <w:rStyle w:val="InternetLink"/>
                  <w:rFonts w:ascii="Times New Roman;sans-serif" w:hAnsi="Times New Roman;sans-serif"/>
                  <w:b w:val="false"/>
                  <w:color w:val="0000FF"/>
                  <w:sz w:val="20"/>
                  <w:u w:val="single"/>
                </w:rPr>
                <w:t>Item 5. Other Information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35">
              <w:r>
                <w:rPr>
                  <w:rStyle w:val="InternetLink"/>
                  <w:rFonts w:ascii="Times New Roman;sans-serif" w:hAnsi="Times New Roman;sans-serif"/>
                  <w:b w:val="false"/>
                  <w:color w:val="0000FF"/>
                  <w:sz w:val="20"/>
                  <w:u w:val="single"/>
                </w:rPr>
                <w:t>93</w:t>
              </w:r>
            </w:hyperlink>
          </w:p>
        </w:tc>
      </w:tr>
      <w:tr>
        <w:trPr/>
        <w:tc>
          <w:tcPr>
            <w:tcW w:w="9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41">
              <w:r>
                <w:rPr>
                  <w:rStyle w:val="InternetLink"/>
                  <w:rFonts w:ascii="Times New Roman;sans-serif" w:hAnsi="Times New Roman;sans-serif"/>
                  <w:b w:val="false"/>
                  <w:color w:val="0000FF"/>
                  <w:sz w:val="20"/>
                  <w:u w:val="single"/>
                </w:rPr>
                <w:t>Item 6. Exhibits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41">
              <w:r>
                <w:rPr>
                  <w:rStyle w:val="InternetLink"/>
                  <w:rFonts w:ascii="Times New Roman;sans-serif" w:hAnsi="Times New Roman;sans-serif"/>
                  <w:b w:val="false"/>
                  <w:color w:val="0000FF"/>
                  <w:sz w:val="20"/>
                  <w:u w:val="single"/>
                </w:rPr>
                <w:t>94</w:t>
              </w:r>
            </w:hyperlink>
          </w:p>
        </w:tc>
      </w:tr>
      <w:tr>
        <w:trPr/>
        <w:tc>
          <w:tcPr>
            <w:tcW w:w="9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e3f01f6ae4f34ee8b226f5be0bac3307_244">
              <w:r>
                <w:rPr>
                  <w:rStyle w:val="InternetLink"/>
                  <w:rFonts w:ascii="Times New Roman;sans-serif" w:hAnsi="Times New Roman;sans-serif"/>
                  <w:b w:val="false"/>
                  <w:color w:val="0000FF"/>
                  <w:sz w:val="20"/>
                  <w:u w:val="single"/>
                </w:rPr>
                <w:t>Signatures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e3f01f6ae4f34ee8b226f5be0bac3307_244">
              <w:r>
                <w:rPr>
                  <w:rStyle w:val="InternetLink"/>
                  <w:rFonts w:ascii="Times New Roman;sans-serif" w:hAnsi="Times New Roman;sans-serif"/>
                  <w:b w:val="false"/>
                  <w:color w:val="0000FF"/>
                  <w:sz w:val="20"/>
                  <w:u w:val="single"/>
                </w:rPr>
                <w:t>95</w:t>
              </w:r>
            </w:hyperlink>
          </w:p>
        </w:tc>
      </w:tr>
    </w:tbl>
    <w:p>
      <w:pPr>
        <w:pStyle w:val="TextBody"/>
        <w:spacing w:before="0" w:after="0"/>
        <w:ind w:left="0" w:right="0" w:firstLine="405"/>
        <w:rPr/>
      </w:pPr>
      <w:r>
        <w:rPr/>
      </w:r>
    </w:p>
    <w:p>
      <w:pPr>
        <w:pStyle w:val="TextBody"/>
        <w:spacing w:before="0" w:after="0"/>
        <w:ind w:left="0" w:right="0" w:firstLine="405"/>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0"/>
        <w:jc w:val="center"/>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This Quarterly Report on Form 10-Q (“Form 10-Q”), as well as information included in oral statements or other written statements made or to be made by us, contains </w:t>
      </w:r>
      <w:r>
        <w:rPr>
          <w:rFonts w:ascii="Times New Roman;sans-serif" w:hAnsi="Times New Roman;sans-serif"/>
          <w:b w:val="false"/>
          <w:color w:val="000000"/>
          <w:sz w:val="20"/>
          <w:highlight w:val="white"/>
        </w:rPr>
        <w:t>forward-looking statements within the meaning of Section 27A of the Securities Act of 1933, as amended (the “Securities Act”) , and Section 21E of the Securities Exchange Act of 1934, as amended (the “Exchange Act”), that involve substantial risks and uncertainties.</w:t>
      </w:r>
      <w:r>
        <w:rPr>
          <w:color w:val="000000"/>
        </w:rPr>
        <w:t xml:space="preserve"> </w:t>
      </w:r>
      <w:r>
        <w:rPr>
          <w:rFonts w:ascii="Times New Roman;sans-serif" w:hAnsi="Times New Roman;sans-serif"/>
          <w:b w:val="false"/>
          <w:color w:val="000000"/>
          <w:sz w:val="20"/>
          <w:highlight w:val="white"/>
        </w:rPr>
        <w:t>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r>
        <w:rPr>
          <w:color w:val="000000"/>
        </w:rPr>
        <w:t xml:space="preserve"> </w:t>
      </w:r>
    </w:p>
    <w:p>
      <w:pPr>
        <w:pStyle w:val="TextBody"/>
        <w:spacing w:before="0" w:after="0"/>
        <w:ind w:left="0" w:right="0" w:firstLine="720"/>
        <w:rPr/>
      </w:pPr>
      <w:r>
        <w:rPr/>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expectations regarding our future revenue, expenses, and other operating results and key operating metrics;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attract additional merchants and retain and grow our relationships with our existing merchant and commerce partners;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compete successfully in a highly competitive industry;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attract new consumers and retain and grow our relationships with our existing consumers;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highlight w:val="white"/>
        </w:rPr>
        <w:t>our expectations regarding the development, innovation, introduction of, and demand for, our products;;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successfully engage new originating bank partners;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availability of funding sources to support our business model;</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effectively price and score credit risk using our proprietary risk model;</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performance of loans facilitated and originated through our platform;</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future growth rate of our revenue and related key operating metrics;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achieve or sustain profitability in the future;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ability to remain in compliance with laws and regulations that currently apply or become applicable to our business;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protect our confidential, proprietary, or sensitive information;</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past and future acquisitions, investments, and other strategic investments;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maintain, protect, and enhance our brand and intellectual property;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litigation, investigations, regulatory inquiries, and proceedings;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impact of macroeconomic conditions on our business, including the impact of the COVID-19 pandemic; and</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highlight w:val="white"/>
        </w:rPr>
        <w:t>the size and growth rates of the markets in which we compete.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10-Q and our most recently filed Annual Report on Form 10-K. Other sections of this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36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spacing w:before="0" w:after="0"/>
        <w:ind w:left="0" w:right="0" w:firstLine="360"/>
        <w:jc w:val="both"/>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statements such as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we may announce material business and financial information to our investors using our investor relations website (investors.affirm.com), our filings with the Securities and Exchange Commission (“SEC”), webcasts, press releases, and conference calls.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as an inactive textual reference and for convenience only, and do not intend it to be an active link to our website.</w:t>
      </w:r>
    </w:p>
    <w:p>
      <w:pPr>
        <w:pStyle w:val="TextBody"/>
        <w:spacing w:before="0" w:after="0"/>
        <w:ind w:left="0" w:right="0" w:firstLine="4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Unaudited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AFFIRM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shares and per share amounts)</w:t>
      </w:r>
    </w:p>
    <w:tbl>
      <w:tblPr>
        <w:tblW w:w="10205" w:type="dxa"/>
        <w:jc w:val="center"/>
        <w:tblInd w:w="0" w:type="dxa"/>
        <w:tblCellMar>
          <w:top w:w="28" w:type="dxa"/>
          <w:left w:w="28" w:type="dxa"/>
          <w:bottom w:w="28" w:type="dxa"/>
          <w:right w:w="28" w:type="dxa"/>
        </w:tblCellMar>
      </w:tblPr>
      <w:tblGrid>
        <w:gridCol w:w="2672"/>
        <w:gridCol w:w="2197"/>
        <w:gridCol w:w="2229"/>
        <w:gridCol w:w="109"/>
        <w:gridCol w:w="109"/>
        <w:gridCol w:w="109"/>
        <w:gridCol w:w="199"/>
        <w:gridCol w:w="904"/>
        <w:gridCol w:w="111"/>
        <w:gridCol w:w="109"/>
        <w:gridCol w:w="109"/>
        <w:gridCol w:w="109"/>
        <w:gridCol w:w="196"/>
        <w:gridCol w:w="886"/>
        <w:gridCol w:w="157"/>
      </w:tblGrid>
      <w:tr>
        <w:trPr/>
        <w:tc>
          <w:tcPr>
            <w:tcW w:w="2672"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2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2021</w:t>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2,261,937 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1,466,558 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413,628 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226,074 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available for sale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617,023 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2,502,860 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2,022,320 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(159,475)</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(117,760)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investment,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2,343,385 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1,904,560 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124,614 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91,575 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software,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141,658 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62,499 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547,393 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516,515 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60,890 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67,930 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agreement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287,129 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227,377 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230,451 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274,679 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7,031,726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4,866,967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48,985 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57,758 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third-party loan owners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35,962 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50,079 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313,307 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323,577 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senior notes,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1,705,624 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issued by securitization trusts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1,447,568 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1,176,673 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Funding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901,233 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680,602 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4,455,671 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2,291,440 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color w:val="000000"/>
              </w:rPr>
            </w:pPr>
            <w:r>
              <w:rPr>
                <w:color w:val="000000"/>
              </w:rPr>
              <w:t>    </w:t>
            </w:r>
            <w:r>
              <w:rPr>
                <w:rFonts w:ascii="Times New Roman;sans-serif" w:hAnsi="Times New Roman;sans-serif"/>
                <w:b w:val="false"/>
                <w:color w:val="000000"/>
                <w:sz w:val="16"/>
              </w:rPr>
              <w:t>Class A common stock, par value $0.00001 per share: 3,030,000,000 shares authorized, 225,617,857 shares issued and outstanding as of March 31, 2022; 3,030,000,000 shares authorized, 181,131,728 shares issued and outstanding as of June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color w:val="000000"/>
              </w:rPr>
            </w:pPr>
            <w:r>
              <w:rPr>
                <w:color w:val="000000"/>
              </w:rPr>
              <w:t>    </w:t>
            </w:r>
            <w:r>
              <w:rPr>
                <w:rFonts w:ascii="Times New Roman;sans-serif" w:hAnsi="Times New Roman;sans-serif"/>
                <w:b w:val="false"/>
                <w:color w:val="000000"/>
                <w:sz w:val="16"/>
              </w:rPr>
              <w:t>Class B common stock, par value $0.00001 per share: 140,000,000 shares authorized, 60,160,468 shares issued and outstanding as of March 31, 2022; 140,000,000 authorized, 88,226,376 shares issued and outstanding as of June 30,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3,987,881 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3,467,236 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(1,419,506)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(898,485)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gain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2,576,055 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2,575,527 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7,031,726</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4,866,967</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AFFIRM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CONT.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shares and per share amounts)</w:t>
      </w:r>
    </w:p>
    <w:p>
      <w:pPr>
        <w:pStyle w:val="TextBody"/>
        <w:spacing w:before="0" w:after="0"/>
        <w:jc w:val="center"/>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tbl>
      <w:tblPr>
        <w:tblW w:w="7935" w:type="dxa"/>
        <w:jc w:val="center"/>
        <w:tblInd w:w="0" w:type="dxa"/>
        <w:tblCellMar>
          <w:top w:w="28" w:type="dxa"/>
          <w:left w:w="28" w:type="dxa"/>
          <w:bottom w:w="28" w:type="dxa"/>
          <w:right w:w="28" w:type="dxa"/>
        </w:tblCellMar>
      </w:tblPr>
      <w:tblGrid>
        <w:gridCol w:w="1734"/>
        <w:gridCol w:w="1523"/>
        <w:gridCol w:w="1528"/>
        <w:gridCol w:w="109"/>
        <w:gridCol w:w="109"/>
        <w:gridCol w:w="109"/>
        <w:gridCol w:w="207"/>
        <w:gridCol w:w="938"/>
        <w:gridCol w:w="115"/>
        <w:gridCol w:w="109"/>
        <w:gridCol w:w="109"/>
        <w:gridCol w:w="109"/>
        <w:gridCol w:w="196"/>
        <w:gridCol w:w="886"/>
        <w:gridCol w:w="154"/>
      </w:tblGrid>
      <w:tr>
        <w:trPr/>
        <w:tc>
          <w:tcPr>
            <w:tcW w:w="1734"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2021</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 of consolidated VIEs, included in total assets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290,661 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2,214,932 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1,743,810 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(125,115)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investment,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2,089,817 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 of consolidated VIEs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2,401,071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1,803,624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of consolidated VIEs, included in total liabilities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issued by securitization trusts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1,447,568 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1,176,673 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Funding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734,430 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607,394 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of consolidated VIEs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2,200,332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1,793,427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net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200,739</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10,197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AFFIRM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10205" w:type="dxa"/>
        <w:jc w:val="center"/>
        <w:tblInd w:w="0" w:type="dxa"/>
        <w:tblCellMar>
          <w:top w:w="28" w:type="dxa"/>
          <w:left w:w="28" w:type="dxa"/>
          <w:bottom w:w="28" w:type="dxa"/>
          <w:right w:w="28" w:type="dxa"/>
        </w:tblCellMar>
      </w:tblPr>
      <w:tblGrid>
        <w:gridCol w:w="1623"/>
        <w:gridCol w:w="1285"/>
        <w:gridCol w:w="1302"/>
        <w:gridCol w:w="109"/>
        <w:gridCol w:w="109"/>
        <w:gridCol w:w="109"/>
        <w:gridCol w:w="217"/>
        <w:gridCol w:w="834"/>
        <w:gridCol w:w="109"/>
        <w:gridCol w:w="109"/>
        <w:gridCol w:w="109"/>
        <w:gridCol w:w="109"/>
        <w:gridCol w:w="217"/>
        <w:gridCol w:w="834"/>
        <w:gridCol w:w="109"/>
        <w:gridCol w:w="109"/>
        <w:gridCol w:w="109"/>
        <w:gridCol w:w="109"/>
        <w:gridCol w:w="217"/>
        <w:gridCol w:w="834"/>
        <w:gridCol w:w="109"/>
        <w:gridCol w:w="109"/>
        <w:gridCol w:w="109"/>
        <w:gridCol w:w="109"/>
        <w:gridCol w:w="217"/>
        <w:gridCol w:w="834"/>
        <w:gridCol w:w="156"/>
      </w:tblGrid>
      <w:tr>
        <w:trPr/>
        <w:tc>
          <w:tcPr>
            <w:tcW w:w="1623"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4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Merchant network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290,894 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Virtual card network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network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sales of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Revenue,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354,762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230,665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985,158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608,684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loan purchase commitment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195,690 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40,389 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Funding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37,077 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Processing and servicing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51,668 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 and data analytics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253,188 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581,313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440,013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1,573,980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878,098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(226,551)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(209,348)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(588,822)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(269,414)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(48,088)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(54,412)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(287,121)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(520,315)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(317,502)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(54,671)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(287,051)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(521,021)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(317,607)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securities available for sale,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(51,370)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(284,222)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(520,117)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(312,559)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 share data: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per share attributable to common stockholders for Class A and Class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285,641,820 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233,309,590 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279,570,015 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122,161,508 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285,641,820 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233,309,590 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279,570,015 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123,329,359 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AFFIRM HOLDINGS,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CONDENSED CONSOLIDATED STATEMENT OF REDEEMABLE CONVERTIBLE PREFERRED STOCK AND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STOCKHOLDERS’ EQUITY (DEFICIT)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amounts)</w:t>
      </w:r>
    </w:p>
    <w:p>
      <w:pPr>
        <w:pStyle w:val="TextBody"/>
        <w:spacing w:before="0" w:after="0"/>
        <w:jc w:val="center"/>
        <w:rPr/>
      </w:pPr>
      <w:r>
        <w:rPr/>
      </w:r>
    </w:p>
    <w:tbl>
      <w:tblPr>
        <w:tblW w:w="10855" w:type="dxa"/>
        <w:jc w:val="center"/>
        <w:tblInd w:w="0" w:type="dxa"/>
        <w:tblCellMar>
          <w:top w:w="28" w:type="dxa"/>
          <w:left w:w="28" w:type="dxa"/>
          <w:bottom w:w="28" w:type="dxa"/>
          <w:right w:w="28" w:type="dxa"/>
        </w:tblCellMar>
      </w:tblPr>
      <w:tblGrid>
        <w:gridCol w:w="640"/>
        <w:gridCol w:w="220"/>
        <w:gridCol w:w="221"/>
        <w:gridCol w:w="109"/>
        <w:gridCol w:w="109"/>
        <w:gridCol w:w="109"/>
        <w:gridCol w:w="109"/>
        <w:gridCol w:w="109"/>
        <w:gridCol w:w="109"/>
        <w:gridCol w:w="153"/>
        <w:gridCol w:w="153"/>
        <w:gridCol w:w="597"/>
        <w:gridCol w:w="469"/>
        <w:gridCol w:w="154"/>
        <w:gridCol w:w="109"/>
        <w:gridCol w:w="109"/>
        <w:gridCol w:w="109"/>
        <w:gridCol w:w="304"/>
        <w:gridCol w:w="397"/>
        <w:gridCol w:w="170"/>
        <w:gridCol w:w="230"/>
        <w:gridCol w:w="230"/>
        <w:gridCol w:w="231"/>
        <w:gridCol w:w="196"/>
        <w:gridCol w:w="886"/>
        <w:gridCol w:w="109"/>
        <w:gridCol w:w="109"/>
        <w:gridCol w:w="109"/>
        <w:gridCol w:w="109"/>
        <w:gridCol w:w="196"/>
        <w:gridCol w:w="911"/>
        <w:gridCol w:w="109"/>
        <w:gridCol w:w="109"/>
        <w:gridCol w:w="109"/>
        <w:gridCol w:w="109"/>
        <w:gridCol w:w="241"/>
        <w:gridCol w:w="704"/>
        <w:gridCol w:w="136"/>
        <w:gridCol w:w="109"/>
        <w:gridCol w:w="109"/>
        <w:gridCol w:w="109"/>
        <w:gridCol w:w="196"/>
        <w:gridCol w:w="886"/>
        <w:gridCol w:w="154"/>
      </w:tblGrid>
      <w:tr>
        <w:trPr/>
        <w:tc>
          <w:tcPr>
            <w:tcW w:w="64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c>
          <w:tcPr>
            <w:tcW w:w="1563" w:type="dxa"/>
            <w:gridSpan w:val="6"/>
            <w:tcBorders/>
            <w:shd w:fill="auto" w:val="clea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269,358,104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3,467,236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(898,485)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6,773</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2,575,527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7,403,503 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772,653 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(3,802)</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September 30,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277,717,172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3,579,764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(1,205,100)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2,692</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2,377,359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4,689,973 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803,263 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warrants for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283,210,408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3,828,778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(1,364,835)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4,376</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2,468,322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1,318,524 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Vesting of warrants for common stock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285,778,325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3,987,881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(1,419,506)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7,677</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2,576,055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AFFIRM HOLDINGS,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CONDENSED CONSOLIDATED STATEMENT OF REDEEMABLE CONVERTIBLE PREFERRED STOCK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AND STOCKHOLDERS’ EQUITY (DEFICIT), CONT.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amounts)</w:t>
      </w:r>
    </w:p>
    <w:p>
      <w:pPr>
        <w:pStyle w:val="TextBody"/>
        <w:spacing w:before="0" w:after="0"/>
        <w:jc w:val="center"/>
        <w:rPr/>
      </w:pPr>
      <w:r>
        <w:rPr/>
      </w:r>
    </w:p>
    <w:tbl>
      <w:tblPr>
        <w:tblW w:w="13014" w:type="dxa"/>
        <w:jc w:val="center"/>
        <w:tblInd w:w="0" w:type="dxa"/>
        <w:tblCellMar>
          <w:top w:w="28" w:type="dxa"/>
          <w:left w:w="28" w:type="dxa"/>
          <w:bottom w:w="28" w:type="dxa"/>
          <w:right w:w="28" w:type="dxa"/>
        </w:tblCellMar>
      </w:tblPr>
      <w:tblGrid>
        <w:gridCol w:w="640"/>
        <w:gridCol w:w="220"/>
        <w:gridCol w:w="221"/>
        <w:gridCol w:w="109"/>
        <w:gridCol w:w="109"/>
        <w:gridCol w:w="109"/>
        <w:gridCol w:w="533"/>
        <w:gridCol w:w="533"/>
        <w:gridCol w:w="196"/>
        <w:gridCol w:w="109"/>
        <w:gridCol w:w="109"/>
        <w:gridCol w:w="109"/>
        <w:gridCol w:w="196"/>
        <w:gridCol w:w="751"/>
        <w:gridCol w:w="109"/>
        <w:gridCol w:w="109"/>
        <w:gridCol w:w="109"/>
        <w:gridCol w:w="109"/>
        <w:gridCol w:w="109"/>
        <w:gridCol w:w="109"/>
        <w:gridCol w:w="109"/>
        <w:gridCol w:w="532"/>
        <w:gridCol w:w="534"/>
        <w:gridCol w:w="196"/>
        <w:gridCol w:w="109"/>
        <w:gridCol w:w="109"/>
        <w:gridCol w:w="109"/>
        <w:gridCol w:w="196"/>
        <w:gridCol w:w="406"/>
        <w:gridCol w:w="109"/>
        <w:gridCol w:w="109"/>
        <w:gridCol w:w="109"/>
        <w:gridCol w:w="109"/>
        <w:gridCol w:w="196"/>
        <w:gridCol w:w="886"/>
        <w:gridCol w:w="109"/>
        <w:gridCol w:w="109"/>
        <w:gridCol w:w="109"/>
        <w:gridCol w:w="109"/>
        <w:gridCol w:w="196"/>
        <w:gridCol w:w="751"/>
        <w:gridCol w:w="109"/>
        <w:gridCol w:w="109"/>
        <w:gridCol w:w="109"/>
        <w:gridCol w:w="109"/>
        <w:gridCol w:w="272"/>
        <w:gridCol w:w="792"/>
        <w:gridCol w:w="152"/>
        <w:gridCol w:w="109"/>
        <w:gridCol w:w="109"/>
        <w:gridCol w:w="109"/>
        <w:gridCol w:w="196"/>
        <w:gridCol w:w="886"/>
        <w:gridCol w:w="154"/>
      </w:tblGrid>
      <w:tr>
        <w:trPr/>
        <w:tc>
          <w:tcPr>
            <w:tcW w:w="64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122,115,971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804,170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47,684,427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80,373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(447,167)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(367,096)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388,246 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(115,625)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redeemable convertible preferred stock, net of issuance costs of $440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21,824,141 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and exercise of warrants for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5,074,398 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4,444,321 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Effects of adoption of new accounting standards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September 30,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148,384,433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1,327,163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53,031,446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114,226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(461,093)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103</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(346,764)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6,220,024 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(12,100)</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stock, net of issuance costs of $143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148,396,979</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1,327,271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59,239,370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142,477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(487,703)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1,917</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(343,309)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initial public offering,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4,721,033 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15,577,185 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6,209,806 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2,225,411 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(148,396,979)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(1,327,271)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148,396,979 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1,327,260 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264,658,118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3,175,714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(774,765)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4,746</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2,405,698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AFFIRM HOLDINGS,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CONDENSED CONSOLIDATED STATEMENTS OF CASH FLOWS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(Unaudited)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bl>
      <w:tblPr>
        <w:tblW w:w="9410" w:type="dxa"/>
        <w:jc w:val="center"/>
        <w:tblInd w:w="0" w:type="dxa"/>
        <w:tblCellMar>
          <w:top w:w="28" w:type="dxa"/>
          <w:left w:w="28" w:type="dxa"/>
          <w:bottom w:w="28" w:type="dxa"/>
          <w:right w:w="28" w:type="dxa"/>
        </w:tblCellMar>
      </w:tblPr>
      <w:tblGrid>
        <w:gridCol w:w="2289"/>
        <w:gridCol w:w="2012"/>
        <w:gridCol w:w="2028"/>
        <w:gridCol w:w="109"/>
        <w:gridCol w:w="109"/>
        <w:gridCol w:w="109"/>
        <w:gridCol w:w="196"/>
        <w:gridCol w:w="886"/>
        <w:gridCol w:w="109"/>
        <w:gridCol w:w="109"/>
        <w:gridCol w:w="109"/>
        <w:gridCol w:w="109"/>
        <w:gridCol w:w="196"/>
        <w:gridCol w:w="886"/>
        <w:gridCol w:w="154"/>
      </w:tblGrid>
      <w:tr>
        <w:trPr/>
        <w:tc>
          <w:tcPr>
            <w:tcW w:w="2289" w:type="dxa"/>
            <w:tcBorders/>
            <w:shd w:fill="auto" w:val="clear"/>
            <w:vAlign w:val="center"/>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c>
          <w:tcPr>
            <w:tcW w:w="20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6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premiums and discounts on loans,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sales of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fair value of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commercial agreement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discount on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agreement warrant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loans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(3,869,327)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(1,640,672)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loans held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3,868,919 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third-party loan owners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and origination of loans held for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(7,529,324)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(4,313,834)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loans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348,195 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repayments and other loan servicing activity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5,867,583 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3,002,351 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net of cash and restricted cash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(104,776)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commercial agreement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property, equipment and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(770,047)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and repayments of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cash inflows (outflows)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(1,106,378)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convertible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funding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2,776,245 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2,413,905 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repayments of funding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(2,572,876)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(2,555,699)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notes and residual trust certificates by securitization trusts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1,396,229 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repayments of notes issued by securitization trusts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(233,723)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redeemable convertible preferred stock,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434,542 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initial public offering,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1,305,301 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options and warrants and contributions to ESPP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2,753,959 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982,933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1,478,874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328,128 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2,675,565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1,807,002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AFFIRM HOLDINGS,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CONDENSED CONSOLIDATED STATEMENTS OF CASH FLOWS, CONT.</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(Unaudited)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p>
      <w:pPr>
        <w:pStyle w:val="TextBody"/>
        <w:spacing w:before="0" w:after="0"/>
        <w:jc w:val="center"/>
        <w:rPr/>
      </w:pPr>
      <w:r>
        <w:rPr/>
      </w:r>
    </w:p>
    <w:tbl>
      <w:tblPr>
        <w:tblW w:w="8645" w:type="dxa"/>
        <w:jc w:val="center"/>
        <w:tblInd w:w="0" w:type="dxa"/>
        <w:tblCellMar>
          <w:top w:w="28" w:type="dxa"/>
          <w:left w:w="28" w:type="dxa"/>
          <w:bottom w:w="28" w:type="dxa"/>
          <w:right w:w="28" w:type="dxa"/>
        </w:tblCellMar>
      </w:tblPr>
      <w:tblGrid>
        <w:gridCol w:w="2017"/>
        <w:gridCol w:w="1771"/>
        <w:gridCol w:w="1776"/>
        <w:gridCol w:w="109"/>
        <w:gridCol w:w="109"/>
        <w:gridCol w:w="109"/>
        <w:gridCol w:w="196"/>
        <w:gridCol w:w="886"/>
        <w:gridCol w:w="109"/>
        <w:gridCol w:w="109"/>
        <w:gridCol w:w="109"/>
        <w:gridCol w:w="109"/>
        <w:gridCol w:w="196"/>
        <w:gridCol w:w="886"/>
        <w:gridCol w:w="154"/>
      </w:tblGrid>
      <w:tr>
        <w:trPr/>
        <w:tc>
          <w:tcPr>
            <w:tcW w:w="2017"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1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5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to amounts on consolidated balance sheets (as of period 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2,261,937 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1,623,672 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cash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2,675,565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1,807,002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8077" w:type="dxa"/>
        <w:jc w:val="center"/>
        <w:tblInd w:w="0" w:type="dxa"/>
        <w:tblCellMar>
          <w:top w:w="28" w:type="dxa"/>
          <w:left w:w="28" w:type="dxa"/>
          <w:bottom w:w="28" w:type="dxa"/>
          <w:right w:w="28" w:type="dxa"/>
        </w:tblCellMar>
      </w:tblPr>
      <w:tblGrid>
        <w:gridCol w:w="1956"/>
        <w:gridCol w:w="1719"/>
        <w:gridCol w:w="1724"/>
        <w:gridCol w:w="109"/>
        <w:gridCol w:w="109"/>
        <w:gridCol w:w="109"/>
        <w:gridCol w:w="203"/>
        <w:gridCol w:w="669"/>
        <w:gridCol w:w="112"/>
        <w:gridCol w:w="112"/>
        <w:gridCol w:w="112"/>
        <w:gridCol w:w="112"/>
        <w:gridCol w:w="203"/>
        <w:gridCol w:w="669"/>
        <w:gridCol w:w="159"/>
      </w:tblGrid>
      <w:tr>
        <w:trPr/>
        <w:tc>
          <w:tcPr>
            <w:tcW w:w="1956"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5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payments for 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34,325 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28,575 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included in 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39,691 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117,023 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retained under unconsolidated securitization transactions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 of use assets obtained in exchange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78,421 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property and equipment included in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warrants in exchange for commercial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270,579 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88,559 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Business Description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partnerships with originating banks, and capital markets partners, we enable consumers to confidently pay for a purchase over time, with terms ranging from one to sixty months. When a consumer applies for a loan through our platform, the loan is underwritten using our proprietary risk model, and once approved, the consumer selects their preferred repayment option. Loans are self-originated or funded and issued by our originating bank partners.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Merchants partner with us to transform the consumer shopping experience and to acquire and convert customers more effectively through our frictionless point-of-sale payment solutions. Consumers get the flexibility to buy now and make simple regular payments for their purchases and merchants see increased average order value, repeat purchase rates,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before="0" w:after="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2021. The balance sheet as of June 30, 2021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 </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pStyle w:val="TextBody"/>
        <w:spacing w:before="0" w:after="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variable consideration for revenue, the allowance for credit losses, capitalized internal-use software development costs, valuation allowance for deferred tax assets, loss on loan purchase commitment, the fair value of servicing assets and liabilities, discount on self-originated loans, the fair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95" w:before="0" w:after="0"/>
        <w:rPr>
          <w:rFonts w:ascii="Times New Roman;sans-serif" w:hAnsi="Times New Roman;sans-serif"/>
          <w:b w:val="false"/>
          <w:color w:val="000000"/>
          <w:sz w:val="20"/>
        </w:rPr>
      </w:pPr>
      <w:r>
        <w:rPr>
          <w:rFonts w:ascii="Times New Roman;sans-serif" w:hAnsi="Times New Roman;sans-serif"/>
          <w:b w:val="false"/>
          <w:color w:val="000000"/>
          <w:sz w:val="20"/>
        </w:rPr>
        <w:t>value and useful lives of tangible and intangible assets acquired and liabilities assumed resulting from business combinations, the fair value of contingent consideration related to business combinations, the evaluation for impairment of intangible assets and goodwill, the incremental borrowing rate used in discounting our lease liabilities, the fair value of available for sale debt securities including retained interests in our securitization trusts, the fair value of residual certificates issued by our securitization trusts held by third parties, and stock-based compensation, including the fair value of warrants issued to nonemployees.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estimates are based on information available as of the date of the interim condensed consolidated financial statements; therefore, actual results could differ materially from those estimates. </w:t>
      </w:r>
    </w:p>
    <w:p>
      <w:pPr>
        <w:pStyle w:val="TextBody"/>
        <w:spacing w:before="0" w:after="0"/>
        <w:ind w:left="0" w:right="0" w:firstLine="72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Immaterial Correction of Prior Period Amounts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Subsequent to the issuance of our financial statements included in our Annual Report on Form 10-K for the fiscal year ended June 30, 2021, which was filed with the SEC on September 17, 2021, we identified understatements in certain prior period amounts related to the fair value measurement of contingent consideration and stock-based compensation.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remeasure the fair value of the contingent consideration liability recorded in connection with the PayBright, Inc. (“PayBright”) acquisition at each reporting date. An incorrect input in the Monte Carlo simulation used to estimate the fair value as of June 30, 2021, resulted in an understatement of accrued expenses and other liabilities of $5.6 million as of June 30, 2021 as previously reported.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measure stock-based compensation based on the fair value of an award at the grant date and recognize expense over the vesting period of the award based on the estimated portion of the award that is expected to vest. An incorrect determination of the grant date and service inception dates for certain awards granted prior to our initial public offering (“IPO”), as well as incorrect treatment of expense recognition for certain terminated employees, resulted in an understatement of additional paid in capital of $4.5 million as of June 30, 2021 as previously reported.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Accordingly, we have corrected the relevant financial statements and related footnotes as of June 30, 2021 within these interim condensed consolidated financial statements from amounts previously reported. We have evaluated the materiality of these misstatements based on an analysis of quantitative and qualitative factors and concluded they were not material to the prior period financial statements, individually or in aggregate.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impact of the correction on our consolidated balance sheet as of June 30, 2021, as presented below (in thousands):</w:t>
      </w:r>
    </w:p>
    <w:tbl>
      <w:tblPr>
        <w:tblW w:w="9545" w:type="dxa"/>
        <w:jc w:val="left"/>
        <w:tblInd w:w="0" w:type="dxa"/>
        <w:tblCellMar>
          <w:top w:w="28" w:type="dxa"/>
          <w:left w:w="28" w:type="dxa"/>
          <w:bottom w:w="28" w:type="dxa"/>
          <w:right w:w="28" w:type="dxa"/>
        </w:tblCellMar>
      </w:tblPr>
      <w:tblGrid>
        <w:gridCol w:w="1314"/>
        <w:gridCol w:w="1156"/>
        <w:gridCol w:w="1160"/>
        <w:gridCol w:w="109"/>
        <w:gridCol w:w="109"/>
        <w:gridCol w:w="109"/>
        <w:gridCol w:w="639"/>
        <w:gridCol w:w="639"/>
        <w:gridCol w:w="641"/>
        <w:gridCol w:w="109"/>
        <w:gridCol w:w="109"/>
        <w:gridCol w:w="109"/>
        <w:gridCol w:w="398"/>
        <w:gridCol w:w="398"/>
        <w:gridCol w:w="371"/>
        <w:gridCol w:w="109"/>
        <w:gridCol w:w="109"/>
        <w:gridCol w:w="109"/>
        <w:gridCol w:w="495"/>
        <w:gridCol w:w="496"/>
        <w:gridCol w:w="376"/>
        <w:gridCol w:w="109"/>
        <w:gridCol w:w="109"/>
        <w:gridCol w:w="109"/>
        <w:gridCol w:w="154"/>
      </w:tblGrid>
      <w:tr>
        <w:trPr/>
        <w:tc>
          <w:tcPr>
            <w:tcW w:w="131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Previously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Corrected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and other liabilities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317,951 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2,285,814</w:t>
            </w:r>
            <w:r>
              <w:rPr>
                <w:color w:val="000000"/>
              </w:rPr>
              <w:t> </w:t>
            </w:r>
          </w:p>
        </w:tc>
        <w:tc>
          <w:tcPr>
            <w:tcW w:w="6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5,626</w:t>
            </w:r>
            <w:r>
              <w:rPr>
                <w:color w:val="000000"/>
              </w:rPr>
              <w:t>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2,291,440</w:t>
            </w: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 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3,462,762 </w:t>
            </w:r>
          </w:p>
        </w:tc>
        <w:tc>
          <w:tcPr>
            <w:tcW w:w="6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3,467,236 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(888,381)</w:t>
            </w:r>
          </w:p>
        </w:tc>
        <w:tc>
          <w:tcPr>
            <w:tcW w:w="6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(898,485)</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other comprehensive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6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stockholders’ equity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2,581,153</w:t>
            </w:r>
            <w:r>
              <w:rPr>
                <w:color w:val="000000"/>
              </w:rPr>
              <w:t> </w:t>
            </w:r>
          </w:p>
        </w:tc>
        <w:tc>
          <w:tcPr>
            <w:tcW w:w="6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(5,626)</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2,575,527</w:t>
            </w: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determined that stock based compensation previously recorded during the three and nine months ended March 31, 2021 was understated by $25.0 million, as the estimated fair value of RSUs granted during the three months ended December 31, 2020 did not reflect an increase in share value due to the anticipated IPO. Such matter was corrected and properly reported in our consolidated financial statements as of and for the year ended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95"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June 30, 2021, and is prospectively corrected in the accompanying unaudited interim financial statements for the three and nine months ended March 31, 2021. As a result, the accompanying unaudited interim financial information for the three and nine months ended March 31, 2021 has been corrected to reflect the total combined increase in stock based compensation expense of $40.0 million from amounts previously reported.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determined, based on consideration of quantitative and qualitative factors, that the errors had an immaterial impact, individually and in aggregate, on our previously issued financial statements. The following tables show the affected line items (in thousands) for the periods ended March 31, 2021.</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1803"/>
        <w:gridCol w:w="1586"/>
        <w:gridCol w:w="1589"/>
        <w:gridCol w:w="109"/>
        <w:gridCol w:w="109"/>
        <w:gridCol w:w="109"/>
        <w:gridCol w:w="382"/>
        <w:gridCol w:w="1015"/>
        <w:gridCol w:w="189"/>
        <w:gridCol w:w="109"/>
        <w:gridCol w:w="109"/>
        <w:gridCol w:w="109"/>
        <w:gridCol w:w="277"/>
        <w:gridCol w:w="690"/>
        <w:gridCol w:w="144"/>
        <w:gridCol w:w="109"/>
        <w:gridCol w:w="109"/>
        <w:gridCol w:w="109"/>
        <w:gridCol w:w="262"/>
        <w:gridCol w:w="676"/>
        <w:gridCol w:w="126"/>
        <w:gridCol w:w="109"/>
        <w:gridCol w:w="109"/>
        <w:gridCol w:w="109"/>
        <w:gridCol w:w="158"/>
      </w:tblGrid>
      <w:tr>
        <w:trPr/>
        <w:tc>
          <w:tcPr>
            <w:tcW w:w="1803"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49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Previously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Corrected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 of Operations and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98,728 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57,549 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146,853 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400,121</w:t>
            </w: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39,892</w:t>
            </w: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440,013</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(247,229)</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(39,892)</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(287,121)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(247,159)</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(39,892)</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(287,051)</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 for Class A and Class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803"/>
        <w:gridCol w:w="1586"/>
        <w:gridCol w:w="1589"/>
        <w:gridCol w:w="109"/>
        <w:gridCol w:w="109"/>
        <w:gridCol w:w="109"/>
        <w:gridCol w:w="382"/>
        <w:gridCol w:w="1015"/>
        <w:gridCol w:w="189"/>
        <w:gridCol w:w="109"/>
        <w:gridCol w:w="109"/>
        <w:gridCol w:w="109"/>
        <w:gridCol w:w="277"/>
        <w:gridCol w:w="690"/>
        <w:gridCol w:w="144"/>
        <w:gridCol w:w="109"/>
        <w:gridCol w:w="109"/>
        <w:gridCol w:w="109"/>
        <w:gridCol w:w="262"/>
        <w:gridCol w:w="676"/>
        <w:gridCol w:w="126"/>
        <w:gridCol w:w="109"/>
        <w:gridCol w:w="109"/>
        <w:gridCol w:w="109"/>
        <w:gridCol w:w="158"/>
      </w:tblGrid>
      <w:tr>
        <w:trPr/>
        <w:tc>
          <w:tcPr>
            <w:tcW w:w="1803"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49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Previously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Corrected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 of Operations and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119,243 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220,042 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253,188 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838,206</w:t>
            </w: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39,892</w:t>
            </w: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878,098</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(277,610)</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(39,892)</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(317,502)</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(277,715)</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(39,892)</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(317,607)</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 for Class A and Class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638"/>
        <w:gridCol w:w="1425"/>
        <w:gridCol w:w="1431"/>
        <w:gridCol w:w="109"/>
        <w:gridCol w:w="109"/>
        <w:gridCol w:w="109"/>
        <w:gridCol w:w="639"/>
        <w:gridCol w:w="475"/>
        <w:gridCol w:w="447"/>
        <w:gridCol w:w="147"/>
        <w:gridCol w:w="147"/>
        <w:gridCol w:w="147"/>
        <w:gridCol w:w="382"/>
        <w:gridCol w:w="382"/>
        <w:gridCol w:w="371"/>
        <w:gridCol w:w="147"/>
        <w:gridCol w:w="147"/>
        <w:gridCol w:w="147"/>
        <w:gridCol w:w="494"/>
        <w:gridCol w:w="497"/>
        <w:gridCol w:w="327"/>
        <w:gridCol w:w="109"/>
        <w:gridCol w:w="109"/>
        <w:gridCol w:w="109"/>
        <w:gridCol w:w="161"/>
      </w:tblGrid>
      <w:tr>
        <w:trPr/>
        <w:tc>
          <w:tcPr>
            <w:tcW w:w="1638"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4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Previously Reported</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Corrected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 of Redeemable Convertible Preferred Stock and Stockholders’ Equity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 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146,314 </w:t>
            </w:r>
          </w:p>
        </w:tc>
        <w:tc>
          <w:tcPr>
            <w:tcW w:w="4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41,569 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187,883 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 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(247,159)</w:t>
            </w:r>
          </w:p>
        </w:tc>
        <w:tc>
          <w:tcPr>
            <w:tcW w:w="4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(39,892)</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(287,051)</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2021 - 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2,404,021</w:t>
            </w:r>
            <w:r>
              <w:rPr>
                <w:color w:val="000000"/>
              </w:rPr>
              <w:t> </w:t>
            </w:r>
          </w:p>
        </w:tc>
        <w:tc>
          <w:tcPr>
            <w:tcW w:w="4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1,677</w:t>
            </w:r>
            <w:r>
              <w:rPr>
                <w:color w:val="000000"/>
              </w:rPr>
              <w:t>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2,405,698</w:t>
            </w:r>
            <w:r>
              <w:rPr>
                <w:color w:val="000000"/>
              </w:rPr>
              <w:t>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595"/>
        <w:gridCol w:w="1393"/>
        <w:gridCol w:w="1397"/>
        <w:gridCol w:w="109"/>
        <w:gridCol w:w="109"/>
        <w:gridCol w:w="109"/>
        <w:gridCol w:w="605"/>
        <w:gridCol w:w="522"/>
        <w:gridCol w:w="523"/>
        <w:gridCol w:w="164"/>
        <w:gridCol w:w="164"/>
        <w:gridCol w:w="164"/>
        <w:gridCol w:w="388"/>
        <w:gridCol w:w="388"/>
        <w:gridCol w:w="371"/>
        <w:gridCol w:w="164"/>
        <w:gridCol w:w="164"/>
        <w:gridCol w:w="164"/>
        <w:gridCol w:w="439"/>
        <w:gridCol w:w="440"/>
        <w:gridCol w:w="346"/>
        <w:gridCol w:w="109"/>
        <w:gridCol w:w="109"/>
        <w:gridCol w:w="109"/>
        <w:gridCol w:w="160"/>
      </w:tblGrid>
      <w:tr>
        <w:trPr/>
        <w:tc>
          <w:tcPr>
            <w:tcW w:w="1595"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4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Previously Reported</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Corrected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 of Cash Flows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(277,715)</w:t>
            </w:r>
          </w:p>
        </w:tc>
        <w:tc>
          <w:tcPr>
            <w:tcW w:w="5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(39,892)</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(317,607)</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152,471 </w:t>
            </w:r>
          </w:p>
        </w:tc>
        <w:tc>
          <w:tcPr>
            <w:tcW w:w="5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39,892 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192,363 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(173,217)</w:t>
            </w:r>
          </w:p>
        </w:tc>
        <w:tc>
          <w:tcPr>
            <w:tcW w:w="5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(173,217)</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for the addition of policies described below for securities available for sale, there were no material changes to our significant accounting policies as disclosed in Note 2. Summary of Significant Accounting Policies of our Annual Report on Form 10-K for the fiscal year ended June 30, 2021, which was filed with the SEC on September 17, 2021.</w:t>
      </w:r>
    </w:p>
    <w:p>
      <w:pPr>
        <w:pStyle w:val="TextBody"/>
        <w:spacing w:before="0" w:after="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Securities Available for Sale</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hold certain investments in marketable debt securities and retained interests in our unconsolidated securitization trusts which are accounted for under ASC Topic 320, “Investments - Debt Securities” (“ASC 320”). We have classified these investments as available for sale, as defined within ASC 320. These investments are held at fair value with changes in fair value recorded in unrealized gain (loss) on securities available for sale, net within other comprehensive income (loss). As of the end of each reporting period, management reviews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in fair value which management identifies as a credit loss will be recognized as an allowance for credit losses through other (expense) income, net rather than unrealized gain (loss) on securities available for sale, net. To the extent management intends to sell or may be required to sell a security in an unrealized loss position, we 1) reverse any previously recorded allowance for credit losses with an offsetting entry to reduce the amortized cost basis of the security and 2) write-off any remaining portion of the amortized cost basis to equal its fair value, with this change recorded through other (expense) income, net.</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income for available for sale securities is recorded within other (expense) income, net.</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Available for sale securities initially purchased with less than 90 days until maturity with quoted transaction prices in an active market are classified as cash and cash equivalents.</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retained interests in our securitization trusts, we apply the guidance in ASC Topic 325, “Investments - Other” (“ASC 325”) relating to beneficial interests. Accordingly, we recognize interest income each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95" w:before="0" w:after="0"/>
        <w:rPr>
          <w:rFonts w:ascii="Times New Roman;sans-serif" w:hAnsi="Times New Roman;sans-serif"/>
          <w:b w:val="false"/>
          <w:color w:val="000000"/>
          <w:sz w:val="20"/>
        </w:rPr>
      </w:pPr>
      <w:r>
        <w:rPr>
          <w:rFonts w:ascii="Times New Roman;sans-serif" w:hAnsi="Times New Roman;sans-serif"/>
          <w:b w:val="false"/>
          <w:color w:val="000000"/>
          <w:sz w:val="20"/>
        </w:rPr>
        <w:t>period based on the effective interest rate calculated using expected cash flows. Changes in the timing of expected cash flows are accounted for prospectively through an adjustment to interest income. When fair value is below amortized cost, we record an allowance for credit losses measured based on the difference between amortized cost and projected cash flows discounted at the effective interest rate. The allowance for credit losses is capped at the difference between amortized cost and fair value.</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Refer to Note 12. Investments for additional information.</w:t>
      </w:r>
    </w:p>
    <w:p>
      <w:pPr>
        <w:pStyle w:val="TextBody"/>
        <w:spacing w:before="0" w:after="0"/>
        <w:ind w:left="0" w:right="0" w:firstLine="72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Sales and Marketing Costs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include the expense related to warrants and other share-based payments granted to our enterprise partners. See Note 6. Balance Sheet Components for more information on these arrangements. Sales and marketing costs also include salaries and personnel-related costs, as well as costs of general marketing and promotional activities, promotional event programs, sponsorships, and allocated overhead. A portion of these costs related to general marketing and promotional activities are considered advertising costs within the meaning of ASC Topic 720, “Other Expenses” (“ASC 720”), and are expensed as incurred. Advertising costs totaled $12.2 million and $55.6 million for the three and nine months ended March 31, 2022, respectively, and $9.1 million and $24.4 million for the three and nine months ended March 31, 2021, respectively.</w:t>
      </w:r>
    </w:p>
    <w:p>
      <w:pPr>
        <w:pStyle w:val="TextBody"/>
        <w:spacing w:before="0" w:after="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Recently Adopted Accounting Standards</w:t>
      </w:r>
    </w:p>
    <w:p>
      <w:pPr>
        <w:pStyle w:val="TextBody"/>
        <w:spacing w:before="0" w:after="0"/>
        <w:rPr/>
      </w:pPr>
      <w:r>
        <w:rPr/>
      </w:r>
    </w:p>
    <w:p>
      <w:pPr>
        <w:pStyle w:val="TextBody"/>
        <w:spacing w:lineRule="auto" w:line="295" w:before="0" w:after="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Convertible Debt Instruments </w:t>
      </w:r>
    </w:p>
    <w:p>
      <w:pPr>
        <w:pStyle w:val="TextBody"/>
        <w:spacing w:before="0" w:after="0"/>
        <w:rPr/>
      </w:pPr>
      <w:r>
        <w:rPr/>
      </w:r>
    </w:p>
    <w:p>
      <w:pPr>
        <w:pStyle w:val="TextBody"/>
        <w:spacing w:lineRule="auto" w:line="295" w:before="0" w:after="0"/>
        <w:ind w:left="0" w:right="0" w:firstLine="720"/>
        <w:rPr/>
      </w:pPr>
      <w:r>
        <w:rPr>
          <w:rFonts w:ascii="Times New Roman;sans-serif" w:hAnsi="Times New Roman;sans-serif"/>
          <w:b w:val="false"/>
          <w:color w:val="000000"/>
          <w:sz w:val="20"/>
          <w:highlight w:val="white"/>
        </w:rPr>
        <w:t xml:space="preserve">In August 2020, the FASB issued Accounting Standard Update (“ASU”) 2020-06, “Debt — Debt with Conversion and Other Options (Subtopic 470-20) and Derivatives and Hedging — Contracts in Entity’s Own Equity (Subtopic 815-40),” which simplifies the accounting for convertible instruments. The guidance removes certain accounting models that separate the embedded conversion features from the host contract for convertible instruments. Either a modified retrospective method of transition or a fully retrospective method of transition is permissible for the adoption of this standard. ASU 2020-06 is effective for fiscal years beginning after December 15, 2021, including interim periods within those fiscal years. Early adoption is permitted no earlier than the fiscal year beginning after December 15, 2020. We early adopted the new standard effective July 1, 2021 on a modified retrospective basis. The adoption of the new standard did not have any impact on our financial statements as of the adoption date. As further discussed in Note </w:t>
      </w:r>
      <w:r>
        <w:rPr>
          <w:rFonts w:ascii="Times New Roman;sans-serif" w:hAnsi="Times New Roman;sans-serif"/>
          <w:b w:val="false"/>
          <w:color w:val="000000"/>
          <w:sz w:val="20"/>
        </w:rPr>
        <w:t>10.</w:t>
      </w:r>
      <w:r>
        <w:rPr>
          <w:color w:val="000000"/>
          <w:highlight w:val="white"/>
        </w:rPr>
        <w:t xml:space="preserve"> </w:t>
      </w:r>
      <w:r>
        <w:rPr>
          <w:rFonts w:ascii="Times New Roman;sans-serif" w:hAnsi="Times New Roman;sans-serif"/>
          <w:b w:val="false"/>
          <w:color w:val="000000"/>
          <w:sz w:val="20"/>
        </w:rPr>
        <w:t>Debt</w:t>
      </w:r>
      <w:r>
        <w:rPr>
          <w:rFonts w:ascii="Times New Roman;sans-serif" w:hAnsi="Times New Roman;sans-serif"/>
          <w:b w:val="false"/>
          <w:color w:val="000000"/>
          <w:sz w:val="20"/>
          <w:highlight w:val="white"/>
        </w:rPr>
        <w:t>, the Company issued certain convertible senior notes in November 2021, and the accounting for these instruments was based on the guidance in ASU 2020-06.</w:t>
      </w:r>
    </w:p>
    <w:p>
      <w:pPr>
        <w:pStyle w:val="TextBody"/>
        <w:spacing w:before="0" w:after="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spacing w:before="0" w:after="0"/>
        <w:rPr/>
      </w:pPr>
      <w:r>
        <w:rPr/>
      </w:r>
    </w:p>
    <w:p>
      <w:pPr>
        <w:pStyle w:val="TextBody"/>
        <w:spacing w:lineRule="auto" w:line="295"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Reference Rate Reform </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This ASU is effective for all entities upon issuance as of March 12, 2020 through December 31, 2022. In January 2021, the FASB also issued ASU 2021-01, “Reference Rate Reform (Topic 848),” which provides additional optional expedients and exceptions applicable to all entities that have derivative instruments that use an interest rate for margining, discounting, or contract price alignment that is modified as a result of reference rate reform. This ASU is effective for all entities upon issuance as of January 7, 2021 through December 31, 2022. We have reviewed all our financial agreements that utilize LIBOR as the reference rate and determined there is no material impact to our interim condensed consolidated financial statements as of March 31, 2022. Throughout the remaining effective period for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95"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ASU 2020-04 and ASU 2021-01, we will continue to evaluate the available relief measures within each of these amendments and will determine any impact on our consolidated financial statements and disclosures, as applicable. </w:t>
      </w:r>
    </w:p>
    <w:p>
      <w:pPr>
        <w:pStyle w:val="TextBody"/>
        <w:spacing w:before="0" w:after="0"/>
        <w:ind w:left="0" w:right="0" w:firstLine="720"/>
        <w:rPr/>
      </w:pPr>
      <w:r>
        <w:rPr/>
      </w:r>
    </w:p>
    <w:p>
      <w:pPr>
        <w:pStyle w:val="TextBody"/>
        <w:spacing w:lineRule="auto" w:line="295" w:before="0" w:after="0"/>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ASU 2021-08, “Business Combinations (Topic 805): Accounting for Contract Assets and Contract Liabilities from Contracts with Customers,” which requires contract assets and contract liabilities, such as deferred revenue, acquired in a business combination to be recognized and measured in accordance with Topic 606 (Revenue from Contracts with Customers). ASU 2021-08 is expected to reduce diversity in practice and increase comparability for both the recognition and measurement of acquired revenue contracts with customers at the date of and after a business combination. The ASU is effective for fiscal years beginning after December 15, 2022 and should be applied prospectively to acquisitions occurring on or after the effective date. Early adoption is permitted, including for interim periods, and is applicable to all business combinations for which the acquisition date occurs within the beginning of the fiscal year of adoption. We are in the process of evaluating the impact of adopting this accounting standard update on our consolidated financial statements and disclosures.</w:t>
      </w:r>
    </w:p>
    <w:p>
      <w:pPr>
        <w:pStyle w:val="TextBody"/>
        <w:spacing w:before="0" w:after="0"/>
        <w:ind w:left="0" w:right="0" w:firstLine="720"/>
        <w:rPr/>
      </w:pPr>
      <w:r>
        <w:rPr/>
      </w:r>
    </w:p>
    <w:p>
      <w:pPr>
        <w:pStyle w:val="TextBody"/>
        <w:spacing w:lineRule="auto" w:line="295" w:before="0" w:after="0"/>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 - Credit Losses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In March 2022, the FASB issued ASU 2022-02, “Financial Instruments— Credit Losses (Topic 326), Troubled Debt Restructurings and Vintage Disclosure” which addresses areas identified by the FASB as part of its post-implementation review of the current expected credit losses model or “CECL” previously issued in ASU 2016-13, “Financial Instruments — Credit Losses (Topic 326)”. The amendments in this ASU eliminate the accounting guidance for troubled debt restructurings by creditors while enhancing the disclosure requirements for loan refinancing and restructurings made with borrowers experiencing financial difficulty. In addition, the amendments require a public business entity to disclose current-period gross write-offs by year of origination for financing receivables and net investment in leases in the vintage disclosures. For entities that have adopted ASU 2016-13, ASU 2022-02 is effective for fiscal years beginning after December 15, 2022, including interim periods within those fiscal years. Early adoption is permitted if an entity has adopted ASU 2016-13. Amendments in this ASU should be applied prospectively except for the transition method related to the accounting for troubled debt restructurings in which an entity has the option to apply a modified retrospective transition method resulting in a cumulative-effect adjustment to retained earnings in the period of adoption. We are in the process of evaluating the impact of adopting this accounting standard update on our consolidated financial statements and disclosures.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3.   Interest Income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income consisted of the following components (in thousands):</w:t>
      </w:r>
    </w:p>
    <w:tbl>
      <w:tblPr>
        <w:tblW w:w="9897" w:type="dxa"/>
        <w:jc w:val="center"/>
        <w:tblInd w:w="0" w:type="dxa"/>
        <w:tblCellMar>
          <w:top w:w="28" w:type="dxa"/>
          <w:left w:w="28" w:type="dxa"/>
          <w:bottom w:w="28" w:type="dxa"/>
          <w:right w:w="28" w:type="dxa"/>
        </w:tblCellMar>
      </w:tblPr>
      <w:tblGrid>
        <w:gridCol w:w="1450"/>
        <w:gridCol w:w="1272"/>
        <w:gridCol w:w="1282"/>
        <w:gridCol w:w="109"/>
        <w:gridCol w:w="109"/>
        <w:gridCol w:w="109"/>
        <w:gridCol w:w="216"/>
        <w:gridCol w:w="848"/>
        <w:gridCol w:w="111"/>
        <w:gridCol w:w="111"/>
        <w:gridCol w:w="111"/>
        <w:gridCol w:w="111"/>
        <w:gridCol w:w="216"/>
        <w:gridCol w:w="740"/>
        <w:gridCol w:w="111"/>
        <w:gridCol w:w="109"/>
        <w:gridCol w:w="109"/>
        <w:gridCol w:w="109"/>
        <w:gridCol w:w="211"/>
        <w:gridCol w:w="826"/>
        <w:gridCol w:w="109"/>
        <w:gridCol w:w="109"/>
        <w:gridCol w:w="109"/>
        <w:gridCol w:w="109"/>
        <w:gridCol w:w="211"/>
        <w:gridCol w:w="826"/>
        <w:gridCol w:w="154"/>
      </w:tblGrid>
      <w:tr>
        <w:trPr/>
        <w:tc>
          <w:tcPr>
            <w:tcW w:w="1450"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on unpaid principal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 on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on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 charged-off, net of recoveries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ind w:left="0" w:right="0" w:firstLine="72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accrue interest income using the effective interest method.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March 31, 2022 and June 30, 2021, the balance of loans held for investment on non-accrual status was $1.5 million and $1.1 million, respectively.</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Loans Held for Investment and Allowance for Credit Losses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Loans held for investment consisted of the following (in thousands):</w:t>
      </w:r>
    </w:p>
    <w:tbl>
      <w:tblPr>
        <w:tblW w:w="9621" w:type="dxa"/>
        <w:jc w:val="center"/>
        <w:tblInd w:w="0" w:type="dxa"/>
        <w:tblCellMar>
          <w:top w:w="28" w:type="dxa"/>
          <w:left w:w="28" w:type="dxa"/>
          <w:bottom w:w="28" w:type="dxa"/>
          <w:right w:w="28" w:type="dxa"/>
        </w:tblCellMar>
      </w:tblPr>
      <w:tblGrid>
        <w:gridCol w:w="2294"/>
        <w:gridCol w:w="2009"/>
        <w:gridCol w:w="2027"/>
        <w:gridCol w:w="109"/>
        <w:gridCol w:w="109"/>
        <w:gridCol w:w="109"/>
        <w:gridCol w:w="211"/>
        <w:gridCol w:w="976"/>
        <w:gridCol w:w="109"/>
        <w:gridCol w:w="109"/>
        <w:gridCol w:w="109"/>
        <w:gridCol w:w="109"/>
        <w:gridCol w:w="211"/>
        <w:gridCol w:w="976"/>
        <w:gridCol w:w="154"/>
      </w:tblGrid>
      <w:tr>
        <w:trPr/>
        <w:tc>
          <w:tcPr>
            <w:tcW w:w="2294"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principal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on loans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Discount due to loss on loan purchase commitment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Discount due to loss on self-originated loans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Fair value adjustment on loans acquired through business combination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As of June 30, 2021, discount due to loss on self-originated loans, in the amount of $6.2 million, was included with discount due to loss on loan purchase commitment.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majority of the loans that are underwritten using our technology platform and originated by our originating bank partners are later purchased by us. We purchased loans from our originating bank partners in the amount of $3,013.8 million and $8,631.2 million for the three and nine months ended March 31, 2022, respectively, and $2,031.2 million and $5,620.8 million for the three and nine months ended March 31, 2021, respectively.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These loans have a variety of lending terms as well as maturities ranging from one to sixty months. Given that our loan portfolio focuses on one product segment, point-of-sale unsecured installment loans, we generally evaluate the entire portfolio as a single homogeneous loan portfolio and make merchant or program specific adjustments as necessary.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self-originated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integrity of the risk scoring models and to measure possible changes in consumer behavior amongst various credit tiers.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an analysis of the credit quality, by ITACs score, of the amortized cost basis by fiscal year of origination on loans held for investment and loans held for sale (in thousands) as of March 31, 2022:</w:t>
      </w:r>
    </w:p>
    <w:tbl>
      <w:tblPr>
        <w:tblW w:w="10597" w:type="dxa"/>
        <w:jc w:val="left"/>
        <w:tblInd w:w="0" w:type="dxa"/>
        <w:tblCellMar>
          <w:top w:w="28" w:type="dxa"/>
          <w:left w:w="28" w:type="dxa"/>
          <w:bottom w:w="28" w:type="dxa"/>
          <w:right w:w="28" w:type="dxa"/>
        </w:tblCellMar>
      </w:tblPr>
      <w:tblGrid>
        <w:gridCol w:w="470"/>
        <w:gridCol w:w="293"/>
        <w:gridCol w:w="273"/>
        <w:gridCol w:w="109"/>
        <w:gridCol w:w="109"/>
        <w:gridCol w:w="109"/>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211"/>
        <w:gridCol w:w="406"/>
        <w:gridCol w:w="109"/>
        <w:gridCol w:w="109"/>
        <w:gridCol w:w="109"/>
        <w:gridCol w:w="109"/>
        <w:gridCol w:w="211"/>
        <w:gridCol w:w="976"/>
        <w:gridCol w:w="154"/>
      </w:tblGrid>
      <w:tr>
        <w:trPr/>
        <w:tc>
          <w:tcPr>
            <w:tcW w:w="47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6"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Costs Basis by Fiscal Year of Origination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 – 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 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 score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 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2,486,088 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highlight w:val="white"/>
        </w:rPr>
        <w:t>(1)</w:t>
      </w:r>
      <w:r>
        <w:rPr>
          <w:rFonts w:ascii="Times New Roman;sans-serif" w:hAnsi="Times New Roman;sans-serif"/>
          <w:b w:val="false"/>
          <w:color w:val="000000"/>
          <w:sz w:val="20"/>
        </w:rPr>
        <w:t>This balance represents loan receivables in new markets without sufficient data currently available for use by the Affirm scoring methodology including loan receivables originated in Canada and Australia.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44"/>
        <w:gridCol w:w="478"/>
        <w:gridCol w:w="479"/>
        <w:gridCol w:w="109"/>
        <w:gridCol w:w="109"/>
        <w:gridCol w:w="109"/>
        <w:gridCol w:w="211"/>
        <w:gridCol w:w="754"/>
        <w:gridCol w:w="109"/>
        <w:gridCol w:w="109"/>
        <w:gridCol w:w="109"/>
        <w:gridCol w:w="109"/>
        <w:gridCol w:w="211"/>
        <w:gridCol w:w="754"/>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754"/>
        <w:gridCol w:w="158"/>
      </w:tblGrid>
      <w:tr>
        <w:trPr/>
        <w:tc>
          <w:tcPr>
            <w:tcW w:w="544"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Charge-offs by Fiscal Year of Origination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charge-offs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recoveries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net charge-offs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of loans held for investment and loans held for sale by delinquency status (in thousands):</w:t>
      </w:r>
    </w:p>
    <w:tbl>
      <w:tblPr>
        <w:tblW w:w="6006" w:type="dxa"/>
        <w:jc w:val="center"/>
        <w:tblInd w:w="0" w:type="dxa"/>
        <w:tblCellMar>
          <w:top w:w="28" w:type="dxa"/>
          <w:left w:w="28" w:type="dxa"/>
          <w:bottom w:w="28" w:type="dxa"/>
          <w:right w:w="28" w:type="dxa"/>
        </w:tblCellMar>
      </w:tblPr>
      <w:tblGrid>
        <w:gridCol w:w="983"/>
        <w:gridCol w:w="864"/>
        <w:gridCol w:w="868"/>
        <w:gridCol w:w="109"/>
        <w:gridCol w:w="109"/>
        <w:gridCol w:w="109"/>
        <w:gridCol w:w="211"/>
        <w:gridCol w:w="976"/>
        <w:gridCol w:w="109"/>
        <w:gridCol w:w="109"/>
        <w:gridCol w:w="109"/>
        <w:gridCol w:w="109"/>
        <w:gridCol w:w="211"/>
        <w:gridCol w:w="976"/>
        <w:gridCol w:w="154"/>
      </w:tblGrid>
      <w:tr>
        <w:trPr/>
        <w:tc>
          <w:tcPr>
            <w:tcW w:w="983"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Non-delinquent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 29 calendar days past due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 59 calendar days past due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 89 calendar days past due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 119 calendar days past due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cost basis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2,019,884 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 allowance for credit losses at a level sufficient to absorb expected credit losses based on evaluating known and inherent risks in our loan portfolio. The allowance for credit losses is determined based on our current estimate of expected credit losses over the remaining contractual term, historical credit losses, consumer payment trends, estimates of recoveries, and future expectations as of each balance sheet date. Adjustments to the allowance each period for changes in our estimate of lifetime expected credit losses are recognized in earnings through the provision for credit losses presented on our interim condensed consolidated statements of operations and comprehensive loss. When available information confirms that specific loans or portions thereof are uncollectible, identified amounts are charged against the allowance for credit losses. Loans are charged-off in accordance with our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charge-off policy, as the contractual principal becomes 120 days past due. Subsequent recoveries of the unpaid principal balance, if any, are credited to the allowance for credit losses.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activity in the allowance for credit losses (in thousands):</w:t>
      </w:r>
    </w:p>
    <w:tbl>
      <w:tblPr>
        <w:tblW w:w="10205" w:type="dxa"/>
        <w:jc w:val="center"/>
        <w:tblInd w:w="0" w:type="dxa"/>
        <w:tblCellMar>
          <w:top w:w="28" w:type="dxa"/>
          <w:left w:w="28" w:type="dxa"/>
          <w:bottom w:w="28" w:type="dxa"/>
          <w:right w:w="28" w:type="dxa"/>
        </w:tblCellMar>
      </w:tblPr>
      <w:tblGrid>
        <w:gridCol w:w="1556"/>
        <w:gridCol w:w="1357"/>
        <w:gridCol w:w="1362"/>
        <w:gridCol w:w="109"/>
        <w:gridCol w:w="109"/>
        <w:gridCol w:w="109"/>
        <w:gridCol w:w="211"/>
        <w:gridCol w:w="826"/>
        <w:gridCol w:w="109"/>
        <w:gridCol w:w="109"/>
        <w:gridCol w:w="109"/>
        <w:gridCol w:w="109"/>
        <w:gridCol w:w="211"/>
        <w:gridCol w:w="826"/>
        <w:gridCol w:w="109"/>
        <w:gridCol w:w="109"/>
        <w:gridCol w:w="109"/>
        <w:gridCol w:w="109"/>
        <w:gridCol w:w="451"/>
        <w:gridCol w:w="441"/>
        <w:gridCol w:w="172"/>
        <w:gridCol w:w="172"/>
        <w:gridCol w:w="172"/>
        <w:gridCol w:w="172"/>
        <w:gridCol w:w="417"/>
        <w:gridCol w:w="409"/>
        <w:gridCol w:w="251"/>
      </w:tblGrid>
      <w:tr>
        <w:trPr/>
        <w:tc>
          <w:tcPr>
            <w:tcW w:w="15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w:t>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95,137 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due to adoption of new accounting 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172,720 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(145,307)</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(40,377)</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charged-off 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9,721 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5. Business Combinations</w:t>
      </w:r>
    </w:p>
    <w:p>
      <w:pPr>
        <w:pStyle w:val="TextBody"/>
        <w:spacing w:before="0" w:after="0"/>
        <w:rPr/>
      </w:pPr>
      <w:r>
        <w:rPr/>
      </w:r>
    </w:p>
    <w:p>
      <w:pPr>
        <w:pStyle w:val="TextBody"/>
        <w:spacing w:lineRule="auto" w:line="276"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ShopBrain</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July 1, 2021, Affirm completed the acquisition of technology and intellectual property from Yroo, Inc. and entered into employment arrangements with certain of its employees (“the ShopBrain acquisition”). Yroo, Inc. is a data aggregation and cataloging technology company based in Canada (“ShopBrain”). The purchase price was comprised of (i) $30.0 million in cash and (ii) 151,745 shares of our Class A common stock issued to the shareholders of ShopBrain at closing.</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the consideration transferred was approximately $40.0 million, which consisted of the following (in thousands):</w:t>
      </w:r>
    </w:p>
    <w:p>
      <w:pPr>
        <w:pStyle w:val="TextBody"/>
        <w:spacing w:before="0" w:after="0"/>
        <w:ind w:left="0" w:right="0" w:firstLine="720"/>
        <w:rPr/>
      </w:pPr>
      <w:r>
        <w:rPr/>
      </w:r>
    </w:p>
    <w:tbl>
      <w:tblPr>
        <w:tblW w:w="6693" w:type="dxa"/>
        <w:jc w:val="left"/>
        <w:tblInd w:w="0" w:type="dxa"/>
        <w:tblCellMar>
          <w:top w:w="28" w:type="dxa"/>
          <w:left w:w="28" w:type="dxa"/>
          <w:bottom w:w="28" w:type="dxa"/>
          <w:right w:w="28" w:type="dxa"/>
        </w:tblCellMar>
      </w:tblPr>
      <w:tblGrid>
        <w:gridCol w:w="1904"/>
        <w:gridCol w:w="1672"/>
        <w:gridCol w:w="1704"/>
        <w:gridCol w:w="109"/>
        <w:gridCol w:w="109"/>
        <w:gridCol w:w="109"/>
        <w:gridCol w:w="211"/>
        <w:gridCol w:w="721"/>
        <w:gridCol w:w="154"/>
      </w:tblGrid>
      <w:tr>
        <w:trPr/>
        <w:tc>
          <w:tcPr>
            <w:tcW w:w="1904"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Class A common stock transferred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date fair value of the consideration transferred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rPr>
        <w:t xml:space="preserve">The acquisition was accounted for as a business combination and reflects the application of acquisition accounting in accordance with </w:t>
      </w:r>
      <w:r>
        <w:rPr>
          <w:rFonts w:ascii="Times New Roman;sans-serif" w:hAnsi="Times New Roman;sans-serif"/>
          <w:b w:val="false"/>
          <w:color w:val="000000"/>
          <w:sz w:val="20"/>
          <w:highlight w:val="white"/>
        </w:rPr>
        <w:t>ASC Topic 805, “Business Combinations” (“ASC 805”)</w:t>
      </w:r>
      <w:r>
        <w:rPr>
          <w:rFonts w:ascii="Times New Roman;sans-serif" w:hAnsi="Times New Roman;sans-serif"/>
          <w:b w:val="false"/>
          <w:color w:val="000000"/>
          <w:sz w:val="20"/>
        </w:rPr>
        <w:t>. The acquired identifiable intangible assets have been recorded at their estimated fair values with the excess purchase price assigned to goodwill. The goodwill was primarily attributed to future synergies from integration and the value of the assembled workforce. The goodwill is expected to be deductible for income tax purposes.</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the consideration paid of approximately $40.0 million to the fair values of the assets acquired and liabilities assumed at the acquisition date (in thousands):</w:t>
      </w:r>
    </w:p>
    <w:p>
      <w:pPr>
        <w:pStyle w:val="TextBody"/>
        <w:spacing w:before="0" w:after="0"/>
        <w:rPr/>
      </w:pPr>
      <w:r>
        <w:rPr/>
      </w:r>
    </w:p>
    <w:tbl>
      <w:tblPr>
        <w:tblW w:w="3528" w:type="dxa"/>
        <w:jc w:val="left"/>
        <w:tblInd w:w="0" w:type="dxa"/>
        <w:tblCellMar>
          <w:top w:w="28" w:type="dxa"/>
          <w:left w:w="28" w:type="dxa"/>
          <w:bottom w:w="28" w:type="dxa"/>
          <w:right w:w="28" w:type="dxa"/>
        </w:tblCellMar>
      </w:tblPr>
      <w:tblGrid>
        <w:gridCol w:w="766"/>
        <w:gridCol w:w="674"/>
        <w:gridCol w:w="675"/>
        <w:gridCol w:w="109"/>
        <w:gridCol w:w="109"/>
        <w:gridCol w:w="109"/>
        <w:gridCol w:w="211"/>
        <w:gridCol w:w="721"/>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identifiable intangible assets acquired and their estimated useful lives as of the date of acquisition (in thousands):</w:t>
      </w:r>
    </w:p>
    <w:tbl>
      <w:tblPr>
        <w:tblW w:w="4605" w:type="dxa"/>
        <w:jc w:val="left"/>
        <w:tblInd w:w="0" w:type="dxa"/>
        <w:tblCellMar>
          <w:top w:w="28" w:type="dxa"/>
          <w:left w:w="28" w:type="dxa"/>
          <w:bottom w:w="28" w:type="dxa"/>
          <w:right w:w="28" w:type="dxa"/>
        </w:tblCellMar>
      </w:tblPr>
      <w:tblGrid>
        <w:gridCol w:w="718"/>
        <w:gridCol w:w="629"/>
        <w:gridCol w:w="633"/>
        <w:gridCol w:w="109"/>
        <w:gridCol w:w="109"/>
        <w:gridCol w:w="109"/>
        <w:gridCol w:w="211"/>
        <w:gridCol w:w="616"/>
        <w:gridCol w:w="109"/>
        <w:gridCol w:w="109"/>
        <w:gridCol w:w="109"/>
        <w:gridCol w:w="109"/>
        <w:gridCol w:w="303"/>
        <w:gridCol w:w="303"/>
        <w:gridCol w:w="429"/>
      </w:tblGrid>
      <w:tr>
        <w:trPr/>
        <w:tc>
          <w:tcPr>
            <w:tcW w:w="718"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Useful Life </w:t>
              <w:br/>
              <w:t>(in years)</w:t>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fair values of the intangible assets were determined by applying the replacement cost method. The fair value measurements are based on significant unobservable inputs, including management estimates and assumptions, and thus represents Level 3 measurements.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highlight w:val="white"/>
        </w:rPr>
        <w:t xml:space="preserve">The transaction costs associated with the acquisition were approximately $0.2 million for the nine months ended March 31, 2022, which are included in </w:t>
      </w:r>
      <w:r>
        <w:rPr>
          <w:rFonts w:ascii="Times New Roman;sans-serif" w:hAnsi="Times New Roman;sans-serif"/>
          <w:b w:val="false"/>
          <w:color w:val="000000"/>
          <w:sz w:val="20"/>
        </w:rPr>
        <w:t>general and administrative</w:t>
      </w:r>
      <w:r>
        <w:rPr>
          <w:color w:val="000000"/>
          <w:highlight w:val="white"/>
        </w:rPr>
        <w:t xml:space="preserve"> </w:t>
      </w:r>
      <w:r>
        <w:rPr>
          <w:rFonts w:ascii="Times New Roman;sans-serif" w:hAnsi="Times New Roman;sans-serif"/>
          <w:b w:val="false"/>
          <w:color w:val="000000"/>
          <w:sz w:val="20"/>
          <w:highlight w:val="white"/>
        </w:rPr>
        <w:t xml:space="preserve">expense within the interim condensed consolidated statements of operations and comprehensive loss. There were </w:t>
      </w:r>
      <w:r>
        <w:rPr>
          <w:rFonts w:ascii="Times New Roman;sans-serif" w:hAnsi="Times New Roman;sans-serif"/>
          <w:b w:val="false"/>
          <w:color w:val="000000"/>
          <w:sz w:val="20"/>
        </w:rPr>
        <w:t xml:space="preserve">no transaction costs associated with the acquisition </w:t>
      </w:r>
      <w:r>
        <w:rPr>
          <w:rFonts w:ascii="Times New Roman;sans-serif" w:hAnsi="Times New Roman;sans-serif"/>
          <w:b w:val="false"/>
          <w:color w:val="000000"/>
          <w:sz w:val="20"/>
          <w:highlight w:val="white"/>
        </w:rPr>
        <w:t xml:space="preserve">for the three months ended March 31, 2022. </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 forma adjustments would only include the additional amortization that would have been charged assuming the intangible assets had been recorded as of July 1, 2020. Such adjustments would not be material to the consolidated statements of operations and comprehensive loss for the three and nine months ended March 31, 2021.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Kite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June 1, 2021, Affirm completed the acquisition of technology and intellectual property from Manhattan Engineering, Inc. and entered into employment arrangements with certain of its employees (“the Kite acquisition”). The purchase price was comprised of $26.0 million in cash, including $9.0 million held in escrow and subject to forfeiture if certain employees terminate within a stipulated time period.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the consideration transferred was approximately $24.8 million which consisted of the following (in thousands):</w:t>
      </w:r>
    </w:p>
    <w:p>
      <w:pPr>
        <w:pStyle w:val="TextBody"/>
        <w:spacing w:before="0" w:after="0"/>
        <w:ind w:left="0" w:right="0" w:firstLine="720"/>
        <w:rPr/>
      </w:pPr>
      <w:r>
        <w:rPr/>
      </w:r>
    </w:p>
    <w:tbl>
      <w:tblPr>
        <w:tblW w:w="6392" w:type="dxa"/>
        <w:jc w:val="left"/>
        <w:tblInd w:w="0" w:type="dxa"/>
        <w:tblCellMar>
          <w:top w:w="28" w:type="dxa"/>
          <w:left w:w="28" w:type="dxa"/>
          <w:bottom w:w="28" w:type="dxa"/>
          <w:right w:w="28" w:type="dxa"/>
        </w:tblCellMar>
      </w:tblPr>
      <w:tblGrid>
        <w:gridCol w:w="1796"/>
        <w:gridCol w:w="1578"/>
        <w:gridCol w:w="1605"/>
        <w:gridCol w:w="109"/>
        <w:gridCol w:w="109"/>
        <w:gridCol w:w="109"/>
        <w:gridCol w:w="211"/>
        <w:gridCol w:w="721"/>
        <w:gridCol w:w="154"/>
      </w:tblGrid>
      <w:tr>
        <w:trPr/>
        <w:tc>
          <w:tcPr>
            <w:tcW w:w="1796"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Fair value of contingent consideration asset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date fair value of consideration transferred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acquisition was accounted for as a business combination and reflects the application of acquisition accounting in accordance with ASC 805. The acquired identifiable intangible assets have been recorded at their estimated fair values with the excess purchase price assigned to goodwill. The goodwill was primarily attributed to the value of assembled workforce. The goodwill is expected to be deductible for income tax purposes.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allocation of the consideration paid of approximately $24.8 million to the fair values of the assets acquired and liabilities assumed at the acquisition date (in thousands): </w:t>
      </w:r>
    </w:p>
    <w:p>
      <w:pPr>
        <w:pStyle w:val="TextBody"/>
        <w:spacing w:before="0" w:after="0"/>
        <w:ind w:left="0" w:right="0" w:firstLine="720"/>
        <w:rPr/>
      </w:pPr>
      <w:r>
        <w:rPr/>
      </w:r>
    </w:p>
    <w:tbl>
      <w:tblPr>
        <w:tblW w:w="3183" w:type="dxa"/>
        <w:jc w:val="left"/>
        <w:tblInd w:w="0" w:type="dxa"/>
        <w:tblCellMar>
          <w:top w:w="28" w:type="dxa"/>
          <w:left w:w="28" w:type="dxa"/>
          <w:bottom w:w="28" w:type="dxa"/>
          <w:right w:w="28" w:type="dxa"/>
        </w:tblCellMar>
      </w:tblPr>
      <w:tblGrid>
        <w:gridCol w:w="641"/>
        <w:gridCol w:w="564"/>
        <w:gridCol w:w="565"/>
        <w:gridCol w:w="109"/>
        <w:gridCol w:w="109"/>
        <w:gridCol w:w="109"/>
        <w:gridCol w:w="211"/>
        <w:gridCol w:w="721"/>
        <w:gridCol w:w="154"/>
      </w:tblGrid>
      <w:tr>
        <w:trPr/>
        <w:tc>
          <w:tcPr>
            <w:tcW w:w="641"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identifiable intangible assets acquired and their estimated useful lives as of the date of acquisition (in thousands):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tbl>
      <w:tblPr>
        <w:tblW w:w="4605" w:type="dxa"/>
        <w:jc w:val="left"/>
        <w:tblInd w:w="0" w:type="dxa"/>
        <w:tblCellMar>
          <w:top w:w="28" w:type="dxa"/>
          <w:left w:w="28" w:type="dxa"/>
          <w:bottom w:w="28" w:type="dxa"/>
          <w:right w:w="28" w:type="dxa"/>
        </w:tblCellMar>
      </w:tblPr>
      <w:tblGrid>
        <w:gridCol w:w="718"/>
        <w:gridCol w:w="629"/>
        <w:gridCol w:w="633"/>
        <w:gridCol w:w="109"/>
        <w:gridCol w:w="109"/>
        <w:gridCol w:w="109"/>
        <w:gridCol w:w="211"/>
        <w:gridCol w:w="616"/>
        <w:gridCol w:w="109"/>
        <w:gridCol w:w="109"/>
        <w:gridCol w:w="109"/>
        <w:gridCol w:w="109"/>
        <w:gridCol w:w="303"/>
        <w:gridCol w:w="303"/>
        <w:gridCol w:w="429"/>
      </w:tblGrid>
      <w:tr>
        <w:trPr/>
        <w:tc>
          <w:tcPr>
            <w:tcW w:w="718"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Useful Life </w:t>
              <w:br/>
              <w:t>(in years)</w:t>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intangible assets were determined by applying the replacement cost method. The fair value measurements are based on significant unobservable inputs, including management estimates and assumptions, and thus represent Level 3 measurements.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year ended June 30, 2021, we incurred transaction costs associated with the acquisition in the amount of approximately $0.2 million which are included in general and administrative expense in the consolidated statements of operations and comprehensive loss.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Pro forma adjustments would only include the additional amortization that would have been charged assuming the intangible assets had been recorded as of July 1, 2019. Such adjustments would not be material to the consolidated statements of operations and comprehensive loss for the three and nine months ended March 31, 2021.</w:t>
      </w:r>
      <w:r>
        <w:rPr>
          <w:color w:val="EE2724"/>
        </w:rPr>
        <w:t>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Returnly</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2021, Affirm completed a merger transaction with Returnly Technologies, Inc. (“Returnly”), a leading provider of online return experiences for direct-to-consumer brands. Prior to the merger transaction, Affirm owned approximately 1% of the outstanding shares of Returnly. By effect of the merger transaction, Affirm acquired all of the remaining outstanding shares, increasing its equity interest from approximately 1% to 100%. We have included the financial results of Returnly in our interim condensed consolidated financial statements from the date of acquisition. </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purchase price for the remaining interest was comprised of (i) approximately $71.5 million in cash and (ii) 2,989,697 shares of our common stock issued to the shareholders of Returnly at closing. We also issued 304,364 shares of our common stock, which are held in escrow and subject to forfeiture upon the termination of certain employees or if certain revenue milestones are not met. Because the future payment of the escrowed shares is contingent on continued employment, the arrangement represents stock-based compensation in the post combination period. Refer to Note 15. Equity Incentive Plans for additional information on the escrowed share arrangement.</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the consideration transferred for Returnly was approximately $286.0 million, which consisted of the following (in thousands):</w:t>
      </w:r>
    </w:p>
    <w:p>
      <w:pPr>
        <w:pStyle w:val="TextBody"/>
        <w:spacing w:before="0" w:after="0"/>
        <w:ind w:left="0" w:right="0" w:firstLine="720"/>
        <w:rPr/>
      </w:pPr>
      <w:r>
        <w:rPr/>
      </w:r>
    </w:p>
    <w:tbl>
      <w:tblPr>
        <w:tblW w:w="6498" w:type="dxa"/>
        <w:jc w:val="left"/>
        <w:tblInd w:w="0" w:type="dxa"/>
        <w:tblCellMar>
          <w:top w:w="28" w:type="dxa"/>
          <w:left w:w="28" w:type="dxa"/>
          <w:bottom w:w="28" w:type="dxa"/>
          <w:right w:w="28" w:type="dxa"/>
        </w:tblCellMar>
      </w:tblPr>
      <w:tblGrid>
        <w:gridCol w:w="1796"/>
        <w:gridCol w:w="1577"/>
        <w:gridCol w:w="1607"/>
        <w:gridCol w:w="109"/>
        <w:gridCol w:w="109"/>
        <w:gridCol w:w="109"/>
        <w:gridCol w:w="211"/>
        <w:gridCol w:w="826"/>
        <w:gridCol w:w="154"/>
      </w:tblGrid>
      <w:tr>
        <w:trPr/>
        <w:tc>
          <w:tcPr>
            <w:tcW w:w="1796"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 transferred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214,475</w:t>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date fair value of consideration transferred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the equity interest in Returnly held by Affirm immediately before the acquisition date was $2.1 million, resulting in the recognition of a $1.6 million gain included in other (expense) income, net in the interim condensed consolidated statements of operations and comprehensive loss.</w:t>
      </w:r>
    </w:p>
    <w:p>
      <w:pPr>
        <w:pStyle w:val="TextBody"/>
        <w:spacing w:before="0" w:after="0"/>
        <w:rPr/>
      </w:pPr>
      <w:r>
        <w:rPr/>
      </w:r>
    </w:p>
    <w:p>
      <w:pPr>
        <w:pStyle w:val="TextBody"/>
        <w:spacing w:lineRule="auto" w:line="295" w:before="0" w:after="0"/>
        <w:ind w:left="0" w:right="0" w:firstLine="720"/>
        <w:rPr/>
      </w:pPr>
      <w:r>
        <w:rPr>
          <w:rFonts w:ascii="Times New Roman;sans-serif" w:hAnsi="Times New Roman;sans-serif"/>
          <w:b w:val="false"/>
          <w:color w:val="000000"/>
          <w:sz w:val="20"/>
          <w:highlight w:val="white"/>
        </w:rPr>
        <w:t xml:space="preserve">The acquisition of Returnly was accounted for as a business combination and reflects the application of acquisition accounting in accordance with ASC 805. The acquired Returnly assets, including identifiable intangible assets and liabilities assumed, have been recorded at their estimated fair values with the excess purchase price assigned to goodwill. The goodwill was primarily attributed to future synergies from integration, new customer acquisitions, and the value of assembled workforce. </w:t>
      </w:r>
      <w:r>
        <w:rPr>
          <w:rFonts w:ascii="Times New Roman;sans-serif" w:hAnsi="Times New Roman;sans-serif"/>
          <w:b w:val="false"/>
          <w:color w:val="000000"/>
          <w:sz w:val="20"/>
        </w:rPr>
        <w:t>Goodwill is not expected to be deductible for income tax purposes.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the fair value of the consideration paid and the previously held equity interest of approximately $288.1 million to the fair values of the assets acquired and liabilities assumed at the acquisition date (in thousands):</w:t>
      </w:r>
    </w:p>
    <w:p>
      <w:pPr>
        <w:pStyle w:val="TextBody"/>
        <w:spacing w:before="0" w:after="0"/>
        <w:ind w:left="0" w:right="0" w:firstLine="720"/>
        <w:rPr/>
      </w:pPr>
      <w:r>
        <w:rPr/>
      </w:r>
    </w:p>
    <w:tbl>
      <w:tblPr>
        <w:tblW w:w="7757" w:type="dxa"/>
        <w:jc w:val="left"/>
        <w:tblInd w:w="0" w:type="dxa"/>
        <w:tblCellMar>
          <w:top w:w="28" w:type="dxa"/>
          <w:left w:w="28" w:type="dxa"/>
          <w:bottom w:w="28" w:type="dxa"/>
          <w:right w:w="28" w:type="dxa"/>
        </w:tblCellMar>
      </w:tblPr>
      <w:tblGrid>
        <w:gridCol w:w="2261"/>
        <w:gridCol w:w="1983"/>
        <w:gridCol w:w="1995"/>
        <w:gridCol w:w="109"/>
        <w:gridCol w:w="109"/>
        <w:gridCol w:w="109"/>
        <w:gridCol w:w="211"/>
        <w:gridCol w:w="826"/>
        <w:gridCol w:w="154"/>
      </w:tblGrid>
      <w:tr>
        <w:trPr/>
        <w:tc>
          <w:tcPr>
            <w:tcW w:w="2261"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19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consideration transferred and previously held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identifiable intangible assets acquired and their estimated useful lives as of the date of acquisition (in thousands):</w:t>
      </w:r>
    </w:p>
    <w:p>
      <w:pPr>
        <w:pStyle w:val="TextBody"/>
        <w:spacing w:before="0" w:after="0"/>
        <w:ind w:left="0" w:right="0" w:firstLine="720"/>
        <w:rPr/>
      </w:pPr>
      <w:r>
        <w:rPr/>
      </w:r>
    </w:p>
    <w:tbl>
      <w:tblPr>
        <w:tblW w:w="4725" w:type="dxa"/>
        <w:jc w:val="left"/>
        <w:tblInd w:w="0" w:type="dxa"/>
        <w:tblCellMar>
          <w:top w:w="28" w:type="dxa"/>
          <w:left w:w="28" w:type="dxa"/>
          <w:bottom w:w="28" w:type="dxa"/>
          <w:right w:w="28" w:type="dxa"/>
        </w:tblCellMar>
      </w:tblPr>
      <w:tblGrid>
        <w:gridCol w:w="723"/>
        <w:gridCol w:w="634"/>
        <w:gridCol w:w="638"/>
        <w:gridCol w:w="109"/>
        <w:gridCol w:w="109"/>
        <w:gridCol w:w="109"/>
        <w:gridCol w:w="211"/>
        <w:gridCol w:w="721"/>
        <w:gridCol w:w="109"/>
        <w:gridCol w:w="109"/>
        <w:gridCol w:w="109"/>
        <w:gridCol w:w="109"/>
        <w:gridCol w:w="303"/>
        <w:gridCol w:w="303"/>
        <w:gridCol w:w="429"/>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Useful Life </w:t>
              <w:br/>
              <w:t>(in years)</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fair value of the merchant relationship intangible asset was estimated by applying the income approach, which is based upon the discounted projected future cash flows attributable to the existing merchant relationships. The fair value of the developed technology intangible asset was determined by applying the replacement cost method. The fair value measurements are based on significant unobservable inputs, including management estimates and assumptions, and thus represent Level 3 measurements.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year ended June 30, 2021, we incurred transaction costs associated with the acquisition costs in the amount of approximately $1.8 million which are included in general and administrative expense in the consolidated statements of operations and comprehensive loss.</w:t>
      </w:r>
    </w:p>
    <w:p>
      <w:pPr>
        <w:pStyle w:val="TextBody"/>
        <w:spacing w:before="0" w:after="0"/>
        <w:ind w:left="0" w:right="0" w:firstLine="720"/>
        <w:rPr/>
      </w:pPr>
      <w:r>
        <w:rPr/>
      </w:r>
    </w:p>
    <w:p>
      <w:pPr>
        <w:pStyle w:val="TextBody"/>
        <w:spacing w:lineRule="auto" w:line="295" w:before="0" w:after="0"/>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Information</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reflects the pro forma consolidated total revenue and net loss for the periods presented as if the acquisition of Returnly had occurred on July 1, 2019 and combines the historical results of Affirm and Returnly. This supplemental unaudited pro forma information is based upon accounting estimates and judgments that we believe are reasonable and includes certain adjustments to conform accounting standards to U.S. GAAP. This supplemental unaudited pro forma financial information has been prepared for illustrative purposes only and is not necessarily indicative of what actual results would have occurred, or of results that may occur in the future.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tbl>
      <w:tblPr>
        <w:tblW w:w="4959" w:type="dxa"/>
        <w:jc w:val="left"/>
        <w:tblInd w:w="0" w:type="dxa"/>
        <w:tblCellMar>
          <w:top w:w="28" w:type="dxa"/>
          <w:left w:w="28" w:type="dxa"/>
          <w:bottom w:w="28" w:type="dxa"/>
          <w:right w:w="28" w:type="dxa"/>
        </w:tblCellMar>
      </w:tblPr>
      <w:tblGrid>
        <w:gridCol w:w="304"/>
        <w:gridCol w:w="268"/>
        <w:gridCol w:w="269"/>
        <w:gridCol w:w="109"/>
        <w:gridCol w:w="109"/>
        <w:gridCol w:w="109"/>
        <w:gridCol w:w="303"/>
        <w:gridCol w:w="1295"/>
        <w:gridCol w:w="156"/>
        <w:gridCol w:w="109"/>
        <w:gridCol w:w="109"/>
        <w:gridCol w:w="109"/>
        <w:gridCol w:w="285"/>
        <w:gridCol w:w="1217"/>
        <w:gridCol w:w="208"/>
      </w:tblGrid>
      <w:tr>
        <w:trPr/>
        <w:tc>
          <w:tcPr>
            <w:tcW w:w="30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w:t>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618,356 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(291,597)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(329,540)</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PayBright</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1, 2021, Affirm Canada Holdings Ltd. (“Affirm Canada”), a subsidiary of Affirm, and Affirm acquired all outstanding stock of PayBright, Inc., one of Canada’s leading buy now, pay later providers, for approximately $288.8 million. We have included the financial results of PayBright in our interim condensed consolidated financial statements from the date of acquisition.</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purchase price was comprised of (i) approximately $114.5 million in cash, (ii) 3,622,445 shares of our common stock issued to the shareholders of PayBright at closing and (iii) 2,587,362 shares of our common stock held in escrow and subject to forfeiture if certain revenue milestones are not met. On January 12, 2021, these shares were reclassified into an aggregate of 1,811,222 shares of our Class A common stock and 1,811,222 shares of our Class B common stock issued to the shareholders of PayBright at closing and an aggregate of 1,293,681 shares of our Class A common stock and 1,293,681 shares of our Class B common stock held in escrow. </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the consideration transferred for PayBright was approximately $288.8 million, which consisted of the following (in thousands):</w:t>
      </w:r>
    </w:p>
    <w:p>
      <w:pPr>
        <w:pStyle w:val="TextBody"/>
        <w:spacing w:before="0" w:after="0"/>
        <w:ind w:left="0" w:right="0" w:firstLine="720"/>
        <w:rPr/>
      </w:pPr>
      <w:r>
        <w:rPr/>
      </w:r>
    </w:p>
    <w:tbl>
      <w:tblPr>
        <w:tblW w:w="4787" w:type="dxa"/>
        <w:jc w:val="left"/>
        <w:tblInd w:w="0" w:type="dxa"/>
        <w:tblCellMar>
          <w:top w:w="28" w:type="dxa"/>
          <w:left w:w="28" w:type="dxa"/>
          <w:bottom w:w="28" w:type="dxa"/>
          <w:right w:w="28" w:type="dxa"/>
        </w:tblCellMar>
      </w:tblPr>
      <w:tblGrid>
        <w:gridCol w:w="1179"/>
        <w:gridCol w:w="1035"/>
        <w:gridCol w:w="1055"/>
        <w:gridCol w:w="109"/>
        <w:gridCol w:w="109"/>
        <w:gridCol w:w="109"/>
        <w:gridCol w:w="211"/>
        <w:gridCol w:w="826"/>
        <w:gridCol w:w="154"/>
      </w:tblGrid>
      <w:tr>
        <w:trPr/>
        <w:tc>
          <w:tcPr>
            <w:tcW w:w="1179"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 transferred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further details on our fair value methodology with respect to the contingent consideration, see Note 13. Fair Value of Financial Assets and Liabilities.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highlight w:val="white"/>
        </w:rPr>
        <w:t xml:space="preserve">The acquisition of PayBright was accounted for as a business combination and reflects the application of acquisition accounting in accordance with ASC 805. The acquired PayBright assets, including identifiable intangible assets and liabilities assumed, have been recorded at their estimated fair values with the excess purchase price assigned to goodwill. </w:t>
      </w:r>
      <w:r>
        <w:rPr>
          <w:rFonts w:ascii="Times New Roman;sans-serif" w:hAnsi="Times New Roman;sans-serif"/>
          <w:b w:val="false"/>
          <w:color w:val="000000"/>
          <w:sz w:val="20"/>
        </w:rPr>
        <w:t>The goodwill was primarily attributed to future synergies from integration, new customer acquisitions, and the value of assembled workforce in Canada. Goodwill is not expected to be deductible for income tax purposes.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the consideration paid of approximately $288.8 million to the fair values of the assets acquired and liabilities assumed at the acquisition date (in thousands):</w:t>
      </w:r>
    </w:p>
    <w:p>
      <w:pPr>
        <w:pStyle w:val="TextBody"/>
        <w:spacing w:before="0" w:after="0"/>
        <w:ind w:left="0" w:right="0" w:firstLine="720"/>
        <w:rPr/>
      </w:pPr>
      <w:r>
        <w:rPr/>
      </w:r>
    </w:p>
    <w:tbl>
      <w:tblPr>
        <w:tblW w:w="4727" w:type="dxa"/>
        <w:jc w:val="left"/>
        <w:tblInd w:w="0" w:type="dxa"/>
        <w:tblCellMar>
          <w:top w:w="28" w:type="dxa"/>
          <w:left w:w="28" w:type="dxa"/>
          <w:bottom w:w="28" w:type="dxa"/>
          <w:right w:w="28" w:type="dxa"/>
        </w:tblCellMar>
      </w:tblPr>
      <w:tblGrid>
        <w:gridCol w:w="1163"/>
        <w:gridCol w:w="1020"/>
        <w:gridCol w:w="1026"/>
        <w:gridCol w:w="109"/>
        <w:gridCol w:w="109"/>
        <w:gridCol w:w="109"/>
        <w:gridCol w:w="211"/>
        <w:gridCol w:w="826"/>
        <w:gridCol w:w="154"/>
      </w:tblGrid>
      <w:tr>
        <w:trPr/>
        <w:tc>
          <w:tcPr>
            <w:tcW w:w="1163"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identifiable intangible assets acquired and their estimated useful lives as of the date of acquisition (in thousands)</w:t>
      </w:r>
    </w:p>
    <w:tbl>
      <w:tblPr>
        <w:tblW w:w="4725" w:type="dxa"/>
        <w:jc w:val="left"/>
        <w:tblInd w:w="0" w:type="dxa"/>
        <w:tblCellMar>
          <w:top w:w="28" w:type="dxa"/>
          <w:left w:w="28" w:type="dxa"/>
          <w:bottom w:w="28" w:type="dxa"/>
          <w:right w:w="28" w:type="dxa"/>
        </w:tblCellMar>
      </w:tblPr>
      <w:tblGrid>
        <w:gridCol w:w="723"/>
        <w:gridCol w:w="634"/>
        <w:gridCol w:w="638"/>
        <w:gridCol w:w="109"/>
        <w:gridCol w:w="109"/>
        <w:gridCol w:w="109"/>
        <w:gridCol w:w="211"/>
        <w:gridCol w:w="721"/>
        <w:gridCol w:w="109"/>
        <w:gridCol w:w="109"/>
        <w:gridCol w:w="109"/>
        <w:gridCol w:w="109"/>
        <w:gridCol w:w="303"/>
        <w:gridCol w:w="303"/>
        <w:gridCol w:w="429"/>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Useful Life </w:t>
              <w:br/>
              <w:t>(in years)</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year ended June 30, 2021, we incurred transaction costs associated with the acquisition costs in the amount of approximately $2.4 million, which are included in general and administrative expense in the consolidated statements of operations and comprehensive loss.</w:t>
      </w:r>
    </w:p>
    <w:p>
      <w:pPr>
        <w:pStyle w:val="TextBody"/>
        <w:spacing w:before="0" w:after="0"/>
        <w:ind w:left="0" w:right="0" w:firstLine="72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Information</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The following table reflects the pro forma consolidated total revenue and</w:t>
      </w:r>
      <w:r>
        <w:rPr>
          <w:color w:val="000000"/>
        </w:rPr>
        <w:t xml:space="preserve"> </w:t>
      </w:r>
      <w:r>
        <w:rPr>
          <w:rFonts w:ascii="Times New Roman;sans-serif" w:hAnsi="Times New Roman;sans-serif"/>
          <w:b w:val="false"/>
          <w:color w:val="000000"/>
          <w:sz w:val="20"/>
        </w:rPr>
        <w:t>net loss</w:t>
      </w:r>
      <w:r>
        <w:rPr>
          <w:color w:val="000000"/>
        </w:rPr>
        <w:t xml:space="preserve"> </w:t>
      </w:r>
      <w:r>
        <w:rPr>
          <w:rFonts w:ascii="Times New Roman;sans-serif" w:hAnsi="Times New Roman;sans-serif"/>
          <w:b w:val="false"/>
          <w:color w:val="000000"/>
          <w:sz w:val="20"/>
        </w:rPr>
        <w:t xml:space="preserve">for the periods presented as if the acquisition of PayBright had occurred on July 1, 2019 and combines the historical results of Affirm and PayBright. This supplemental unaudited pro forma information is based upon accounting estimates and judgments that we believe are reasonable and includes certain adjustments to conform accounting standards to U.S. GAAP. This supplemental unaudited pro forma financial information has been prepared for illustrative purposes only and is not necessarily indicative of what actual results would have occurred, or of results that may occur in the future. </w:t>
      </w:r>
    </w:p>
    <w:p>
      <w:pPr>
        <w:pStyle w:val="TextBody"/>
        <w:spacing w:before="0" w:after="0"/>
        <w:ind w:left="0" w:right="0" w:firstLine="720"/>
        <w:rPr/>
      </w:pPr>
      <w:r>
        <w:rPr/>
      </w:r>
    </w:p>
    <w:tbl>
      <w:tblPr>
        <w:tblW w:w="2878" w:type="dxa"/>
        <w:jc w:val="left"/>
        <w:tblInd w:w="0" w:type="dxa"/>
        <w:tblCellMar>
          <w:top w:w="28" w:type="dxa"/>
          <w:left w:w="28" w:type="dxa"/>
          <w:bottom w:w="28" w:type="dxa"/>
          <w:right w:w="28" w:type="dxa"/>
        </w:tblCellMar>
      </w:tblPr>
      <w:tblGrid>
        <w:gridCol w:w="304"/>
        <w:gridCol w:w="268"/>
        <w:gridCol w:w="269"/>
        <w:gridCol w:w="109"/>
        <w:gridCol w:w="109"/>
        <w:gridCol w:w="109"/>
        <w:gridCol w:w="285"/>
        <w:gridCol w:w="1217"/>
        <w:gridCol w:w="208"/>
      </w:tblGrid>
      <w:tr>
        <w:trPr/>
        <w:tc>
          <w:tcPr>
            <w:tcW w:w="30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w:t>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617,340 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(347,511)</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6.   Balance Sheet Components</w:t>
      </w:r>
    </w:p>
    <w:p>
      <w:pPr>
        <w:pStyle w:val="TextBody"/>
        <w:spacing w:before="0" w:after="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spacing w:before="0" w:after="0"/>
        <w:rPr/>
      </w:pPr>
      <w:r>
        <w:rPr/>
      </w:r>
    </w:p>
    <w:p>
      <w:pPr>
        <w:pStyle w:val="TextBody"/>
        <w:spacing w:lineRule="auto" w:line="295" w:before="0" w:after="0"/>
        <w:ind w:left="0" w:right="0" w:firstLine="399"/>
        <w:rPr>
          <w:rFonts w:ascii="Times New Roman;sans-serif" w:hAnsi="Times New Roman;sans-serif"/>
          <w:b w:val="false"/>
          <w:color w:val="000000"/>
          <w:sz w:val="20"/>
        </w:rPr>
      </w:pPr>
      <w:r>
        <w:rPr>
          <w:rFonts w:ascii="Times New Roman;sans-serif" w:hAnsi="Times New Roman;sans-serif"/>
          <w:b w:val="false"/>
          <w:color w:val="000000"/>
          <w:sz w:val="20"/>
        </w:rPr>
        <w:t>Our accounts receivable consist primarily of amounts due from payment processors, merchant partners, and servicing fees due from third-party loan owners. We evaluate accounts receivable estimated to be uncollectible and provide an allowance, as necessary, for doubtful accounts. This allowance was $12.0 million and $4.1 million as of March 31, 2022 and June 30, 2021, respectively.</w:t>
      </w:r>
    </w:p>
    <w:p>
      <w:pPr>
        <w:pStyle w:val="TextBody"/>
        <w:spacing w:before="0" w:after="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during the nine months ended March 31, 2022 were as follows (in thousands):</w:t>
      </w:r>
    </w:p>
    <w:p>
      <w:pPr>
        <w:pStyle w:val="TextBody"/>
        <w:spacing w:before="0" w:after="0"/>
        <w:ind w:left="0" w:right="0" w:firstLine="720"/>
        <w:rPr/>
      </w:pPr>
      <w:r>
        <w:rPr/>
      </w:r>
    </w:p>
    <w:tbl>
      <w:tblPr>
        <w:tblW w:w="4623" w:type="dxa"/>
        <w:jc w:val="left"/>
        <w:tblInd w:w="0" w:type="dxa"/>
        <w:tblCellMar>
          <w:top w:w="28" w:type="dxa"/>
          <w:left w:w="28" w:type="dxa"/>
          <w:bottom w:w="28" w:type="dxa"/>
          <w:right w:w="28" w:type="dxa"/>
        </w:tblCellMar>
      </w:tblPr>
      <w:tblGrid>
        <w:gridCol w:w="1125"/>
        <w:gridCol w:w="986"/>
        <w:gridCol w:w="994"/>
        <w:gridCol w:w="109"/>
        <w:gridCol w:w="109"/>
        <w:gridCol w:w="109"/>
        <w:gridCol w:w="211"/>
        <w:gridCol w:w="826"/>
        <w:gridCol w:w="154"/>
      </w:tblGrid>
      <w:tr>
        <w:trPr/>
        <w:tc>
          <w:tcPr>
            <w:tcW w:w="1125"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Refer to Note 5. Business Combinations for a description of additions to goodwill during the nine months ended March 31, 2022. No impairment losses related to goodwill were recorded during the nine months ended March 31, 2022 and 2021.</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(in thousands):</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878"/>
        <w:gridCol w:w="772"/>
        <w:gridCol w:w="774"/>
        <w:gridCol w:w="109"/>
        <w:gridCol w:w="109"/>
        <w:gridCol w:w="109"/>
        <w:gridCol w:w="211"/>
        <w:gridCol w:w="721"/>
        <w:gridCol w:w="109"/>
        <w:gridCol w:w="109"/>
        <w:gridCol w:w="109"/>
        <w:gridCol w:w="109"/>
        <w:gridCol w:w="360"/>
        <w:gridCol w:w="1277"/>
        <w:gridCol w:w="189"/>
        <w:gridCol w:w="109"/>
        <w:gridCol w:w="109"/>
        <w:gridCol w:w="109"/>
        <w:gridCol w:w="211"/>
        <w:gridCol w:w="721"/>
        <w:gridCol w:w="109"/>
        <w:gridCol w:w="109"/>
        <w:gridCol w:w="109"/>
        <w:gridCol w:w="109"/>
        <w:gridCol w:w="749"/>
        <w:gridCol w:w="749"/>
        <w:gridCol w:w="1067"/>
      </w:tblGrid>
      <w:tr>
        <w:trPr/>
        <w:tc>
          <w:tcPr>
            <w:tcW w:w="87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2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Remaining Useful Life </w:t>
              <w:br/>
              <w:t>(in years)</w:t>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(12,715)</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domains, definite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Trademarks and domains, indefinite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(21,768)</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tbl>
      <w:tblPr>
        <w:tblW w:w="9808" w:type="dxa"/>
        <w:jc w:val="left"/>
        <w:tblInd w:w="0" w:type="dxa"/>
        <w:tblCellMar>
          <w:top w:w="28" w:type="dxa"/>
          <w:left w:w="28" w:type="dxa"/>
          <w:bottom w:w="28" w:type="dxa"/>
          <w:right w:w="28" w:type="dxa"/>
        </w:tblCellMar>
      </w:tblPr>
      <w:tblGrid>
        <w:gridCol w:w="853"/>
        <w:gridCol w:w="750"/>
        <w:gridCol w:w="752"/>
        <w:gridCol w:w="109"/>
        <w:gridCol w:w="109"/>
        <w:gridCol w:w="109"/>
        <w:gridCol w:w="211"/>
        <w:gridCol w:w="721"/>
        <w:gridCol w:w="109"/>
        <w:gridCol w:w="109"/>
        <w:gridCol w:w="109"/>
        <w:gridCol w:w="109"/>
        <w:gridCol w:w="484"/>
        <w:gridCol w:w="1453"/>
        <w:gridCol w:w="252"/>
        <w:gridCol w:w="109"/>
        <w:gridCol w:w="109"/>
        <w:gridCol w:w="109"/>
        <w:gridCol w:w="211"/>
        <w:gridCol w:w="721"/>
        <w:gridCol w:w="109"/>
        <w:gridCol w:w="109"/>
        <w:gridCol w:w="109"/>
        <w:gridCol w:w="109"/>
        <w:gridCol w:w="548"/>
        <w:gridCol w:w="548"/>
        <w:gridCol w:w="778"/>
      </w:tblGrid>
      <w:tr>
        <w:trPr/>
        <w:tc>
          <w:tcPr>
            <w:tcW w:w="853"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Remaining Useful Life</w:t>
              <w:br/>
              <w:t>(in years)</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Trademarks and domains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highlight w:val="white"/>
        </w:rPr>
        <w:t>(1)</w:t>
      </w:r>
      <w:r>
        <w:rPr>
          <w:rFonts w:ascii="Times New Roman;sans-serif" w:hAnsi="Times New Roman;sans-serif"/>
          <w:b w:val="false"/>
          <w:color w:val="000000"/>
          <w:sz w:val="20"/>
        </w:rPr>
        <w:t xml:space="preserve">As of June 30, 2021, trademarks and domains included both definite and indefinite intangible assets. </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Amortization expense for intangible assets was </w:t>
      </w:r>
      <w:r>
        <w:rPr>
          <w:rFonts w:ascii="Times New Roman;sans-serif" w:hAnsi="Times New Roman;sans-serif"/>
          <w:b w:val="false"/>
          <w:color w:val="000000"/>
          <w:sz w:val="20"/>
          <w:highlight w:val="white"/>
        </w:rPr>
        <w:t xml:space="preserve">$5.5 million and $16.4 million for the three and nine months ended March 31, 2022, respectively, and $1.2 million for both the three and nine months ended March 31, 2021. No </w:t>
      </w:r>
      <w:r>
        <w:rPr>
          <w:rFonts w:ascii="Times New Roman;sans-serif" w:hAnsi="Times New Roman;sans-serif"/>
          <w:b w:val="false"/>
          <w:color w:val="000000"/>
          <w:sz w:val="20"/>
        </w:rPr>
        <w:t>impairment losses related to intangible assets were recorded during the three and nine</w:t>
      </w:r>
      <w:r>
        <w:rPr>
          <w:color w:val="000000"/>
          <w:highlight w:val="white"/>
        </w:rPr>
        <w:t xml:space="preserve"> </w:t>
      </w:r>
      <w:r>
        <w:rPr>
          <w:rFonts w:ascii="Times New Roman;sans-serif" w:hAnsi="Times New Roman;sans-serif"/>
          <w:b w:val="false"/>
          <w:color w:val="000000"/>
          <w:sz w:val="20"/>
          <w:highlight w:val="white"/>
        </w:rPr>
        <w:t xml:space="preserve">months ended March 31, 2022 and 2021.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expected future amortization expense of these intangible assets as of March 31, 2022 is as follows (in thousands):</w:t>
      </w:r>
    </w:p>
    <w:p>
      <w:pPr>
        <w:pStyle w:val="TextBody"/>
        <w:spacing w:before="0" w:after="0"/>
        <w:ind w:left="0" w:right="0" w:firstLine="720"/>
        <w:rPr/>
      </w:pPr>
      <w:r>
        <w:rPr/>
      </w:r>
    </w:p>
    <w:tbl>
      <w:tblPr>
        <w:tblW w:w="4038" w:type="dxa"/>
        <w:jc w:val="left"/>
        <w:tblInd w:w="0" w:type="dxa"/>
        <w:tblCellMar>
          <w:top w:w="28" w:type="dxa"/>
          <w:left w:w="28" w:type="dxa"/>
          <w:bottom w:w="28" w:type="dxa"/>
          <w:right w:w="28" w:type="dxa"/>
        </w:tblCellMar>
      </w:tblPr>
      <w:tblGrid>
        <w:gridCol w:w="950"/>
        <w:gridCol w:w="835"/>
        <w:gridCol w:w="840"/>
        <w:gridCol w:w="109"/>
        <w:gridCol w:w="109"/>
        <w:gridCol w:w="109"/>
        <w:gridCol w:w="211"/>
        <w:gridCol w:w="721"/>
        <w:gridCol w:w="154"/>
      </w:tblGrid>
      <w:tr>
        <w:trPr/>
        <w:tc>
          <w:tcPr>
            <w:tcW w:w="95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(remaining three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and 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Commercial Agreement Assets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In July 2020, we recognized an asset in connection with a commercial agreement with Shopify Inc. (“Shopify”), in which we granted warrants in exchange for the opportunity to acquire new merchant partners. This asset represents the probable future economic benefit to be realized over the four-year expected benefit period and is valued based on the fair value of the warrants on the grant date. We recognized an asset of $270.6 million associated with the fair value of the warrants, which were fully vested as of March 31, 2022. During the </w:t>
      </w:r>
      <w:r>
        <w:rPr>
          <w:rFonts w:ascii="Times New Roman;sans-serif" w:hAnsi="Times New Roman;sans-serif"/>
          <w:b w:val="false"/>
          <w:color w:val="000000"/>
          <w:sz w:val="20"/>
          <w:highlight w:val="white"/>
        </w:rPr>
        <w:t xml:space="preserve">three and </w:t>
      </w:r>
      <w:r>
        <w:rPr>
          <w:rFonts w:ascii="Times New Roman;sans-serif" w:hAnsi="Times New Roman;sans-serif"/>
          <w:b w:val="false"/>
          <w:color w:val="000000"/>
          <w:sz w:val="20"/>
        </w:rPr>
        <w:t xml:space="preserve">nine </w:t>
      </w:r>
      <w:r>
        <w:rPr>
          <w:rFonts w:ascii="Times New Roman;sans-serif" w:hAnsi="Times New Roman;sans-serif"/>
          <w:b w:val="false"/>
          <w:color w:val="000000"/>
          <w:sz w:val="20"/>
          <w:highlight w:val="white"/>
        </w:rPr>
        <w:t xml:space="preserve">months ended March 31, 2022, we recorded amortization expense related to the commercial agreement asset of </w:t>
      </w:r>
      <w:r>
        <w:rPr>
          <w:rFonts w:ascii="Times New Roman;sans-serif" w:hAnsi="Times New Roman;sans-serif"/>
          <w:b w:val="false"/>
          <w:color w:val="000000"/>
          <w:sz w:val="20"/>
        </w:rPr>
        <w:t xml:space="preserve">$16.7 million and $50.7 million, respectively, and $16.7 million and $48.0 million for the </w:t>
      </w:r>
      <w:r>
        <w:rPr>
          <w:rFonts w:ascii="Times New Roman;sans-serif" w:hAnsi="Times New Roman;sans-serif"/>
          <w:b w:val="false"/>
          <w:color w:val="000000"/>
          <w:sz w:val="20"/>
          <w:highlight w:val="white"/>
        </w:rPr>
        <w:t>three and</w:t>
      </w:r>
      <w:r>
        <w:rPr>
          <w:color w:val="000000"/>
        </w:rPr>
        <w:t xml:space="preserve"> </w:t>
      </w:r>
      <w:r>
        <w:rPr>
          <w:rFonts w:ascii="Times New Roman;sans-serif" w:hAnsi="Times New Roman;sans-serif"/>
          <w:b w:val="false"/>
          <w:color w:val="000000"/>
          <w:sz w:val="20"/>
        </w:rPr>
        <w:t>nine months ended March 31, 2021, respectively, in our interim condensed consolidated statements of operations and comprehensive loss as a component of sales and marketing expense.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January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During the three and nine months ended March 31, 2022, we recorded amortization expense related to the asset of $2.0 million and $6.0 million respectively, and $2.1 million for the three and nine months ended March 31, 2021, respectively, in our interim condensed consolidated statements of operations and comprehensive loss as a component of sales and marketing expense.</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In November 2021, we entered into a commercial agreement with Amazon.com Services LLC and Amazon Payments, Inc. ("Amazon") and granted warrants in exchange for certain exclusivity and performance provisions and the benefit of acquiring new users. In connection with the agreements, we recognized an asset of $133.5 million associated with the portion of the warrants that were fully vested upon execution of the agreement. The asset was valued based on the fair value of the warrants on the grant date and represents the probable future economic benefit to be realized over the approximately 3.2 year remaining initial term of the commercial agreement. For the three and nine months ended March 31, 2022, we recognized amortization expense of $10.2 million and $16.0 million respectively, in our interim condensed consolidated statements of operations and comprehensive loss as a component of sales and marketing expense. Refer to Note 14. Redeemable Convertible Preferred Stock and Stockholders’ Equity</w:t>
      </w:r>
      <w:r>
        <w:rPr>
          <w:color w:val="000000"/>
        </w:rPr>
        <w:t xml:space="preserve"> </w:t>
      </w:r>
      <w:r>
        <w:rPr>
          <w:rFonts w:ascii="Times New Roman;sans-serif" w:hAnsi="Times New Roman;sans-serif"/>
          <w:b w:val="false"/>
          <w:color w:val="000000"/>
          <w:sz w:val="20"/>
        </w:rPr>
        <w:t xml:space="preserve">for further discussion of the warrants.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Other assets consisted of the following (in thousands):</w:t>
      </w:r>
    </w:p>
    <w:tbl>
      <w:tblPr>
        <w:tblW w:w="7431" w:type="dxa"/>
        <w:jc w:val="center"/>
        <w:tblInd w:w="0" w:type="dxa"/>
        <w:tblCellMar>
          <w:top w:w="28" w:type="dxa"/>
          <w:left w:w="28" w:type="dxa"/>
          <w:bottom w:w="28" w:type="dxa"/>
          <w:right w:w="28" w:type="dxa"/>
        </w:tblCellMar>
      </w:tblPr>
      <w:tblGrid>
        <w:gridCol w:w="1553"/>
        <w:gridCol w:w="1364"/>
        <w:gridCol w:w="1372"/>
        <w:gridCol w:w="109"/>
        <w:gridCol w:w="109"/>
        <w:gridCol w:w="109"/>
        <w:gridCol w:w="237"/>
        <w:gridCol w:w="930"/>
        <w:gridCol w:w="122"/>
        <w:gridCol w:w="109"/>
        <w:gridCol w:w="109"/>
        <w:gridCol w:w="109"/>
        <w:gridCol w:w="212"/>
        <w:gridCol w:w="832"/>
        <w:gridCol w:w="155"/>
      </w:tblGrid>
      <w:tr>
        <w:trPr/>
        <w:tc>
          <w:tcPr>
            <w:tcW w:w="1553"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payroll taxes for 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reserves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230,451 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Accrued Expenses and Other Liabilities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 (in thousands)</w:t>
      </w:r>
    </w:p>
    <w:p>
      <w:pPr>
        <w:pStyle w:val="TextBody"/>
        <w:spacing w:before="0" w:after="0"/>
        <w:ind w:left="0" w:right="0" w:firstLine="720"/>
        <w:rPr/>
      </w:pPr>
      <w:r>
        <w:rPr/>
      </w:r>
    </w:p>
    <w:tbl>
      <w:tblPr>
        <w:tblW w:w="6787" w:type="dxa"/>
        <w:jc w:val="left"/>
        <w:tblInd w:w="0" w:type="dxa"/>
        <w:tblCellMar>
          <w:top w:w="28" w:type="dxa"/>
          <w:left w:w="28" w:type="dxa"/>
          <w:bottom w:w="28" w:type="dxa"/>
          <w:right w:w="28" w:type="dxa"/>
        </w:tblCellMar>
      </w:tblPr>
      <w:tblGrid>
        <w:gridCol w:w="1321"/>
        <w:gridCol w:w="1160"/>
        <w:gridCol w:w="1164"/>
        <w:gridCol w:w="109"/>
        <w:gridCol w:w="109"/>
        <w:gridCol w:w="109"/>
        <w:gridCol w:w="237"/>
        <w:gridCol w:w="930"/>
        <w:gridCol w:w="122"/>
        <w:gridCol w:w="109"/>
        <w:gridCol w:w="109"/>
        <w:gridCol w:w="109"/>
        <w:gridCol w:w="212"/>
        <w:gridCol w:w="832"/>
        <w:gridCol w:w="155"/>
      </w:tblGrid>
      <w:tr>
        <w:trPr/>
        <w:tc>
          <w:tcPr>
            <w:tcW w:w="1321"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held for derivative instruments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agreement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313,307 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highlight w:val="white"/>
        </w:rPr>
        <w:t xml:space="preserve">Our acquisition of PayBright included consideration transferred and shares held in escrow, contingent upon the achievement of future milestones. We classified the contingent consideration as a liability and will remeasure the liability to its fair value at each reporting date until the contingency is resolved. As of March 31, 2022, the fair value of the contingent consideration liability was $119.0 million. </w:t>
      </w:r>
      <w:r>
        <w:rPr>
          <w:rFonts w:ascii="Times New Roman;sans-serif" w:hAnsi="Times New Roman;sans-serif"/>
          <w:b w:val="false"/>
          <w:color w:val="000000"/>
          <w:sz w:val="20"/>
        </w:rPr>
        <w:t>For further details on our fair value methodology with respect to the contingent consideration, see Note 13. Fair Value of Financial Assets and Liabilities.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we recognized a liability in connection with a commercial agreement with an enterprise partner of $25.9 million. As of March 31, 2022, we have fully settled this liability.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7. Leases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lease facilities under operating leases with various expiration dates through 2030. We have the option to renew or extend our leases. Certain lease agreements include the option to terminate the lease with prior written notice ranging from 180 days to one year. As of March 31, 2022, we have not considered such provisions in the determination of the lease term, as it is not reasonably certain these options will be exercised. Leases have remaining terms that range from less than one year to nine years.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elected the practical expedient allowing the combination of lease and non-lease components by class of underlying asset. We have also elected the short-term lease exception and will not recognize right-of-use assets or lease liabilities for qualifying leases with a term of less than 12 months from lease commencement.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interim condensed consolidated balance sheets and totaled $9.6 million and $9.9 million as of March 31, 2022 and June 30, 2021, respectively.</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highlight w:val="white"/>
        </w:rPr>
        <w:t>The discount rate used in determining the lease liability for each individual lease was derived from a corporate yield curve</w:t>
      </w:r>
      <w:r>
        <w:rPr>
          <w:color w:val="000000"/>
        </w:rPr>
        <w:t xml:space="preserve"> </w:t>
      </w:r>
      <w:r>
        <w:rPr>
          <w:rFonts w:ascii="Times New Roman;sans-serif" w:hAnsi="Times New Roman;sans-serif"/>
          <w:b w:val="false"/>
          <w:color w:val="000000"/>
          <w:sz w:val="20"/>
        </w:rPr>
        <w:t xml:space="preserve">which corresponded with the remaining lease term as of July 1, 2020 for leases that existed at the adoption of Leases (ASC Topic 842) (“ASC 842”) and as of the lease commencement date for leases subsequently entered into or modified after July 1, 2020.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impairment expense related to leases during the three and nine months ended March 31, 2022 was not material to our interim condensed consolidated statements of operations. For the three and nine months ended March 31, 2021, we recognized impairment expense of $11.1 million for several of our operating lease right-of-use assets, included in general and administrative expense on our interim condensed consolidated statements of operations and comprehensive loss.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expense incurred for all locations totaled $3.9 million and $11.4 million for the three and nine months ended March 31, 2022, respectively, and $4.1 million and $12.0 million for the three and nine months ended March 31, 2021, respectively. Total lease expense incurred for short term leases with a term 12 months or less totaled $0.1 million and $0.3 million for the three and nine months ended March 31, 2022, respectively, and $0.2 million and $1.1 million for the three and nine months ended March 31, 2021, respectively.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subleased a portion of our leased facilities. Sublease income totaled $0.9 million and $2.3 million during the three and nine months ended March 31, 2022, respectively. There was no sublease income during the three and nine months ended March 31, 2021.</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Lease term and discount rate information are summarized as follows:</w:t>
      </w:r>
    </w:p>
    <w:tbl>
      <w:tblPr>
        <w:tblW w:w="5990" w:type="dxa"/>
        <w:jc w:val="left"/>
        <w:tblInd w:w="0" w:type="dxa"/>
        <w:tblCellMar>
          <w:top w:w="28" w:type="dxa"/>
          <w:left w:w="28" w:type="dxa"/>
          <w:bottom w:w="28" w:type="dxa"/>
          <w:right w:w="28" w:type="dxa"/>
        </w:tblCellMar>
      </w:tblPr>
      <w:tblGrid>
        <w:gridCol w:w="1486"/>
        <w:gridCol w:w="1308"/>
        <w:gridCol w:w="1316"/>
        <w:gridCol w:w="109"/>
        <w:gridCol w:w="109"/>
        <w:gridCol w:w="109"/>
        <w:gridCol w:w="109"/>
        <w:gridCol w:w="109"/>
        <w:gridCol w:w="390"/>
        <w:gridCol w:w="390"/>
        <w:gridCol w:w="555"/>
      </w:tblGrid>
      <w:tr>
        <w:trPr/>
        <w:tc>
          <w:tcPr>
            <w:tcW w:w="1486"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as of March 31, 2022 are as follows (in thousands) for the years ended:</w:t>
      </w:r>
    </w:p>
    <w:tbl>
      <w:tblPr>
        <w:tblW w:w="4098" w:type="dxa"/>
        <w:jc w:val="center"/>
        <w:tblInd w:w="0" w:type="dxa"/>
        <w:tblCellMar>
          <w:top w:w="28" w:type="dxa"/>
          <w:left w:w="28" w:type="dxa"/>
          <w:bottom w:w="28" w:type="dxa"/>
          <w:right w:w="28" w:type="dxa"/>
        </w:tblCellMar>
      </w:tblPr>
      <w:tblGrid>
        <w:gridCol w:w="972"/>
        <w:gridCol w:w="854"/>
        <w:gridCol w:w="859"/>
        <w:gridCol w:w="109"/>
        <w:gridCol w:w="109"/>
        <w:gridCol w:w="109"/>
        <w:gridCol w:w="211"/>
        <w:gridCol w:w="721"/>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(remaining three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and 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Commitments and Contingencies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Repurchase Obligation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normal terms of our whole loans sales to third-party investors, we may become obligated to repurchase loans from investors in certain instances where a breach in representation and warranties is identified. Generally, a breach in representation and warranties would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The aggregate outstanding balance of loans held by third-party investors or unconsolidated VIEs was $4,036.4 million and $2,453.9 million as of March 31, 2022 and June 30, 2021, respectively, of which we have recorded a repurchase liability of $2.3 million and $2.1 million as of March 31, 2022 and June 30, 2021, respectively, within accrued expenses and other liabilities in our interim condensed consolidated balance sheets.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Toole v. Affirm Holdings, Inc.</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plaintiff Jeffrey Toole filed a putative class action against Affirm and Max Levchin in the U.S. District Court for the Northern District of California (the “Toole action”). The Toole complaint alleges that Affirm violated Sections 10(b) and 20(a) of the Exchange Act, and Rule 10b-5 promulgated thereunder by issuing and then subsequently deleting a tweet from its official Twitter account on February 10, 2022, which omitted full details of Affirm’s second quarter fiscal 2022 financial results. Toole seeks class certification, unspecified compensatory and punitive damages, and costs and expenses.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Vallieres v Levchin, et al.</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plaintiff Michael Vallieres filed a derivative lawsuit in the U.S. District Court for the Northern District of California against Affirm, as a nominal defendant, and certain of Affirm’s current officers and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directors as defendants based on allegations substantially similar to those in the Toole action. The Vallieres complaint purports to assert claims on Affirm's behalf for breach of fiduciary duty, gross mismanagement, abuse of control, unjust enrichment, and contribution under the federal securities laws, and seeks corporate reforms, unspecified damages and restitution, and fees and costs.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substantial credit risk primarily in our consumer loans held for investment and in our cash and cash equivalents. We maintain our cash and cash equivalents in accounts at regulated domestic financial institutions in amounts that may exceed FDIC insured amounts. We believe we are not exposed to any significant credit risk in these accounts.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exposed to default risk on both loan receivables purchased from our originating bank partners and loan receivables that are self-originated. The ultimate collectability of a substantial portion of the loan portfolio is susceptible to changes in economic and market conditions. Loans receivables are diversified geographically. As of March 31, 2022 and June 30, 2021, approximately 12% and 15%, respectively, of loan receivables related to customers residing in the state of California. No other states or provinces exceeded 10%.</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Concentrations of Revenue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March 31, 2022, there were no merchants that exceeded 10% of total revenue, and for the three and nine months ended March 31, 2021, approximately 20% and 31%, respectively, of total revenue was driven by one merchant.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9.   Transactions with Related Parties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enter into transactions with directors, principal officers, their immediate families and affiliated companies in which they are principal stockholders (commonly referred to as related parties). Some of our directors, principal officers, and their immediate families have received loans facilitated by us, in accordance with our regular consumer loan offerings. As of March 31, 2022, the outstanding balance and interest earned on such accounts is immaterial.</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10.   Debt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Debt encompasses funding debt, convertible senior notes and our revolving credit facility.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Funding Debt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Funding debt and its aggregate future maturities consists of the following (in thousands):</w:t>
      </w:r>
    </w:p>
    <w:tbl>
      <w:tblPr>
        <w:tblW w:w="7641" w:type="dxa"/>
        <w:jc w:val="center"/>
        <w:tblInd w:w="0" w:type="dxa"/>
        <w:tblCellMar>
          <w:top w:w="28" w:type="dxa"/>
          <w:left w:w="28" w:type="dxa"/>
          <w:bottom w:w="28" w:type="dxa"/>
          <w:right w:w="28" w:type="dxa"/>
        </w:tblCellMar>
      </w:tblPr>
      <w:tblGrid>
        <w:gridCol w:w="1625"/>
        <w:gridCol w:w="1427"/>
        <w:gridCol w:w="1447"/>
        <w:gridCol w:w="109"/>
        <w:gridCol w:w="109"/>
        <w:gridCol w:w="109"/>
        <w:gridCol w:w="237"/>
        <w:gridCol w:w="930"/>
        <w:gridCol w:w="122"/>
        <w:gridCol w:w="109"/>
        <w:gridCol w:w="109"/>
        <w:gridCol w:w="109"/>
        <w:gridCol w:w="212"/>
        <w:gridCol w:w="832"/>
        <w:gridCol w:w="155"/>
      </w:tblGrid>
      <w:tr>
        <w:trPr/>
        <w:tc>
          <w:tcPr>
            <w:tcW w:w="1625"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460,289 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393,480 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and 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308,858 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910,806 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funding debt, net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901,233 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680,602 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Warehouse Credit Facilities</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referred to as funding debt and these proceeds from the borrowings can only be used for the purposes of facilitating loan funding and origination, with advance rates ranging from 79% to 88% of the total collateralized balance. These trusts are bankruptcy-remote special-purpose vehicles in which creditors do not have recourse against the general credit of Affirm. These revolving facilities mature between fiscal years 2024 and 2029, and subject to covenant compliance, generally permit borrowings up to 12 months prior to the final maturity date of each respective facility. As of March 31, 2022, the aggregate commitment amount of these facilities was $1,975.0 million on a revolving basis, of which $702.0 million was drawn, with $1,272.7 million remaining available. Some of the loans originated by us or purchased from the originating bank partners are pledged as collateral for borrowings in our facilities. The unpaid principal balance of these loans totaled $803.7 million and $664.1 million as of March 31, 2022 and June 30, 2021, respectively.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Borrowings under these warehouse credit facilities bear interest at an annual benchmark rate of LIBOR or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1.65% to 4.00%. Interest is payable monthly. In addition, these agreements require payment of a monthly unused commitment fee ranging from 0.00% to 0.75% per annum on the undrawn portion available.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agreements contain certain customary negative covenants and financial covenants including maintaining certain levels of minimum liquidity, maximum leverage, and minimum tangible net worth. As of March 31, 2022, we were in compliance with all applicable covenants in the agreements.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highlight w:val="white"/>
          <w:u w:val="single"/>
        </w:rPr>
      </w:pPr>
      <w:r>
        <w:rPr>
          <w:rFonts w:ascii="Times New Roman;sans-serif" w:hAnsi="Times New Roman;sans-serif"/>
          <w:b w:val="false"/>
          <w:i/>
          <w:color w:val="000000"/>
          <w:sz w:val="20"/>
          <w:highlight w:val="white"/>
          <w:u w:val="single"/>
        </w:rPr>
        <w:t>Other Funding Facilities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Prior to our acquisition of PayBright on January 1, 2021, PayBright entered into various credit facilities utilized to finance the origination of loan receivables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2022, and bear interest based on a benchmark rate plus a spread ranging from 1.25% to 4.25%.</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the aggregate commitment amount of these facilities was $419.0 million on a revolving basis, of which $172.3 million was drawn, with $246.8 million remaining available. The unpaid principal balance of loans pledged to these facilities totaled $199.5 million as of March 31, 2022.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agreements contain certain customary negative covenants and financial covenants including maintaining certain levels of minimum liquidity, maximum leverage, and minimum tangible net worth at the PayBright subsidiary level or the Affirm Holdings level. As of March 31, 2022, we were in compliance with all applicable covenants in the agreements.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Repurchase Agreements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certain sale and repurchase agreements pursuant to our retained interests in our off-balance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a repurchase date extension for an additional three month term at market interest rates on such extension date. As of March 31, 2022, the interest rates were 1.58% for 2022-X1 and 1.79% for 2021-Z1 and 2021-Z2 on the senior pledged securities and 3.23% for 2022-X1and 3.44%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2021-Z1 and 2021-Z2 on the residual certificate pledged securities. We had $36.2 million and $13.9 million in debt outstanding under our repurchase agreements disclosed within funding debt on the interim condensed consolidated balance sheets as of March 31, 2022 and June 30, 2021, respectively. The debt will be amortized through regular principal and interest payments on the pledged securities. The outstanding debt relates to $42.7 million and $16.2 million in pledged securities disclosed within securities available for sale at fair value on the interim condensed consolidated balance sheets as of March 31, 2022 and June 30, 2021, respectively.</w:t>
      </w:r>
    </w:p>
    <w:p>
      <w:pPr>
        <w:pStyle w:val="TextBody"/>
        <w:spacing w:before="0" w:after="0"/>
        <w:ind w:left="0" w:right="0" w:firstLine="72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 xml:space="preserve">Convertible Senior Notes </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 Company. The 2026 Notes do not bear interest except in special circumstances described below, and the principal amount of the 2026 Notes does not accrete. The 2026 Notes mature on November 15, 2026.</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 if the Company calls any or all of the notes for redemption, at any time prior to the close of business on the scheduled trading day immediately preceding the redemption date; or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 upon the occurrence of certain specified corporate events. </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Indenture) calculated on a proportionate basis for each trading day in a 40 trading day observation period.</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95" w:before="0" w:after="0"/>
        <w:rPr>
          <w:rFonts w:ascii="Times New Roman;sans-serif" w:hAnsi="Times New Roman;sans-serif"/>
          <w:b w:val="false"/>
          <w:color w:val="000000"/>
          <w:sz w:val="20"/>
        </w:rPr>
      </w:pPr>
      <w:r>
        <w:rPr>
          <w:rFonts w:ascii="Times New Roman;sans-serif" w:hAnsi="Times New Roman;sans-serif"/>
          <w:b w:val="false"/>
          <w:color w:val="000000"/>
          <w:sz w:val="20"/>
        </w:rPr>
        <w:t>period) ending on, and including, the trading day immediately preceding the date on which we provide notice of redemption at a redemption price equal to 100% of the principal amount of the notes to be redeemed, plus accrued and unpaid special interest, if any.</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convertible senior notes outstanding as of March 31, 2022 consisted of the following (in thousands):</w:t>
      </w:r>
    </w:p>
    <w:tbl>
      <w:tblPr>
        <w:tblW w:w="9531" w:type="dxa"/>
        <w:jc w:val="left"/>
        <w:tblInd w:w="0" w:type="dxa"/>
        <w:tblCellMar>
          <w:top w:w="28" w:type="dxa"/>
          <w:left w:w="28" w:type="dxa"/>
          <w:bottom w:w="28" w:type="dxa"/>
          <w:right w:w="28" w:type="dxa"/>
        </w:tblCellMar>
      </w:tblPr>
      <w:tblGrid>
        <w:gridCol w:w="788"/>
        <w:gridCol w:w="692"/>
        <w:gridCol w:w="694"/>
        <w:gridCol w:w="241"/>
        <w:gridCol w:w="1119"/>
        <w:gridCol w:w="124"/>
        <w:gridCol w:w="109"/>
        <w:gridCol w:w="109"/>
        <w:gridCol w:w="109"/>
        <w:gridCol w:w="635"/>
        <w:gridCol w:w="2397"/>
        <w:gridCol w:w="328"/>
        <w:gridCol w:w="109"/>
        <w:gridCol w:w="109"/>
        <w:gridCol w:w="109"/>
        <w:gridCol w:w="292"/>
        <w:gridCol w:w="1354"/>
        <w:gridCol w:w="213"/>
      </w:tblGrid>
      <w:tr>
        <w:trPr/>
        <w:tc>
          <w:tcPr>
            <w:tcW w:w="788"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Unamortized Discount and Issuance Cost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(19,376)</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1,705,624 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Notes do not bear interest. In the three and nine months ended March 31, 2022, we recognized $1.0 million and $1.4 million, respectively, of interest expense related to the amortization of debt discount and issuance costs in the interim condensed consolidated statement of operations and comprehensive loss within other (expense) income, net. As of March 31, 2022, the remaining life of the 2026 Notes is approximately 56 months.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19, 2021, we entered into a revolving credit agreement with a syndicate of commercial banks for a $185.0 million unsecured revolving credit facility. This facility bears interest at a rate equal to, at our option, either (a) a Eurodollar rate determined by reference to adjusted LIBOR for the interest period, plus an applicable margin of 2.50% per annum or (b) a base rate determined by reference to the highest of (i) the federal funds rate plus 0.50% per annum, (ii) the rate last quoted by The Wall Street Journal as the U.S. prime rate, and (iii) the one-month adjusted LIBOR plus 1.00% per annum, in each case, plus an applicable margin of 1.50% per annum. The revolving credit agreement has a final maturity date of January 19, 2024. The facility contains certain covenants and restrictions, including certain financial maintenance covenants, and requires payment of a monthly unused commitment fee of 0.35% per annum on the undrawn balance available. We executed our right to terminate the revolving credit agreement effective December 15, 2021and no early termination penalties were incurred. We had not drawn on the facility and there was no outstanding balance to be repaid. Upon termination, we accelerated $1.2 million of issuance costs which were recorded in other (expense) income, net. </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4, 2022, we entered into a revolving credit agreement with a syndicate of commercial banks for a $165.0 million unsecured revolving credit facility. This facility bears interest at a rate equal to, at our option, either (a) a Secured Overnight Financing Rate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 1.0% per annum, in each case, plus an applicable margin of 0.85% per annum. The revolving credit agreement has a final maturity date of February 4, 2025. The facility contains certain covenants and restrictions, including certain financial maintenance covenants, and requires payment of a monthly unused commitment fee of 0.20% per annum on the undrawn balance available. There are no borrowings outstanding under the facility as of March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Securitization and Variable Interest Entities</w:t>
      </w:r>
    </w:p>
    <w:p>
      <w:pPr>
        <w:pStyle w:val="TextBody"/>
        <w:spacing w:before="0" w:after="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Consolidated VIEs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VIEs when we are deemed to be the primary beneficiary. </w:t>
      </w:r>
    </w:p>
    <w:p>
      <w:pPr>
        <w:pStyle w:val="TextBody"/>
        <w:spacing w:before="0" w:after="0"/>
        <w:rPr/>
      </w:pPr>
      <w:r>
        <w:rPr/>
      </w:r>
    </w:p>
    <w:p>
      <w:pPr>
        <w:pStyle w:val="TextBody"/>
        <w:spacing w:lineRule="auto" w:line="295"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Warehouse Credit Facilities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established certain entities, deemed to be VIEs, to enter into warehouse credit facilities for the purpose of purchasing loans from our originating bank partners and funding self-originated loans. Refer to Note 10.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pStyle w:val="TextBody"/>
        <w:spacing w:before="0" w:after="0"/>
        <w:ind w:left="0" w:right="0" w:firstLine="720"/>
        <w:rPr/>
      </w:pPr>
      <w:r>
        <w:rPr/>
      </w:r>
    </w:p>
    <w:p>
      <w:pPr>
        <w:pStyle w:val="TextBody"/>
        <w:spacing w:lineRule="auto" w:line="295"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Securitizations</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 </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whether we are the primary beneficiary, management considers both qualitative and quantitative factors regarding the nature, size and form of our involvement with the VIEs. Management assesses whether we are the primary beneficiary of the VIEs on an ongoing basis. </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Where we consolidate the securitization trusts, the loans held in the securitization trusts are included in loans held for investment, and the notes sold to third-party investors are recorded in notes issued by securitization trusts in the consolidated balance sheets.</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we consolidated Affirm Asset Securitization Trust 2020-Z1 (“2020-Z1”), Affirm Asset Securitization Trust 2020-A (“2020-A”), Affirm Asset Securitization Trust 2020-Z2 (“2020-Z2”), Affirm Asset Securitization Trust 2021-A (“2021-A”) and Affirm Asset Securitization Trust 2021-B (“2021-B”). Each securitization trust issued interest-bearing notes and residual certificates to finance the purchase of the loans facilitated by our platform. At the closing of each securitization, we contributed loans, facilitated through our technology platform and purchased from our originating bank partners, with an aggregate outstanding principal balance of $2,024.3 million. The 2020-Z1 and 2020-Z2 securitizations are secured by static pools of loans contributed at closing, whereas the 2020-A, 2021-A, and 2021-B securitization are revolving and we may contribute additional loans from time to time until the end of the revolving period. For the 2020-Z2 securitization, we purchased $27.9 million of loan receivables from our third-party loan buyers which were then contributed to the trust.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securitization, the residual certificates represent the right to receive excess cash on the loans each collection period after all fees and required distributions have been made to the note holders on the related payment date. For 2020-Z1, 2020-A, 2021-A and 2021-B, all notes were sold to third-party investors and we retained 100% of the residual certificates issued by the securitization trusts. For 2020-Z2, all notes were sold to third-party investors and we retained 93.3% of the residual certificates issued by the securitization trust, and a third-party investor holds the remaining 6.7% of the residual certificates in 2020-Z2. The residual trust certificates held by third-party investors are measured at fair value, using a discounted cash flow model, and presented within accrued expenses and other liabilities on the interim condensed consolidated balance sheets. In addition to the retained residual certificates, our continued involvement includes loan servicing responsibilities over the life of the underlying loans. </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aggregate carrying value of financial assets and liabilities from our involvement with consolidated VIEs. </w:t>
      </w:r>
    </w:p>
    <w:tbl>
      <w:tblPr>
        <w:tblW w:w="7044" w:type="dxa"/>
        <w:jc w:val="left"/>
        <w:tblInd w:w="0" w:type="dxa"/>
        <w:tblCellMar>
          <w:top w:w="28" w:type="dxa"/>
          <w:left w:w="28" w:type="dxa"/>
          <w:bottom w:w="28" w:type="dxa"/>
          <w:right w:w="28" w:type="dxa"/>
        </w:tblCellMar>
      </w:tblPr>
      <w:tblGrid>
        <w:gridCol w:w="826"/>
        <w:gridCol w:w="726"/>
        <w:gridCol w:w="728"/>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8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Assets</w:t>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VIEs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6939" w:type="dxa"/>
        <w:jc w:val="left"/>
        <w:tblInd w:w="0" w:type="dxa"/>
        <w:tblCellMar>
          <w:top w:w="28" w:type="dxa"/>
          <w:left w:w="28" w:type="dxa"/>
          <w:bottom w:w="28" w:type="dxa"/>
          <w:right w:w="28" w:type="dxa"/>
        </w:tblCellMar>
      </w:tblPr>
      <w:tblGrid>
        <w:gridCol w:w="826"/>
        <w:gridCol w:w="726"/>
        <w:gridCol w:w="728"/>
        <w:gridCol w:w="109"/>
        <w:gridCol w:w="109"/>
        <w:gridCol w:w="109"/>
        <w:gridCol w:w="211"/>
        <w:gridCol w:w="976"/>
        <w:gridCol w:w="109"/>
        <w:gridCol w:w="109"/>
        <w:gridCol w:w="109"/>
        <w:gridCol w:w="109"/>
        <w:gridCol w:w="211"/>
        <w:gridCol w:w="976"/>
        <w:gridCol w:w="109"/>
        <w:gridCol w:w="109"/>
        <w:gridCol w:w="109"/>
        <w:gridCol w:w="109"/>
        <w:gridCol w:w="211"/>
        <w:gridCol w:w="721"/>
        <w:gridCol w:w="154"/>
      </w:tblGrid>
      <w:tr>
        <w:trPr/>
        <w:tc>
          <w:tcPr>
            <w:tcW w:w="8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Assets</w:t>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VIEs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95"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Unconsolidated VIEs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Affirm Asset Securitization Trust 2021-Z1 (“2021-Z1”), Affirm Asset Securitization Trust 2021-Z2 (“2021-Z2”) and Affirm Asset Securitization Trust 2022-X (“2022-X1”) were unconsolidated VIEs. We did not retain significant economic exposure through our variable interests and therefore we determined that we are not the primary beneficiary as of March 31, 2022.</w:t>
      </w:r>
    </w:p>
    <w:p>
      <w:pPr>
        <w:pStyle w:val="TextBody"/>
        <w:spacing w:before="0" w:after="0"/>
        <w:rPr/>
      </w:pPr>
      <w:r>
        <w:rPr/>
      </w:r>
    </w:p>
    <w:p>
      <w:pPr>
        <w:pStyle w:val="TextBody"/>
        <w:spacing w:lineRule="auto" w:line="295"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2021-Z1</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May 5, 2021, the notes under 2021-Z1 securitization were issued as a single class: Class A in the amount of $320.0 million (the “2021-Z1 notes”). The 2021-Z1 notes bear interest at a fixed rate of 1.07% and have a maturity date of August 15, 2025. Principal and interest payments began in June 2021 and are payable monthly.</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2021-Z1 securitization is secured by a static pool of loans which were contributed at the closing date to the 2021-Z1 trust. The loans contributed at closing were facilitated through our technology platform and purchased from our originating bank partners, with an aggregate outstanding principal balance of $351.0 million. Of the loans sold to the 2021-Z1 trust, we purchased $41.4 million of loan receivables from one of our third-party loan buyers, which were contributed to the trust at closing.</w:t>
      </w:r>
    </w:p>
    <w:p>
      <w:pPr>
        <w:pStyle w:val="TextBody"/>
        <w:spacing w:before="0" w:after="0"/>
        <w:rPr/>
      </w:pPr>
      <w:r>
        <w:rPr/>
      </w:r>
    </w:p>
    <w:p>
      <w:pPr>
        <w:pStyle w:val="TextBody"/>
        <w:spacing w:lineRule="auto" w:line="295" w:before="0" w:after="0"/>
        <w:ind w:left="0" w:right="0" w:firstLine="720"/>
        <w:rPr/>
      </w:pPr>
      <w:r>
        <w:rPr>
          <w:rFonts w:ascii="Times New Roman;sans-serif" w:hAnsi="Times New Roman;sans-serif"/>
          <w:b w:val="false"/>
          <w:color w:val="000000"/>
          <w:sz w:val="20"/>
        </w:rPr>
        <w:t>At closing, we retained 5% of the 2021-Z1 notes and 86.9% of the residual certificates issued by the 2021-Z1 trust. The third-party loan contributor received 13.1% of the re</w:t>
      </w:r>
      <w:r>
        <w:rPr>
          <w:rFonts w:ascii="Times New Roman;sans-serif" w:hAnsi="Times New Roman;sans-serif"/>
          <w:b w:val="false"/>
          <w:color w:val="000000"/>
          <w:sz w:val="20"/>
          <w:highlight w:val="white"/>
        </w:rPr>
        <w:t xml:space="preserve">sidual certificates at closing. On May 17, 2021, we sold a majority of the residual certificates retained at closing, comprising 81.9% of the par value, to five third-party investors. Subsequent to this sale, we retained only a 5% vertical interest in the 2021-Z1 trust via our ownership of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95"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 par amount of the 2021-Z1 notes and 5% par amount of the residual interests. We were required to retain these interests for compliance with U.S. risk retention rules.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initially consolidated the 2021-Z1 trust at closing due to retaining a majority of the residual interest. However, upon completing the subsequent third-party sale of 81.9% of the residual certificates on May 17, 2021, we determined that we no longer had significant economic exposure through our variable interests and as such, we determined that we were no longer the primary beneficiary as of this date.</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Upon deconsolidating the 2021-Z1 trust, we recognized a gain of $16.7 million, primarily driven by the gain on sale of the loans sold to the trust at closing.</w:t>
      </w:r>
    </w:p>
    <w:p>
      <w:pPr>
        <w:pStyle w:val="TextBody"/>
        <w:spacing w:before="0" w:after="0"/>
        <w:ind w:left="0" w:right="0" w:firstLine="720"/>
        <w:rPr/>
      </w:pPr>
      <w:r>
        <w:rPr/>
      </w:r>
    </w:p>
    <w:p>
      <w:pPr>
        <w:pStyle w:val="TextBody"/>
        <w:spacing w:lineRule="auto" w:line="295"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2021-Z2</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November 10, 2021, the notes under 2021-Z2 securitization were issued as a single class: Class A in the amount of $260.0 million (the “2021-Z2 notes”). The 2021-Z2 notes bear interest at a fixed rate of 1.17% and have a maturity date of November 16, 2026. Principal and interest payments began in January 2022 and are payable monthly.</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2021-Z2 securitization is secured by a static pool of loans which were contributed at the closing date to the 2021-Z2 trust. The loans contributed at closing were facilitated through our technology platform and purchased from our originating bank partners, with an aggregate outstanding principal balance of $287.5 million. Of the loans sold to the 2021-Z2 trust, we purchased $192.5 million of loan receivables from one of our third-party loan buyers, which were contributed to the trust at closing.</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At closing, we retained only a 5% vertical interest in the 2021-Z2 trust via our ownership of 5% par amount of the 2021-Z2 notes and 5% par amount of the residual interests. We were required to retain these interests for compliance with U.S. risk retention rules. The third-party loan contributor received 95% of the residual certificates at closing. </w:t>
      </w:r>
    </w:p>
    <w:p>
      <w:pPr>
        <w:pStyle w:val="TextBody"/>
        <w:spacing w:before="0" w:after="0"/>
        <w:ind w:left="0" w:right="0" w:firstLine="720"/>
        <w:rPr/>
      </w:pPr>
      <w:r>
        <w:rPr/>
      </w:r>
    </w:p>
    <w:p>
      <w:pPr>
        <w:pStyle w:val="TextBody"/>
        <w:spacing w:lineRule="auto" w:line="295" w:before="0" w:after="0"/>
        <w:ind w:left="0" w:right="0" w:firstLine="720"/>
        <w:rPr/>
      </w:pPr>
      <w:r>
        <w:rPr>
          <w:rFonts w:ascii="Times New Roman;sans-serif" w:hAnsi="Times New Roman;sans-serif"/>
          <w:b w:val="false"/>
          <w:color w:val="000000"/>
          <w:sz w:val="20"/>
          <w:highlight w:val="white"/>
        </w:rPr>
        <w:t>On the closing date of the 2021-Z2 trust, we recognized a gain on sales of loans sold to the trust of $6.1 million, w</w:t>
      </w:r>
      <w:r>
        <w:rPr>
          <w:rFonts w:ascii="Times New Roman;sans-serif" w:hAnsi="Times New Roman;sans-serif"/>
          <w:b w:val="false"/>
          <w:color w:val="000000"/>
          <w:sz w:val="20"/>
        </w:rPr>
        <w:t>hich is included within gain on sales of loans in our interim condensed consolidated statements of operations and comprehensive loss</w:t>
      </w:r>
      <w:r>
        <w:rPr>
          <w:rFonts w:ascii="Times New Roman;sans-serif" w:hAnsi="Times New Roman;sans-serif"/>
          <w:b w:val="false"/>
          <w:color w:val="000000"/>
          <w:sz w:val="20"/>
          <w:highlight w:val="white"/>
        </w:rPr>
        <w:t xml:space="preserve">. </w:t>
      </w:r>
    </w:p>
    <w:p>
      <w:pPr>
        <w:pStyle w:val="TextBody"/>
        <w:spacing w:before="0" w:after="0"/>
        <w:ind w:left="0" w:right="0" w:firstLine="720"/>
        <w:rPr/>
      </w:pPr>
      <w:r>
        <w:rPr/>
      </w:r>
    </w:p>
    <w:p>
      <w:pPr>
        <w:pStyle w:val="TextBody"/>
        <w:spacing w:lineRule="auto" w:line="295" w:before="0" w:after="0"/>
        <w:rPr>
          <w:rFonts w:ascii="Times New Roman;sans-serif" w:hAnsi="Times New Roman;sans-serif"/>
          <w:b/>
          <w:i/>
          <w:color w:val="000000"/>
          <w:sz w:val="20"/>
        </w:rPr>
      </w:pPr>
      <w:r>
        <w:rPr>
          <w:rFonts w:ascii="Times New Roman;sans-serif" w:hAnsi="Times New Roman;sans-serif"/>
          <w:b/>
          <w:i/>
          <w:color w:val="000000"/>
          <w:sz w:val="20"/>
        </w:rPr>
        <w:t>2022-X1</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9, 2022, the notes under 2022-X1 securitization were issued as a single class: Class A in the amount of $366.5 million (the “2022-X1 notes”). The 2022-X1 notes bear interest at a fixed rate of 1.75% and have a maturity date of February 16, 2027. Principal and interest payments began in April 2022 and are payable monthly. </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2022-X1 securitization is secured by a static pool of loans which were contributed at the closing date to the 2022-X1 trust. The loans contributed at closing were facilitated through our technology platform and originated by us or purchased from our originating bank partners, with an aggregate outstanding principal balance of $406.2 million. Of the loans sold to the 2022-X1 trust, we purchased $258.3 million of loan receivables from one of our third-party loan buyers, which were contributed to the trust at closing.</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At closing, we retained only a 5% vertical interest in the 2022-X1 trust via our ownership of 5% par amount of the 2022-X1 notes and 5% par amount of the residual interests. We were required to retain these interests for compliance with U.S. risk retention rules. The third-party loan contributor received 95% of the residual certificates at closing.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closing date of the 2022-X1 trust, we recognized gain on sales of loans sold to the trust of $13.1 million, which is included within gain on sales of loans in our interim condensed consolidated statements of operations and comprehensive loss. </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tables present the aggregate carrying value of financial assets and liabilities for unconsolidated VIEs where we hold a variable interest but are not the primary beneficiary:</w:t>
      </w:r>
    </w:p>
    <w:p>
      <w:pPr>
        <w:pStyle w:val="TextBody"/>
        <w:spacing w:before="0" w:after="0"/>
        <w:ind w:left="0" w:right="0" w:firstLine="720"/>
        <w:rPr/>
      </w:pPr>
      <w:r>
        <w:rPr/>
      </w:r>
    </w:p>
    <w:tbl>
      <w:tblPr>
        <w:tblW w:w="9410" w:type="dxa"/>
        <w:jc w:val="left"/>
        <w:tblInd w:w="0" w:type="dxa"/>
        <w:tblCellMar>
          <w:top w:w="28" w:type="dxa"/>
          <w:left w:w="28" w:type="dxa"/>
          <w:bottom w:w="28" w:type="dxa"/>
          <w:right w:w="28" w:type="dxa"/>
        </w:tblCellMar>
      </w:tblPr>
      <w:tblGrid>
        <w:gridCol w:w="831"/>
        <w:gridCol w:w="729"/>
        <w:gridCol w:w="734"/>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481"/>
        <w:gridCol w:w="1643"/>
        <w:gridCol w:w="351"/>
      </w:tblGrid>
      <w:tr>
        <w:trPr/>
        <w:tc>
          <w:tcPr>
            <w:tcW w:w="83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Exposure to Losses</w:t>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44,092 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unconsolidated VIEs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44,092 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9284" w:type="dxa"/>
        <w:jc w:val="left"/>
        <w:tblInd w:w="0" w:type="dxa"/>
        <w:tblCellMar>
          <w:top w:w="28" w:type="dxa"/>
          <w:left w:w="28" w:type="dxa"/>
          <w:bottom w:w="28" w:type="dxa"/>
          <w:right w:w="28" w:type="dxa"/>
        </w:tblCellMar>
      </w:tblPr>
      <w:tblGrid>
        <w:gridCol w:w="831"/>
        <w:gridCol w:w="729"/>
        <w:gridCol w:w="734"/>
        <w:gridCol w:w="109"/>
        <w:gridCol w:w="109"/>
        <w:gridCol w:w="109"/>
        <w:gridCol w:w="211"/>
        <w:gridCol w:w="826"/>
        <w:gridCol w:w="109"/>
        <w:gridCol w:w="109"/>
        <w:gridCol w:w="109"/>
        <w:gridCol w:w="109"/>
        <w:gridCol w:w="211"/>
        <w:gridCol w:w="826"/>
        <w:gridCol w:w="109"/>
        <w:gridCol w:w="109"/>
        <w:gridCol w:w="109"/>
        <w:gridCol w:w="109"/>
        <w:gridCol w:w="245"/>
        <w:gridCol w:w="543"/>
        <w:gridCol w:w="127"/>
        <w:gridCol w:w="109"/>
        <w:gridCol w:w="109"/>
        <w:gridCol w:w="109"/>
        <w:gridCol w:w="481"/>
        <w:gridCol w:w="1643"/>
        <w:gridCol w:w="351"/>
      </w:tblGrid>
      <w:tr>
        <w:trPr/>
        <w:tc>
          <w:tcPr>
            <w:tcW w:w="83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Exposure to Losses</w:t>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unconsolidated VIEs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95" w:before="0" w:after="0"/>
        <w:ind w:left="0" w:right="0" w:firstLine="720"/>
        <w:rPr/>
      </w:pPr>
      <w:r>
        <w:rPr>
          <w:rFonts w:ascii="Times New Roman;sans-serif" w:hAnsi="Times New Roman;sans-serif"/>
          <w:b w:val="false"/>
          <w:color w:val="000000"/>
          <w:sz w:val="20"/>
          <w:highlight w:val="white"/>
        </w:rPr>
        <w:t xml:space="preserve">Assets of unconsolidated VIEs include the carrying value for loans held in the 2021-Z1, 2021-Z2, and </w:t>
      </w:r>
      <w:r>
        <w:rPr>
          <w:rFonts w:ascii="Times New Roman;sans-serif" w:hAnsi="Times New Roman;sans-serif"/>
          <w:b w:val="false"/>
          <w:color w:val="000000"/>
          <w:sz w:val="20"/>
        </w:rPr>
        <w:t>2022-X1 trust and cash held in the collection and reserve accounts established for the trust. Liabilities include the outstanding principal balance of the 2021-Z1, 2021-Z2, and 2022-X1 n</w:t>
      </w:r>
      <w:r>
        <w:rPr>
          <w:rFonts w:ascii="Times New Roman;sans-serif" w:hAnsi="Times New Roman;sans-serif"/>
          <w:b w:val="false"/>
          <w:color w:val="000000"/>
          <w:sz w:val="20"/>
          <w:highlight w:val="white"/>
        </w:rPr>
        <w:t xml:space="preserve">otes. </w:t>
      </w:r>
    </w:p>
    <w:p>
      <w:pPr>
        <w:pStyle w:val="TextBody"/>
        <w:spacing w:before="0" w:after="0"/>
        <w:rPr/>
      </w:pPr>
      <w:r>
        <w:rPr/>
      </w:r>
    </w:p>
    <w:p>
      <w:pPr>
        <w:pStyle w:val="TextBody"/>
        <w:spacing w:lineRule="auto" w:line="295" w:before="0" w:after="0"/>
        <w:ind w:left="0" w:right="0" w:firstLine="720"/>
        <w:rPr/>
      </w:pPr>
      <w:r>
        <w:rPr>
          <w:rFonts w:ascii="Times New Roman;sans-serif" w:hAnsi="Times New Roman;sans-serif"/>
          <w:b w:val="false"/>
          <w:color w:val="242424"/>
          <w:sz w:val="20"/>
          <w:highlight w:val="white"/>
        </w:rPr>
        <w:t>Maximum</w:t>
      </w:r>
      <w:r>
        <w:rPr>
          <w:color w:val="000000"/>
          <w:highlight w:val="white"/>
        </w:rPr>
        <w:t xml:space="preserve"> </w:t>
      </w:r>
      <w:r>
        <w:rPr>
          <w:rFonts w:ascii="Times New Roman;sans-serif" w:hAnsi="Times New Roman;sans-serif"/>
          <w:b w:val="false"/>
          <w:color w:val="000000"/>
          <w:sz w:val="20"/>
          <w:highlight w:val="white"/>
        </w:rPr>
        <w:t xml:space="preserve">exposure to losses represents our exposure through our continuing involvement as servicer and through our retained interests. For 2021-Z1, 2021-Z2 and 2022-X1, this includes $42.7 million in retained notes and residual certificates disclosed within </w:t>
      </w:r>
      <w:r>
        <w:rPr>
          <w:rFonts w:ascii="Times New Roman;sans-serif" w:hAnsi="Times New Roman;sans-serif"/>
          <w:b w:val="false"/>
          <w:color w:val="000000"/>
          <w:sz w:val="20"/>
        </w:rPr>
        <w:t>securities available for sale at fair value</w:t>
      </w:r>
      <w:r>
        <w:rPr>
          <w:color w:val="000000"/>
          <w:highlight w:val="white"/>
        </w:rPr>
        <w:t xml:space="preserve"> </w:t>
      </w:r>
      <w:r>
        <w:rPr>
          <w:rFonts w:ascii="Times New Roman;sans-serif" w:hAnsi="Times New Roman;sans-serif"/>
          <w:b w:val="false"/>
          <w:color w:val="000000"/>
          <w:sz w:val="20"/>
          <w:highlight w:val="white"/>
        </w:rPr>
        <w:t xml:space="preserve">in our interim condensed consolidated balance sheets and </w:t>
      </w:r>
      <w:r>
        <w:rPr>
          <w:rFonts w:ascii="Times New Roman;sans-serif" w:hAnsi="Times New Roman;sans-serif"/>
          <w:b w:val="false"/>
          <w:color w:val="000000"/>
          <w:sz w:val="20"/>
        </w:rPr>
        <w:t>$1.4 million</w:t>
      </w:r>
      <w:r>
        <w:rPr>
          <w:color w:val="000000"/>
          <w:highlight w:val="white"/>
        </w:rPr>
        <w:t xml:space="preserve"> </w:t>
      </w:r>
      <w:r>
        <w:rPr>
          <w:rFonts w:ascii="Times New Roman;sans-serif" w:hAnsi="Times New Roman;sans-serif"/>
          <w:b w:val="false"/>
          <w:color w:val="000000"/>
          <w:sz w:val="20"/>
          <w:highlight w:val="white"/>
        </w:rPr>
        <w:t xml:space="preserve">related to our servicing asset and receivables disclosed within </w:t>
      </w:r>
      <w:r>
        <w:rPr>
          <w:rFonts w:ascii="Times New Roman;sans-serif" w:hAnsi="Times New Roman;sans-serif"/>
          <w:b w:val="false"/>
          <w:color w:val="000000"/>
          <w:sz w:val="20"/>
        </w:rPr>
        <w:t>other assets in our interim condensed consolidated balance sheets.</w:t>
      </w:r>
    </w:p>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we may experience a loss due to future repurchase obligations resulting from breaches in representations and warranties in our securitization and third-party sale agreements. In connection with 2021-Z1, 2021-Z2 and 2022-X1, this amount was not material as of March 31, 2022.</w:t>
      </w:r>
    </w:p>
    <w:p>
      <w:pPr>
        <w:pStyle w:val="TextBody"/>
        <w:spacing w:before="0" w:after="0"/>
        <w:rPr/>
      </w:pPr>
      <w:r>
        <w:rPr/>
      </w:r>
    </w:p>
    <w:p>
      <w:pPr>
        <w:pStyle w:val="TextBody"/>
        <w:spacing w:lineRule="auto" w:line="295"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Retained Beneficial Interests in Unconsolidated VIEs</w:t>
      </w:r>
    </w:p>
    <w:p>
      <w:pPr>
        <w:pStyle w:val="TextBody"/>
        <w:spacing w:before="0" w:after="0"/>
        <w:rPr/>
      </w:pPr>
      <w:r>
        <w:rPr/>
      </w:r>
    </w:p>
    <w:p>
      <w:pPr>
        <w:pStyle w:val="TextBody"/>
        <w:spacing w:lineRule="auto" w:line="295" w:before="0" w:after="0"/>
        <w:ind w:left="0" w:right="0" w:firstLine="720"/>
        <w:rPr/>
      </w:pPr>
      <w:r>
        <w:rPr>
          <w:rFonts w:ascii="Times New Roman;sans-serif" w:hAnsi="Times New Roman;sans-serif"/>
          <w:b w:val="false"/>
          <w:color w:val="000000"/>
          <w:sz w:val="20"/>
          <w:highlight w:val="white"/>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2021-Z1, 2021-Z2 and</w:t>
      </w:r>
      <w:r>
        <w:rPr>
          <w:color w:val="000000"/>
        </w:rPr>
        <w:t xml:space="preserve"> </w:t>
      </w:r>
      <w:r>
        <w:rPr>
          <w:rFonts w:ascii="Times New Roman;sans-serif" w:hAnsi="Times New Roman;sans-serif"/>
          <w:b w:val="false"/>
          <w:color w:val="000000"/>
          <w:sz w:val="20"/>
        </w:rPr>
        <w:t>2022-X1 as</w:t>
      </w:r>
      <w:r>
        <w:rPr>
          <w:color w:val="000000"/>
          <w:highlight w:val="white"/>
        </w:rPr>
        <w:t xml:space="preserve"> “</w:t>
      </w:r>
      <w:r>
        <w:rPr>
          <w:rFonts w:ascii="Times New Roman;sans-serif" w:hAnsi="Times New Roman;sans-serif"/>
          <w:b w:val="false"/>
          <w:color w:val="000000"/>
          <w:sz w:val="20"/>
          <w:highlight w:val="white"/>
        </w:rPr>
        <w:t xml:space="preserve">available for sale” and as such they are disclosed at fair value in our interim condensed consolidated balance sheets. </w:t>
      </w:r>
    </w:p>
    <w:p>
      <w:pPr>
        <w:pStyle w:val="TextBody"/>
        <w:spacing w:before="0" w:after="0"/>
        <w:rPr/>
      </w:pPr>
      <w:r>
        <w:rPr/>
      </w:r>
    </w:p>
    <w:p>
      <w:pPr>
        <w:pStyle w:val="TextBody"/>
        <w:spacing w:lineRule="auto" w:line="295" w:before="0" w:after="0"/>
        <w:ind w:left="0" w:right="0" w:firstLine="720"/>
        <w:rPr/>
      </w:pPr>
      <w:r>
        <w:rPr>
          <w:rFonts w:ascii="Times New Roman;sans-serif" w:hAnsi="Times New Roman;sans-serif"/>
          <w:b w:val="false"/>
          <w:color w:val="000000"/>
          <w:sz w:val="20"/>
          <w:highlight w:val="white"/>
        </w:rPr>
        <w:t xml:space="preserve">See Note </w:t>
      </w:r>
      <w:r>
        <w:rPr>
          <w:rFonts w:ascii="Times New Roman;sans-serif" w:hAnsi="Times New Roman;sans-serif"/>
          <w:b w:val="false"/>
          <w:color w:val="000000"/>
          <w:sz w:val="20"/>
        </w:rPr>
        <w:t>12</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Investments</w:t>
      </w:r>
      <w:r>
        <w:rPr>
          <w:color w:val="000000"/>
          <w:highlight w:val="white"/>
        </w:rPr>
        <w:t xml:space="preserve"> </w:t>
      </w:r>
      <w:r>
        <w:rPr>
          <w:rFonts w:ascii="Times New Roman;sans-serif" w:hAnsi="Times New Roman;sans-serif"/>
          <w:b w:val="false"/>
          <w:color w:val="000000"/>
          <w:sz w:val="20"/>
          <w:highlight w:val="white"/>
        </w:rPr>
        <w:t xml:space="preserve">and Note </w:t>
      </w:r>
      <w:r>
        <w:rPr>
          <w:rFonts w:ascii="Times New Roman;sans-serif" w:hAnsi="Times New Roman;sans-serif"/>
          <w:b w:val="false"/>
          <w:color w:val="000000"/>
          <w:sz w:val="20"/>
        </w:rPr>
        <w:t>13. Fair Value of Financial Assets and Liabilities</w:t>
      </w:r>
      <w:r>
        <w:rPr>
          <w:color w:val="000000"/>
          <w:highlight w:val="white"/>
        </w:rPr>
        <w:t xml:space="preserve"> </w:t>
      </w:r>
      <w:r>
        <w:rPr>
          <w:rFonts w:ascii="Times New Roman;sans-serif" w:hAnsi="Times New Roman;sans-serif"/>
          <w:b w:val="false"/>
          <w:color w:val="000000"/>
          <w:sz w:val="20"/>
          <w:highlight w:val="white"/>
        </w:rPr>
        <w:t xml:space="preserve">for additional information on the fair value sensitivity of the notes receivable and residual certificates. Additionally, as of </w:t>
      </w:r>
      <w:r>
        <w:rPr>
          <w:rFonts w:ascii="Times New Roman;sans-serif" w:hAnsi="Times New Roman;sans-serif"/>
          <w:b w:val="false"/>
          <w:color w:val="000000"/>
          <w:sz w:val="20"/>
        </w:rPr>
        <w:t>March 31, 2022</w:t>
      </w:r>
      <w:r>
        <w:rPr>
          <w:rFonts w:ascii="Times New Roman;sans-serif" w:hAnsi="Times New Roman;sans-serif"/>
          <w:b w:val="false"/>
          <w:color w:val="000000"/>
          <w:sz w:val="20"/>
          <w:highlight w:val="white"/>
        </w:rPr>
        <w:t>, we have pledged the 2021-Z1, 2021-Z2, a</w:t>
      </w:r>
      <w:r>
        <w:rPr>
          <w:rFonts w:ascii="Times New Roman;sans-serif" w:hAnsi="Times New Roman;sans-serif"/>
          <w:b w:val="false"/>
          <w:color w:val="000000"/>
          <w:sz w:val="20"/>
        </w:rPr>
        <w:t>nd 2022-X1 ret</w:t>
      </w:r>
      <w:r>
        <w:rPr>
          <w:rFonts w:ascii="Times New Roman;sans-serif" w:hAnsi="Times New Roman;sans-serif"/>
          <w:b w:val="false"/>
          <w:color w:val="000000"/>
          <w:sz w:val="20"/>
          <w:highlight w:val="white"/>
        </w:rPr>
        <w:t xml:space="preserve">ained beneficial interests as collateral in connection with a repurchase agreement as described in Note </w:t>
      </w:r>
      <w:r>
        <w:rPr>
          <w:rFonts w:ascii="Times New Roman;sans-serif" w:hAnsi="Times New Roman;sans-serif"/>
          <w:b w:val="false"/>
          <w:color w:val="000000"/>
          <w:sz w:val="20"/>
        </w:rPr>
        <w:t>10. Debt</w:t>
      </w:r>
      <w:r>
        <w:rPr>
          <w:rFonts w:ascii="Times New Roman;sans-serif" w:hAnsi="Times New Roman;sans-serif"/>
          <w:b w:val="false"/>
          <w:color w:val="000000"/>
          <w:sz w:val="20"/>
          <w:highlight w:val="white"/>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12.   Investments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Marketable securities include certain investments classified as cash and cash equivalents and securities available for sale, at fair value, and consist of the following as of each date presented within the interim condensed consolidated balance sheets (in thousands):</w:t>
      </w:r>
    </w:p>
    <w:p>
      <w:pPr>
        <w:pStyle w:val="TextBody"/>
        <w:spacing w:before="0" w:after="0"/>
        <w:rPr/>
      </w:pPr>
      <w:r>
        <w:rPr/>
      </w:r>
    </w:p>
    <w:tbl>
      <w:tblPr>
        <w:tblW w:w="7523" w:type="dxa"/>
        <w:jc w:val="left"/>
        <w:tblInd w:w="0" w:type="dxa"/>
        <w:tblCellMar>
          <w:top w:w="28" w:type="dxa"/>
          <w:left w:w="28" w:type="dxa"/>
          <w:bottom w:w="28" w:type="dxa"/>
          <w:right w:w="28" w:type="dxa"/>
        </w:tblCellMar>
      </w:tblPr>
      <w:tblGrid>
        <w:gridCol w:w="1488"/>
        <w:gridCol w:w="1306"/>
        <w:gridCol w:w="1315"/>
        <w:gridCol w:w="109"/>
        <w:gridCol w:w="109"/>
        <w:gridCol w:w="109"/>
        <w:gridCol w:w="234"/>
        <w:gridCol w:w="1085"/>
        <w:gridCol w:w="121"/>
        <w:gridCol w:w="109"/>
        <w:gridCol w:w="109"/>
        <w:gridCol w:w="109"/>
        <w:gridCol w:w="234"/>
        <w:gridCol w:w="916"/>
        <w:gridCol w:w="170"/>
      </w:tblGrid>
      <w:tr>
        <w:trPr/>
        <w:tc>
          <w:tcPr>
            <w:tcW w:w="1488"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2021</w:t>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1,461,956 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185,432 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Securitization notes receivable and certificates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2,153,522 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159,411 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highlight w:val="white"/>
        </w:rPr>
        <w:t>(1)</w:t>
      </w:r>
      <w:r>
        <w:rPr>
          <w:rFonts w:ascii="Times New Roman;sans-serif" w:hAnsi="Times New Roman;sans-serif"/>
          <w:b w:val="false"/>
          <w:color w:val="000000"/>
          <w:sz w:val="20"/>
        </w:rPr>
        <w:t xml:space="preserve">These securities have been pledged as collateral in connection with sale and repurchase agreements as discussed within </w:t>
      </w:r>
      <w:r>
        <w:rPr>
          <w:rFonts w:ascii="Times New Roman;sans-serif" w:hAnsi="Times New Roman;sans-serif"/>
          <w:b w:val="false"/>
          <w:color w:val="000000"/>
          <w:sz w:val="20"/>
          <w:highlight w:val="white"/>
        </w:rPr>
        <w:t xml:space="preserve">Note </w:t>
      </w:r>
      <w:r>
        <w:rPr>
          <w:rFonts w:ascii="Times New Roman;sans-serif" w:hAnsi="Times New Roman;sans-serif"/>
          <w:b w:val="false"/>
          <w:color w:val="000000"/>
          <w:sz w:val="20"/>
        </w:rPr>
        <w:t>10. Debt.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Securities Available for Sale, at Fair Value</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The amortized cost, gross unrealized gains and losses, allowance for credit losses, and fair value of securities available for sale as of </w:t>
      </w:r>
      <w:r>
        <w:rPr>
          <w:rFonts w:ascii="Times New Roman;sans-serif" w:hAnsi="Times New Roman;sans-serif"/>
          <w:b w:val="false"/>
          <w:color w:val="000000"/>
          <w:sz w:val="20"/>
          <w:highlight w:val="white"/>
        </w:rPr>
        <w:t xml:space="preserve">March 31, 2022 </w:t>
      </w:r>
      <w:r>
        <w:rPr>
          <w:rFonts w:ascii="Times New Roman;sans-serif" w:hAnsi="Times New Roman;sans-serif"/>
          <w:b w:val="false"/>
          <w:color w:val="000000"/>
          <w:sz w:val="20"/>
        </w:rPr>
        <w:t>were as follows:</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898"/>
        <w:gridCol w:w="666"/>
        <w:gridCol w:w="670"/>
        <w:gridCol w:w="109"/>
        <w:gridCol w:w="109"/>
        <w:gridCol w:w="109"/>
        <w:gridCol w:w="221"/>
        <w:gridCol w:w="869"/>
        <w:gridCol w:w="114"/>
        <w:gridCol w:w="109"/>
        <w:gridCol w:w="109"/>
        <w:gridCol w:w="109"/>
        <w:gridCol w:w="392"/>
        <w:gridCol w:w="672"/>
        <w:gridCol w:w="204"/>
        <w:gridCol w:w="109"/>
        <w:gridCol w:w="109"/>
        <w:gridCol w:w="109"/>
        <w:gridCol w:w="280"/>
        <w:gridCol w:w="877"/>
        <w:gridCol w:w="144"/>
        <w:gridCol w:w="109"/>
        <w:gridCol w:w="109"/>
        <w:gridCol w:w="109"/>
        <w:gridCol w:w="359"/>
        <w:gridCol w:w="820"/>
        <w:gridCol w:w="186"/>
        <w:gridCol w:w="109"/>
        <w:gridCol w:w="109"/>
        <w:gridCol w:w="109"/>
        <w:gridCol w:w="211"/>
        <w:gridCol w:w="826"/>
        <w:gridCol w:w="161"/>
      </w:tblGrid>
      <w:tr>
        <w:trPr/>
        <w:tc>
          <w:tcPr>
            <w:tcW w:w="898"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Credit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Certificates of deposit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Corporate bonds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187,580 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186,286 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Commercial paper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207,302 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207,126 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Non-US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Securitization notes receivable and certificates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694,737 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691,566 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Certificates of deposit, corporate bonds, non-US government bonds and commercial paper include $74.5 million classified as cash and cash equivalents within the interim condensed consolidated balance sheets.</w:t>
      </w:r>
    </w:p>
    <w:p>
      <w:pPr>
        <w:pStyle w:val="TextBody"/>
        <w:spacing w:lineRule="auto" w:line="288" w:before="0" w:after="0"/>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These securities have been pledged as collateral in connection with sale and repurchase agreements as discussed within Note 10. Debt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The amortized cost, gross unrealized gains and losses, allowance for credit losses, and fair value of securities available for sale as of June 30, 2021</w:t>
      </w:r>
      <w:r>
        <w:rPr>
          <w:color w:val="000000"/>
          <w:highlight w:val="white"/>
        </w:rPr>
        <w:t xml:space="preserve"> </w:t>
      </w:r>
      <w:r>
        <w:rPr>
          <w:rFonts w:ascii="Times New Roman;sans-serif" w:hAnsi="Times New Roman;sans-serif"/>
          <w:b w:val="false"/>
          <w:color w:val="000000"/>
          <w:sz w:val="20"/>
        </w:rPr>
        <w:t>were as follows:</w:t>
      </w:r>
    </w:p>
    <w:tbl>
      <w:tblPr>
        <w:tblW w:w="10205" w:type="dxa"/>
        <w:jc w:val="left"/>
        <w:tblInd w:w="0" w:type="dxa"/>
        <w:tblCellMar>
          <w:top w:w="28" w:type="dxa"/>
          <w:left w:w="28" w:type="dxa"/>
          <w:bottom w:w="28" w:type="dxa"/>
          <w:right w:w="28" w:type="dxa"/>
        </w:tblCellMar>
      </w:tblPr>
      <w:tblGrid>
        <w:gridCol w:w="823"/>
        <w:gridCol w:w="722"/>
        <w:gridCol w:w="725"/>
        <w:gridCol w:w="109"/>
        <w:gridCol w:w="109"/>
        <w:gridCol w:w="109"/>
        <w:gridCol w:w="232"/>
        <w:gridCol w:w="794"/>
        <w:gridCol w:w="120"/>
        <w:gridCol w:w="109"/>
        <w:gridCol w:w="109"/>
        <w:gridCol w:w="109"/>
        <w:gridCol w:w="405"/>
        <w:gridCol w:w="693"/>
        <w:gridCol w:w="210"/>
        <w:gridCol w:w="109"/>
        <w:gridCol w:w="109"/>
        <w:gridCol w:w="109"/>
        <w:gridCol w:w="386"/>
        <w:gridCol w:w="744"/>
        <w:gridCol w:w="201"/>
        <w:gridCol w:w="109"/>
        <w:gridCol w:w="109"/>
        <w:gridCol w:w="109"/>
        <w:gridCol w:w="507"/>
        <w:gridCol w:w="652"/>
        <w:gridCol w:w="263"/>
        <w:gridCol w:w="109"/>
        <w:gridCol w:w="109"/>
        <w:gridCol w:w="109"/>
        <w:gridCol w:w="211"/>
        <w:gridCol w:w="721"/>
        <w:gridCol w:w="161"/>
      </w:tblGrid>
      <w:tr>
        <w:trPr/>
        <w:tc>
          <w:tcPr>
            <w:tcW w:w="823"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Credit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receivable and certificates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highlight w:val="white"/>
        </w:rPr>
        <w:t xml:space="preserve">March 31, 2022 and </w:t>
      </w:r>
      <w:r>
        <w:rPr>
          <w:rFonts w:ascii="Times New Roman;sans-serif" w:hAnsi="Times New Roman;sans-serif"/>
          <w:b w:val="false"/>
          <w:color w:val="000000"/>
          <w:sz w:val="20"/>
        </w:rPr>
        <w:t>June 30, 2021, there were no material reversals of prior period allowance for credit losses recognized for available for sale securities.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A summary of securities available for sale with unrealized losses for which an allowance for credit losses has not been recorded, aggregated by investment category and the length of time that individual securities have been in a continuous loss position as of </w:t>
      </w:r>
      <w:r>
        <w:rPr>
          <w:rFonts w:ascii="Times New Roman;sans-serif" w:hAnsi="Times New Roman;sans-serif"/>
          <w:b w:val="false"/>
          <w:color w:val="000000"/>
          <w:sz w:val="20"/>
          <w:highlight w:val="white"/>
        </w:rPr>
        <w:t>March 31, 2022</w:t>
      </w:r>
      <w:r>
        <w:rPr>
          <w:rFonts w:ascii="Times New Roman;sans-serif" w:hAnsi="Times New Roman;sans-serif"/>
          <w:b w:val="false"/>
          <w:color w:val="000000"/>
          <w:sz w:val="20"/>
        </w:rPr>
        <w:t>, is as follows:</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793"/>
        <w:gridCol w:w="556"/>
        <w:gridCol w:w="559"/>
        <w:gridCol w:w="109"/>
        <w:gridCol w:w="109"/>
        <w:gridCol w:w="109"/>
        <w:gridCol w:w="211"/>
        <w:gridCol w:w="826"/>
        <w:gridCol w:w="109"/>
        <w:gridCol w:w="109"/>
        <w:gridCol w:w="109"/>
        <w:gridCol w:w="109"/>
        <w:gridCol w:w="234"/>
        <w:gridCol w:w="723"/>
        <w:gridCol w:w="121"/>
        <w:gridCol w:w="109"/>
        <w:gridCol w:w="109"/>
        <w:gridCol w:w="109"/>
        <w:gridCol w:w="224"/>
        <w:gridCol w:w="431"/>
        <w:gridCol w:w="115"/>
        <w:gridCol w:w="109"/>
        <w:gridCol w:w="109"/>
        <w:gridCol w:w="109"/>
        <w:gridCol w:w="308"/>
        <w:gridCol w:w="594"/>
        <w:gridCol w:w="161"/>
        <w:gridCol w:w="109"/>
        <w:gridCol w:w="109"/>
        <w:gridCol w:w="109"/>
        <w:gridCol w:w="211"/>
        <w:gridCol w:w="826"/>
        <w:gridCol w:w="109"/>
        <w:gridCol w:w="109"/>
        <w:gridCol w:w="109"/>
        <w:gridCol w:w="109"/>
        <w:gridCol w:w="233"/>
        <w:gridCol w:w="720"/>
        <w:gridCol w:w="179"/>
      </w:tblGrid>
      <w:tr>
        <w:trPr/>
        <w:tc>
          <w:tcPr>
            <w:tcW w:w="793"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1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or equal to 1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1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1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Securitization notes receivable and certificates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Total securities available for sale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highlight w:val="white"/>
        </w:rPr>
        <w:t>(1)</w:t>
      </w:r>
      <w:r>
        <w:rPr>
          <w:rFonts w:ascii="Times New Roman;sans-serif" w:hAnsi="Times New Roman;sans-serif"/>
          <w:b w:val="false"/>
          <w:color w:val="000000"/>
          <w:sz w:val="20"/>
        </w:rPr>
        <w:t>The number of positions with unrealized losses as of March 31, 2022 totaled 113.</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highlight w:val="white"/>
        </w:rPr>
        <w:t xml:space="preserve">There were no securities available for sale with unrealized losses for which an allowance for credit losses had not been recorded as of </w:t>
      </w:r>
      <w:r>
        <w:rPr>
          <w:rFonts w:ascii="Times New Roman;sans-serif" w:hAnsi="Times New Roman;sans-serif"/>
          <w:b w:val="false"/>
          <w:color w:val="000000"/>
          <w:sz w:val="20"/>
        </w:rPr>
        <w:t>June 30, 2021.</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rPr/>
      </w:pPr>
      <w:r>
        <w:rPr>
          <w:rFonts w:ascii="Times New Roman;sans-serif" w:hAnsi="Times New Roman;sans-serif"/>
          <w:b w:val="false"/>
          <w:color w:val="000000"/>
          <w:sz w:val="20"/>
        </w:rPr>
        <w:t xml:space="preserve">The length of time to contractual maturities of securities available for sale as of </w:t>
      </w:r>
      <w:r>
        <w:rPr>
          <w:rFonts w:ascii="Times New Roman;sans-serif" w:hAnsi="Times New Roman;sans-serif"/>
          <w:b w:val="false"/>
          <w:color w:val="000000"/>
          <w:sz w:val="20"/>
          <w:highlight w:val="white"/>
        </w:rPr>
        <w:t>March 31, 2022</w:t>
      </w:r>
      <w:r>
        <w:rPr>
          <w:rFonts w:ascii="Times New Roman;sans-serif" w:hAnsi="Times New Roman;sans-serif"/>
          <w:b w:val="false"/>
          <w:color w:val="000000"/>
          <w:sz w:val="20"/>
        </w:rPr>
        <w:t>, were as follows:</w:t>
      </w:r>
    </w:p>
    <w:tbl>
      <w:tblPr>
        <w:tblW w:w="10205" w:type="dxa"/>
        <w:jc w:val="left"/>
        <w:tblInd w:w="0" w:type="dxa"/>
        <w:tblCellMar>
          <w:top w:w="28" w:type="dxa"/>
          <w:left w:w="28" w:type="dxa"/>
          <w:bottom w:w="28" w:type="dxa"/>
          <w:right w:w="28" w:type="dxa"/>
        </w:tblCellMar>
      </w:tblPr>
      <w:tblGrid>
        <w:gridCol w:w="643"/>
        <w:gridCol w:w="391"/>
        <w:gridCol w:w="393"/>
        <w:gridCol w:w="109"/>
        <w:gridCol w:w="109"/>
        <w:gridCol w:w="109"/>
        <w:gridCol w:w="212"/>
        <w:gridCol w:w="833"/>
        <w:gridCol w:w="109"/>
        <w:gridCol w:w="109"/>
        <w:gridCol w:w="109"/>
        <w:gridCol w:w="109"/>
        <w:gridCol w:w="211"/>
        <w:gridCol w:w="826"/>
        <w:gridCol w:w="109"/>
        <w:gridCol w:w="109"/>
        <w:gridCol w:w="109"/>
        <w:gridCol w:w="109"/>
        <w:gridCol w:w="218"/>
        <w:gridCol w:w="745"/>
        <w:gridCol w:w="112"/>
        <w:gridCol w:w="112"/>
        <w:gridCol w:w="112"/>
        <w:gridCol w:w="112"/>
        <w:gridCol w:w="218"/>
        <w:gridCol w:w="745"/>
        <w:gridCol w:w="112"/>
        <w:gridCol w:w="109"/>
        <w:gridCol w:w="109"/>
        <w:gridCol w:w="109"/>
        <w:gridCol w:w="212"/>
        <w:gridCol w:w="833"/>
        <w:gridCol w:w="109"/>
        <w:gridCol w:w="109"/>
        <w:gridCol w:w="109"/>
        <w:gridCol w:w="109"/>
        <w:gridCol w:w="211"/>
        <w:gridCol w:w="826"/>
        <w:gridCol w:w="166"/>
      </w:tblGrid>
      <w:tr>
        <w:trPr/>
        <w:tc>
          <w:tcPr>
            <w:tcW w:w="64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1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 less than or equal to 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186,286 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207,126 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Securitization notes receivable and certificates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691,566 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highlight w:val="white"/>
        </w:rPr>
        <w:t>(1)</w:t>
      </w:r>
      <w:r>
        <w:rPr>
          <w:rFonts w:ascii="Times New Roman;sans-serif" w:hAnsi="Times New Roman;sans-serif"/>
          <w:b w:val="false"/>
          <w:color w:val="000000"/>
          <w:sz w:val="20"/>
        </w:rPr>
        <w:t xml:space="preserve">Based on weighted average life of expected cash flows as of </w:t>
      </w:r>
      <w:r>
        <w:rPr>
          <w:rFonts w:ascii="Times New Roman;sans-serif" w:hAnsi="Times New Roman;sans-serif"/>
          <w:b w:val="false"/>
          <w:color w:val="000000"/>
          <w:sz w:val="20"/>
          <w:highlight w:val="white"/>
        </w:rPr>
        <w:t>March 31, 2022.</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Gross proceeds from matured or redeemed securities for the three and nine months ended </w:t>
      </w:r>
      <w:r>
        <w:rPr>
          <w:rFonts w:ascii="Times New Roman;sans-serif" w:hAnsi="Times New Roman;sans-serif"/>
          <w:b w:val="false"/>
          <w:color w:val="000000"/>
          <w:sz w:val="20"/>
          <w:highlight w:val="white"/>
        </w:rPr>
        <w:t>March 31, 2022</w:t>
      </w:r>
      <w:r>
        <w:rPr>
          <w:color w:val="000000"/>
        </w:rPr>
        <w:t xml:space="preserve"> </w:t>
      </w:r>
      <w:r>
        <w:rPr>
          <w:rFonts w:ascii="Times New Roman;sans-serif" w:hAnsi="Times New Roman;sans-serif"/>
          <w:b w:val="false"/>
          <w:color w:val="000000"/>
          <w:sz w:val="20"/>
        </w:rPr>
        <w:t>were $949.3 million and $1,584.8 million, respectively.</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There were no portfolio sales or associated realized gains or losses for available for sale securities for the three and nine months ended </w:t>
      </w:r>
      <w:r>
        <w:rPr>
          <w:rFonts w:ascii="Times New Roman;sans-serif" w:hAnsi="Times New Roman;sans-serif"/>
          <w:b w:val="false"/>
          <w:color w:val="000000"/>
          <w:sz w:val="20"/>
          <w:highlight w:val="white"/>
        </w:rPr>
        <w:t>March 31, 2022</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Non-marketable Equity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Non-marketable equity securities which do not have a readily determinable fair value are measured at cost less impairment, if any, and adjusted for changes resulting from observable price changes in orderly transactions for an identical or similar investment in the same issuer (the “measurement alternative”).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and realized gains and losses on the investment due to impairment or observable price changes in orderly transaction for an identical or similar investment of the same issuer, if any, are recognized in other (expense) income, net on our interim condensed consolidated statements of operations and comprehensive loss and a new carrying value is established for the investment upon such recognition. </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Equity investments without a readily determinable fair value held at cost were $33.2 million and $11.3 million as of </w:t>
      </w:r>
      <w:r>
        <w:rPr>
          <w:rFonts w:ascii="Times New Roman;sans-serif" w:hAnsi="Times New Roman;sans-serif"/>
          <w:b w:val="false"/>
          <w:color w:val="000000"/>
          <w:sz w:val="20"/>
          <w:highlight w:val="white"/>
        </w:rPr>
        <w:t>March 31, 2022</w:t>
      </w:r>
      <w:r>
        <w:rPr>
          <w:color w:val="000000"/>
        </w:rPr>
        <w:t xml:space="preserve"> </w:t>
      </w:r>
      <w:r>
        <w:rPr>
          <w:rFonts w:ascii="Times New Roman;sans-serif" w:hAnsi="Times New Roman;sans-serif"/>
          <w:b w:val="false"/>
          <w:color w:val="000000"/>
          <w:sz w:val="20"/>
        </w:rPr>
        <w:t>and June 30, 2021, respectively, and are included in other assets within the interim condensed consolidated balance sheets.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There have been no unrealized or realized gains and losses due to observable changes in orderly transactions and we did not record any impairment </w:t>
      </w: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 xml:space="preserve">three and nine months ended </w:t>
      </w:r>
      <w:r>
        <w:rPr>
          <w:rFonts w:ascii="Times New Roman;sans-serif" w:hAnsi="Times New Roman;sans-serif"/>
          <w:b w:val="false"/>
          <w:color w:val="000000"/>
          <w:sz w:val="20"/>
          <w:highlight w:val="white"/>
        </w:rPr>
        <w:t>March 31, 2022 or March 31, 2021</w:t>
      </w:r>
      <w:r>
        <w:rPr>
          <w:rFonts w:ascii="Times New Roman;sans-serif" w:hAnsi="Times New Roman;sans-serif"/>
          <w:b w:val="false"/>
          <w:color w:val="000000"/>
          <w:sz w:val="20"/>
        </w:rPr>
        <w:t>.</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13.   Fair Value of Financial Assets and Liabilities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ASC Topic 820, “Fair Value Measurement” (“ASC 820”) establishes a fair value hierarchy that prioritizes the use of inputs used in valuation methodologies into the following three levels: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Inputs to the valuation methodology are quoted prices, unadjusted, for identical assets or liabilities in active markets. A quoted price in an active market provides the most reliable evidence of fair value and shall be used to measure fair value whenever available.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Level 2:</w:t>
      </w:r>
      <w:r>
        <w:rPr>
          <w:color w:val="000000"/>
        </w:rPr>
        <w:t xml:space="preserve"> </w:t>
      </w:r>
      <w:r>
        <w:rPr>
          <w:rFonts w:ascii="Times New Roman;sans-serif" w:hAnsi="Times New Roman;sans-serif"/>
          <w:b w:val="false"/>
          <w:color w:val="000000"/>
          <w:sz w:val="20"/>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Level 3:</w:t>
      </w:r>
      <w:r>
        <w:rPr>
          <w:color w:val="000000"/>
        </w:rPr>
        <w:t xml:space="preserve"> </w:t>
      </w:r>
      <w:r>
        <w:rPr>
          <w:rFonts w:ascii="Times New Roman;sans-serif" w:hAnsi="Times New Roman;sans-serif"/>
          <w:b w:val="false"/>
          <w:color w:val="000000"/>
          <w:sz w:val="20"/>
        </w:rPr>
        <w:t>Inputs to the valuation methodology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judgment or estimation.</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Financial Assets and Liabilities Recorded at Fair Value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our assets and liabilities that are measured at fair value on a recurring basis as of March 31, 2022 (in thousands):</w:t>
      </w:r>
    </w:p>
    <w:tbl>
      <w:tblPr>
        <w:tblW w:w="10205" w:type="dxa"/>
        <w:jc w:val="center"/>
        <w:tblInd w:w="0" w:type="dxa"/>
        <w:tblCellMar>
          <w:top w:w="28" w:type="dxa"/>
          <w:left w:w="28" w:type="dxa"/>
          <w:bottom w:w="28" w:type="dxa"/>
          <w:right w:w="28" w:type="dxa"/>
        </w:tblCellMar>
      </w:tblPr>
      <w:tblGrid>
        <w:gridCol w:w="1467"/>
        <w:gridCol w:w="1244"/>
        <w:gridCol w:w="1255"/>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6"/>
      </w:tblGrid>
      <w:tr>
        <w:trPr/>
        <w:tc>
          <w:tcPr>
            <w:tcW w:w="146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1,461,956 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bonds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paper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3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Certificate of deposit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bonds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185,434 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paper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receivable and residual trust certificates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2,201,579 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fee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trust certificates, held by third-parties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128,565 </w:t>
            </w:r>
          </w:p>
        </w:tc>
        <w:tc>
          <w:tcPr>
            <w:tcW w:w="1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our assets and liabilities that are measured at fair value on a recurring basis as of June 30, 2021 (in thousands):</w:t>
      </w:r>
    </w:p>
    <w:tbl>
      <w:tblPr>
        <w:tblW w:w="10205" w:type="dxa"/>
        <w:jc w:val="center"/>
        <w:tblInd w:w="0" w:type="dxa"/>
        <w:tblCellMar>
          <w:top w:w="28" w:type="dxa"/>
          <w:left w:w="28" w:type="dxa"/>
          <w:bottom w:w="28" w:type="dxa"/>
          <w:right w:w="28" w:type="dxa"/>
        </w:tblCellMar>
      </w:tblPr>
      <w:tblGrid>
        <w:gridCol w:w="1635"/>
        <w:gridCol w:w="1414"/>
        <w:gridCol w:w="1428"/>
        <w:gridCol w:w="109"/>
        <w:gridCol w:w="109"/>
        <w:gridCol w:w="109"/>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211"/>
        <w:gridCol w:w="826"/>
        <w:gridCol w:w="155"/>
      </w:tblGrid>
      <w:tr>
        <w:trPr/>
        <w:tc>
          <w:tcPr>
            <w:tcW w:w="1635"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receivable and residual trust certificates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fee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trust certificates, held by third-parties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162,076 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levels during the periods ended March 31, 2022 and June 30, 2021.</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 (Level 2)</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Securities Available for Sale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we held marketable securities classified as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 Instruments</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primary objective in holding derivatives is to reduce the volatility in cash flows associated with our funding activities, arising from changes in interest rates. We do not employ derivatives for trading or speculative purposes.</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we used a combination of interest rate cap agreements and interest rate swaps to manage interest costs and the risk associated with variable interest rates. Neither the interest rate caps or the interest rate swaps have been designated as hedging instruments. </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and June 30, 2021, the interest rate caps and interest rate swaps are in a net asset position, and classified as Level 2 within the fair value hierarchy, based on prices quoted for similar financial instruments in markets that are not active. The fair values are presented gross within other assets and offsetting collateral received by the counterparty is presented as a liability within accrued expenses and other liabilities on the interim condensed consolidated balance sheets. Any changes in the fair value of these financial instruments are reflected in other (expense) income, net, on the interim condensed consolidated statements of operations and comprehensive loss.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 using Significant Unobservable Inputs (Level 3)</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evaluate our financial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contingent consideration, and profit share liability do not trade in an active market with readily observable prices, we use significant unobservable inputs to measure fair value. This determination requires significant judgments to be made.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Servicing Assets and Liabilities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sold loans with an unpaid balance of $2,042.5 million and $5,647.5 million for the three and nine months ended March 31, 2022, respectively, and $756.7 million and $2,013.2 million for the three and nine months ended March 31, 2021, respectively, for which we retained servicing rights.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and June 30, 2021, we serviced loans which we sold with a remaining unpaid principal balance of $4,036.4 million and $2,453.9 million, respectively.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use discounted cash flow models to arrive at an estimate of fair value. Significant assumptions used in the valuation of our servicing rights are as follows: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Adequate Compensation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estimate adequate compensation as the rate a willing market participant would require for servicing loans with similar characteristics as those in the serviced portfolio.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Discount Rate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Net Default Rate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estimate the timing and probability of early loan payoffs, loan defaults and write-offs, thus affecting the projected unpaid principal balance and expected term of the loan, which are used to project future servicing revenue and expenses.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earned $23.5 million and $44.2 million of servicing income for the three and nine months ended March 31, 2022, respectively, and $8.0 million and $17.2 million for the three and nine months ended March 31, 2021, respectively.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and June 30, 2021, the aggregate fair value of the servicing assets was measured at $4.6 million and $2.3 million, respectively, and presented within other assets on the interim condensed consolidated balance sheets. As of March 31, 2022 and June 30, 2021, the aggregate fair value of the servicing liabilities was measured at $5.6 million and $4.0 million, respectively, and presented within accrued expenses and other liabilities on the interim condensed consolidated balance sheets.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aggregate fair value of our servicing assets (in thousands):</w:t>
      </w:r>
    </w:p>
    <w:tbl>
      <w:tblPr>
        <w:tblW w:w="8293" w:type="dxa"/>
        <w:jc w:val="left"/>
        <w:tblInd w:w="0" w:type="dxa"/>
        <w:tblCellMar>
          <w:top w:w="28" w:type="dxa"/>
          <w:left w:w="28" w:type="dxa"/>
          <w:bottom w:w="28" w:type="dxa"/>
          <w:right w:w="28" w:type="dxa"/>
        </w:tblCellMar>
      </w:tblPr>
      <w:tblGrid>
        <w:gridCol w:w="1021"/>
        <w:gridCol w:w="898"/>
        <w:gridCol w:w="901"/>
        <w:gridCol w:w="109"/>
        <w:gridCol w:w="109"/>
        <w:gridCol w:w="109"/>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211"/>
        <w:gridCol w:w="616"/>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Servicing Assets</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transfers of financial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aggregate fair value of our servicing liabilities (in thousands):</w:t>
      </w:r>
    </w:p>
    <w:tbl>
      <w:tblPr>
        <w:tblW w:w="8293" w:type="dxa"/>
        <w:jc w:val="left"/>
        <w:tblInd w:w="0" w:type="dxa"/>
        <w:tblCellMar>
          <w:top w:w="28" w:type="dxa"/>
          <w:left w:w="28" w:type="dxa"/>
          <w:bottom w:w="28" w:type="dxa"/>
          <w:right w:w="28" w:type="dxa"/>
        </w:tblCellMar>
      </w:tblPr>
      <w:tblGrid>
        <w:gridCol w:w="1021"/>
        <w:gridCol w:w="898"/>
        <w:gridCol w:w="901"/>
        <w:gridCol w:w="109"/>
        <w:gridCol w:w="109"/>
        <w:gridCol w:w="109"/>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211"/>
        <w:gridCol w:w="616"/>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Servicing Liabilities</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transfers of financial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the significant unobservable inputs used for our Level 3 fair value measurement of servicing assets and liabilities as of March 31, 2022:</w:t>
      </w:r>
    </w:p>
    <w:p>
      <w:pPr>
        <w:pStyle w:val="TextBody"/>
        <w:spacing w:before="0" w:after="0"/>
        <w:ind w:left="0" w:right="0" w:firstLine="720"/>
        <w:rPr/>
      </w:pPr>
      <w:r>
        <w:rPr/>
      </w:r>
    </w:p>
    <w:tbl>
      <w:tblPr>
        <w:tblW w:w="9089" w:type="dxa"/>
        <w:jc w:val="left"/>
        <w:tblInd w:w="0" w:type="dxa"/>
        <w:tblCellMar>
          <w:top w:w="28" w:type="dxa"/>
          <w:left w:w="28" w:type="dxa"/>
          <w:bottom w:w="28" w:type="dxa"/>
          <w:right w:w="28" w:type="dxa"/>
        </w:tblCellMar>
      </w:tblPr>
      <w:tblGrid>
        <w:gridCol w:w="624"/>
        <w:gridCol w:w="549"/>
        <w:gridCol w:w="552"/>
        <w:gridCol w:w="109"/>
        <w:gridCol w:w="109"/>
        <w:gridCol w:w="109"/>
        <w:gridCol w:w="759"/>
        <w:gridCol w:w="759"/>
        <w:gridCol w:w="762"/>
        <w:gridCol w:w="109"/>
        <w:gridCol w:w="109"/>
        <w:gridCol w:w="109"/>
        <w:gridCol w:w="308"/>
        <w:gridCol w:w="308"/>
        <w:gridCol w:w="483"/>
        <w:gridCol w:w="109"/>
        <w:gridCol w:w="109"/>
        <w:gridCol w:w="109"/>
        <w:gridCol w:w="308"/>
        <w:gridCol w:w="308"/>
        <w:gridCol w:w="501"/>
        <w:gridCol w:w="109"/>
        <w:gridCol w:w="109"/>
        <w:gridCol w:w="109"/>
        <w:gridCol w:w="317"/>
        <w:gridCol w:w="317"/>
        <w:gridCol w:w="926"/>
      </w:tblGrid>
      <w:tr>
        <w:trPr/>
        <w:tc>
          <w:tcPr>
            <w:tcW w:w="624"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Adequate compensation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default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Adequate compensation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default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Estimated cost of servicing a loan as a percentage of unpaid principal balance</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the significant unobservable inputs used for our Level 3 fair value measurement of servicing assets and liabilities as of June 30, 2021:</w:t>
      </w:r>
    </w:p>
    <w:tbl>
      <w:tblPr>
        <w:tblW w:w="9044" w:type="dxa"/>
        <w:jc w:val="left"/>
        <w:tblInd w:w="0" w:type="dxa"/>
        <w:tblCellMar>
          <w:top w:w="28" w:type="dxa"/>
          <w:left w:w="28" w:type="dxa"/>
          <w:bottom w:w="28" w:type="dxa"/>
          <w:right w:w="28" w:type="dxa"/>
        </w:tblCellMar>
      </w:tblPr>
      <w:tblGrid>
        <w:gridCol w:w="624"/>
        <w:gridCol w:w="549"/>
        <w:gridCol w:w="552"/>
        <w:gridCol w:w="109"/>
        <w:gridCol w:w="109"/>
        <w:gridCol w:w="109"/>
        <w:gridCol w:w="744"/>
        <w:gridCol w:w="744"/>
        <w:gridCol w:w="747"/>
        <w:gridCol w:w="109"/>
        <w:gridCol w:w="109"/>
        <w:gridCol w:w="109"/>
        <w:gridCol w:w="308"/>
        <w:gridCol w:w="308"/>
        <w:gridCol w:w="483"/>
        <w:gridCol w:w="109"/>
        <w:gridCol w:w="109"/>
        <w:gridCol w:w="109"/>
        <w:gridCol w:w="308"/>
        <w:gridCol w:w="308"/>
        <w:gridCol w:w="501"/>
        <w:gridCol w:w="109"/>
        <w:gridCol w:w="109"/>
        <w:gridCol w:w="109"/>
        <w:gridCol w:w="317"/>
        <w:gridCol w:w="317"/>
        <w:gridCol w:w="926"/>
      </w:tblGrid>
      <w:tr>
        <w:trPr/>
        <w:tc>
          <w:tcPr>
            <w:tcW w:w="624"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Adequate compensation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default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Adequate compensation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default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Estimated cost of servicing a loan as a percentage of unpaid principal balance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that adverse changes in estimates would have on the fair value of the servicing assets and liabilities given hypothetical changes in significant unobservable inputs (in thousands):</w:t>
      </w:r>
    </w:p>
    <w:tbl>
      <w:tblPr>
        <w:tblW w:w="6563" w:type="dxa"/>
        <w:jc w:val="center"/>
        <w:tblInd w:w="0" w:type="dxa"/>
        <w:tblCellMar>
          <w:top w:w="28" w:type="dxa"/>
          <w:left w:w="28" w:type="dxa"/>
          <w:bottom w:w="28" w:type="dxa"/>
          <w:right w:w="28" w:type="dxa"/>
        </w:tblCellMar>
      </w:tblPr>
      <w:tblGrid>
        <w:gridCol w:w="1237"/>
        <w:gridCol w:w="1090"/>
        <w:gridCol w:w="1093"/>
        <w:gridCol w:w="109"/>
        <w:gridCol w:w="109"/>
        <w:gridCol w:w="109"/>
        <w:gridCol w:w="269"/>
        <w:gridCol w:w="882"/>
        <w:gridCol w:w="139"/>
        <w:gridCol w:w="109"/>
        <w:gridCol w:w="109"/>
        <w:gridCol w:w="109"/>
        <w:gridCol w:w="239"/>
        <w:gridCol w:w="785"/>
        <w:gridCol w:w="175"/>
      </w:tblGrid>
      <w:tr>
        <w:trPr/>
        <w:tc>
          <w:tcPr>
            <w:tcW w:w="1237"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default rate assumption: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default rate increase of 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default rate increase of 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assumption: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increase of 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increase of 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assumption: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Servicing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default rate assumption: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default rate increase of 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default rate increase of 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assumption: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increase of 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compensation increase of 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assumption: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Fee Liability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(expense) income, net, on the interim condensed consolidated statements of operations and comprehensive loss.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fair value of the performance fee liability (in thousands):</w:t>
      </w:r>
    </w:p>
    <w:tbl>
      <w:tblPr>
        <w:tblW w:w="8262" w:type="dxa"/>
        <w:jc w:val="left"/>
        <w:tblInd w:w="0" w:type="dxa"/>
        <w:tblCellMar>
          <w:top w:w="28" w:type="dxa"/>
          <w:left w:w="28" w:type="dxa"/>
          <w:bottom w:w="28" w:type="dxa"/>
          <w:right w:w="28" w:type="dxa"/>
        </w:tblCellMar>
      </w:tblPr>
      <w:tblGrid>
        <w:gridCol w:w="1010"/>
        <w:gridCol w:w="888"/>
        <w:gridCol w:w="891"/>
        <w:gridCol w:w="109"/>
        <w:gridCol w:w="109"/>
        <w:gridCol w:w="109"/>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211"/>
        <w:gridCol w:w="616"/>
        <w:gridCol w:w="154"/>
      </w:tblGrid>
      <w:tr>
        <w:trPr/>
        <w:tc>
          <w:tcPr>
            <w:tcW w:w="101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Fee Liability</w:t>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w:t>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the significant unobservable inputs used for our Level 3 fair value measurement of the performance fee liability as of March 31, 2022:</w:t>
      </w:r>
    </w:p>
    <w:p>
      <w:pPr>
        <w:pStyle w:val="TextBody"/>
        <w:spacing w:before="0" w:after="0"/>
        <w:ind w:left="0" w:right="0" w:firstLine="720"/>
        <w:rPr/>
      </w:pPr>
      <w:r>
        <w:rPr/>
      </w:r>
    </w:p>
    <w:tbl>
      <w:tblPr>
        <w:tblW w:w="5993" w:type="dxa"/>
        <w:jc w:val="left"/>
        <w:tblInd w:w="0" w:type="dxa"/>
        <w:tblCellMar>
          <w:top w:w="28" w:type="dxa"/>
          <w:left w:w="28" w:type="dxa"/>
          <w:bottom w:w="28" w:type="dxa"/>
          <w:right w:w="28" w:type="dxa"/>
        </w:tblCellMar>
      </w:tblPr>
      <w:tblGrid>
        <w:gridCol w:w="609"/>
        <w:gridCol w:w="534"/>
        <w:gridCol w:w="537"/>
        <w:gridCol w:w="109"/>
        <w:gridCol w:w="109"/>
        <w:gridCol w:w="109"/>
        <w:gridCol w:w="290"/>
        <w:gridCol w:w="290"/>
        <w:gridCol w:w="291"/>
        <w:gridCol w:w="109"/>
        <w:gridCol w:w="109"/>
        <w:gridCol w:w="109"/>
        <w:gridCol w:w="300"/>
        <w:gridCol w:w="300"/>
        <w:gridCol w:w="301"/>
        <w:gridCol w:w="109"/>
        <w:gridCol w:w="109"/>
        <w:gridCol w:w="109"/>
        <w:gridCol w:w="456"/>
        <w:gridCol w:w="456"/>
        <w:gridCol w:w="648"/>
      </w:tblGrid>
      <w:tr>
        <w:trPr/>
        <w:tc>
          <w:tcPr>
            <w:tcW w:w="6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the significant unobservable inputs used for our Level 3 fair value measurement of the performance fee liability as of June 30, 2021:</w:t>
      </w:r>
    </w:p>
    <w:tbl>
      <w:tblPr>
        <w:tblW w:w="5993" w:type="dxa"/>
        <w:jc w:val="center"/>
        <w:tblInd w:w="0" w:type="dxa"/>
        <w:tblCellMar>
          <w:top w:w="28" w:type="dxa"/>
          <w:left w:w="28" w:type="dxa"/>
          <w:bottom w:w="28" w:type="dxa"/>
          <w:right w:w="28" w:type="dxa"/>
        </w:tblCellMar>
      </w:tblPr>
      <w:tblGrid>
        <w:gridCol w:w="609"/>
        <w:gridCol w:w="534"/>
        <w:gridCol w:w="537"/>
        <w:gridCol w:w="109"/>
        <w:gridCol w:w="109"/>
        <w:gridCol w:w="109"/>
        <w:gridCol w:w="290"/>
        <w:gridCol w:w="290"/>
        <w:gridCol w:w="291"/>
        <w:gridCol w:w="109"/>
        <w:gridCol w:w="109"/>
        <w:gridCol w:w="109"/>
        <w:gridCol w:w="300"/>
        <w:gridCol w:w="300"/>
        <w:gridCol w:w="301"/>
        <w:gridCol w:w="109"/>
        <w:gridCol w:w="109"/>
        <w:gridCol w:w="109"/>
        <w:gridCol w:w="456"/>
        <w:gridCol w:w="456"/>
        <w:gridCol w:w="648"/>
      </w:tblGrid>
      <w:tr>
        <w:trPr/>
        <w:tc>
          <w:tcPr>
            <w:tcW w:w="6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Residual Trust Certificates Held by Third-Parties in Consolidated VIEs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Refer to Note 11. Securitization and Variable Interest Entities for a description of the 2020-Z2 securitization trust. Residual trust certificates held by third-party investor(s) are measured at fair value, using a discounted cash flow model, and presented within accrued expenses and other liabilities on the interim condensed consolidated balance sheets. Any changes in the fair value of the liability are reflected in other (expense) income, net, on the interim condensed consolidated statements of operations and comprehensive loss.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fair value of the residual trust certificates held by third-parties (in thousands):</w:t>
      </w:r>
    </w:p>
    <w:tbl>
      <w:tblPr>
        <w:tblW w:w="6908" w:type="dxa"/>
        <w:jc w:val="left"/>
        <w:tblInd w:w="0" w:type="dxa"/>
        <w:tblCellMar>
          <w:top w:w="28" w:type="dxa"/>
          <w:left w:w="28" w:type="dxa"/>
          <w:bottom w:w="28" w:type="dxa"/>
          <w:right w:w="28" w:type="dxa"/>
        </w:tblCellMar>
      </w:tblPr>
      <w:tblGrid>
        <w:gridCol w:w="1010"/>
        <w:gridCol w:w="888"/>
        <w:gridCol w:w="891"/>
        <w:gridCol w:w="109"/>
        <w:gridCol w:w="109"/>
        <w:gridCol w:w="109"/>
        <w:gridCol w:w="471"/>
        <w:gridCol w:w="1041"/>
        <w:gridCol w:w="243"/>
        <w:gridCol w:w="109"/>
        <w:gridCol w:w="109"/>
        <w:gridCol w:w="109"/>
        <w:gridCol w:w="434"/>
        <w:gridCol w:w="959"/>
        <w:gridCol w:w="317"/>
      </w:tblGrid>
      <w:tr>
        <w:trPr/>
        <w:tc>
          <w:tcPr>
            <w:tcW w:w="101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 2022</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 used for our Level 3 fair value measurement of the residual trust certificates held by third-parties are the discount rate, loss rate, and prepayment rate. Significant increases or decreases in any of the inputs in isolation could result in a significantly lower or higher fair value measurement.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the significant unobservable inputs used for our Level 3 fair value measurement of the residual trust certificates held by third-parties as of March 31, 2022:</w:t>
      </w:r>
    </w:p>
    <w:p>
      <w:pPr>
        <w:pStyle w:val="TextBody"/>
        <w:spacing w:before="0" w:after="0"/>
        <w:ind w:left="0" w:right="0" w:firstLine="720"/>
        <w:rPr/>
      </w:pPr>
      <w:r>
        <w:rPr/>
      </w:r>
    </w:p>
    <w:tbl>
      <w:tblPr>
        <w:tblW w:w="5993" w:type="dxa"/>
        <w:jc w:val="left"/>
        <w:tblInd w:w="0" w:type="dxa"/>
        <w:tblCellMar>
          <w:top w:w="28" w:type="dxa"/>
          <w:left w:w="28" w:type="dxa"/>
          <w:bottom w:w="28" w:type="dxa"/>
          <w:right w:w="28" w:type="dxa"/>
        </w:tblCellMar>
      </w:tblPr>
      <w:tblGrid>
        <w:gridCol w:w="609"/>
        <w:gridCol w:w="534"/>
        <w:gridCol w:w="537"/>
        <w:gridCol w:w="109"/>
        <w:gridCol w:w="109"/>
        <w:gridCol w:w="109"/>
        <w:gridCol w:w="290"/>
        <w:gridCol w:w="290"/>
        <w:gridCol w:w="291"/>
        <w:gridCol w:w="109"/>
        <w:gridCol w:w="109"/>
        <w:gridCol w:w="109"/>
        <w:gridCol w:w="300"/>
        <w:gridCol w:w="300"/>
        <w:gridCol w:w="301"/>
        <w:gridCol w:w="109"/>
        <w:gridCol w:w="109"/>
        <w:gridCol w:w="109"/>
        <w:gridCol w:w="456"/>
        <w:gridCol w:w="456"/>
        <w:gridCol w:w="648"/>
      </w:tblGrid>
      <w:tr>
        <w:trPr/>
        <w:tc>
          <w:tcPr>
            <w:tcW w:w="6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w:t>
            </w:r>
          </w:p>
        </w:tc>
      </w:tr>
    </w:tbl>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the effect that adverse changes in estimates would have on the fair value of the securitization residual certificates held by third-party investor(s) given hypothetical changes in significant unobservable inputs (in thousands):</w:t>
      </w:r>
    </w:p>
    <w:tbl>
      <w:tblPr>
        <w:tblW w:w="4451" w:type="dxa"/>
        <w:jc w:val="left"/>
        <w:tblInd w:w="0" w:type="dxa"/>
        <w:tblCellMar>
          <w:top w:w="28" w:type="dxa"/>
          <w:left w:w="28" w:type="dxa"/>
          <w:bottom w:w="28" w:type="dxa"/>
          <w:right w:w="28" w:type="dxa"/>
        </w:tblCellMar>
      </w:tblPr>
      <w:tblGrid>
        <w:gridCol w:w="1012"/>
        <w:gridCol w:w="886"/>
        <w:gridCol w:w="892"/>
        <w:gridCol w:w="109"/>
        <w:gridCol w:w="109"/>
        <w:gridCol w:w="109"/>
        <w:gridCol w:w="351"/>
        <w:gridCol w:w="727"/>
        <w:gridCol w:w="256"/>
      </w:tblGrid>
      <w:tr>
        <w:trPr/>
        <w:tc>
          <w:tcPr>
            <w:tcW w:w="1012"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assumption: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assumption: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increase of 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increase of 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assumption: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decrease of 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decrease of 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95" w:before="0" w:after="0"/>
        <w:rPr>
          <w:rFonts w:ascii="Times New Roman;sans-serif" w:hAnsi="Times New Roman;sans-serif"/>
          <w:b w:val="false"/>
          <w:i/>
          <w:color w:val="000000"/>
          <w:sz w:val="20"/>
          <w:highlight w:val="white"/>
          <w:u w:val="single"/>
        </w:rPr>
      </w:pPr>
      <w:r>
        <w:rPr>
          <w:rFonts w:ascii="Times New Roman;sans-serif" w:hAnsi="Times New Roman;sans-serif"/>
          <w:b w:val="false"/>
          <w:i/>
          <w:color w:val="000000"/>
          <w:sz w:val="20"/>
          <w:highlight w:val="white"/>
          <w:u w:val="single"/>
        </w:rPr>
        <w:t>Retained Beneficial Interests in Unconsolidated VIEs</w:t>
      </w:r>
    </w:p>
    <w:p>
      <w:pPr>
        <w:pStyle w:val="TextBody"/>
        <w:spacing w:before="0" w:after="0"/>
        <w:rPr/>
      </w:pPr>
      <w:r>
        <w:rPr/>
      </w:r>
    </w:p>
    <w:p>
      <w:pPr>
        <w:pStyle w:val="TextBody"/>
        <w:spacing w:lineRule="auto" w:line="295" w:before="0" w:after="0"/>
        <w:ind w:left="0" w:right="0" w:firstLine="720"/>
        <w:rPr/>
      </w:pPr>
      <w:r>
        <w:rPr>
          <w:rFonts w:ascii="Times New Roman;sans-serif" w:hAnsi="Times New Roman;sans-serif"/>
          <w:b w:val="false"/>
          <w:color w:val="000000"/>
          <w:sz w:val="20"/>
          <w:highlight w:val="white"/>
        </w:rPr>
        <w:t>As of March 31, 2022, the Company held notes receivable and residual trust certificates with an aggregate fair value of $42.7 million in connection with th</w:t>
      </w:r>
      <w:r>
        <w:rPr>
          <w:rFonts w:ascii="Times New Roman;sans-serif" w:hAnsi="Times New Roman;sans-serif"/>
          <w:b w:val="false"/>
          <w:color w:val="000000"/>
          <w:sz w:val="20"/>
        </w:rPr>
        <w:t xml:space="preserve">e 2021-Z1, 2021-Z2 and 2022-X1 securitizations, which are unconsolidated securitizations. </w:t>
      </w:r>
      <w:r>
        <w:rPr>
          <w:rFonts w:ascii="Times New Roman;sans-serif" w:hAnsi="Times New Roman;sans-serif"/>
          <w:b w:val="false"/>
          <w:color w:val="000000"/>
          <w:sz w:val="20"/>
          <w:highlight w:val="white"/>
        </w:rPr>
        <w:t xml:space="preserve">The balances correspond to the 5% economic risk retention the Company is required to maintain as the securitization sponsor. Refer to </w:t>
      </w:r>
      <w:r>
        <w:rPr>
          <w:rFonts w:ascii="Times New Roman;sans-serif" w:hAnsi="Times New Roman;sans-serif"/>
          <w:b w:val="false"/>
          <w:color w:val="000000"/>
          <w:sz w:val="20"/>
        </w:rPr>
        <w:t xml:space="preserve">Note 11. Securitization and Variable Interest Entities </w:t>
      </w:r>
      <w:r>
        <w:rPr>
          <w:rFonts w:ascii="Times New Roman;sans-serif" w:hAnsi="Times New Roman;sans-serif"/>
          <w:b w:val="false"/>
          <w:color w:val="000000"/>
          <w:sz w:val="20"/>
          <w:highlight w:val="white"/>
        </w:rPr>
        <w:t>for a further description of the</w:t>
      </w:r>
      <w:r>
        <w:rPr>
          <w:color w:val="000000"/>
        </w:rPr>
        <w:t xml:space="preserve"> </w:t>
      </w:r>
      <w:r>
        <w:rPr>
          <w:rFonts w:ascii="Times New Roman;sans-serif" w:hAnsi="Times New Roman;sans-serif"/>
          <w:b w:val="false"/>
          <w:color w:val="000000"/>
          <w:sz w:val="20"/>
        </w:rPr>
        <w:t>2021-Z1, 2021-Z2 and 2022-X1securitization trusts.</w:t>
      </w:r>
    </w:p>
    <w:p>
      <w:pPr>
        <w:pStyle w:val="TextBody"/>
        <w:spacing w:before="0" w:after="0"/>
        <w:rPr/>
      </w:pPr>
      <w:r>
        <w:rPr/>
      </w:r>
    </w:p>
    <w:p>
      <w:pPr>
        <w:pStyle w:val="TextBody"/>
        <w:spacing w:lineRule="auto" w:line="295" w:before="0" w:after="0"/>
        <w:ind w:left="0" w:right="0" w:firstLine="720"/>
        <w:rPr/>
      </w:pPr>
      <w:r>
        <w:rPr>
          <w:rFonts w:ascii="Times New Roman;sans-serif" w:hAnsi="Times New Roman;sans-serif"/>
          <w:b w:val="false"/>
          <w:color w:val="000000"/>
          <w:sz w:val="20"/>
          <w:highlight w:val="white"/>
        </w:rPr>
        <w:t xml:space="preserve">These assets are measured at fair value using a discounted cash flow model, and presented within </w:t>
      </w:r>
      <w:r>
        <w:rPr>
          <w:rFonts w:ascii="Times New Roman;sans-serif" w:hAnsi="Times New Roman;sans-serif"/>
          <w:b w:val="false"/>
          <w:color w:val="000000"/>
          <w:sz w:val="20"/>
        </w:rPr>
        <w:t>securities available for sale at fair value</w:t>
      </w:r>
      <w:r>
        <w:rPr>
          <w:color w:val="000000"/>
          <w:highlight w:val="white"/>
        </w:rPr>
        <w:t xml:space="preserve"> </w:t>
      </w:r>
      <w:r>
        <w:rPr>
          <w:rFonts w:ascii="Times New Roman;sans-serif" w:hAnsi="Times New Roman;sans-serif"/>
          <w:b w:val="false"/>
          <w:color w:val="000000"/>
          <w:sz w:val="20"/>
          <w:highlight w:val="white"/>
        </w:rPr>
        <w:t xml:space="preserve">on the interim condensed consolidated balance sheets. Changes in the fair value, other than declines in fair value due to credit recognized as an allowance, are reflected in </w:t>
      </w:r>
      <w:r>
        <w:rPr>
          <w:rFonts w:ascii="Times New Roman;sans-serif" w:hAnsi="Times New Roman;sans-serif"/>
          <w:b w:val="false"/>
          <w:color w:val="000000"/>
          <w:sz w:val="20"/>
        </w:rPr>
        <w:t>other comprehensive income (loss)</w:t>
      </w:r>
      <w:r>
        <w:rPr>
          <w:color w:val="000000"/>
          <w:highlight w:val="white"/>
        </w:rPr>
        <w:t xml:space="preserve"> </w:t>
      </w:r>
      <w:r>
        <w:rPr>
          <w:rFonts w:ascii="Times New Roman;sans-serif" w:hAnsi="Times New Roman;sans-serif"/>
          <w:b w:val="false"/>
          <w:color w:val="000000"/>
          <w:sz w:val="20"/>
          <w:highlight w:val="white"/>
        </w:rPr>
        <w:t xml:space="preserve">on the interim condensed consolidated statements of operations and comprehensive loss. Declines in fair value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95" w:before="0" w:after="0"/>
        <w:rPr/>
      </w:pPr>
      <w:r>
        <w:rPr>
          <w:rFonts w:ascii="Times New Roman;sans-serif" w:hAnsi="Times New Roman;sans-serif"/>
          <w:b w:val="false"/>
          <w:color w:val="000000"/>
          <w:sz w:val="20"/>
          <w:highlight w:val="white"/>
        </w:rPr>
        <w:t xml:space="preserve">due to credit are reflected in </w:t>
      </w:r>
      <w:r>
        <w:rPr>
          <w:rFonts w:ascii="Times New Roman;sans-serif" w:hAnsi="Times New Roman;sans-serif"/>
          <w:b w:val="false"/>
          <w:color w:val="000000"/>
          <w:sz w:val="20"/>
        </w:rPr>
        <w:t>other (expense) income, net</w:t>
      </w:r>
      <w:r>
        <w:rPr>
          <w:color w:val="000000"/>
          <w:highlight w:val="white"/>
        </w:rPr>
        <w:t xml:space="preserve"> </w:t>
      </w:r>
      <w:r>
        <w:rPr>
          <w:rFonts w:ascii="Times New Roman;sans-serif" w:hAnsi="Times New Roman;sans-serif"/>
          <w:b w:val="false"/>
          <w:color w:val="000000"/>
          <w:sz w:val="20"/>
          <w:highlight w:val="white"/>
        </w:rPr>
        <w:t xml:space="preserve">on the interim condensed consolidated statements of operations and comprehensive loss. </w:t>
      </w:r>
    </w:p>
    <w:p>
      <w:pPr>
        <w:pStyle w:val="TextBody"/>
        <w:spacing w:before="0" w:after="0"/>
        <w:ind w:left="0" w:right="0" w:firstLine="720"/>
        <w:rPr/>
      </w:pPr>
      <w:r>
        <w:rPr/>
      </w:r>
    </w:p>
    <w:p>
      <w:pPr>
        <w:pStyle w:val="TextBody"/>
        <w:spacing w:lineRule="auto" w:line="295" w:before="0" w:after="0"/>
        <w:ind w:left="0" w:right="0" w:firstLine="720"/>
        <w:rPr/>
      </w:pPr>
      <w:r>
        <w:rPr>
          <w:rFonts w:ascii="Times New Roman;sans-serif" w:hAnsi="Times New Roman;sans-serif"/>
          <w:b w:val="false"/>
          <w:color w:val="000000"/>
          <w:sz w:val="20"/>
          <w:highlight w:val="white"/>
        </w:rPr>
        <w:t xml:space="preserve">The following table summarizes the activity related to the fair value of the residual trust certificates </w:t>
      </w:r>
      <w:r>
        <w:rPr>
          <w:rFonts w:ascii="Times New Roman;sans-serif" w:hAnsi="Times New Roman;sans-serif"/>
          <w:b w:val="false"/>
          <w:color w:val="000000"/>
          <w:sz w:val="20"/>
        </w:rPr>
        <w:t xml:space="preserve">during the three and nine months ended March 31, 2022 </w:t>
      </w:r>
      <w:r>
        <w:rPr>
          <w:rFonts w:ascii="Times New Roman;sans-serif" w:hAnsi="Times New Roman;sans-serif"/>
          <w:b w:val="false"/>
          <w:color w:val="000000"/>
          <w:sz w:val="20"/>
          <w:highlight w:val="white"/>
        </w:rPr>
        <w:t>(in thousands):</w:t>
      </w:r>
    </w:p>
    <w:tbl>
      <w:tblPr>
        <w:tblW w:w="10205" w:type="dxa"/>
        <w:jc w:val="left"/>
        <w:tblInd w:w="0" w:type="dxa"/>
        <w:tblCellMar>
          <w:top w:w="28" w:type="dxa"/>
          <w:left w:w="28" w:type="dxa"/>
          <w:bottom w:w="28" w:type="dxa"/>
          <w:right w:w="28" w:type="dxa"/>
        </w:tblCellMar>
      </w:tblPr>
      <w:tblGrid>
        <w:gridCol w:w="1513"/>
        <w:gridCol w:w="1312"/>
        <w:gridCol w:w="1316"/>
        <w:gridCol w:w="109"/>
        <w:gridCol w:w="109"/>
        <w:gridCol w:w="109"/>
        <w:gridCol w:w="551"/>
        <w:gridCol w:w="1884"/>
        <w:gridCol w:w="284"/>
        <w:gridCol w:w="109"/>
        <w:gridCol w:w="109"/>
        <w:gridCol w:w="109"/>
        <w:gridCol w:w="522"/>
        <w:gridCol w:w="1784"/>
        <w:gridCol w:w="385"/>
      </w:tblGrid>
      <w:tr>
        <w:trPr/>
        <w:tc>
          <w:tcPr>
            <w:tcW w:w="1513"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4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 2022</w:t>
            </w:r>
          </w:p>
        </w:tc>
      </w:tr>
      <w:tr>
        <w:trPr/>
        <w:tc>
          <w:tcPr>
            <w:tcW w:w="4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25,319 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22,067 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35,762 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(due to payments or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(impairment on)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42,707 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42,707 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quantitative information about the significant unobservable inputs used for our Level 3 fair value measurement of the residual trust certificates as of March 31, 2022:</w:t>
      </w:r>
    </w:p>
    <w:p>
      <w:pPr>
        <w:pStyle w:val="TextBody"/>
        <w:spacing w:before="0" w:after="0"/>
        <w:ind w:left="0" w:right="0" w:firstLine="720"/>
        <w:rPr/>
      </w:pPr>
      <w:r>
        <w:rPr/>
      </w:r>
    </w:p>
    <w:tbl>
      <w:tblPr>
        <w:tblW w:w="5993" w:type="dxa"/>
        <w:jc w:val="left"/>
        <w:tblInd w:w="0" w:type="dxa"/>
        <w:tblCellMar>
          <w:top w:w="28" w:type="dxa"/>
          <w:left w:w="28" w:type="dxa"/>
          <w:bottom w:w="28" w:type="dxa"/>
          <w:right w:w="28" w:type="dxa"/>
        </w:tblCellMar>
      </w:tblPr>
      <w:tblGrid>
        <w:gridCol w:w="609"/>
        <w:gridCol w:w="534"/>
        <w:gridCol w:w="537"/>
        <w:gridCol w:w="109"/>
        <w:gridCol w:w="109"/>
        <w:gridCol w:w="109"/>
        <w:gridCol w:w="290"/>
        <w:gridCol w:w="290"/>
        <w:gridCol w:w="291"/>
        <w:gridCol w:w="109"/>
        <w:gridCol w:w="109"/>
        <w:gridCol w:w="109"/>
        <w:gridCol w:w="300"/>
        <w:gridCol w:w="300"/>
        <w:gridCol w:w="301"/>
        <w:gridCol w:w="109"/>
        <w:gridCol w:w="109"/>
        <w:gridCol w:w="109"/>
        <w:gridCol w:w="456"/>
        <w:gridCol w:w="456"/>
        <w:gridCol w:w="648"/>
      </w:tblGrid>
      <w:tr>
        <w:trPr/>
        <w:tc>
          <w:tcPr>
            <w:tcW w:w="6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3.81%</w:t>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23.45%</w:t>
            </w:r>
          </w:p>
        </w:tc>
      </w:tr>
    </w:tbl>
    <w:p>
      <w:pPr>
        <w:pStyle w:val="TextBody"/>
        <w:spacing w:before="0" w:after="0"/>
        <w:ind w:left="0" w:right="0" w:firstLine="720"/>
        <w:rPr/>
      </w:pPr>
      <w:r>
        <w:rPr/>
      </w:r>
    </w:p>
    <w:p>
      <w:pPr>
        <w:pStyle w:val="TextBody"/>
        <w:spacing w:lineRule="auto" w:line="295"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the effect that adverse changes in estimates would have on the fair value of the securitization residual trust certificates given hypothetical changes in significant unobservable inputs (in thousands):</w:t>
      </w:r>
    </w:p>
    <w:tbl>
      <w:tblPr>
        <w:tblW w:w="4452" w:type="dxa"/>
        <w:jc w:val="left"/>
        <w:tblInd w:w="0" w:type="dxa"/>
        <w:tblCellMar>
          <w:top w:w="28" w:type="dxa"/>
          <w:left w:w="28" w:type="dxa"/>
          <w:bottom w:w="28" w:type="dxa"/>
          <w:right w:w="28" w:type="dxa"/>
        </w:tblCellMar>
      </w:tblPr>
      <w:tblGrid>
        <w:gridCol w:w="1012"/>
        <w:gridCol w:w="886"/>
        <w:gridCol w:w="892"/>
        <w:gridCol w:w="109"/>
        <w:gridCol w:w="109"/>
        <w:gridCol w:w="109"/>
        <w:gridCol w:w="311"/>
        <w:gridCol w:w="797"/>
        <w:gridCol w:w="227"/>
      </w:tblGrid>
      <w:tr>
        <w:trPr/>
        <w:tc>
          <w:tcPr>
            <w:tcW w:w="1012"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assumption: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increase of 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assumption: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increase of 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rate increase of 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assumption: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decrease of 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rate decrease of 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283"/>
        <w:rPr>
          <w:rFonts w:ascii="Times New Roman;sans-serif" w:hAnsi="Times New Roman;sans-serif"/>
          <w:b w:val="false"/>
          <w:i/>
          <w:color w:val="000000"/>
          <w:sz w:val="20"/>
          <w:highlight w:val="white"/>
          <w:u w:val="single"/>
        </w:rPr>
      </w:pPr>
      <w:r>
        <w:rPr>
          <w:rFonts w:ascii="Times New Roman;sans-serif" w:hAnsi="Times New Roman;sans-serif"/>
          <w:b w:val="false"/>
          <w:i/>
          <w:color w:val="000000"/>
          <w:sz w:val="20"/>
          <w:highlight w:val="white"/>
          <w:u w:val="single"/>
        </w:rPr>
        <w:t>Contingent Consideration</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highlight w:val="white"/>
        </w:rPr>
        <w:t xml:space="preserve">Our acquisition of PayBright included consideration transferred and shares held in escrow, contingent upon the achievement of future milestones. We classified the contingent consideration as a liability. The acquisition date fair value of the contingent consideration liability was estimated using a Monte Carlo simulation in which the fair value is equal to the estimated number of shares to be released from escrow, which are determined based on simulated revenue, multiplied by the simulated share price, discounted at the risk-free rate. The liability is remeasured to its fair value at each reporting date, utilizing a Monte Carlo simulation for periods in which actual revenues are unknown, until the contingency is resolved. The change in fair value of the contingent consideration at each reporting date is recognized as a component of </w:t>
      </w:r>
      <w:r>
        <w:rPr>
          <w:rFonts w:ascii="Times New Roman;sans-serif" w:hAnsi="Times New Roman;sans-serif"/>
          <w:b w:val="false"/>
          <w:color w:val="000000"/>
          <w:sz w:val="20"/>
        </w:rPr>
        <w:t>other (expense) income, net</w:t>
      </w:r>
      <w:r>
        <w:rPr>
          <w:color w:val="000000"/>
          <w:highlight w:val="white"/>
        </w:rPr>
        <w:t xml:space="preserve"> </w:t>
      </w:r>
      <w:r>
        <w:rPr>
          <w:rFonts w:ascii="Times New Roman;sans-serif" w:hAnsi="Times New Roman;sans-serif"/>
          <w:b w:val="false"/>
          <w:color w:val="000000"/>
          <w:sz w:val="20"/>
          <w:highlight w:val="white"/>
        </w:rPr>
        <w:t>in the interim condensed consolidated statements of operations and comprehensive loss for the respective period.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fair value of the PayBright contingent consideration during the three and nine months ended March 31, 2022 (in thousands):</w:t>
      </w:r>
    </w:p>
    <w:p>
      <w:pPr>
        <w:pStyle w:val="TextBody"/>
        <w:spacing w:before="0" w:after="0"/>
        <w:ind w:left="0" w:right="0" w:firstLine="720"/>
        <w:rPr/>
      </w:pPr>
      <w:r>
        <w:rPr/>
      </w:r>
    </w:p>
    <w:tbl>
      <w:tblPr>
        <w:tblW w:w="7658" w:type="dxa"/>
        <w:jc w:val="left"/>
        <w:tblInd w:w="0" w:type="dxa"/>
        <w:tblCellMar>
          <w:top w:w="28" w:type="dxa"/>
          <w:left w:w="28" w:type="dxa"/>
          <w:bottom w:w="28" w:type="dxa"/>
          <w:right w:w="28" w:type="dxa"/>
        </w:tblCellMar>
      </w:tblPr>
      <w:tblGrid>
        <w:gridCol w:w="1124"/>
        <w:gridCol w:w="988"/>
        <w:gridCol w:w="992"/>
        <w:gridCol w:w="109"/>
        <w:gridCol w:w="109"/>
        <w:gridCol w:w="109"/>
        <w:gridCol w:w="323"/>
        <w:gridCol w:w="1265"/>
        <w:gridCol w:w="167"/>
        <w:gridCol w:w="109"/>
        <w:gridCol w:w="109"/>
        <w:gridCol w:w="109"/>
        <w:gridCol w:w="306"/>
        <w:gridCol w:w="1200"/>
        <w:gridCol w:w="158"/>
        <w:gridCol w:w="109"/>
        <w:gridCol w:w="109"/>
        <w:gridCol w:w="109"/>
        <w:gridCol w:w="154"/>
      </w:tblGrid>
      <w:tr>
        <w:trPr/>
        <w:tc>
          <w:tcPr>
            <w:tcW w:w="112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253,750 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(136,248)</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 used for our Level 3 fair value measurement of the PayBright contingent consideration are the discount rate, equity volatility, and revenue volatility. Significant increases or decreases in any of the inputs in isolation could result in a significantly lower or higher fair value measurement.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quantitative information about the significant unobservable inputs used for our Level 3 fair value measurement of the contingent consideration as of March 31, 2022:</w:t>
      </w:r>
    </w:p>
    <w:p>
      <w:pPr>
        <w:pStyle w:val="TextBody"/>
        <w:spacing w:before="0" w:after="0"/>
        <w:ind w:left="0" w:right="0" w:firstLine="720"/>
        <w:rPr/>
      </w:pPr>
      <w:r>
        <w:rPr/>
      </w:r>
    </w:p>
    <w:tbl>
      <w:tblPr>
        <w:tblW w:w="5993" w:type="dxa"/>
        <w:jc w:val="left"/>
        <w:tblInd w:w="0" w:type="dxa"/>
        <w:tblCellMar>
          <w:top w:w="28" w:type="dxa"/>
          <w:left w:w="28" w:type="dxa"/>
          <w:bottom w:w="28" w:type="dxa"/>
          <w:right w:w="28" w:type="dxa"/>
        </w:tblCellMar>
      </w:tblPr>
      <w:tblGrid>
        <w:gridCol w:w="609"/>
        <w:gridCol w:w="534"/>
        <w:gridCol w:w="537"/>
        <w:gridCol w:w="109"/>
        <w:gridCol w:w="109"/>
        <w:gridCol w:w="109"/>
        <w:gridCol w:w="290"/>
        <w:gridCol w:w="290"/>
        <w:gridCol w:w="291"/>
        <w:gridCol w:w="109"/>
        <w:gridCol w:w="109"/>
        <w:gridCol w:w="109"/>
        <w:gridCol w:w="300"/>
        <w:gridCol w:w="300"/>
        <w:gridCol w:w="301"/>
        <w:gridCol w:w="109"/>
        <w:gridCol w:w="109"/>
        <w:gridCol w:w="109"/>
        <w:gridCol w:w="456"/>
        <w:gridCol w:w="456"/>
        <w:gridCol w:w="648"/>
      </w:tblGrid>
      <w:tr>
        <w:trPr/>
        <w:tc>
          <w:tcPr>
            <w:tcW w:w="6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volatility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86.00%</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33.00%</w:t>
            </w:r>
          </w:p>
        </w:tc>
      </w:tr>
    </w:tbl>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highlight w:val="white"/>
        </w:rPr>
        <w:t xml:space="preserve">The Kite acquisition included $9.0 million of cash held in escrow, the release of which is determined based on employee retention. The acquisition date fair value of the contingent consideration was estimated using a probability-weighted approach in which the likelihoods of potential employee retention outcomes were applied to the respective payout amounts and discounted to present value. The contingent consideration asset is remeasured to fair value at each reporting date based on the remaining amount held in escrow, passage of time, and any changes in expectations regarding employee retention outcomes until the contingency is resolved. The change in fair value of the contingent consideration asset at each reporting date is recognized as a component of </w:t>
      </w:r>
      <w:r>
        <w:rPr>
          <w:rFonts w:ascii="Times New Roman;sans-serif" w:hAnsi="Times New Roman;sans-serif"/>
          <w:b w:val="false"/>
          <w:color w:val="000000"/>
          <w:sz w:val="20"/>
        </w:rPr>
        <w:t>other (expense) income, net</w:t>
      </w:r>
      <w:r>
        <w:rPr>
          <w:color w:val="000000"/>
          <w:highlight w:val="white"/>
        </w:rPr>
        <w:t xml:space="preserve"> </w:t>
      </w:r>
      <w:r>
        <w:rPr>
          <w:rFonts w:ascii="Times New Roman;sans-serif" w:hAnsi="Times New Roman;sans-serif"/>
          <w:b w:val="false"/>
          <w:color w:val="000000"/>
          <w:sz w:val="20"/>
          <w:highlight w:val="white"/>
        </w:rPr>
        <w:t>in the consolidated statements of operations and comprehensive loss for the respective period. During the three months ended March 31, 2022, the contingency was resolved and the fair value of the contingent consideration asset was reduced to zero. For the three and nine months ended March 31, 2022, the change in fair value of the contingent consideration asset was not material.</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Profit Share Liability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June 30,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interim condensed consolidated balance sheets.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fair value of the profit share liability during the three and nine months ended March 31, 2022 (in thousands):</w:t>
      </w:r>
    </w:p>
    <w:tbl>
      <w:tblPr>
        <w:tblW w:w="9367" w:type="dxa"/>
        <w:jc w:val="left"/>
        <w:tblInd w:w="0" w:type="dxa"/>
        <w:tblCellMar>
          <w:top w:w="28" w:type="dxa"/>
          <w:left w:w="28" w:type="dxa"/>
          <w:bottom w:w="28" w:type="dxa"/>
          <w:right w:w="28" w:type="dxa"/>
        </w:tblCellMar>
      </w:tblPr>
      <w:tblGrid>
        <w:gridCol w:w="1010"/>
        <w:gridCol w:w="888"/>
        <w:gridCol w:w="891"/>
        <w:gridCol w:w="109"/>
        <w:gridCol w:w="109"/>
        <w:gridCol w:w="109"/>
        <w:gridCol w:w="673"/>
        <w:gridCol w:w="1965"/>
        <w:gridCol w:w="347"/>
        <w:gridCol w:w="109"/>
        <w:gridCol w:w="109"/>
        <w:gridCol w:w="109"/>
        <w:gridCol w:w="632"/>
        <w:gridCol w:w="1846"/>
        <w:gridCol w:w="461"/>
      </w:tblGrid>
      <w:tr>
        <w:trPr/>
        <w:tc>
          <w:tcPr>
            <w:tcW w:w="101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 2022</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Facilitation of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3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performance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changes in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3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quantitative information about the significant unobservable inputs used for our Level 3 fair value measurement of the profit sharing liability as of March 31, 2022:</w:t>
      </w:r>
    </w:p>
    <w:tbl>
      <w:tblPr>
        <w:tblW w:w="6142" w:type="dxa"/>
        <w:jc w:val="left"/>
        <w:tblInd w:w="0" w:type="dxa"/>
        <w:tblCellMar>
          <w:top w:w="28" w:type="dxa"/>
          <w:left w:w="28" w:type="dxa"/>
          <w:bottom w:w="28" w:type="dxa"/>
          <w:right w:w="28" w:type="dxa"/>
        </w:tblCellMar>
      </w:tblPr>
      <w:tblGrid>
        <w:gridCol w:w="663"/>
        <w:gridCol w:w="581"/>
        <w:gridCol w:w="585"/>
        <w:gridCol w:w="109"/>
        <w:gridCol w:w="109"/>
        <w:gridCol w:w="109"/>
        <w:gridCol w:w="290"/>
        <w:gridCol w:w="290"/>
        <w:gridCol w:w="291"/>
        <w:gridCol w:w="109"/>
        <w:gridCol w:w="109"/>
        <w:gridCol w:w="109"/>
        <w:gridCol w:w="300"/>
        <w:gridCol w:w="300"/>
        <w:gridCol w:w="301"/>
        <w:gridCol w:w="109"/>
        <w:gridCol w:w="109"/>
        <w:gridCol w:w="109"/>
        <w:gridCol w:w="456"/>
        <w:gridCol w:w="456"/>
        <w:gridCol w:w="648"/>
      </w:tblGrid>
      <w:tr>
        <w:trPr/>
        <w:tc>
          <w:tcPr>
            <w:tcW w:w="663"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r>
      <w:tr>
        <w:trPr/>
        <w:tc>
          <w:tcPr>
            <w:tcW w:w="1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profitability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Financial Assets and Liabilities Not Recorded at Fair Value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hierarchy for financial assets and liabilities not recorded at fair value as of March 31, 2022 (in thousands):</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947"/>
        <w:gridCol w:w="661"/>
        <w:gridCol w:w="633"/>
        <w:gridCol w:w="109"/>
        <w:gridCol w:w="109"/>
        <w:gridCol w:w="109"/>
        <w:gridCol w:w="229"/>
        <w:gridCol w:w="1062"/>
        <w:gridCol w:w="118"/>
        <w:gridCol w:w="109"/>
        <w:gridCol w:w="109"/>
        <w:gridCol w:w="109"/>
        <w:gridCol w:w="211"/>
        <w:gridCol w:w="406"/>
        <w:gridCol w:w="109"/>
        <w:gridCol w:w="109"/>
        <w:gridCol w:w="109"/>
        <w:gridCol w:w="109"/>
        <w:gridCol w:w="211"/>
        <w:gridCol w:w="976"/>
        <w:gridCol w:w="109"/>
        <w:gridCol w:w="109"/>
        <w:gridCol w:w="109"/>
        <w:gridCol w:w="109"/>
        <w:gridCol w:w="211"/>
        <w:gridCol w:w="976"/>
        <w:gridCol w:w="109"/>
        <w:gridCol w:w="109"/>
        <w:gridCol w:w="109"/>
        <w:gridCol w:w="109"/>
        <w:gridCol w:w="251"/>
        <w:gridCol w:w="1163"/>
        <w:gridCol w:w="188"/>
      </w:tblGrid>
      <w:tr>
        <w:trPr/>
        <w:tc>
          <w:tcPr>
            <w:tcW w:w="947"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2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Fair Value</w:t>
            </w:r>
          </w:p>
        </w:tc>
      </w:tr>
      <w:tr>
        <w:trPr/>
        <w:tc>
          <w:tcPr>
            <w:tcW w:w="22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2,343,385 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2,410,903 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2,358,810 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2,426,328 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Convertible senior notes, net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1,705,624 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1,213,020 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issued by securitization trusts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1,447,568 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1,406,390 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910,806 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910,847 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4,063,998 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3,530,257 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The estimated fair value of the convertible senior notes is determined based on a market approach, using the estimated or actual bids and offers of the notes in an over-the-counter market on the last business day of the period.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hierarchy for financial assets and liabilities not recorded at fair value as of June 30, 2021 (in thousands):</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991"/>
        <w:gridCol w:w="707"/>
        <w:gridCol w:w="681"/>
        <w:gridCol w:w="109"/>
        <w:gridCol w:w="109"/>
        <w:gridCol w:w="109"/>
        <w:gridCol w:w="230"/>
        <w:gridCol w:w="1065"/>
        <w:gridCol w:w="118"/>
        <w:gridCol w:w="109"/>
        <w:gridCol w:w="109"/>
        <w:gridCol w:w="109"/>
        <w:gridCol w:w="211"/>
        <w:gridCol w:w="406"/>
        <w:gridCol w:w="109"/>
        <w:gridCol w:w="109"/>
        <w:gridCol w:w="109"/>
        <w:gridCol w:w="109"/>
        <w:gridCol w:w="211"/>
        <w:gridCol w:w="826"/>
        <w:gridCol w:w="109"/>
        <w:gridCol w:w="109"/>
        <w:gridCol w:w="109"/>
        <w:gridCol w:w="109"/>
        <w:gridCol w:w="211"/>
        <w:gridCol w:w="976"/>
        <w:gridCol w:w="109"/>
        <w:gridCol w:w="109"/>
        <w:gridCol w:w="109"/>
        <w:gridCol w:w="109"/>
        <w:gridCol w:w="252"/>
        <w:gridCol w:w="1170"/>
        <w:gridCol w:w="188"/>
      </w:tblGrid>
      <w:tr>
        <w:trPr/>
        <w:tc>
          <w:tcPr>
            <w:tcW w:w="991"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Fair Value</w:t>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1,904,560 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1,883,364 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91,575 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171,250 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171,250 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2,180,415 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2,159,219 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third-party loan owners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50,079 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issued by securitization trusts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1,176,673 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1,184,663 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689,356 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689,356 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2,138,119 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2,146,109 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14.   Redeemable Convertible Preferred Stock and Stockholders’ Equity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Redeemable Convertible Preferred Stock</w:t>
      </w:r>
    </w:p>
    <w:p>
      <w:pPr>
        <w:pStyle w:val="TextBody"/>
        <w:spacing w:before="0" w:after="0"/>
        <w:rPr/>
      </w:pPr>
      <w:r>
        <w:rPr/>
      </w:r>
    </w:p>
    <w:p>
      <w:pPr>
        <w:pStyle w:val="TextBody"/>
        <w:spacing w:lineRule="auto" w:line="29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2020, we issued 21,836,687 shares of Series G redeemable convertible preferred stock at $19.93 per share for an aggregate purchase amount of $434.9 million. These shares had a liquidation preference of $435.1 million. As part of this equity financing round, the convertible notes converted into 4,444,321 shares of Series G-1 redeemable convertible preferred stock. These shares had a liquidation preference of $75.3 million prior to conversion.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12, 2021, prior to our IPO, all outstanding shares of redeemable convertible preferred stock were converted into shares of our common stock on a one-to-one basis and their carrying value of $1,327.3 million was reclassified into stockholders' deficit. Following this conversion, we amended and restated our certificate of incorporation to effect a reclassification of each share of our outstanding common stock into ½ share of Class A common stock and ½ share of Class B common stock, with cash paid for fractional shares. As of March 31, 2022 and June 30, 2021, there were no shares of redeemable convertible preferred stock issued and outstanding.</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had shares of common stock reserved for issuance as follows:</w:t>
      </w:r>
    </w:p>
    <w:tbl>
      <w:tblPr>
        <w:tblW w:w="7899" w:type="dxa"/>
        <w:jc w:val="center"/>
        <w:tblInd w:w="0" w:type="dxa"/>
        <w:tblCellMar>
          <w:top w:w="28" w:type="dxa"/>
          <w:left w:w="28" w:type="dxa"/>
          <w:bottom w:w="28" w:type="dxa"/>
          <w:right w:w="28" w:type="dxa"/>
        </w:tblCellMar>
      </w:tblPr>
      <w:tblGrid>
        <w:gridCol w:w="1505"/>
        <w:gridCol w:w="1323"/>
        <w:gridCol w:w="1327"/>
        <w:gridCol w:w="109"/>
        <w:gridCol w:w="109"/>
        <w:gridCol w:w="109"/>
        <w:gridCol w:w="540"/>
        <w:gridCol w:w="541"/>
        <w:gridCol w:w="431"/>
        <w:gridCol w:w="109"/>
        <w:gridCol w:w="109"/>
        <w:gridCol w:w="109"/>
        <w:gridCol w:w="540"/>
        <w:gridCol w:w="541"/>
        <w:gridCol w:w="497"/>
      </w:tblGrid>
      <w:tr>
        <w:trPr/>
        <w:tc>
          <w:tcPr>
            <w:tcW w:w="1505"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8" w:type="dxa"/>
            <w:gridSpan w:val="3"/>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8" w:type="dxa"/>
            <w:gridSpan w:val="3"/>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outstanding under stock option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46,442,672 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58,417,514 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for future grant under stock option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39,309,914 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29,793,755 </w:t>
            </w:r>
          </w:p>
        </w:tc>
        <w:tc>
          <w:tcPr>
            <w:tcW w:w="4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85,752,586 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88,211,269 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warrants are included as a component of additional paid in capital within the consolidated balance sheets.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we granted warrants to purchase 22,000,000 shares of common stock in connection with a commercial agreement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with the following assumptions: a dividend yield of zero; years to maturity of 3.5 and 7.5 years, respectively; volatility of 45%; and a risk-free rate of 0.93% and 1.47%, respectively. In connection with the portion of these warrants that were fully vested upon execution, we recognized a commercial agreement asset of $133.5 million as of December 31, 2021. Refer to Note 6. Balance Sheet Components for more information on the asset and related amortization during the period. The remaining grant-date fair value of the warrants will be recognized within our condensed consolidated statements of operations and comprehensive loss as a component of sales and marketing expense as the warrants vest, based upon Amazon’s satisfaction of the vesting conditions. During the three and nine months ended March 31, 2022, a total of $102.4 million and $173.0 million, respectively, was recognized within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which included $10.2 million and $16.0 million in amortization expense of the commercial agreement asset in the three and nine months ended March 31, 2022, respectively, and $92.2 million and $157.0 million in expense based upon the grant-date fair value for the warrant shares that vested during the three and nine months ended March 31, 2022, respectively.</w: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15.   Equity Incentive Plans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2012 Stock Plan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our Amended and Restated 2012 Stock Plan (the “Plan”), we may grant incentive and nonqualified stock options, restricted stock, and restricted stock units (“RSUs”) to employees, officers, directors, and consultants. As of March 31, 2022, the maximum number of shares of common stock which may be issued under the Plan is 118,374,202 Class A shares. As of March 31, 2022 and June 30, 2021, there were 39,309,914 and 29,793,755 shares of Class A common stock, respectively, available for future grants under the Plan.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stock option activity for the nine months ended March 31, 2022:</w:t>
      </w:r>
    </w:p>
    <w:tbl>
      <w:tblPr>
        <w:tblW w:w="10205" w:type="dxa"/>
        <w:jc w:val="center"/>
        <w:tblInd w:w="0" w:type="dxa"/>
        <w:tblCellMar>
          <w:top w:w="28" w:type="dxa"/>
          <w:left w:w="28" w:type="dxa"/>
          <w:bottom w:w="28" w:type="dxa"/>
          <w:right w:w="28" w:type="dxa"/>
        </w:tblCellMar>
      </w:tblPr>
      <w:tblGrid>
        <w:gridCol w:w="1000"/>
        <w:gridCol w:w="694"/>
        <w:gridCol w:w="699"/>
        <w:gridCol w:w="109"/>
        <w:gridCol w:w="109"/>
        <w:gridCol w:w="109"/>
        <w:gridCol w:w="554"/>
        <w:gridCol w:w="556"/>
        <w:gridCol w:w="326"/>
        <w:gridCol w:w="109"/>
        <w:gridCol w:w="109"/>
        <w:gridCol w:w="109"/>
        <w:gridCol w:w="310"/>
        <w:gridCol w:w="906"/>
        <w:gridCol w:w="160"/>
        <w:gridCol w:w="109"/>
        <w:gridCol w:w="109"/>
        <w:gridCol w:w="109"/>
        <w:gridCol w:w="645"/>
        <w:gridCol w:w="645"/>
        <w:gridCol w:w="647"/>
        <w:gridCol w:w="109"/>
        <w:gridCol w:w="109"/>
        <w:gridCol w:w="109"/>
        <w:gridCol w:w="309"/>
        <w:gridCol w:w="1212"/>
        <w:gridCol w:w="234"/>
      </w:tblGrid>
      <w:tr>
        <w:trPr/>
        <w:tc>
          <w:tcPr>
            <w:tcW w:w="100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2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thousands)</w:t>
            </w:r>
          </w:p>
        </w:tc>
      </w:tr>
      <w:tr>
        <w:trPr/>
        <w:tc>
          <w:tcPr>
            <w:tcW w:w="23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31,662,750 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164,748 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(12,986,539)</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(1,193,026)</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17,647,933 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11,118,698 </w:t>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442,482 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Vested and exercisable, and expected to vest thereafter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17,195,165 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586,036 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Options expected to vest reflect the application of an estimated forfeiture rate.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When an employee exercises stock options, we collect and remit taxes on the employee’s behalf to applicable taxing authorities. As of March 31, 2022 and June 30, 2021, the balance of equity exercise taxes payable was $19.9 million and $23.7 million, respectively, which is included in accounts payable on the interim condensed consolidated balance sheets.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 Options with Early Exercise Rights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Plan, for certain stock options issued prior to the IPO, we allow for early exercise of the options while retaining the right to repurchase any unvested options upon termination of employment at the original exercise price. The proceeds received from early exercise of stock options have been recorded within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on the interim condensed consolidated balance sheets. As of March 31, 2022, the early exercise liability totaled $0.5 million.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Value Creation Award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November 2020, 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Company's Board of Directors approved a long-term, multi-year performance-based stock option grant providing Mr. Levchin with the opportunity to earn the right to purchase up to 12,500,000 shares of the Company's Class A common stock (the “Value Creation Award”). We recognize stock-based compensation on these awards based on the grant date fair value using an accelerated attribution method over the requisite service period, and only if performance-based conditions are considered probable of being satisfied. During the three and nine months ended March 31, 2022, we incurred stock-based compensation expense of $29.0 million and $113.5 million, respectively, associated with the Value Creation Award as a component of general and administrative expense within the interim condensed consolidated statements of operations and comprehensive loss. For both the three and nine months ending March 31, 2021, we incurred stock-based compensation expense of $38.5 million.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unrecognized compensation expense related to the Value Creation Award was approximately $120.5 million. The period over which such compensation expense will be recognized is approximately 3.8 years.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RSUs granted after IPO are subject to a service-based vesting condition. We record stock-based compensation expense for service-based RSUs on a straight-line basis over the requisite service period, which is generally one to four years.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March 31, 2022, we awarded 8,530,480 RSUs to certain employees under the Plan.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RSU activity during the nine months ended March 31, 2022:</w:t>
      </w:r>
    </w:p>
    <w:tbl>
      <w:tblPr>
        <w:tblW w:w="8375" w:type="dxa"/>
        <w:jc w:val="center"/>
        <w:tblInd w:w="0" w:type="dxa"/>
        <w:tblCellMar>
          <w:top w:w="28" w:type="dxa"/>
          <w:left w:w="28" w:type="dxa"/>
          <w:bottom w:w="28" w:type="dxa"/>
          <w:right w:w="28" w:type="dxa"/>
        </w:tblCellMar>
      </w:tblPr>
      <w:tblGrid>
        <w:gridCol w:w="1016"/>
        <w:gridCol w:w="892"/>
        <w:gridCol w:w="897"/>
        <w:gridCol w:w="109"/>
        <w:gridCol w:w="109"/>
        <w:gridCol w:w="109"/>
        <w:gridCol w:w="540"/>
        <w:gridCol w:w="541"/>
        <w:gridCol w:w="506"/>
        <w:gridCol w:w="109"/>
        <w:gridCol w:w="109"/>
        <w:gridCol w:w="109"/>
        <w:gridCol w:w="716"/>
        <w:gridCol w:w="2091"/>
        <w:gridCol w:w="522"/>
      </w:tblGrid>
      <w:tr>
        <w:trPr/>
        <w:tc>
          <w:tcPr>
            <w:tcW w:w="101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June 30,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14,242,111 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8,530,480 </w:t>
            </w:r>
          </w:p>
        </w:tc>
        <w:tc>
          <w:tcPr>
            <w:tcW w:w="5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58.29 </w:t>
            </w:r>
          </w:p>
        </w:tc>
        <w:tc>
          <w:tcPr>
            <w:tcW w:w="5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(4,780,097)</w:t>
            </w:r>
          </w:p>
        </w:tc>
        <w:tc>
          <w:tcPr>
            <w:tcW w:w="5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5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(1,640,873)</w:t>
            </w:r>
          </w:p>
        </w:tc>
        <w:tc>
          <w:tcPr>
            <w:tcW w:w="5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5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16,351,621 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unrecognized compensation expense related to unvested RSUs was approximately $632.9 million. The weighted-average period over which such compensation expense will be recognized is approximately 2.2 years.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18, 2020, our Board of Directors adopted and approved the 2020 Employee Stock Purchase Plan (“ESPP”). A total of 9.1 million shares of Class A common stock were reserved and available for issuance under the ESPP as of March 31, 2022. The ESPP provides for six-month offering periods beginning December 1 and June 1 of each year. The first offering period began on December 1, 2021.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on the last day of the offering period (the purchase date). We use the Black-Scholes-Merton option pricing model to measure the fair value of the purchase rights issued under the ESPP. We record stock-based compensation expense on a straight-line basis over each six-month offering period, the requisite service period of the award.</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and classification of stock-based compensation (in thousands):</w:t>
      </w:r>
    </w:p>
    <w:tbl>
      <w:tblPr>
        <w:tblW w:w="10205" w:type="dxa"/>
        <w:jc w:val="center"/>
        <w:tblInd w:w="0" w:type="dxa"/>
        <w:tblCellMar>
          <w:top w:w="28" w:type="dxa"/>
          <w:left w:w="28" w:type="dxa"/>
          <w:bottom w:w="28" w:type="dxa"/>
          <w:right w:w="28" w:type="dxa"/>
        </w:tblCellMar>
      </w:tblPr>
      <w:tblGrid>
        <w:gridCol w:w="1547"/>
        <w:gridCol w:w="1358"/>
        <w:gridCol w:w="136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47"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in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into 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200,155 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1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Returnly on May 1, 2021, we issued 304,364 shares of our Class A common stock, which are held in escrow. Because the future payment of the escrowed shares is contingent on continued employment of certain employees, the arrangement represents stock-based compensation in the post combination period. The grant-date fair value was estimated based on the value of the shares at the date of closing. The escrowed shares have a requisite service period of two years and contain a performance-based vesting condition (i.e., the achievement of certain revenue targets). We record stock-based compensation expense on a straight-line basis for each tranche over the requisite service period, as long as the performance-based conditions are considered probable of being satisfied.</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highlight w:val="white"/>
        </w:rPr>
        <w:t xml:space="preserve">We estimate the grant date fair value based on the probability of achievement of the revenue targets at each </w:t>
      </w:r>
      <w:r>
        <w:rPr>
          <w:rFonts w:ascii="Times New Roman;sans-serif" w:hAnsi="Times New Roman;sans-serif"/>
          <w:b w:val="false"/>
          <w:color w:val="000000"/>
          <w:sz w:val="20"/>
        </w:rPr>
        <w:t>reporting period.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March 31, 2022, we recorded income tax expense (benefit) of $0.3 million and $0.7 million, respectively, which was primarily attributable to various U.S state and foreign income taxes and the tax amortization of certain intangibles. For three and nine months ended March 31, 2021, we recorded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(benefit) of $(0.1) million and $0.1 million, respectively, which was primarily attributable to the effects of foreign income taxes and various U.S. state income taxes.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we continue to recognize a full valuation allowance against our U.S. federal and state as well as the majority of our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the Company for the prior three fiscal years. The presence of a three-year cumulative loss limits the ability to consider other subjective evidence, such as our expectations of future taxable income and projections for growth.</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17.   Net Loss per Share Attributable to Common Stockholders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12, 2021, we amended and restated our certificate of incorporation to effect a reclassification of each share of our outstanding common stock into ½ share of Class A common stock and ½ share of Class B common stock, with cash paid for fractional shares. Therefore, we have two classes of common stock: Class A common stock and Class B common stock. The rights, including the dividends and distributions, of the holders of our Class A and Class B common stock are identical, except with respect to voting. Additionally, the conversion of all outstanding shares of redeemable convertible preferred stock into shares of our common stock occurred immediately prior to the reclassification.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basic and diluted net loss per share attributable to common stockholders for Class A and Class B common stock (in thousands, except share and per share data):</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1369"/>
        <w:gridCol w:w="1154"/>
        <w:gridCol w:w="1159"/>
        <w:gridCol w:w="109"/>
        <w:gridCol w:w="109"/>
        <w:gridCol w:w="109"/>
        <w:gridCol w:w="264"/>
        <w:gridCol w:w="926"/>
        <w:gridCol w:w="121"/>
        <w:gridCol w:w="121"/>
        <w:gridCol w:w="121"/>
        <w:gridCol w:w="121"/>
        <w:gridCol w:w="246"/>
        <w:gridCol w:w="898"/>
        <w:gridCol w:w="121"/>
        <w:gridCol w:w="109"/>
        <w:gridCol w:w="109"/>
        <w:gridCol w:w="109"/>
        <w:gridCol w:w="237"/>
        <w:gridCol w:w="949"/>
        <w:gridCol w:w="111"/>
        <w:gridCol w:w="111"/>
        <w:gridCol w:w="111"/>
        <w:gridCol w:w="111"/>
        <w:gridCol w:w="220"/>
        <w:gridCol w:w="915"/>
        <w:gridCol w:w="165"/>
      </w:tblGrid>
      <w:tr>
        <w:trPr/>
        <w:tc>
          <w:tcPr>
            <w:tcW w:w="1369"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3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 2022</w:t>
            </w:r>
          </w:p>
        </w:tc>
      </w:tr>
      <w:tr>
        <w:trPr/>
        <w:tc>
          <w:tcPr>
            <w:tcW w:w="3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r>
      <w:tr>
        <w:trPr/>
        <w:tc>
          <w:tcPr>
            <w:tcW w:w="36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(43,061)</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(389,424)</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(131,597)</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(389,424)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(131,597)</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3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3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3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3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3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3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224,980,598 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60,661,222 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208,957,734 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70,612,281 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224,980,598 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60,661,222 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208,957,734 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70,612,281 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224,980,598 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60,661,222 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208,957,734 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70,612,281 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224,980,598 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60,661,222 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208,957,734 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70,612,281 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1376"/>
        <w:gridCol w:w="1192"/>
        <w:gridCol w:w="1205"/>
        <w:gridCol w:w="109"/>
        <w:gridCol w:w="109"/>
        <w:gridCol w:w="109"/>
        <w:gridCol w:w="227"/>
        <w:gridCol w:w="964"/>
        <w:gridCol w:w="112"/>
        <w:gridCol w:w="112"/>
        <w:gridCol w:w="112"/>
        <w:gridCol w:w="112"/>
        <w:gridCol w:w="227"/>
        <w:gridCol w:w="964"/>
        <w:gridCol w:w="112"/>
        <w:gridCol w:w="109"/>
        <w:gridCol w:w="109"/>
        <w:gridCol w:w="109"/>
        <w:gridCol w:w="220"/>
        <w:gridCol w:w="895"/>
        <w:gridCol w:w="110"/>
        <w:gridCol w:w="110"/>
        <w:gridCol w:w="110"/>
        <w:gridCol w:w="110"/>
        <w:gridCol w:w="220"/>
        <w:gridCol w:w="895"/>
        <w:gridCol w:w="166"/>
      </w:tblGrid>
      <w:tr>
        <w:trPr/>
        <w:tc>
          <w:tcPr>
            <w:tcW w:w="1376"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 2021</w:t>
            </w:r>
          </w:p>
        </w:tc>
      </w:tr>
      <w:tr>
        <w:trPr/>
        <w:tc>
          <w:tcPr>
            <w:tcW w:w="3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(150,953)</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(136,098)</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(152,148)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(136,098)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(152,148)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(150,953)</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(136,098)</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(152,148)</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(165,459)</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return to preferred stockholders on repurchase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(15,677)</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conversion of convertible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convertible debt prior to conversion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(136,098)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(165,526)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122,691,770 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110,617,820 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58,520,980 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63,640,528 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122,691,770 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110,617,820 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58,520,980 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63,640,528 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122,691,770 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110,617,820 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58,520,980 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63,640,528 </w:t>
            </w:r>
          </w:p>
        </w:tc>
        <w:tc>
          <w:tcPr>
            <w:tcW w:w="16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attributable to convertible debt prior to conversion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583,925 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583,925 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122,691,770 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110,617,820 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59,104,905 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64,224,453 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common stock equivalents, presented based on amounts outstanding, were excluded from the calculation of diluted net loss per share attributable to common stockholders because their inclusion would have been anti-dilutive:</w:t>
      </w:r>
    </w:p>
    <w:tbl>
      <w:tblPr>
        <w:tblW w:w="7450" w:type="dxa"/>
        <w:jc w:val="left"/>
        <w:tblInd w:w="0" w:type="dxa"/>
        <w:tblCellMar>
          <w:top w:w="28" w:type="dxa"/>
          <w:left w:w="28" w:type="dxa"/>
          <w:bottom w:w="28" w:type="dxa"/>
          <w:right w:w="28" w:type="dxa"/>
        </w:tblCellMar>
      </w:tblPr>
      <w:tblGrid>
        <w:gridCol w:w="1505"/>
        <w:gridCol w:w="1319"/>
        <w:gridCol w:w="1330"/>
        <w:gridCol w:w="109"/>
        <w:gridCol w:w="109"/>
        <w:gridCol w:w="109"/>
        <w:gridCol w:w="540"/>
        <w:gridCol w:w="541"/>
        <w:gridCol w:w="156"/>
        <w:gridCol w:w="146"/>
        <w:gridCol w:w="146"/>
        <w:gridCol w:w="146"/>
        <w:gridCol w:w="540"/>
        <w:gridCol w:w="541"/>
        <w:gridCol w:w="213"/>
      </w:tblGrid>
      <w:tr>
        <w:trPr/>
        <w:tc>
          <w:tcPr>
            <w:tcW w:w="1505"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including early exercise of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17,195,165 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33,342,527 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16,351,621 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13,975,457 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5,909,896 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294" w:type="dxa"/>
            <w:gridSpan w:val="3"/>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39,617,982 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47,667,984 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18.   Segments and Geographical Information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through a single operating segment and, therefore, one reportable segment.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Revenue by geography is based on the billing addresses of the borrower or the location of the merchant’s national headquarters. The following table sets forth revenue by geographic area (in thousands):</w:t>
      </w:r>
    </w:p>
    <w:tbl>
      <w:tblPr>
        <w:tblW w:w="7136" w:type="dxa"/>
        <w:jc w:val="center"/>
        <w:tblInd w:w="0" w:type="dxa"/>
        <w:tblCellMar>
          <w:top w:w="28" w:type="dxa"/>
          <w:left w:w="28" w:type="dxa"/>
          <w:bottom w:w="28" w:type="dxa"/>
          <w:right w:w="28" w:type="dxa"/>
        </w:tblCellMar>
      </w:tblPr>
      <w:tblGrid>
        <w:gridCol w:w="435"/>
        <w:gridCol w:w="381"/>
        <w:gridCol w:w="38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long-lived assets, consisting of property, equipment and software, net and operating lease right-of-use assets, by geographic area (in thousands):</w:t>
      </w:r>
    </w:p>
    <w:tbl>
      <w:tblPr>
        <w:tblW w:w="4341" w:type="dxa"/>
        <w:jc w:val="left"/>
        <w:tblInd w:w="0" w:type="dxa"/>
        <w:tblCellMar>
          <w:top w:w="28" w:type="dxa"/>
          <w:left w:w="28" w:type="dxa"/>
          <w:bottom w:w="28" w:type="dxa"/>
          <w:right w:w="28" w:type="dxa"/>
        </w:tblCellMar>
      </w:tblPr>
      <w:tblGrid>
        <w:gridCol w:w="435"/>
        <w:gridCol w:w="381"/>
        <w:gridCol w:w="383"/>
        <w:gridCol w:w="109"/>
        <w:gridCol w:w="109"/>
        <w:gridCol w:w="109"/>
        <w:gridCol w:w="237"/>
        <w:gridCol w:w="930"/>
        <w:gridCol w:w="122"/>
        <w:gridCol w:w="109"/>
        <w:gridCol w:w="109"/>
        <w:gridCol w:w="109"/>
        <w:gridCol w:w="212"/>
        <w:gridCol w:w="832"/>
        <w:gridCol w:w="155"/>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190,659 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194,049 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120,327 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Fast Transaction</w:t>
      </w:r>
    </w:p>
    <w:p>
      <w:pPr>
        <w:pStyle w:val="TextBody"/>
        <w:spacing w:before="0" w:after="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19, 2022, Affirm completed the closing of the transaction contemplated by a Release and Waiver Agreement entered into with Fast AF, Inc., (“Fast”) relating to the hiring of certain of its employees or service providers and an option to acquire certain of its assets. The purchase price was comprised of (i) $10.0 million in cash and (ii) forgiveness of a $15.0 million senior secured note issued to Fast in April 2022 prior to the closing. Due to the timing of the transaction, the initial accounting for the transaction is incomplete. As a result, the Company is not able to disclose certain information relating to the transaction, including the preliminary fair value of the assets acquired.</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300"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jc w:val="center"/>
        <w:rPr/>
      </w:pPr>
      <w:r>
        <w:rPr/>
      </w:r>
    </w:p>
    <w:p>
      <w:pPr>
        <w:pStyle w:val="TextBody"/>
        <w:spacing w:lineRule="auto" w:line="288" w:before="0" w:after="200"/>
        <w:ind w:left="0" w:right="0" w:firstLine="720"/>
        <w:rPr/>
      </w:pPr>
      <w:r>
        <w:rPr>
          <w:rFonts w:ascii="Times New Roman;sans-serif" w:hAnsi="Times New Roman;sans-serif"/>
          <w:b w:val="false"/>
          <w:i/>
          <w:color w:val="000000"/>
          <w:sz w:val="20"/>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2021 included in our Annual Report on Form 10-K (our “Annual Report”).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r>
        <w:rPr>
          <w:color w:val="000000"/>
          <w:highlight w:val="white"/>
        </w:rPr>
        <w:t xml:space="preserve"> </w:t>
      </w:r>
      <w:r>
        <w:rPr>
          <w:rFonts w:ascii="Times New Roman;sans-serif" w:hAnsi="Times New Roman;sans-serif"/>
          <w:b w:val="false"/>
          <w:i/>
          <w:color w:val="000000"/>
          <w:sz w:val="20"/>
          <w:highlight w:val="white"/>
        </w:rPr>
        <w:t>For the periods presented, references to originating bank partners are to Cross River Bank and Celtic Bank.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rPr/>
      </w:pPr>
      <w:r>
        <w:rPr/>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building the next generation platform for digital and mobile-first commerce. We believe that by using modern technology, the very best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point-of-sale solutions allow consumers to pay for purchases in fixed amounts without deferred interest, hidden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manage payments, open a high-yield savings account, and access a personalized marketplace.</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thereby getting to risk scoring and pricing faster, more efficiently, and with a higher degree of confidence.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achieved significant growth in recent periods. Our total revenue, net was approximately $354.8 million and $985.2 million for the three and nine months ended March 31, 2022, respectively, and $230.7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million and $608.7 million for the three and nine months ended March 31, 2021, respectively. We incurred net losses of $54.7 million and $521.0 million for the three and nine months ended March 31, 2022, respectively, and $287.1 million and $317.6 million for the three and nine months ended March 31, 2021, respectively.</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combination of our differentiated product offerings, efficient go-to-market strategy, and strong monetization engine has resulted in fast growth.</w:t>
      </w:r>
    </w:p>
    <w:p>
      <w:pPr>
        <w:pStyle w:val="TextBody"/>
        <w:spacing w:lineRule="auto" w:line="288" w:before="0" w:after="200"/>
        <w:ind w:left="0" w:right="0" w:hanging="360"/>
        <w:rPr/>
      </w:pPr>
      <w:r>
        <w:rPr>
          <w:color w:val="000000"/>
        </w:rPr>
        <w:t>•</w:t>
      </w:r>
      <w:r>
        <w:rPr>
          <w:rFonts w:ascii="Times New Roman;sans-serif" w:hAnsi="Times New Roman;sans-serif"/>
          <w:b/>
          <w:i/>
          <w:color w:val="000000"/>
          <w:sz w:val="20"/>
        </w:rPr>
        <w:t>Rapid GMV growth.</w:t>
      </w:r>
      <w:r>
        <w:rPr>
          <w:color w:val="000000"/>
        </w:rPr>
        <w:t>  </w:t>
      </w:r>
      <w:r>
        <w:rPr>
          <w:rFonts w:ascii="Times New Roman;sans-serif" w:hAnsi="Times New Roman;sans-serif"/>
          <w:b w:val="false"/>
          <w:color w:val="000000"/>
          <w:sz w:val="20"/>
        </w:rPr>
        <w:t>We grew our Gross Merchandise Volume (“GMV”) by approximately 73% period-over-period to $3.9 billion during the three months ended March 31, 2022 from $2.3 billion during the three months ended March 31, 2021. During the nine months ended March 31, 2022, GMV was $11.1 billion, which represented 91% growth over the nine months ended March 31, 2021.</w:t>
      </w:r>
    </w:p>
    <w:p>
      <w:pPr>
        <w:pStyle w:val="TextBody"/>
        <w:spacing w:lineRule="auto" w:line="288" w:before="0" w:after="200"/>
        <w:ind w:left="0" w:right="0" w:hanging="360"/>
        <w:rPr/>
      </w:pPr>
      <w:r>
        <w:rPr>
          <w:color w:val="000000"/>
        </w:rPr>
        <w:t>•</w:t>
      </w:r>
      <w:r>
        <w:rPr>
          <w:rFonts w:ascii="Times New Roman;sans-serif" w:hAnsi="Times New Roman;sans-serif"/>
          <w:b/>
          <w:i/>
          <w:color w:val="000000"/>
          <w:sz w:val="20"/>
        </w:rPr>
        <w:t>Increased consumer engagement.</w:t>
      </w:r>
      <w:r>
        <w:rPr>
          <w:color w:val="000000"/>
        </w:rPr>
        <w:t>  </w:t>
      </w:r>
      <w:r>
        <w:rPr>
          <w:rFonts w:ascii="Times New Roman;sans-serif" w:hAnsi="Times New Roman;sans-serif"/>
          <w:b w:val="false"/>
          <w:color w:val="000000"/>
          <w:sz w:val="20"/>
        </w:rPr>
        <w:t>The number of active consumers on our platform grew by 7.4 million consumers from March 31, 2021 to March 31, 2022, an increase of 137%, to a total of 12.7 million.</w:t>
      </w:r>
    </w:p>
    <w:p>
      <w:pPr>
        <w:pStyle w:val="TextBody"/>
        <w:spacing w:lineRule="auto" w:line="288" w:before="0" w:after="200"/>
        <w:ind w:left="0" w:right="0" w:hanging="360"/>
        <w:rPr/>
      </w:pPr>
      <w:r>
        <w:rPr>
          <w:color w:val="000000"/>
        </w:rPr>
        <w:t>•</w:t>
      </w:r>
      <w:r>
        <w:rPr>
          <w:rFonts w:ascii="Times New Roman;sans-serif" w:hAnsi="Times New Roman;sans-serif"/>
          <w:b/>
          <w:i/>
          <w:color w:val="000000"/>
          <w:sz w:val="20"/>
        </w:rPr>
        <w:t>Expanded merchant network.</w:t>
      </w:r>
      <w:r>
        <w:rPr>
          <w:color w:val="000000"/>
        </w:rPr>
        <w:t>  </w:t>
      </w:r>
      <w:r>
        <w:rPr>
          <w:rFonts w:ascii="Times New Roman;sans-serif" w:hAnsi="Times New Roman;sans-serif"/>
          <w:b w:val="false"/>
          <w:color w:val="000000"/>
          <w:sz w:val="20"/>
        </w:rPr>
        <w:t xml:space="preserve">We have also continued to scale the breadth and reach of our platform. From March 31, 2021 to March 31, 2022, our merchant base expanded from 11,513 to 207,049 active merchants due primarily to continued expansion to merchants related to the Shopify partnership.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designed to scale efficiently. Our partnerships with banks and other funding relationships have allowed us to remain equity capital efficient. Since July 1, 2016, we have processed approximately $28.6 billion of GMV on our platform. As of March 31, 2022, we had over $9.0 billion in funding capacity from a diverse set of capital partners, including through our warehouse facilities, securitization trusts, and forward flow arrangements, an increase of $2.5 billion from $6.5 billion as of June 30, 2021.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Through the diversity of these funding relationships, the equity capital required to build our total platform portfolio has declined from approximately 4% of the total platform portfolio as of June 30, 2021, to approximately 2% as of March 31, 2022. This metric measures the equity intensity of our business or the amount of capital used in relation to the scale of our enterprise. We define our total platform portfolio as the unpaid principal balance outstanding of all loans facilitated through our platform as of the balance sheet date, including both those loans held for investment and those loans owned by third-parties. This amount totaled $6.7 billion and $4.7 billion as of March 31, 2022 and June 30, 2021, respectively. Additionally, we define the equity capital required as the balance of loans held for investment plus loans held for sale less funding debt and notes issued by securitization trusts, per our interim condensed consolidated balance sheet. This amount totaled $157.7 million and $178.1 million as of March 31, 2022 and June 30, 2021, respectively. Equity capital required as a percent of the last twelve months’ GMV was 1% and 2% as of March 31, 2022 and June 30, 2021, respectively.</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our continued success will depend on many factors, including our ability to attract additional merchant partners, retain our existing merchant partners, and grow and develop our relationships with new and existing merchant partners, help our merchants grow their revenue on our platform, and develop new innovative solutions to establish the ubiquity of our network and breadth of our platform. For a further discussion of trends, uncertainties and other factors that could impact our operating results, see the section entitled “Risk Factors” in Item 1A, which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Our Financial Model</w:t>
      </w:r>
    </w:p>
    <w:p>
      <w:pPr>
        <w:pStyle w:val="TextBody"/>
        <w:spacing w:before="0" w:after="0"/>
        <w:rPr/>
      </w:pPr>
      <w:r>
        <w:rPr/>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Our Revenue Model</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merchants, we earn a fee when we help them convert a sale and facilitate a transaction. While merchant fees depend on the individual arrangement between us and each merchant and vary based on the terms of the product offering, we generally earn larger merchant fees on 0% APR financing products. For both the three and nine months ended March 31, 2022, 0% APR financing represented 43% of total GMV facilitated through our platform. For the three and nine months ended March 31, 2021, 0% APR financing represented 43% and 45%, respectively, of total GMV facilitated through our platform.</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the origination of a loan.</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Our Loan Origination and Servicing Model</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When a consumer applies for a loan through our platform, the loan is underwritten using our proprietary risk model. Once approved for the loan, the consumer then selects his/her preferred repayment option. The substantial majority of these loans are funded and issued by our originating bank partners.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majority of the loans facilitated through our platform are originated through our originating bank partners: Cross River Bank, an FDIC-insured New Jersey state-chartered bank, and Celtic Bank, an FDIC-insured Utah state-chartered industrial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our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See Note 13. Fair Value of Financial Assets and Liabilities for more information on the performance fee liability. </w:t>
      </w:r>
    </w:p>
    <w:p>
      <w:pPr>
        <w:pStyle w:val="TextBody"/>
        <w:spacing w:lineRule="auto" w:line="288" w:before="0" w:after="200"/>
        <w:ind w:left="0" w:right="0" w:firstLine="720"/>
        <w:rPr/>
      </w:pPr>
      <w:r>
        <w:rPr>
          <w:rFonts w:ascii="Times New Roman;sans-serif" w:hAnsi="Times New Roman;sans-serif"/>
          <w:b w:val="false"/>
          <w:color w:val="000000"/>
          <w:sz w:val="20"/>
          <w:highlight w:val="white"/>
        </w:rPr>
        <w:t xml:space="preserve">We are also able to originate loans directly under our lending, servicing, and brokering licenses in Canada and across various states in the U.S. through our consolidated subsidiaries. </w:t>
      </w:r>
      <w:r>
        <w:rPr>
          <w:rFonts w:ascii="Times New Roman;sans-serif" w:hAnsi="Times New Roman;sans-serif"/>
          <w:b w:val="false"/>
          <w:color w:val="000000"/>
          <w:sz w:val="20"/>
        </w:rPr>
        <w:t>For the three and nine months ended March 31, 2022</w:t>
      </w:r>
      <w:r>
        <w:rPr>
          <w:rFonts w:ascii="Times New Roman;sans-serif" w:hAnsi="Times New Roman;sans-serif"/>
          <w:b w:val="false"/>
          <w:color w:val="000000"/>
          <w:sz w:val="20"/>
          <w:highlight w:val="white"/>
        </w:rPr>
        <w:t>, we originated approximately $216.0 million and $645.7 million of loans in Canada, respectively, compared to approximately $103.4 million and $164.7 million f</w:t>
      </w:r>
      <w:r>
        <w:rPr>
          <w:rFonts w:ascii="Times New Roman;sans-serif" w:hAnsi="Times New Roman;sans-serif"/>
          <w:b w:val="false"/>
          <w:color w:val="000000"/>
          <w:sz w:val="20"/>
        </w:rPr>
        <w:t>or the three and nine</w:t>
      </w:r>
      <w:r>
        <w:rPr>
          <w:color w:val="000000"/>
          <w:highlight w:val="white"/>
        </w:rPr>
        <w:t xml:space="preserve"> </w:t>
      </w:r>
      <w:r>
        <w:rPr>
          <w:rFonts w:ascii="Times New Roman;sans-serif" w:hAnsi="Times New Roman;sans-serif"/>
          <w:b w:val="false"/>
          <w:color w:val="000000"/>
          <w:sz w:val="20"/>
        </w:rPr>
        <w:t>months ended March 31, 2021, respectively</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For the three and nine months ended</w:t>
      </w:r>
      <w:r>
        <w:rPr>
          <w:color w:val="000000"/>
          <w:highlight w:val="white"/>
        </w:rPr>
        <w:t xml:space="preserve"> </w:t>
      </w:r>
      <w:r>
        <w:rPr>
          <w:rFonts w:ascii="Times New Roman;sans-serif" w:hAnsi="Times New Roman;sans-serif"/>
          <w:b w:val="false"/>
          <w:color w:val="000000"/>
          <w:sz w:val="20"/>
          <w:highlight w:val="white"/>
        </w:rPr>
        <w:t>March 31, 2022, we directly originated $659.7 million and $1,774.4 million, respectively, of loans in the U.S. pursuant to our state licenses, compared to approximately $108.1 million and $180.7 million f</w:t>
      </w:r>
      <w:r>
        <w:rPr>
          <w:rFonts w:ascii="Times New Roman;sans-serif" w:hAnsi="Times New Roman;sans-serif"/>
          <w:b w:val="false"/>
          <w:color w:val="000000"/>
          <w:sz w:val="20"/>
        </w:rPr>
        <w:t>or the three and nine</w:t>
      </w:r>
      <w:r>
        <w:rPr>
          <w:color w:val="000000"/>
          <w:highlight w:val="white"/>
        </w:rPr>
        <w:t xml:space="preserve"> </w:t>
      </w:r>
      <w:r>
        <w:rPr>
          <w:rFonts w:ascii="Times New Roman;sans-serif" w:hAnsi="Times New Roman;sans-serif"/>
          <w:b w:val="false"/>
          <w:color w:val="000000"/>
          <w:sz w:val="20"/>
        </w:rPr>
        <w:t>months ended March 31, 2021, respectively</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For both the three and nine months ended March 31, 2022, we self-originated 22% of total loans </w:t>
      </w:r>
      <w:r>
        <w:rPr>
          <w:rFonts w:ascii="Times New Roman;sans-serif" w:hAnsi="Times New Roman;sans-serif"/>
          <w:b w:val="false"/>
          <w:color w:val="000000"/>
          <w:sz w:val="20"/>
          <w:highlight w:val="white"/>
        </w:rPr>
        <w:t>through our state and other licenses, compared to 9% and 6% for</w:t>
      </w:r>
      <w:r>
        <w:rPr>
          <w:color w:val="000000"/>
        </w:rPr>
        <w:t xml:space="preserve"> </w:t>
      </w:r>
      <w:r>
        <w:rPr>
          <w:rFonts w:ascii="Times New Roman;sans-serif" w:hAnsi="Times New Roman;sans-serif"/>
          <w:b w:val="false"/>
          <w:color w:val="000000"/>
          <w:sz w:val="20"/>
        </w:rPr>
        <w:t>the three and nine</w:t>
      </w:r>
      <w:r>
        <w:rPr>
          <w:color w:val="000000"/>
          <w:highlight w:val="white"/>
        </w:rPr>
        <w:t xml:space="preserve"> </w:t>
      </w:r>
      <w:r>
        <w:rPr>
          <w:rFonts w:ascii="Times New Roman;sans-serif" w:hAnsi="Times New Roman;sans-serif"/>
          <w:b w:val="false"/>
          <w:color w:val="000000"/>
          <w:sz w:val="20"/>
        </w:rPr>
        <w:t>months ended March 31, 2021, respectively.</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Our Funding Sources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maintain a capital-efficient model through a diverse set of funding sources. When we originate a loan directly or purchase a loan originated by our originating bank partners, we often utilize warehouse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Key Operating Metrics</w:t>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collect and analyze operating and financial data of our business to assess our performance, formulate financial projections, and make strategic decisions. In addition to revenue, net (loss) income, and other results under accounting principles generally accepted in the United States (“U.S. GAAP”), the following tables set forth key operating metrics we use to evaluate our business.</w:t>
      </w:r>
    </w:p>
    <w:tbl>
      <w:tblPr>
        <w:tblW w:w="9611" w:type="dxa"/>
        <w:jc w:val="left"/>
        <w:tblInd w:w="0" w:type="dxa"/>
        <w:tblCellMar>
          <w:top w:w="28" w:type="dxa"/>
          <w:left w:w="28" w:type="dxa"/>
          <w:bottom w:w="28" w:type="dxa"/>
          <w:right w:w="28" w:type="dxa"/>
        </w:tblCellMar>
      </w:tblPr>
      <w:tblGrid>
        <w:gridCol w:w="1075"/>
        <w:gridCol w:w="946"/>
        <w:gridCol w:w="948"/>
        <w:gridCol w:w="109"/>
        <w:gridCol w:w="109"/>
        <w:gridCol w:w="109"/>
        <w:gridCol w:w="211"/>
        <w:gridCol w:w="97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54"/>
      </w:tblGrid>
      <w:tr>
        <w:trPr/>
        <w:tc>
          <w:tcPr>
            <w:tcW w:w="1075"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69" w:type="dxa"/>
            <w:gridSpan w:val="3"/>
            <w:tcBorders>
              <w:bottom w:val="single" w:sz="8" w:space="0" w:color="CCEEFF"/>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Merchandise Volume (GMV)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11,086,766 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5,808,415 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rPr>
          <w:rFonts w:ascii="Times New Roman;sans-serif" w:hAnsi="Times New Roman;sans-serif"/>
          <w:b/>
          <w:i/>
          <w:color w:val="000000"/>
          <w:sz w:val="20"/>
        </w:rPr>
      </w:pPr>
      <w:r>
        <w:rPr>
          <w:rFonts w:ascii="Times New Roman;sans-serif" w:hAnsi="Times New Roman;sans-serif"/>
          <w:b/>
          <w:i/>
          <w:color w:val="000000"/>
          <w:sz w:val="20"/>
        </w:rPr>
        <w:t>GMV</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measure gross merchandise volume to assess the volume of transactions that take place on our platform. We define GMV as the total dollar amount of all transactions on the Affirm platform during the applicable period, net of refunds. GMV does not represent revenue earned by us. However, the GMV processed through our platform is an indicator of the success of our merchants and the strength of our platform. For the three months ended March 31, 2022, GMV was $3.9 billion, which represented an increase of approximately 73% as compared to $2.3 billion for the three months ended March 31, 2021. For the nine months ended March 31, 2022, GMV was $11.1 billion, which represents an increase of approximately 91% as compared to $5.8 billion for the nine months ended March 31, 2021.</w:t>
      </w:r>
    </w:p>
    <w:p>
      <w:pPr>
        <w:pStyle w:val="TextBody"/>
        <w:spacing w:before="0" w:after="120"/>
        <w:ind w:left="0" w:right="0" w:firstLine="720"/>
        <w:rPr/>
      </w:pPr>
      <w:r>
        <w:rPr/>
      </w:r>
    </w:p>
    <w:tbl>
      <w:tblPr>
        <w:tblW w:w="7939" w:type="dxa"/>
        <w:jc w:val="left"/>
        <w:tblInd w:w="0" w:type="dxa"/>
        <w:tblCellMar>
          <w:top w:w="28" w:type="dxa"/>
          <w:left w:w="28" w:type="dxa"/>
          <w:bottom w:w="28" w:type="dxa"/>
          <w:right w:w="28" w:type="dxa"/>
        </w:tblCellMar>
      </w:tblPr>
      <w:tblGrid>
        <w:gridCol w:w="1152"/>
        <w:gridCol w:w="1013"/>
        <w:gridCol w:w="1015"/>
        <w:gridCol w:w="109"/>
        <w:gridCol w:w="109"/>
        <w:gridCol w:w="109"/>
        <w:gridCol w:w="429"/>
        <w:gridCol w:w="429"/>
        <w:gridCol w:w="431"/>
        <w:gridCol w:w="109"/>
        <w:gridCol w:w="109"/>
        <w:gridCol w:w="109"/>
        <w:gridCol w:w="384"/>
        <w:gridCol w:w="384"/>
        <w:gridCol w:w="386"/>
        <w:gridCol w:w="109"/>
        <w:gridCol w:w="109"/>
        <w:gridCol w:w="109"/>
        <w:gridCol w:w="390"/>
        <w:gridCol w:w="390"/>
        <w:gridCol w:w="555"/>
      </w:tblGrid>
      <w:tr>
        <w:trPr/>
        <w:tc>
          <w:tcPr>
            <w:tcW w:w="1152"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2021</w:t>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consumer data)</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Consumers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5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Transactions per Active Consumer (x)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spacing w:lineRule="auto" w:line="288" w:before="200" w:after="200"/>
        <w:rPr>
          <w:rFonts w:ascii="Times New Roman;sans-serif" w:hAnsi="Times New Roman;sans-serif"/>
          <w:b/>
          <w:i/>
          <w:color w:val="000000"/>
          <w:sz w:val="20"/>
        </w:rPr>
      </w:pPr>
      <w:r>
        <w:rPr>
          <w:rFonts w:ascii="Times New Roman;sans-serif" w:hAnsi="Times New Roman;sans-serif"/>
          <w:b/>
          <w:i/>
          <w:color w:val="000000"/>
          <w:sz w:val="20"/>
        </w:rPr>
        <w:t>Active Consumers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 As of March 31, 2022, we had 12.7 million active consumers, representing an increase of approximately 79% compared to 7.1 million as of June 30, 2021, and approximately 137% compared to 5.4 million as of March 31, 2021. </w:t>
      </w:r>
    </w:p>
    <w:p>
      <w:pPr>
        <w:pStyle w:val="TextBody"/>
        <w:spacing w:before="0" w:after="200"/>
        <w:rPr/>
      </w:pPr>
      <w:r>
        <w:rPr/>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Transactions per Active Consumer</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 As of March 31, 2022, we had approximately 2.7 transactions per active consumer, an increase of approximately 19% compared to both June 30, 2021 and March 31, 2021. Transactions per active consumer includes incremental transactions completed by active consumers on the PayBright and Returnly platforms during the twelve months prior to the measurement date and prior to the acquisitions of PayBright and Returnly by Affirm.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00"/>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Expanding our Network, Diversity, and Mix of Funding Relationships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We have continued to reduce the percentage of our equity capital required to fund our total platform portfolio from approximately 4% as of June 30, 2021, to approximately 2% as of March 31, 2022. The mix of on-balance sheet and off-balance sheet funding is a function of both how we choose to allocate loan volume and the available supply of capital, both of which may also impact our results in any given period.</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Mix of Business on Our Platform</w:t>
      </w:r>
    </w:p>
    <w:p>
      <w:pPr>
        <w:pStyle w:val="TextBody"/>
        <w:spacing w:lineRule="auto" w:line="295"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mix of products that our merchants offer and our consumers purchase in any period affects our operating results. In addition, shifts in volume among merchants in any period also affects our operating results. These mix impacts affect GMV, revenue, our financial results, and our key operating metric performance for that period. Differences in product mix relate to different loan durations, APR mix, and varying proportion of 0% APR versus interest-bearing financings. </w:t>
      </w:r>
    </w:p>
    <w:p>
      <w:pPr>
        <w:pStyle w:val="TextBody"/>
        <w:spacing w:lineRule="auto" w:line="295"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Differences in merchant mix relate to the variations in the product and economic terms of the commercial agreements among our merchants.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the merchant is fully integrated within our network, and general economic conditions affecting consumer demand. Our revenue as a percentage of GMV in any given period varies across products. As such, as we continue to expand our network to include more merchants, revenue as a percentage of GMV will vary. In addition, our commercial agreement with Shopify to offer Shop Pay Installments powered by Affirm and our recent Split Pay offering, a short-term payment plan with 0% APR, will continue to increase the mix of our shorter duration, low AOV products. Differences in the mix of high versus low AOV will also impact our results. For example, we expect that transactions per active consumer may increase while revenue as a percentage of GMV may decline in the medium term to the extent that a greater portion of our GMV comes from Split Pay and other low-AOV offerings.</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Sales and Marketing Investment</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the strength of our merchant relationships and positive user experience to develop our consumer brand and grow the ubiquity of our platform. During the three and nine months ended March 31, 2022, we increased our investment in sales and marketing channels that we believe will drive further brand awareness and preference among both consumers and merchants. Given the nature of our revenue, our investment in sales and marketing in a given period may not impact results until subsequent periods. Additionally, given the increasingly competitive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nature of merchant acquisition, we have previously made, and expect that we may make, significant investments in retaining and acquiring new merchants. We are focused on the effectiveness of sales and marketing spending and will continue to be strategic in maintaining efficient consumer and merchant acquisition.</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spacing w:lineRule="auto" w:line="295"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experience seasonal fluctuations in our revenue as a result of consumer spending patterns. Historically, our revenue has been the strongest during the second quarter of our fiscal year due to increases in retail commerce during the holiday season. Adverse events that occur during these months could have a disproportionate effect on our financial results for the fiscal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95"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Impact of COVID-19</w:t>
      </w:r>
    </w:p>
    <w:p>
      <w:pPr>
        <w:pStyle w:val="TextBody"/>
        <w:spacing w:before="0" w:after="0"/>
        <w:rPr/>
      </w:pPr>
      <w:r>
        <w:rPr/>
      </w:r>
    </w:p>
    <w:p>
      <w:pPr>
        <w:pStyle w:val="TextBody"/>
        <w:spacing w:lineRule="auto" w:line="295"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had, and continues to have, a significant impact on the U.S. economy and the markets in which we operate. Our positive performance during this period demonstrates the value and effectiveness of our platform, the resiliency of our business model, and the capabilities of our risk management and underwriting approach. As we enter a new phase of the pandemic, our focus will turn to both changing macro-economic conditions and individual consumer spending habits. As we observe new behavior, we will rely on our flexible and robust risk infrastructure to make appropriate decisions for our business.</w:t>
      </w:r>
    </w:p>
    <w:p>
      <w:pPr>
        <w:pStyle w:val="TextBody"/>
        <w:spacing w:lineRule="auto" w:line="295" w:before="0" w:after="200"/>
        <w:rPr>
          <w:rFonts w:ascii="Times New Roman;sans-serif" w:hAnsi="Times New Roman;sans-serif"/>
          <w:b/>
          <w:i/>
          <w:color w:val="000000"/>
          <w:sz w:val="20"/>
        </w:rPr>
      </w:pPr>
      <w:r>
        <w:rPr>
          <w:rFonts w:ascii="Times New Roman;sans-serif" w:hAnsi="Times New Roman;sans-serif"/>
          <w:b/>
          <w:i/>
          <w:color w:val="000000"/>
          <w:sz w:val="20"/>
        </w:rPr>
        <w:t>Diversified Mix of Merchant Partners</w:t>
      </w:r>
    </w:p>
    <w:p>
      <w:pPr>
        <w:pStyle w:val="TextBody"/>
        <w:spacing w:lineRule="auto" w:line="295"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diversified set of merchant partners across industries, which allows us to capitalize on industry tailwinds and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significantly, but we saw a significant increase in revenue from merchant partners offering home fitness equipment, home office products, and home furnishings. As we move past the period of extended lock-downs due to COVID-19, we have observed strong changes in consumer preferences. Industries impacted by the lock-down such as travel and hospitality have seen a strong resurgence and have either replaced or offset the spending decreases we experienced in the aforementioned categories. </w:t>
      </w:r>
    </w:p>
    <w:p>
      <w:pPr>
        <w:pStyle w:val="TextBody"/>
        <w:spacing w:lineRule="auto" w:line="295" w:before="0" w:after="200"/>
        <w:rPr>
          <w:rFonts w:ascii="Times New Roman;sans-serif" w:hAnsi="Times New Roman;sans-serif"/>
          <w:b/>
          <w:i/>
          <w:color w:val="000000"/>
          <w:sz w:val="20"/>
        </w:rPr>
      </w:pPr>
      <w:r>
        <w:rPr>
          <w:rFonts w:ascii="Times New Roman;sans-serif" w:hAnsi="Times New Roman;sans-serif"/>
          <w:b/>
          <w:i/>
          <w:color w:val="000000"/>
          <w:sz w:val="20"/>
        </w:rPr>
        <w:t>Dynamic Changes to Risk Model</w:t>
      </w:r>
    </w:p>
    <w:p>
      <w:pPr>
        <w:pStyle w:val="TextBody"/>
        <w:spacing w:lineRule="auto" w:line="295"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part of our risk mitigation platform, we closely track data and trends to measure risk and manage exposure, leveraging our flexibility to quickly adjust and adapt. In response to the macroeconomic impact of the COVID-19 pandemic, we initiated a series of refinements to our risk model based on our real-time data observations and analysis. We were able to respond, implement, and test the updates to our model quickly due to the adaptability of our infrastructure, underwriting, and risk management models. This resulted in continued decreases across both charge-offs and delinquencies. As macroeconomic conditions improved, the embedded flexibility of the model allowed our risk tolerances to return closer to pre-pandemic levels while still maintaining low losses. Our proprietary risk model was not designed to take into account the longer-term impacts of social, economic, and financial disruptions caused by the COVID-19 pandemic, and while we continue to make refinements to our risk model as new information becomes available to us, any changes to our risk model may be ineffective and the performance of our risk model may decline.</w:t>
      </w:r>
    </w:p>
    <w:p>
      <w:pPr>
        <w:pStyle w:val="TextBody"/>
        <w:spacing w:lineRule="auto" w:line="295" w:before="0" w:after="200"/>
        <w:rPr>
          <w:rFonts w:ascii="Times New Roman;sans-serif" w:hAnsi="Times New Roman;sans-serif"/>
          <w:b/>
          <w:i/>
          <w:color w:val="000000"/>
          <w:sz w:val="20"/>
        </w:rPr>
      </w:pPr>
      <w:r>
        <w:rPr>
          <w:rFonts w:ascii="Times New Roman;sans-serif" w:hAnsi="Times New Roman;sans-serif"/>
          <w:b/>
          <w:i/>
          <w:color w:val="000000"/>
          <w:sz w:val="20"/>
        </w:rPr>
        <w:t>Resilient Allowance Model</w:t>
      </w:r>
    </w:p>
    <w:p>
      <w:pPr>
        <w:pStyle w:val="TextBody"/>
        <w:spacing w:lineRule="auto" w:line="295"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as a percentage of loans held for investment to a high of 14.8% as of March 31, 2020. In the months subsequent to this and during fiscal year 2021, we saw stronger than expected repayment history in the portfolio and increased credit quality of loans held on our balance sheet from credit tightening, resulting in a release of the allowance over time. As the economic reopening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95" w:before="0" w:after="200"/>
        <w:rPr>
          <w:rFonts w:ascii="Times New Roman;sans-serif" w:hAnsi="Times New Roman;sans-serif"/>
          <w:b w:val="false"/>
          <w:color w:val="000000"/>
          <w:sz w:val="20"/>
        </w:rPr>
      </w:pPr>
      <w:r>
        <w:rPr>
          <w:rFonts w:ascii="Times New Roman;sans-serif" w:hAnsi="Times New Roman;sans-serif"/>
          <w:b w:val="false"/>
          <w:color w:val="000000"/>
          <w:sz w:val="20"/>
        </w:rPr>
        <w:t>and recovery continues, we believe our allowance model is well equipped to forecast expected loss scenarios resulting from both the shifting product mix of loans on our balance sheet as well as a return to pre-pandemic credit levels over time. The allowance for credit losses as a percentage of loans held for investment increased from 5.8% as of June 30, 2021 to 6.4% as of March 31, 2022 due to a shift in the composition of loans retained on balance sheet. Should macroeconomic factors or expected losses change, we may increase or decrease the allowance for credit losses.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before="0" w:after="0"/>
        <w:rPr/>
      </w:pPr>
      <w:r>
        <w:rPr/>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200"/>
        <w:rPr/>
      </w:pPr>
      <w:r>
        <w:rPr>
          <w:rFonts w:ascii="Times New Roman;sans-serif" w:hAnsi="Times New Roman;sans-serif"/>
          <w:b w:val="false"/>
          <w:i/>
          <w:color w:val="000000"/>
          <w:sz w:val="20"/>
        </w:rPr>
        <w:t xml:space="preserve">Merchant Network Revenue </w:t>
      </w:r>
      <w:r>
        <w:rPr>
          <w:color w:val="000000"/>
        </w:rPr>
        <w:t>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Merchant partners are generally charged a fee based on GMV processed through the Affirm platform. The fees vary depending on the individual arrangement between us and each merchant and on the terms of the product offering. The fee is recognized at the point in time the terms of the executed merchant agreement have been fulfilled and the merchant successfully confirms the transaction. 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and/or virtual card network revenue. In order to continue to expand our consumer base, we may originate loans under certain merchant arrangements that we do not expect to achieve positive revenue. In these instances, the loss is recorded as sales and marketing expense unless it is determined as recoverable in future periods. During the three and nine months ended March 31, 2022, we generated 33% and 35% of our revenue from merchant network fees, respectively. During the three and nine months ended March 31, 2021, we generated 43% and 47% of our revenue from merchant network fees, respectively. </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Virtual Card Network Revenue</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smaller portion of our revenue comes from our Virtual Card product. We have an agreement with an issuer processor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virtual debit card is funded at the time a transaction is authorized using cash held by the issuer processor in a reserve fund, which is ultimately funded and maintained by us. We, or our originating bank partner, then originate a loan to the consumer once the transaction is confirmed by the merchant. The non-integrated merchants are charged interchange fees by the issuer processor for virtual debit card transactions, as with all debit card purchases, and the issuer processor shares a portion of this revenue with us. We also leverage this issuer processor as a means of integrating certain merchants. Similarly, for these arrangements with integrated merchants, the merchant is charged interchange fees by the issuer processor and the issuer processor shares a portion of this revenue with us. This revenue is recognized as a percentage of both our captured volume transacted on the payment processor network and net interchange income, and this revenue is presented net of associated processing fees. We generated 7% of our revenue from virtual card network fees for both the three and nine months ended March 31, 2022, and 6% and 5% of our revenue from virtual card network fees for the three and nine months ended March 31, 2021, respectively.</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Income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earn revenue through interest earned on loans facilitated by our platform. Interest income includes interest charged to consumers over the term of the consumers’ loans based on the principal outstanding and is calculated using the effective interest method. In addition, interest income includes the amortization of any discounts or premiums on loan receivables created upon either the purchase of a loan from our originating bank partners or the origination of a loan. These discounts and premiums are accreted or amortized over the life of the loan using the effective interest method and represented 34% and 36% of total interest income for the three and nine months ended March 31, 2022, respectively, compared to 33% and 31% for the three and nine months ended March 31, 2021. During the three and nine months ended March 31, 2022, we generated 38% and 40% of our revenue from interest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income, respectively. During the three and nine months ended March 31, 2021, we generated 41% and 37% of our revenue from interest income, respectively. </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 xml:space="preserve">Gain on Sales of Loans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a portion of the loans we originate or purchase from our originating bank partners to third-party investors. We recognize a gain or loss on sale of such loans as the difference between the proceeds received, adjusted for initial recognition of servicing assets and liabilities obtained at the date of sale, and the carrying value of the loan. During the three and nine months ended March 31, 2022, gain on sale was reduced by $0.9 million and $3.1 million due to the net impact of the servicing assets and liabilities of the loans sold, respectively. During both the three and nine months ended March 31, 2022, we generated 15% of our revenue from gain on sales of loans. During the three and nine months ended March 31, 2021, we generated 7% and 8% of our revenue from gain on sales of loans, respectively. </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Servicing Income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earn a specified fee from providing professional services to manage loan portfolios on behalf of our third-party loan owners. Under the servicing agreements with our third-party loan owners, we are entitled to collect servicing fees on the loans that we service, which are paid monthly based upon an annual fixed percentage of the outstanding loan portfolio balance. During the three and nine months ended March 31, 2022, we generated 7% and 4% of our revenue from servicing fees, respectively. During both the three and nine months ended March 31, 2021, we generated 3% of our revenue from servicing fees.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expect our revenue may vary from period to period based on, among other things, the timing of onboarding and size of new merchants, the mix of 0% APR loans versus interest-bearing loans with simple interest, loan funding strategy and mix, type and mix of products that our merchants offer to their customers, the rate of repeat transactions, transaction volume, and seasonality of or fluctuations in usage of our platform.</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the loss on loan purchase commitment made to our originating bank partners, the provision for credit losses, funding costs, processing and servicing, technology and data analytics, sales and marketing, and general and administrative expenses. Salaries and personnel-related costs, including benefits, bonuses, stock-based compensation expense and occupancy, comprise a significant component of several of these expense categories. An allocation of overhead, such as rent and other overhead, is based on employee headcount and included in processing and servicing, technology and data analytics, sales and marketing, and general and administrative expenses.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we had 2,233 employees, compared to 1,641 employees as of June 30, 2021. We increased our headcount and personnel related costs across our business in order to support our growth expansion strategy. We expect headcount to continue to increase during fiscal year 2022 given our focus on growth and expansion.</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Loss on Loan Purchase Commitment</w:t>
      </w:r>
    </w:p>
    <w:p>
      <w:pPr>
        <w:pStyle w:val="TextBody"/>
        <w:spacing w:lineRule="auto" w:line="295"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purchase certain loans from our originating bank partners that are processed through our platform and our originating bank partner puts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pStyle w:val="TextBody"/>
        <w:spacing w:before="0" w:after="200"/>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Provision for Credit Losses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credit losses consists of amounts charged against income during the period to maintain an allowance for credit losses. Our allowance for credit losses represents our estimate of the credit losses inherent in our loans held for investment and is based on a variety of factors, including the composition and quality of the portfolio, loan specific information gathered through our collection efforts, current economic conditions, future reasonable and supportable forecasts, and our historical net charge-off and loss experience. These costs are incurred on a per loan basis. </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Funding Costs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Funding costs consist of interest expense and the amortization of fees for certain borrowings including on balance sheet VIEs and sale and repurchase agreements, and other costs incurred in connection with funding the purchases and originations of loans. Amortization of debt issuance costs totaled $3.6 million and $13.2 million for the three and nine months ended March 31, 2022, respectively, and $1.3 million and $3.7 million for the three and nine months ended March 31, 2021, respectively. </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Processing and Servicing</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Processing and servicing expense consists primarily of payment processing fees, third-party customer support and collection expense, salaries and personnel-related costs of our customer care team, platform fees, and allocated overhead. Payment processing costs are primarily driven by the number and dollar value of consumer repayments which grow as the number of transactions and GMV processed on our platform increases. Customer care loan servicing costs are primarily staffing costs related to third-party and in-house loan servicing agents, the demand for which generally increases with the number of transactions on our platform. Collection fees are fees paid to agencies as percentages of the dollars of repayment they recuperate from borrowers whose loans had previously been charged off. Platform fees are revenue sharing fees paid to our e-commerce platform partners.</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Technology and Data Analytics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 expense consists primarily of the salaries, stock-based compensation, and personnel-related costs of our engineering and product employees as well as our credit and analytics employees who develop our proprietary risk model, which totaled $68.5 million and $172.4 million for the three and nine months ended March 31, 2022, respectively, and $77.5 million and $123.5 million for the three and nine months ended March 31, 2021, respectively.</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for the three and nine months ended March 31, 2022, $34.4 million and $95.2 million, respectively, of salaries and personnel costs that relate to the creation of internally-developed software were capitalized into property, equipment and software, net on our interim condensed consolidated balance sheets, and we recorded amortization expense of $6.4 million and $15.3 million for the three and nine months ended March 31, 2022, respectively. For the three and nine months ended March 31, 2021, $11.2 million and $18.8 million, respectively, of salaries and personnel costs that relate to the creation of internally-developed software were capitalized into property, equipment and software, net on the interim condensed consolidated balance sheets, and amortized into technology and data analytics expense over the useful life of the developed software. This amortization expense totaled $2.2 million and $7.4 million for the three and nine months ended March 31, 2021, respectively. Additional technology and data analytics expenses include platform infrastructure and hosting costs, third-party data acquisition expenses, and expenses related to the maintenance of existing technology assets and our technology platform as a whole.</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consist of the expense related to warrants and other share-based payments granted to our enterprise partners, salaries and personnel-related costs, as well as costs of general marketing and promotional activities, promotional event programs, sponsorships, and allocated overhead. In July 2020, we recognized an asset in connection with a commercial agreement with Shopify in which we granted warrants in exchange for their promotion of the Affirm platform with potential new merchant partners. This asset represents the probable future economic benefit to be realized over the four-year expected benefit period and is valued based on the fair value of the warrants at the grant date. This value is amortized on a straight-line basis over the four-year expected benefit period into sales and marketing expense, due to the nature of the expected benefit. In November 2021, we entered into a commercial agreement with Amazon and granted warrants in exchange for certain exclusivity provisions and the benefit of acquiring new users. In connection with the agreements, we recognized an asset associated with the portion of the warrants that were fully vested upon execution of the agreement. The asset is valued based on the fair value of the warrants on the grant date and represents the probable future economic benefit to be realized over the approximately 3.2 year remaining initial term of the commercial agreement. For the three and nine months ended March 31, 2022, we recognized $102.4 million and $173.0 million of expenses related to the warrants within sales and marketing expense, respectively, which included the amortization expense of the commercial agreement asset and the expense based upon the grant-date fair value for the warrant shares that vested during the period. For the three and nine months ended March 31, 2022, the expense related to warrants and other share-based payments comprised 76% and 62% of sales and marketing expenses, respectively, compared to 29% and 40% for the three and nine months ended March 31, 2021, respectively.</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order to continue to expand our consumer base, we may originate certain loans via our wholly-owned subsidiaries with zero or below market interest rates under certain merchant arrangements that we do not expect to achieve positive revenue. In these instances, the par value of the loans originated is in excess of the fair market value of such loans, which results in a loss. These losses are recorded as sales and marketing expense. These losses totaled $3.3 million and $19.1 million, respectively, during the three and nine months ended March 31, 2022, compared to $3.1 million and $4.1 million for the three and nine months ended March 31, 2021, respectively. We expect that our sales and marketing expense will continue to increase as we expand our sales and marketing efforts to drive our growth, expansion, and diversification. </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and allocated overhead.</w:t>
      </w:r>
    </w:p>
    <w:p>
      <w:pPr>
        <w:pStyle w:val="TextBody"/>
        <w:spacing w:lineRule="auto" w:line="288" w:before="0" w:after="200"/>
        <w:ind w:left="0" w:right="0" w:firstLine="720"/>
        <w:rPr/>
      </w:pPr>
      <w:r>
        <w:rPr>
          <w:rFonts w:ascii="Times New Roman;sans-serif" w:hAnsi="Times New Roman;sans-serif"/>
          <w:b w:val="false"/>
          <w:color w:val="000000"/>
          <w:sz w:val="20"/>
          <w:highlight w:val="white"/>
        </w:rPr>
        <w:t xml:space="preserve">We continue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that our </w:t>
      </w:r>
      <w:r>
        <w:rPr>
          <w:rFonts w:ascii="Times New Roman;sans-serif" w:hAnsi="Times New Roman;sans-serif"/>
          <w:b w:val="false"/>
          <w:color w:val="000000"/>
          <w:sz w:val="20"/>
        </w:rPr>
        <w:t>general and administrative</w:t>
      </w:r>
      <w:r>
        <w:rPr>
          <w:color w:val="000000"/>
          <w:highlight w:val="white"/>
        </w:rPr>
        <w:t xml:space="preserve"> </w:t>
      </w:r>
      <w:r>
        <w:rPr>
          <w:rFonts w:ascii="Times New Roman;sans-serif" w:hAnsi="Times New Roman;sans-serif"/>
          <w:b w:val="false"/>
          <w:color w:val="000000"/>
          <w:sz w:val="20"/>
          <w:highlight w:val="white"/>
        </w:rPr>
        <w:t>expense will increase in absolute dollars as our business grows.</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Other Income and Expenses</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consists primarily of interest earned on our money market funds included in cash and cash equivalents and restricted cash, interest earned on securities available for sale, gains and losses incurred on derivative agreements, amortization of convertible debt issuance cost and revolving debt facility issuance costs, and fair value adjustments resulting from changes in the fair value of our contingent consideration liability, primarily driven by changes in the market price of our Class A common stock.</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income tax expense (benefit) consists of U.S. federal and state income taxes, Canadian federal and provincial income taxes, and income taxes attributable to other foreign jurisdictions.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selected interim condensed consolidated statements of operations and comprehensive loss data for each of the periods presented in dollars:</w:t>
      </w:r>
    </w:p>
    <w:tbl>
      <w:tblPr>
        <w:tblW w:w="10205" w:type="dxa"/>
        <w:jc w:val="left"/>
        <w:tblInd w:w="0" w:type="dxa"/>
        <w:tblCellMar>
          <w:top w:w="28" w:type="dxa"/>
          <w:left w:w="28" w:type="dxa"/>
          <w:bottom w:w="28" w:type="dxa"/>
          <w:right w:w="28" w:type="dxa"/>
        </w:tblCellMar>
      </w:tblPr>
      <w:tblGrid>
        <w:gridCol w:w="1602"/>
        <w:gridCol w:w="1356"/>
        <w:gridCol w:w="1365"/>
        <w:gridCol w:w="211"/>
        <w:gridCol w:w="893"/>
        <w:gridCol w:w="109"/>
        <w:gridCol w:w="109"/>
        <w:gridCol w:w="109"/>
        <w:gridCol w:w="109"/>
        <w:gridCol w:w="211"/>
        <w:gridCol w:w="893"/>
        <w:gridCol w:w="109"/>
        <w:gridCol w:w="109"/>
        <w:gridCol w:w="109"/>
        <w:gridCol w:w="109"/>
        <w:gridCol w:w="211"/>
        <w:gridCol w:w="893"/>
        <w:gridCol w:w="109"/>
        <w:gridCol w:w="109"/>
        <w:gridCol w:w="109"/>
        <w:gridCol w:w="109"/>
        <w:gridCol w:w="211"/>
        <w:gridCol w:w="893"/>
        <w:gridCol w:w="158"/>
      </w:tblGrid>
      <w:tr>
        <w:trPr/>
        <w:tc>
          <w:tcPr>
            <w:tcW w:w="1602"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323"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323"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8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network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290,894 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Virtual card network revenue</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network revenue</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321,481 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income </w:t>
            </w:r>
            <w:r>
              <w:rPr>
                <w:rFonts w:ascii="Times New Roman;sans-serif" w:hAnsi="Times New Roman;sans-serif"/>
                <w:b w:val="false"/>
                <w:color w:val="000000"/>
                <w:sz w:val="13"/>
              </w:rPr>
              <w:t>(1)</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222,624 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Gain on sales of loans </w:t>
            </w:r>
            <w:r>
              <w:rPr>
                <w:rFonts w:ascii="Times New Roman;sans-serif" w:hAnsi="Times New Roman;sans-serif"/>
                <w:b w:val="false"/>
                <w:color w:val="000000"/>
                <w:sz w:val="13"/>
              </w:rPr>
              <w:t>(1)</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354,762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230,665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985,158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608,684</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Operating Expenses </w:t>
            </w:r>
            <w:r>
              <w:rPr>
                <w:rFonts w:ascii="Times New Roman;sans-serif" w:hAnsi="Times New Roman;sans-serif"/>
                <w:b/>
                <w:color w:val="000000"/>
                <w:sz w:val="13"/>
              </w:rPr>
              <w:t>(2)</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loan purchase commitment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195,690 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costs</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253,188 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581,313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440,013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1,573,980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878,098</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(226,551)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(209,348)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(588,822)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(269,414)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(287,121)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(520,315)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(317,502)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(54,671)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(287,051)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(521,021)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(317,607)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r>
      <w:tr>
        <w:trPr/>
        <w:tc>
          <w:tcPr>
            <w:tcW w:w="4323"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securities available for sale, net</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Other Comprehensive Income (Loss)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5,048</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(51,370)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(284,222)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(520,117)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(312,559)</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life of the loan into interest income. When a loan is sold to a third-party loan buyer,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40"/>
        <w:gridCol w:w="1518"/>
        <w:gridCol w:w="1523"/>
        <w:gridCol w:w="225"/>
        <w:gridCol w:w="769"/>
        <w:gridCol w:w="115"/>
        <w:gridCol w:w="115"/>
        <w:gridCol w:w="115"/>
        <w:gridCol w:w="115"/>
        <w:gridCol w:w="225"/>
        <w:gridCol w:w="769"/>
        <w:gridCol w:w="115"/>
        <w:gridCol w:w="109"/>
        <w:gridCol w:w="109"/>
        <w:gridCol w:w="109"/>
        <w:gridCol w:w="217"/>
        <w:gridCol w:w="743"/>
        <w:gridCol w:w="111"/>
        <w:gridCol w:w="111"/>
        <w:gridCol w:w="111"/>
        <w:gridCol w:w="111"/>
        <w:gridCol w:w="217"/>
        <w:gridCol w:w="743"/>
        <w:gridCol w:w="170"/>
      </w:tblGrid>
      <w:tr>
        <w:trPr/>
        <w:tc>
          <w:tcPr>
            <w:tcW w:w="1740"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78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78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2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28,659 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from loans purchased or originated, net of refunds</w:t>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286,034 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201,531 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w:t>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(45,443)</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(138,853)</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(68,843)</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released on loans sold</w:t>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(40,177)</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(29,357)</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(150,857)</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(79,464)</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1"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Amounts include stock-based compensation as follows:</w:t>
      </w:r>
    </w:p>
    <w:tbl>
      <w:tblPr>
        <w:tblW w:w="10170" w:type="dxa"/>
        <w:jc w:val="left"/>
        <w:tblInd w:w="0" w:type="dxa"/>
        <w:tblCellMar>
          <w:top w:w="28" w:type="dxa"/>
          <w:left w:w="28" w:type="dxa"/>
          <w:bottom w:w="28" w:type="dxa"/>
          <w:right w:w="28" w:type="dxa"/>
        </w:tblCellMar>
      </w:tblPr>
      <w:tblGrid>
        <w:gridCol w:w="1653"/>
        <w:gridCol w:w="1451"/>
        <w:gridCol w:w="14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53"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21"/>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in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into property, equipment and software,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rPr/>
      </w:pPr>
      <w:r>
        <w:rPr/>
      </w:r>
    </w:p>
    <w:p>
      <w:pPr>
        <w:pStyle w:val="TextBody"/>
        <w:spacing w:before="360" w:after="283"/>
        <w:rPr/>
      </w:pPr>
      <w:r>
        <w:rPr/>
      </w:r>
    </w:p>
    <w:p>
      <w:pPr>
        <w:pStyle w:val="TextBody"/>
        <w:spacing w:before="360" w:after="283"/>
        <w:rPr/>
      </w:pPr>
      <w:r>
        <w:rPr/>
      </w:r>
    </w:p>
    <w:p>
      <w:pPr>
        <w:pStyle w:val="TextBody"/>
        <w:spacing w:before="360" w:after="283"/>
        <w:rPr/>
      </w:pPr>
      <w:r>
        <w:rPr/>
      </w:r>
    </w:p>
    <w:p>
      <w:pPr>
        <w:pStyle w:val="TextBody"/>
        <w:spacing w:before="360" w:after="283"/>
        <w:rPr/>
      </w:pPr>
      <w:r>
        <w:rPr/>
      </w:r>
    </w:p>
    <w:p>
      <w:pPr>
        <w:pStyle w:val="TextBody"/>
        <w:spacing w:before="360" w:after="283"/>
        <w:rPr/>
      </w:pPr>
      <w:r>
        <w:rPr/>
      </w:r>
    </w:p>
    <w:p>
      <w:pPr>
        <w:pStyle w:val="TextBody"/>
        <w:spacing w:before="360" w:after="283"/>
        <w:rPr/>
      </w:pPr>
      <w:r>
        <w:rPr/>
      </w:r>
    </w:p>
    <w:p>
      <w:pPr>
        <w:pStyle w:val="TextBody"/>
        <w:spacing w:before="360" w:after="283"/>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Comparison of the Three and Nine Months Ended March 31, 2022 and 2021</w:t>
      </w:r>
    </w:p>
    <w:p>
      <w:pPr>
        <w:pStyle w:val="TextBody"/>
        <w:spacing w:before="0" w:after="0"/>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Total Revenue, net</w:t>
      </w:r>
    </w:p>
    <w:tbl>
      <w:tblPr>
        <w:tblW w:w="11375" w:type="dxa"/>
        <w:jc w:val="left"/>
        <w:tblInd w:w="0" w:type="dxa"/>
        <w:tblCellMar>
          <w:top w:w="28" w:type="dxa"/>
          <w:left w:w="28" w:type="dxa"/>
          <w:bottom w:w="28" w:type="dxa"/>
          <w:right w:w="28" w:type="dxa"/>
        </w:tblCellMar>
      </w:tblPr>
      <w:tblGrid>
        <w:gridCol w:w="326"/>
        <w:gridCol w:w="287"/>
        <w:gridCol w:w="28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2"/>
        <w:gridCol w:w="234"/>
        <w:gridCol w:w="316"/>
      </w:tblGrid>
      <w:tr>
        <w:trPr/>
        <w:tc>
          <w:tcPr>
            <w:tcW w:w="32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90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90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74"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network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Virtual card network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network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sales of loans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00"/>
        <w:ind w:left="0" w:right="0" w:firstLine="720"/>
        <w:rPr/>
      </w:pPr>
      <w:r>
        <w:rPr>
          <w:rFonts w:ascii="Times New Roman;sans-serif" w:hAnsi="Times New Roman;sans-serif"/>
          <w:b w:val="false"/>
          <w:i/>
          <w:color w:val="000000"/>
          <w:sz w:val="20"/>
        </w:rPr>
        <w:t>Total Revenue, net</w:t>
      </w:r>
      <w:r>
        <w:rPr>
          <w:color w:val="000000"/>
        </w:rPr>
        <w:t xml:space="preserve"> </w:t>
      </w:r>
      <w:r>
        <w:rPr>
          <w:rFonts w:ascii="Times New Roman;sans-serif" w:hAnsi="Times New Roman;sans-serif"/>
          <w:b w:val="false"/>
          <w:color w:val="000000"/>
          <w:sz w:val="20"/>
        </w:rPr>
        <w:t>for the three and nine months ended March 31, 2022 increased by $124.1 million or 54% and $376.5 million or 62%, respectively, compared to the three and nine months ended March 31, 2021. The increase is primarily due to an increase of $1.7 billion or 73% and $5.3 billion or 91% in GMV on our platform during the quarter, from $2.3 billion and $5.8 billion for the three and nine months ended March 31, 2021, respectively, to $3.9 billion and $11.1 billion for the three and nine months ended March 31, 2022, respectively. This increase in GMV was driven by the strong network effects of the expansion of our active merchant base from 11,513 as of March 31, 2021 to 207,049 as of March 31, 2022, an increase in active consumers from 5.4 million as of March 31, 2021 to 12.7 million as of March 31, 2022, and an increase in average transactions per consumer from 2.3 as of March 31, 2021 to 2.7 as of March 31, 2022.</w:t>
      </w:r>
    </w:p>
    <w:p>
      <w:pPr>
        <w:pStyle w:val="TextBody"/>
        <w:spacing w:lineRule="auto" w:line="288" w:before="0" w:after="200"/>
        <w:ind w:left="0" w:right="0" w:firstLine="720"/>
        <w:rPr/>
      </w:pPr>
      <w:r>
        <w:rPr>
          <w:rFonts w:ascii="Times New Roman;sans-serif" w:hAnsi="Times New Roman;sans-serif"/>
          <w:b w:val="false"/>
          <w:i/>
          <w:color w:val="000000"/>
          <w:sz w:val="20"/>
        </w:rPr>
        <w:t xml:space="preserve">Merchant network revenue </w:t>
      </w:r>
      <w:r>
        <w:rPr>
          <w:rFonts w:ascii="Times New Roman;sans-serif" w:hAnsi="Times New Roman;sans-serif"/>
          <w:b w:val="false"/>
          <w:color w:val="000000"/>
          <w:sz w:val="20"/>
        </w:rPr>
        <w:t>for the three and nine months ended March 31, 2022 increased by $23.1 million or 24% and $49.5 million or 17%, compared to the three and nine months ended March 31, 2021, respectively. Merchant network revenue as a percentage of GMV for the three months ended March 31, 2022 decreased to 3.1% compared to 4.3% for the three months ended March 31, 2021, and decreased to 3.1% for the nine months ended March 31, 2022 compared to 5.0% for the nine months ended March 31, 2021.</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Merchant network revenue growth is generally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AOV of our loans, and typically decreases with shorter duration and higher APR loans. Specifically, long-term 0% APR loans typically carry higher merchant fees as a percentage of GMV and have higher AOVs. </w:t>
      </w:r>
    </w:p>
    <w:p>
      <w:pPr>
        <w:pStyle w:val="TextBody"/>
        <w:spacing w:lineRule="auto" w:line="26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increase in merchant network revenue during the three and nine month period was primarily driven by an increase in GMV, partially offset by reductions in the concentration of long-term 0% APR loans, our highest merchant fee category. For the three and nine months ended March 31, 2022, approximately 8% and 10%, respectively, of total revenue was driven by our largest merchant partner by merchant network revenue, Peloton, for which we facilitate long-term 0% APR loans with a higher merchant fee, compared with 20% and 31% of total revenue in the comparative periods. More broadly, for both the three and nine months ended March 31, 2022, loans with term lengths greater than 12 months accounted for 21% of GMV, compared to 30% and 32% for the three and nine months ended March 31, 2021, respectively, primarily due to the increased adoption of our Split Pay product. AOV was lower at $374 and $377 for the three and nine months ended March 31, 2022, respectively, compared to $564 and $577 for the three and nine months ended March 31, 2021, respectively, primarily due to the increased adoption of our Split Pay product.</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we recorded reductions to merchant network revenue of $21.7 million and $63.9 million for the three and nine months ended March 31, 2022, respectively, associated with the creation of discounts upon origination of loans with par values in excess of the fair value of such loans, compared to $5.4 million and $12.4 million during the three and nine months ended March 31, 2021, respectively. These reductions to merchant network revenue are primarily due to our Split Pay product and our 0% APR lending programs outside of the United States.</w:t>
      </w:r>
    </w:p>
    <w:p>
      <w:pPr>
        <w:pStyle w:val="TextBody"/>
        <w:spacing w:lineRule="auto" w:line="288" w:before="0" w:after="200"/>
        <w:ind w:left="0" w:right="0" w:firstLine="720"/>
        <w:rPr/>
      </w:pPr>
      <w:r>
        <w:rPr>
          <w:rFonts w:ascii="Times New Roman;sans-serif" w:hAnsi="Times New Roman;sans-serif"/>
          <w:b w:val="false"/>
          <w:i/>
          <w:color w:val="000000"/>
          <w:sz w:val="20"/>
        </w:rPr>
        <w:t xml:space="preserve">Virtual card network revenue </w:t>
      </w:r>
      <w:r>
        <w:rPr>
          <w:rFonts w:ascii="Times New Roman;sans-serif" w:hAnsi="Times New Roman;sans-serif"/>
          <w:b w:val="false"/>
          <w:color w:val="000000"/>
          <w:sz w:val="20"/>
        </w:rPr>
        <w:t>for the three and nine months ended March 31, 2022 increased by $9.4 million or 68% and $38.5 million or 126%, compared to the three and nine months ended March 31, 2021, respectively. This increase was driven by an increase in GMV processed through our issuer processor of 75% and 122% for the three and nine months March 31, 2022, respectively, due to increased activity on our virtual card-enabled mobile application as well as growth in existing and new merchants integrated using our virtual card platform. Virtual card network revenue is also impacted by the mix of merchants as different merchants can have different interchange rates depending on their industry or size, among other factors.</w:t>
      </w:r>
    </w:p>
    <w:p>
      <w:pPr>
        <w:pStyle w:val="TextBody"/>
        <w:spacing w:lineRule="auto" w:line="288" w:before="0" w:after="200"/>
        <w:ind w:left="0" w:right="0" w:firstLine="720"/>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for the three and nine months ended March 31, 2022 increased by $40.1 million or 42% and $167.6 million or 75%, respectively, compared to the three and nine months ended March 31, 2021. Generally, interest income is correlated with the changes in the average balance of loans held for investment, as we recognize interest on loans held for investment using the effective interest method over the life of the loan. The average balance of loans held for investment increased by 21% to $2,464.2 million, and by 39% to $2,262.6 million for the three and nine months ended March 31, 2022, respectively, compared to the same period in the prior fiscal year.</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an annualized percentage of average loans held for investment, total interest income increased from approximately 19% during the three months ended March 31, 2021 to 22% during the three months ended March 31, 2022. This change was driven by a decrease in the average proportion of 0% APR loans being held on our interim condensed consolidated balance sheet as a percentage of the total loans held for investment, which decreased from 51% and 47% during the three and nine months ended March 31, 2021 to 39% and 41% during the three and nine months ended March 31, 2022. The shift was largely due to increased concentration of loans with large enterprise merchant partners; those loans tend to be interest-bearing.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recognize interest income on 0% APR loans via the amortization of the loan discount. Short term 0% APR loans, including Split Pay loans, carry higher annualized discounts as percentages of annualized loan balances than longer term loans, and thus amortize more discount into interest income as percentages of unpaid principal balance than longer term loans. Therefore, the change in the mix of 0% APR loans held for investment is also contributing to the increase in interest income as an annualized percentage of average loans held for investment. The total amortization of discounts on loans held for investment increased by $13.8 million or 44% and $70.0 million or 102% for the three and nine months ended March 31, 2022, respectively, compared with the three and nine months ended March 31, 2021. The amortization of discounts represented 34% and 36% of total interest income for the three and nine months ended March 31, 2022, compared to 33% and 31% for the three and nine months ended March 31, 2021, respectively. This increase included the amortization of discounts arising from self-originated loans held for investment of $33.2 million and $79.7 million during the three and nine months ended March 31, 2022, respectively, which was $7.8 million and $9.7 million for the three and nine months ended March 31, 2021, respectively.</w:t>
      </w:r>
    </w:p>
    <w:p>
      <w:pPr>
        <w:pStyle w:val="TextBody"/>
        <w:spacing w:lineRule="auto" w:line="288" w:before="0" w:after="200"/>
        <w:ind w:left="0" w:right="0" w:firstLine="720"/>
        <w:rPr/>
      </w:pPr>
      <w:r>
        <w:rPr>
          <w:rFonts w:ascii="Times New Roman;sans-serif" w:hAnsi="Times New Roman;sans-serif"/>
          <w:b w:val="false"/>
          <w:i/>
          <w:color w:val="000000"/>
          <w:sz w:val="20"/>
        </w:rPr>
        <w:t xml:space="preserve">Gain on sales of loans </w:t>
      </w:r>
      <w:r>
        <w:rPr>
          <w:rFonts w:ascii="Times New Roman;sans-serif" w:hAnsi="Times New Roman;sans-serif"/>
          <w:b w:val="false"/>
          <w:color w:val="000000"/>
          <w:sz w:val="20"/>
        </w:rPr>
        <w:t xml:space="preserve">for the three and nine months ended March 31, 2022 increased by $36.1 million or 221%, and $93.8 million or 198%, compared to the three and nine months ended March 31, 2021. We sold loans with an unpaid balance of $756.7 million and $2,013.2 million for the three and nine months ended March 31, 2021, respectively, and $2,042.5 million and $5,647.5 million for the three and nine months ended and March 31, 2022, for which we retained servicing rights. This increase was primarily due to higher loan sale volume, favorable loan sale pricing terms, and optimizing the allocation of loans to loan buyers with higher pricing terms. </w:t>
      </w:r>
    </w:p>
    <w:p>
      <w:pPr>
        <w:pStyle w:val="TextBody"/>
        <w:spacing w:lineRule="auto" w:line="288" w:before="0" w:after="200"/>
        <w:ind w:left="0" w:right="0" w:firstLine="720"/>
        <w:rPr/>
      </w:pPr>
      <w:r>
        <w:rPr>
          <w:rFonts w:ascii="Times New Roman;sans-serif" w:hAnsi="Times New Roman;sans-serif"/>
          <w:b w:val="false"/>
          <w:i/>
          <w:color w:val="000000"/>
          <w:sz w:val="20"/>
        </w:rPr>
        <w:t xml:space="preserve">Servicing income </w:t>
      </w:r>
      <w:r>
        <w:rPr>
          <w:rFonts w:ascii="Times New Roman;sans-serif" w:hAnsi="Times New Roman;sans-serif"/>
          <w:b w:val="false"/>
          <w:color w:val="000000"/>
          <w:sz w:val="20"/>
        </w:rPr>
        <w:t>for the three and nine months ended March 31, 2022 increased by $15.5 million or 194%</w:t>
      </w:r>
      <w:r>
        <w:rPr>
          <w:color w:val="000000"/>
          <w:highlight w:val="white"/>
        </w:rPr>
        <w:t xml:space="preserve"> </w:t>
      </w:r>
      <w:r>
        <w:rPr>
          <w:rFonts w:ascii="Times New Roman;sans-serif" w:hAnsi="Times New Roman;sans-serif"/>
          <w:b w:val="false"/>
          <w:color w:val="000000"/>
          <w:sz w:val="20"/>
          <w:highlight w:val="white"/>
        </w:rPr>
        <w:t xml:space="preserve">and $27.0 million or 157%, compared to the </w:t>
      </w:r>
      <w:r>
        <w:rPr>
          <w:rFonts w:ascii="Times New Roman;sans-serif" w:hAnsi="Times New Roman;sans-serif"/>
          <w:b w:val="false"/>
          <w:color w:val="000000"/>
          <w:sz w:val="20"/>
        </w:rPr>
        <w:t>three and nine</w:t>
      </w:r>
      <w:r>
        <w:rPr>
          <w:color w:val="000000"/>
          <w:highlight w:val="white"/>
        </w:rPr>
        <w:t xml:space="preserve"> </w:t>
      </w:r>
      <w:r>
        <w:rPr>
          <w:rFonts w:ascii="Times New Roman;sans-serif" w:hAnsi="Times New Roman;sans-serif"/>
          <w:b w:val="false"/>
          <w:color w:val="000000"/>
          <w:sz w:val="20"/>
          <w:highlight w:val="white"/>
        </w:rPr>
        <w:t>months ended March 31, 2021, respectively. This increase was primarily</w:t>
      </w:r>
      <w:r>
        <w:rPr>
          <w:color w:val="000000"/>
        </w:rPr>
        <w:t xml:space="preserve"> </w:t>
      </w:r>
      <w:r>
        <w:rPr>
          <w:rFonts w:ascii="Times New Roman;sans-serif" w:hAnsi="Times New Roman;sans-serif"/>
          <w:b w:val="false"/>
          <w:color w:val="000000"/>
          <w:sz w:val="20"/>
        </w:rPr>
        <w:t xml:space="preserve">due to an increase in the average unpaid principal balance of loans owned by third-party loan owners and increases in negotiated servicing rates with new and existing third-party loan owners. Additionally, we recognized an increase of servicing income of $6.4 million related to the changes in fair value of servicing assets and liabilities during the three months ended March 31, 2022, compared with an increase to servicing income of $0.9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million during the three months ended March 31, 2021. Similarly, during the nine months ended March 31, 2022, we recognized an increase of $3.7 million compared with a reduction of $0.2 million during the nine months ended March 31, 2021.</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8744" w:type="dxa"/>
        <w:jc w:val="left"/>
        <w:tblInd w:w="0" w:type="dxa"/>
        <w:tblCellMar>
          <w:top w:w="28" w:type="dxa"/>
          <w:left w:w="28" w:type="dxa"/>
          <w:bottom w:w="28" w:type="dxa"/>
          <w:right w:w="28" w:type="dxa"/>
        </w:tblCellMar>
      </w:tblPr>
      <w:tblGrid>
        <w:gridCol w:w="1080"/>
        <w:gridCol w:w="949"/>
        <w:gridCol w:w="9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1080"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2984"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984"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6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loan purchase commitment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transaction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Loss on Loan Purchase Commitment</w:t>
      </w:r>
    </w:p>
    <w:tbl>
      <w:tblPr>
        <w:tblW w:w="11903" w:type="dxa"/>
        <w:jc w:val="left"/>
        <w:tblInd w:w="0" w:type="dxa"/>
        <w:tblCellMar>
          <w:top w:w="28" w:type="dxa"/>
          <w:left w:w="28" w:type="dxa"/>
          <w:bottom w:w="28" w:type="dxa"/>
          <w:right w:w="28" w:type="dxa"/>
        </w:tblCellMar>
      </w:tblPr>
      <w:tblGrid>
        <w:gridCol w:w="413"/>
        <w:gridCol w:w="363"/>
        <w:gridCol w:w="365"/>
        <w:gridCol w:w="211"/>
        <w:gridCol w:w="721"/>
        <w:gridCol w:w="271"/>
        <w:gridCol w:w="109"/>
        <w:gridCol w:w="109"/>
        <w:gridCol w:w="109"/>
        <w:gridCol w:w="211"/>
        <w:gridCol w:w="721"/>
        <w:gridCol w:w="271"/>
        <w:gridCol w:w="109"/>
        <w:gridCol w:w="109"/>
        <w:gridCol w:w="109"/>
        <w:gridCol w:w="211"/>
        <w:gridCol w:w="736"/>
        <w:gridCol w:w="109"/>
        <w:gridCol w:w="109"/>
        <w:gridCol w:w="109"/>
        <w:gridCol w:w="109"/>
        <w:gridCol w:w="188"/>
        <w:gridCol w:w="188"/>
        <w:gridCol w:w="271"/>
        <w:gridCol w:w="109"/>
        <w:gridCol w:w="109"/>
        <w:gridCol w:w="109"/>
        <w:gridCol w:w="211"/>
        <w:gridCol w:w="826"/>
        <w:gridCol w:w="271"/>
        <w:gridCol w:w="109"/>
        <w:gridCol w:w="109"/>
        <w:gridCol w:w="109"/>
        <w:gridCol w:w="211"/>
        <w:gridCol w:w="826"/>
        <w:gridCol w:w="271"/>
        <w:gridCol w:w="109"/>
        <w:gridCol w:w="109"/>
        <w:gridCol w:w="109"/>
        <w:gridCol w:w="211"/>
        <w:gridCol w:w="736"/>
        <w:gridCol w:w="109"/>
        <w:gridCol w:w="109"/>
        <w:gridCol w:w="109"/>
        <w:gridCol w:w="109"/>
        <w:gridCol w:w="188"/>
        <w:gridCol w:w="188"/>
        <w:gridCol w:w="316"/>
      </w:tblGrid>
      <w:tr>
        <w:trPr/>
        <w:tc>
          <w:tcPr>
            <w:tcW w:w="41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14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6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4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62"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141"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loan purchase commitment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195,690 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Loss on loan purchase commitment for the three and nine months ended March 31, 2022 decreased by $15.2 million or 24% and $31.9 million or 16%, compared to the three and nine months ended March 31, 2021, respectively. This decrease was due to a decrease in the volume of long-term 0% APR loans purchased from our originating bank partners compared to the prior period, which are purchased above fair market value The decrease in loss on loan purchase commitment is also impacted by changes in the estimate of fair value of the loans driven primarily by the mix of loan terms. During the three and nine months ended March 31, 2022, we purchased $790.6 million and $2,432.8 million, respectively, of 0% APR loan receivables from our originating bank partners, representing a decrease of $35.7 million or 4% and $58.3 million or 2% compared to the three and nine months ended March 31, 2021, respectively.</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Provision for Credit Losses</w:t>
      </w:r>
    </w:p>
    <w:tbl>
      <w:tblPr>
        <w:tblW w:w="11694" w:type="dxa"/>
        <w:jc w:val="left"/>
        <w:tblInd w:w="0" w:type="dxa"/>
        <w:tblCellMar>
          <w:top w:w="28" w:type="dxa"/>
          <w:left w:w="28" w:type="dxa"/>
          <w:bottom w:w="28" w:type="dxa"/>
          <w:right w:w="28" w:type="dxa"/>
        </w:tblCellMar>
      </w:tblPr>
      <w:tblGrid>
        <w:gridCol w:w="446"/>
        <w:gridCol w:w="287"/>
        <w:gridCol w:w="288"/>
        <w:gridCol w:w="212"/>
        <w:gridCol w:w="194"/>
        <w:gridCol w:w="483"/>
        <w:gridCol w:w="109"/>
        <w:gridCol w:w="109"/>
        <w:gridCol w:w="109"/>
        <w:gridCol w:w="211"/>
        <w:gridCol w:w="631"/>
        <w:gridCol w:w="271"/>
        <w:gridCol w:w="109"/>
        <w:gridCol w:w="109"/>
        <w:gridCol w:w="109"/>
        <w:gridCol w:w="211"/>
        <w:gridCol w:w="721"/>
        <w:gridCol w:w="109"/>
        <w:gridCol w:w="109"/>
        <w:gridCol w:w="109"/>
        <w:gridCol w:w="109"/>
        <w:gridCol w:w="315"/>
        <w:gridCol w:w="316"/>
        <w:gridCol w:w="271"/>
        <w:gridCol w:w="109"/>
        <w:gridCol w:w="109"/>
        <w:gridCol w:w="109"/>
        <w:gridCol w:w="211"/>
        <w:gridCol w:w="826"/>
        <w:gridCol w:w="271"/>
        <w:gridCol w:w="109"/>
        <w:gridCol w:w="109"/>
        <w:gridCol w:w="109"/>
        <w:gridCol w:w="211"/>
        <w:gridCol w:w="721"/>
        <w:gridCol w:w="271"/>
        <w:gridCol w:w="109"/>
        <w:gridCol w:w="109"/>
        <w:gridCol w:w="109"/>
        <w:gridCol w:w="211"/>
        <w:gridCol w:w="826"/>
        <w:gridCol w:w="109"/>
        <w:gridCol w:w="109"/>
        <w:gridCol w:w="109"/>
        <w:gridCol w:w="109"/>
        <w:gridCol w:w="233"/>
        <w:gridCol w:w="233"/>
        <w:gridCol w:w="316"/>
      </w:tblGrid>
      <w:tr>
        <w:trPr/>
        <w:tc>
          <w:tcPr>
            <w:tcW w:w="44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02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02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3"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021"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182,581 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 net</w:t>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as a percentage of loans held for investment</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by the change in estimates for future losses and the net charge-offs incurred in the period. We record provision expense for each loan we retain as loans held for investment, whether we originate the loan or purchase it from one of our originating bank partners. The allowance as a percentage of loans held for investment increased from 5.2% as of March 31, 2021 to 6.4% as of March 31, 2022 primarily due to a deconcentration of long-term, lower-credit-risk 0% APR loans on our balance sheet and rapid growth of new platforms and partnerships with higher expected losses.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during the prior fiscal year, following the loss of our emerging growth company status, we adopted ASU 2016-13, “Financial Instruments — Credit Losses (Topic 326)” using the modified retrospective approach. The amendments replaced the incurred loss impairment methodology for computing our allowance for credit losses with the current expected credit loss model ("CECL"), effective July 1, 2020. As part of this modified retrospective approach to adoption, we recorded an adjustment reducing the provision for credit losses by $16.3 million for the nine months ended March 31, 2021.</w:t>
      </w:r>
    </w:p>
    <w:p>
      <w:pPr>
        <w:pStyle w:val="TextBody"/>
        <w:spacing w:lineRule="auto" w:line="288" w:before="0" w:after="200"/>
        <w:ind w:left="0" w:right="0" w:firstLine="720"/>
        <w:rPr/>
      </w:pP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 xml:space="preserve">months ended </w:t>
      </w:r>
      <w:r>
        <w:rPr>
          <w:rFonts w:ascii="Times New Roman;sans-serif" w:hAnsi="Times New Roman;sans-serif"/>
          <w:b w:val="false"/>
          <w:color w:val="000000"/>
          <w:sz w:val="20"/>
        </w:rPr>
        <w:t>March 31, 2022</w:t>
      </w:r>
      <w:r>
        <w:rPr>
          <w:rFonts w:ascii="Times New Roman;sans-serif" w:hAnsi="Times New Roman;sans-serif"/>
          <w:b w:val="false"/>
          <w:color w:val="000000"/>
          <w:sz w:val="20"/>
          <w:highlight w:val="white"/>
        </w:rPr>
        <w:t xml:space="preserve">, provision for credit losses expense increased $67.4 million compared to the </w:t>
      </w:r>
      <w:r>
        <w:rPr>
          <w:rFonts w:ascii="Times New Roman;sans-serif" w:hAnsi="Times New Roman;sans-serif"/>
          <w:b w:val="false"/>
          <w:color w:val="000000"/>
          <w:sz w:val="20"/>
        </w:rPr>
        <w:t xml:space="preserve">$1.1 million provision for credit losses income recognized for the three months ended March 31, 2021. Prior year provision for credit losses was recognized as income due to a combination of factors reducing the allowance for credit losses during the three months ended March 31, 2021. </w:t>
      </w:r>
      <w:r>
        <w:rPr>
          <w:rFonts w:ascii="Times New Roman;sans-serif" w:hAnsi="Times New Roman;sans-serif"/>
          <w:b w:val="false"/>
          <w:color w:val="000000"/>
          <w:sz w:val="20"/>
          <w:highlight w:val="white"/>
        </w:rPr>
        <w:t>Fi</w:t>
      </w:r>
      <w:r>
        <w:rPr>
          <w:rFonts w:ascii="Times New Roman;sans-serif" w:hAnsi="Times New Roman;sans-serif"/>
          <w:b w:val="false"/>
          <w:color w:val="000000"/>
          <w:sz w:val="20"/>
        </w:rPr>
        <w:t>rstly, continued stronger than expected repayment performance of the portfolio resulted in a decrease of approximately $12.3 million. Secondly, we began transitioning to a new underlying data model which incorporates internal improvements to our underwriting and collections processes. This change in model resulted in a decrease of approximately $48.2 million. These decreases were largely offset by allowances recognized on new purchases and originations of loans held for investment in the period with generally higher credit quality. For the nine months ended March 31, 2022, provision for cr</w:t>
      </w:r>
      <w:r>
        <w:rPr>
          <w:rFonts w:ascii="Times New Roman;sans-serif" w:hAnsi="Times New Roman;sans-serif"/>
          <w:b w:val="false"/>
          <w:color w:val="000000"/>
          <w:sz w:val="20"/>
          <w:highlight w:val="white"/>
        </w:rPr>
        <w:t xml:space="preserve">edit losses increased $142.2 million or 352% compared to the </w:t>
      </w:r>
      <w:r>
        <w:rPr>
          <w:rFonts w:ascii="Times New Roman;sans-serif" w:hAnsi="Times New Roman;sans-serif"/>
          <w:b w:val="false"/>
          <w:color w:val="000000"/>
          <w:sz w:val="20"/>
        </w:rPr>
        <w:t>nine months ended March 31, 2021</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The discrete adjustments in 2021 resulted in prior year provision being unusually low while this year’s figures reflect the intentional normalization of credit.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Funding Costs</w:t>
      </w:r>
    </w:p>
    <w:tbl>
      <w:tblPr>
        <w:tblW w:w="11288" w:type="dxa"/>
        <w:jc w:val="left"/>
        <w:tblInd w:w="0" w:type="dxa"/>
        <w:tblCellMar>
          <w:top w:w="28" w:type="dxa"/>
          <w:left w:w="28" w:type="dxa"/>
          <w:bottom w:w="28" w:type="dxa"/>
          <w:right w:w="28" w:type="dxa"/>
        </w:tblCellMar>
      </w:tblPr>
      <w:tblGrid>
        <w:gridCol w:w="457"/>
        <w:gridCol w:w="290"/>
        <w:gridCol w:w="25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28"/>
        <w:gridCol w:w="128"/>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45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006"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5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006"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82"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006"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costs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 net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Funding costs for the three and nine months ended March 31, 2022 increased by $1.2 million or 8%, and $13.2 million or 36%, compared to the three and nine months ended March 31, 2021, respectively. Funding costs for a given period are correlated with the sum of the average balance of funding debt and the average balance of notes issued by securitization trusts. This increase was primarily due to the increase of notes issued by securitization trusts during the current fiscal year, which bear interest at fixed rates. The average balance of notes issued by securitization trusts during the three and nine months ended March 31, 2022 was $1,512.4 million and $1,415.3 million, respectively, compared with $1,029.8 million and $639.6 million, respectively, during the three and nine months ended March 31, 2021. The average balance of funding debt for the three and nine months ended March 31, 2022 was $773.6 million and $688.9 million, respectively, compared with $782.7 million and $770.5 million, respectively, during the three and nine months ended March 31, 2021. Combined, average total debt for the three and nine months ended March 31, 2022 increased by $473.6 million or 26% and $694.0 million or 49%, respectively, compared to the three and nine months ended March 31, 2021 while the average reference interest rate increased by 89% and decreased by 4% during each period, respectively.</w:t>
      </w:r>
    </w:p>
    <w:p>
      <w:pPr>
        <w:pStyle w:val="TextBody"/>
        <w:spacing w:before="0" w:after="0"/>
        <w:ind w:left="0" w:right="0" w:firstLine="720"/>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Processing and Servicing</w:t>
      </w:r>
    </w:p>
    <w:tbl>
      <w:tblPr>
        <w:tblW w:w="10549" w:type="dxa"/>
        <w:jc w:val="left"/>
        <w:tblInd w:w="0" w:type="dxa"/>
        <w:tblCellMar>
          <w:top w:w="28" w:type="dxa"/>
          <w:left w:w="28" w:type="dxa"/>
          <w:bottom w:w="28" w:type="dxa"/>
          <w:right w:w="28" w:type="dxa"/>
        </w:tblCellMar>
      </w:tblPr>
      <w:tblGrid>
        <w:gridCol w:w="374"/>
        <w:gridCol w:w="315"/>
        <w:gridCol w:w="317"/>
        <w:gridCol w:w="211"/>
        <w:gridCol w:w="193"/>
        <w:gridCol w:w="483"/>
        <w:gridCol w:w="109"/>
        <w:gridCol w:w="109"/>
        <w:gridCol w:w="109"/>
        <w:gridCol w:w="211"/>
        <w:gridCol w:w="193"/>
        <w:gridCol w:w="483"/>
        <w:gridCol w:w="109"/>
        <w:gridCol w:w="109"/>
        <w:gridCol w:w="109"/>
        <w:gridCol w:w="211"/>
        <w:gridCol w:w="721"/>
        <w:gridCol w:w="109"/>
        <w:gridCol w:w="109"/>
        <w:gridCol w:w="109"/>
        <w:gridCol w:w="109"/>
        <w:gridCol w:w="233"/>
        <w:gridCol w:w="233"/>
        <w:gridCol w:w="271"/>
        <w:gridCol w:w="109"/>
        <w:gridCol w:w="109"/>
        <w:gridCol w:w="109"/>
        <w:gridCol w:w="211"/>
        <w:gridCol w:w="224"/>
        <w:gridCol w:w="557"/>
        <w:gridCol w:w="109"/>
        <w:gridCol w:w="109"/>
        <w:gridCol w:w="109"/>
        <w:gridCol w:w="211"/>
        <w:gridCol w:w="193"/>
        <w:gridCol w:w="483"/>
        <w:gridCol w:w="109"/>
        <w:gridCol w:w="109"/>
        <w:gridCol w:w="109"/>
        <w:gridCol w:w="211"/>
        <w:gridCol w:w="721"/>
        <w:gridCol w:w="109"/>
        <w:gridCol w:w="109"/>
        <w:gridCol w:w="109"/>
        <w:gridCol w:w="109"/>
        <w:gridCol w:w="233"/>
        <w:gridCol w:w="233"/>
        <w:gridCol w:w="316"/>
      </w:tblGrid>
      <w:tr>
        <w:trPr/>
        <w:tc>
          <w:tcPr>
            <w:tcW w:w="37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006"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006"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43"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006"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 net</w:t>
            </w:r>
          </w:p>
        </w:tc>
        <w:tc>
          <w:tcPr>
            <w:tcW w:w="4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Processing and servicing expense for the three and nine months ended March 31, 2022 increased by $22.0 million or 103% and $58.8 million or 114%, respectively, compared to the three and nine months ended March 31, 2021. This increase was primarily due to a $15.4 million or 152% and $39.8 million or 169%, increase in payment processing fees due to increased payments volume for the three and nine months ended March 31, 2022, respectively. Additionally, processing fees paid to our customer referral partners increased by $1.9 million or 133% and $3.5 million or 117%, for the three and nine months ended March 31, 2022, respectively. Personnel costs decreased by $0.4 million or 8% for the three months ended March 31, 2022 primarily due to employee equity vesting during the three months ended March 31, 2021 as the company went public. Personnel costs increased by $4.1 million or 48% for the nine months ended March 31, 2022 driven by growth in headcount. For the three and nine months ended March 31, 2022, third-party loan servicing and collections spend increased 109% and 80%, respectively, due to increased loan volume.</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Technology and Data Analytics</w:t>
      </w:r>
    </w:p>
    <w:tbl>
      <w:tblPr>
        <w:tblW w:w="10654" w:type="dxa"/>
        <w:jc w:val="left"/>
        <w:tblInd w:w="0" w:type="dxa"/>
        <w:tblCellMar>
          <w:top w:w="28" w:type="dxa"/>
          <w:left w:w="28" w:type="dxa"/>
          <w:bottom w:w="28" w:type="dxa"/>
          <w:right w:w="28" w:type="dxa"/>
        </w:tblCellMar>
      </w:tblPr>
      <w:tblGrid>
        <w:gridCol w:w="402"/>
        <w:gridCol w:w="354"/>
        <w:gridCol w:w="355"/>
        <w:gridCol w:w="211"/>
        <w:gridCol w:w="224"/>
        <w:gridCol w:w="557"/>
        <w:gridCol w:w="109"/>
        <w:gridCol w:w="109"/>
        <w:gridCol w:w="109"/>
        <w:gridCol w:w="211"/>
        <w:gridCol w:w="224"/>
        <w:gridCol w:w="557"/>
        <w:gridCol w:w="109"/>
        <w:gridCol w:w="109"/>
        <w:gridCol w:w="109"/>
        <w:gridCol w:w="211"/>
        <w:gridCol w:w="616"/>
        <w:gridCol w:w="109"/>
        <w:gridCol w:w="109"/>
        <w:gridCol w:w="109"/>
        <w:gridCol w:w="109"/>
        <w:gridCol w:w="128"/>
        <w:gridCol w:w="128"/>
        <w:gridCol w:w="271"/>
        <w:gridCol w:w="109"/>
        <w:gridCol w:w="109"/>
        <w:gridCol w:w="109"/>
        <w:gridCol w:w="211"/>
        <w:gridCol w:w="224"/>
        <w:gridCol w:w="557"/>
        <w:gridCol w:w="109"/>
        <w:gridCol w:w="109"/>
        <w:gridCol w:w="109"/>
        <w:gridCol w:w="211"/>
        <w:gridCol w:w="224"/>
        <w:gridCol w:w="557"/>
        <w:gridCol w:w="109"/>
        <w:gridCol w:w="109"/>
        <w:gridCol w:w="109"/>
        <w:gridCol w:w="211"/>
        <w:gridCol w:w="826"/>
        <w:gridCol w:w="109"/>
        <w:gridCol w:w="109"/>
        <w:gridCol w:w="109"/>
        <w:gridCol w:w="109"/>
        <w:gridCol w:w="180"/>
        <w:gridCol w:w="181"/>
        <w:gridCol w:w="316"/>
      </w:tblGrid>
      <w:tr>
        <w:trPr/>
        <w:tc>
          <w:tcPr>
            <w:tcW w:w="40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11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5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1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43"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111"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data analytics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 net</w:t>
            </w:r>
          </w:p>
        </w:tc>
        <w:tc>
          <w:tcPr>
            <w:tcW w:w="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00"/>
        <w:ind w:left="0" w:right="0" w:firstLine="720"/>
        <w:rPr/>
      </w:pPr>
      <w:r>
        <w:rPr>
          <w:rFonts w:ascii="Times New Roman;sans-serif" w:hAnsi="Times New Roman;sans-serif"/>
          <w:b w:val="false"/>
          <w:color w:val="000000"/>
          <w:sz w:val="20"/>
        </w:rPr>
        <w:t>Technology and data analytics expense</w:t>
      </w:r>
      <w:r>
        <w:rPr>
          <w:color w:val="000000"/>
        </w:rPr>
        <w:t xml:space="preserve"> </w:t>
      </w:r>
      <w:r>
        <w:rPr>
          <w:rFonts w:ascii="Times New Roman;sans-serif" w:hAnsi="Times New Roman;sans-serif"/>
          <w:b w:val="false"/>
          <w:color w:val="000000"/>
          <w:sz w:val="20"/>
        </w:rPr>
        <w:t>for the three and nine months ended March 31, 2022 increased by $5.5 million or 5% and $103.1 million or 57%, respectively, compared to the three and nine months ended March 31, 2021. For the three months ended March 31, 2022, we saw a $9.0 million or 12% decrease in engineering, product, and data science personnel costs, net of capitalized costs for internally developed software, primarily due to employee equity vesting during the three months ended March 31, 2021 as the company went public. For the nine months ended March 31, 2022, we saw a $48.9 million or 40% increase in personnel costs compared to the nine months ended March 31, 2021 as we continue to support our growth and technology platform as a whole. The largest component of these personnel costs was stock-based compensation, which accounted for an $18.4 million decrease and an $18.3 million increase compared to the three and nine months ended March 31, 2021, respectively, largely due to vesting of RSUs.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there was a $14.0 million or 146% and $36.5 million or 137%, increase in data infrastructure and hosting costs for the three and nine months ended March 31, 2022, respectively, compared to the three and nine months ended March 31, 2021, due to increased capacity requirements of our technology platform. There was a $3.4 million or 72% and a $9.1 million or 78%, increase in underwriting data provider costs for the three and nine months ended March 31, 2022, compared to the three and nine months ended March 31, 2021, respectively, due to an increase in applications, partially offset by cost improvements achieved as a result of contract renegotiations.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12128" w:type="dxa"/>
        <w:jc w:val="left"/>
        <w:tblInd w:w="0" w:type="dxa"/>
        <w:tblCellMar>
          <w:top w:w="28" w:type="dxa"/>
          <w:left w:w="28" w:type="dxa"/>
          <w:bottom w:w="28" w:type="dxa"/>
          <w:right w:w="28" w:type="dxa"/>
        </w:tblCellMar>
      </w:tblPr>
      <w:tblGrid>
        <w:gridCol w:w="402"/>
        <w:gridCol w:w="301"/>
        <w:gridCol w:w="303"/>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233"/>
        <w:gridCol w:w="233"/>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233"/>
        <w:gridCol w:w="233"/>
        <w:gridCol w:w="316"/>
      </w:tblGrid>
      <w:tr>
        <w:trPr/>
        <w:tc>
          <w:tcPr>
            <w:tcW w:w="40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006"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006"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22"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006"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 net</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00"/>
        <w:ind w:left="0" w:right="0" w:firstLine="720"/>
        <w:rPr/>
      </w:pPr>
      <w:r>
        <w:rPr>
          <w:rFonts w:ascii="Times New Roman;sans-serif" w:hAnsi="Times New Roman;sans-serif"/>
          <w:b w:val="false"/>
          <w:color w:val="000000"/>
          <w:sz w:val="20"/>
        </w:rPr>
        <w:t>Sales and marketing expense</w:t>
      </w:r>
      <w:r>
        <w:rPr>
          <w:color w:val="000000"/>
        </w:rPr>
        <w:t xml:space="preserve"> </w:t>
      </w:r>
      <w:r>
        <w:rPr>
          <w:rFonts w:ascii="Times New Roman;sans-serif" w:hAnsi="Times New Roman;sans-serif"/>
          <w:b w:val="false"/>
          <w:color w:val="000000"/>
          <w:sz w:val="20"/>
        </w:rPr>
        <w:t>for the three and nine months ended March 31, 2022 increased by $98.0 million or 168% and $243.8 million or 203%, compared to the three and nine months ended March 31, 2021, respectively. This increase was primarily due to $102.4 million and $173.0 million of expense related to warrants granted to Amazon during the three and nine months ended March 31, 2022, respectively. Additionally, stock-based compensation related to employees in the sales and marketing functions decreased $4.6 million or 43% compared to the three months ended March 31, 2021, as a result of employee equity vesting during the three months ended March 31, 2021 as the company went public. Stock-based compensation increased $3.7 million or 31%, compared to the nine months ended March 31, 2021 largely due to an increased headcount. Loss on loan originations increased $0.2 million or 6% and $19.1 million or 367%, compared to the three and nine months ended March 31, 2021, respectively, primarily due to an increase in self-originated loans.</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Furthermore, there was a $3.7 million or 71% and $23.9 million or 131%, increase in brand and consumer marketing spend during the three and nine months ended March 31, 2022, respectively, compared to the three and nine months ended March 31, 2021, associated with our expanded brand-activation, holiday shopping, lifestyle, and travel marketing campaigns, as well as a $0.6 million or 16% decrease and $7.2 million or 118% increase in business-to-business marketing spend compared to the three and nine months ended March 31, 2021, respectively.</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12338" w:type="dxa"/>
        <w:jc w:val="left"/>
        <w:tblInd w:w="0" w:type="dxa"/>
        <w:tblCellMar>
          <w:top w:w="28" w:type="dxa"/>
          <w:left w:w="28" w:type="dxa"/>
          <w:bottom w:w="28" w:type="dxa"/>
          <w:right w:w="28" w:type="dxa"/>
        </w:tblCellMar>
      </w:tblPr>
      <w:tblGrid>
        <w:gridCol w:w="468"/>
        <w:gridCol w:w="411"/>
        <w:gridCol w:w="412"/>
        <w:gridCol w:w="211"/>
        <w:gridCol w:w="826"/>
        <w:gridCol w:w="271"/>
        <w:gridCol w:w="109"/>
        <w:gridCol w:w="109"/>
        <w:gridCol w:w="109"/>
        <w:gridCol w:w="211"/>
        <w:gridCol w:w="826"/>
        <w:gridCol w:w="271"/>
        <w:gridCol w:w="109"/>
        <w:gridCol w:w="109"/>
        <w:gridCol w:w="109"/>
        <w:gridCol w:w="211"/>
        <w:gridCol w:w="736"/>
        <w:gridCol w:w="109"/>
        <w:gridCol w:w="109"/>
        <w:gridCol w:w="109"/>
        <w:gridCol w:w="109"/>
        <w:gridCol w:w="188"/>
        <w:gridCol w:w="188"/>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316"/>
      </w:tblGrid>
      <w:tr>
        <w:trPr/>
        <w:tc>
          <w:tcPr>
            <w:tcW w:w="46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29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291"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47"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291"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142,466 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419,962 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253,188 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 net</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720"/>
        <w:rPr/>
      </w:pPr>
      <w:r>
        <w:rPr>
          <w:rFonts w:ascii="Times New Roman;sans-serif" w:hAnsi="Times New Roman;sans-serif"/>
          <w:b w:val="false"/>
          <w:color w:val="000000"/>
          <w:sz w:val="20"/>
        </w:rPr>
        <w:t>General and administrative expense</w:t>
      </w:r>
      <w:r>
        <w:rPr>
          <w:color w:val="000000"/>
        </w:rPr>
        <w:t xml:space="preserve"> </w:t>
      </w:r>
      <w:r>
        <w:rPr>
          <w:rFonts w:ascii="Times New Roman;sans-serif" w:hAnsi="Times New Roman;sans-serif"/>
          <w:b w:val="false"/>
          <w:color w:val="000000"/>
          <w:sz w:val="20"/>
        </w:rPr>
        <w:t>for the three months ended March 31, 2022 decreased by $37.5 million or 21% compared to the three months ended March 31, 2021. This decrease was primarily due to a decrease of $57.5 million or 50% in stock-based compensation during the three months ended March 31, 2022 compared to the three months ended March 31, 2021, as a result of employee equity vesting during the three months ended March 31, 2021 as the company went public. The decrease was partially offset by a $22.6 million increase in payroll during the three months ended March 31, 2022 compared to the three months ended March 31, 2021 primarily due to an increased headcount. General and administrative expense</w:t>
      </w:r>
      <w:r>
        <w:rPr>
          <w:color w:val="000000"/>
        </w:rPr>
        <w:t xml:space="preserve"> </w:t>
      </w:r>
      <w:r>
        <w:rPr>
          <w:rFonts w:ascii="Times New Roman;sans-serif" w:hAnsi="Times New Roman;sans-serif"/>
          <w:b w:val="false"/>
          <w:color w:val="000000"/>
          <w:sz w:val="20"/>
        </w:rPr>
        <w:t xml:space="preserve">for the nine months ended March 31, 2022 increased by $166.8 million or 66%, compared to the nine months ended March 31, 2021 primarily due to an increased headcount as we continue to grow our finance, legal, operations, and administrative organizations.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professional fees increased by $2.7 million or 35% and $7.5 million or 37%, during the three and nine months ended March 31, 2022, respectively, compared to the three and nine months ended March 31, 2021, to support our acquisitions, international expansion, and regulatory compliance programs. </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tbl>
      <w:tblPr>
        <w:tblW w:w="12083" w:type="dxa"/>
        <w:jc w:val="left"/>
        <w:tblInd w:w="0" w:type="dxa"/>
        <w:tblCellMar>
          <w:top w:w="28" w:type="dxa"/>
          <w:left w:w="28" w:type="dxa"/>
          <w:bottom w:w="28" w:type="dxa"/>
          <w:right w:w="28" w:type="dxa"/>
        </w:tblCellMar>
      </w:tblPr>
      <w:tblGrid>
        <w:gridCol w:w="431"/>
        <w:gridCol w:w="287"/>
        <w:gridCol w:w="288"/>
        <w:gridCol w:w="211"/>
        <w:gridCol w:w="826"/>
        <w:gridCol w:w="271"/>
        <w:gridCol w:w="109"/>
        <w:gridCol w:w="109"/>
        <w:gridCol w:w="109"/>
        <w:gridCol w:w="211"/>
        <w:gridCol w:w="736"/>
        <w:gridCol w:w="271"/>
        <w:gridCol w:w="109"/>
        <w:gridCol w:w="109"/>
        <w:gridCol w:w="109"/>
        <w:gridCol w:w="211"/>
        <w:gridCol w:w="826"/>
        <w:gridCol w:w="109"/>
        <w:gridCol w:w="109"/>
        <w:gridCol w:w="109"/>
        <w:gridCol w:w="109"/>
        <w:gridCol w:w="240"/>
        <w:gridCol w:w="241"/>
        <w:gridCol w:w="271"/>
        <w:gridCol w:w="109"/>
        <w:gridCol w:w="109"/>
        <w:gridCol w:w="109"/>
        <w:gridCol w:w="211"/>
        <w:gridCol w:w="721"/>
        <w:gridCol w:w="271"/>
        <w:gridCol w:w="109"/>
        <w:gridCol w:w="109"/>
        <w:gridCol w:w="109"/>
        <w:gridCol w:w="211"/>
        <w:gridCol w:w="736"/>
        <w:gridCol w:w="271"/>
        <w:gridCol w:w="109"/>
        <w:gridCol w:w="109"/>
        <w:gridCol w:w="109"/>
        <w:gridCol w:w="211"/>
        <w:gridCol w:w="826"/>
        <w:gridCol w:w="109"/>
        <w:gridCol w:w="109"/>
        <w:gridCol w:w="109"/>
        <w:gridCol w:w="109"/>
        <w:gridCol w:w="240"/>
        <w:gridCol w:w="241"/>
        <w:gridCol w:w="316"/>
      </w:tblGrid>
      <w:tr>
        <w:trPr/>
        <w:tc>
          <w:tcPr>
            <w:tcW w:w="43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006"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FFFFFF"/>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006"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7"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006" w:type="dxa"/>
            <w:gridSpan w:val="3"/>
            <w:tcBorders>
              <w:top w:val="single" w:sz="8"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 net</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March 31, 2022, other (expense) income, net, was largely comprised of a gain of $136.2 million and a gain of $28.7 million, respectively, recognized based on the change in fair value of the contingent consideration liability associated with our acquisition of PayBright, driven by decreases in the value of our common stock.</w:t>
      </w:r>
    </w:p>
    <w:p>
      <w:pPr>
        <w:pStyle w:val="TextBody"/>
        <w:spacing w:lineRule="auto" w:line="268" w:before="0" w:after="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For both the three and nine months ended March 31, 2021, other (expense) income, net was primarily comprised of a loss of $78.5 million recognized based on the change in fair value of the contingent consideration liability associated with our acquisition of PayBright, driven by changes in the value of our common stock. Additionally, for the nine months ended March 31, 2021, other (expense) income, net included a gain of $30.1 million recognized upon the conversion of convertible notes into shares of Series G-1 preferred stock. The conversion of convertible notes was accounted for as a debt extinguishment since the number of shares of Series G-1 preferred stock issued upon conversion was variable and this gain represented the difference between the carrying value of the debt at the time of extinguishment and the allocated proceeds.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Funds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incurred losses since our inception, accumulating a deficit of $1.4 billion and $0.9 billion as of March 31, 2022 and June 30, 2021, respectively. We have historically financed the majority of our operating and capital needs through the sales of equity securities, borrowings from debt facilities and convertible debt, third-party loan sale arrangements, and cash flows from operations. In September and October 2020, we issued an aggregate of 21,836,687 shares of Series G preferred stock for aggregate cash proceeds of $435.1 million. On January 15, 2021, we closed an initial public offering of our Class A common stock with cash proceeds, before expenses, of $1.3 billion. On November 23, 2021, we issued the 2026 Notes, generating cash proceeds of $1.7 billion.</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our principal sources of liquidity were available for sale securities and cash and cash equivalents, available capacity from revolving debt facilities, revolving securitizations, forward flow loan sale arrangements, and certain cash flows from our operations. We believe that our existing cash balances, available capacity under our revolving debt facilities, revolving securitizations and off-balance sheet loan sale arrangements, and cash from operations, are sufficient to meet both our existing operating, working capital, and capital expenditure requirements and our currently planned growth for at least the next 12 months. We cannot provide assurance, however, that our business will generate sufficient cash flows from operations or that future borrowings will be available to us in an amount sufficient to enable us to fund our liquidity needs in the long-term. Our ability to do so depends on prevailing economic conditions and other factors, many of which are beyond our control. Our on- and off-balance sheet facilities provide funding subject to various constraining limits on the financed portfolios. These limits are generally tied to loan-level attributes such as loan term, credit quality, and interest rate, as well as borrower- and merchant-level attributes. </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we had approximately $2.3 billion of cash and cash equivalents to fund our future operations compared to approximately $1.5 billion as of June 30, 2021. This increase is primarily due to the proceeds of the 2026 Notes issuance on November 23, 2021. Our cash and cash equivalents were comprised of operating bank accounts, money market funds, certificates of deposits, corporate bonds, and other commercial paper with maturities less than three months. Cash and cash equivalents are held primarily for continued investment in our business, for working capital purposes, and to facilitate a portion of our lending activities. Our policy is to invest cash in excess of our immediate working capital requirements in liquid investments and deposit accounts to preserve the principal balance and maintain adequate liquidity.</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Restricted Cash</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consists primarily of: (i) deposits restricted by standby letters of credit for office leases and merchant partnership agreements; (ii) funds held in accounts as collateral for our originating bank partners; and (iii) servicing funds held in accounts contractually restricted by agreements with warehouse credit facilities and third-party loan owners. We have no ability to draw on such funds as long as they remain restricted under the applicable arrangements.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Funding Debt</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funding debt facilities as of March 31, 2022:</w:t>
      </w:r>
    </w:p>
    <w:tbl>
      <w:tblPr>
        <w:tblW w:w="5888" w:type="dxa"/>
        <w:jc w:val="left"/>
        <w:tblInd w:w="0" w:type="dxa"/>
        <w:tblCellMar>
          <w:top w:w="28" w:type="dxa"/>
          <w:left w:w="28" w:type="dxa"/>
          <w:bottom w:w="28" w:type="dxa"/>
          <w:right w:w="28" w:type="dxa"/>
        </w:tblCellMar>
      </w:tblPr>
      <w:tblGrid>
        <w:gridCol w:w="620"/>
        <w:gridCol w:w="544"/>
        <w:gridCol w:w="546"/>
        <w:gridCol w:w="109"/>
        <w:gridCol w:w="109"/>
        <w:gridCol w:w="109"/>
        <w:gridCol w:w="268"/>
        <w:gridCol w:w="1259"/>
        <w:gridCol w:w="138"/>
        <w:gridCol w:w="109"/>
        <w:gridCol w:w="109"/>
        <w:gridCol w:w="109"/>
        <w:gridCol w:w="325"/>
        <w:gridCol w:w="1297"/>
        <w:gridCol w:w="237"/>
      </w:tblGrid>
      <w:tr>
        <w:trPr/>
        <w:tc>
          <w:tcPr>
            <w:tcW w:w="62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Maturity Fiscal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Capacity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Outstanding</w:t>
            </w:r>
          </w:p>
        </w:tc>
      </w:tr>
      <w:tr>
        <w:trPr/>
        <w:tc>
          <w:tcPr>
            <w:tcW w:w="17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419,018 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208,468 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1,325,000 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393,480 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and 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308,858 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2,394,018</w:t>
            </w:r>
            <w:r>
              <w:rPr>
                <w:color w:val="000000"/>
              </w:rPr>
              <w:t> </w:t>
            </w:r>
          </w:p>
        </w:tc>
        <w:tc>
          <w:tcPr>
            <w:tcW w:w="1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9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910,806</w:t>
            </w:r>
            <w:r>
              <w:rPr>
                <w:color w:val="000000"/>
              </w:rPr>
              <w:t> </w:t>
            </w:r>
          </w:p>
        </w:tc>
        <w:tc>
          <w:tcPr>
            <w:tcW w:w="2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Warehouse Credit Facilities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Through trusts, we entered into warehouse credit facilities with certain lenders to finance the purchase and origination of our loans. These trusts are consolidated variable interest entities (“VIEs”), and each trust entered into a credit agreement and security agreement with a commercial bank as administrative agent and a national banking association as collateral trustee and paying agent. Borrowings under these agreements are referred to as funding debt. These credit agreements contain operating covenants, including limitations on the incurrence of certain indebtedness and liens, restrictions on certain intercompany transactions, and limitations on the amount of dividends and stock repurchases. Our funding debt facilities include concentration limits for various loan characteristics including credit quality, product mix, geography, and merchant concentration. As of March 31, 2022, we were in compliance with all applicable covenants in the agreements. Refer to Note 10. Debt in the notes to the interim consolidated financial statements included elsewhere in this Form 10-Q for additional information.</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revolving facilities mature between 2022 and 2029, and subject to covenant compliance generally permit borrowings up to 12 months prior to the final maturity date. Borrowings under these facilities generally occur multiple times per week, and generally coincide with the purchase of loans from our originating bank partners. We manage liquidity by accessing diversified pools of capital and avoid concentration with any single counterparty; we are diversified across different types of investors including investment banks, asset managers, and insurance companies.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Borrowings under these facilities bear interest at an annual benchmark rate of LIBOR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1.65% to 4.00%. Interest is payable monthly. In addition, these agreements require payment of a monthly unused commitment fee ranging from 0% to 0.75% per annum on the undrawn portion available.</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Other Funding Facilities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Prior to our acquisition of PayBright on January 1, 2021, PayBright entered into various credit facilities utilized to finance the origination of loans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2022, and bear interest based on a benchmark rate plus a spread ranging from 1.25% to 4.25%.</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4, 2022, we entered into a revolving credit agreement with a syndicate of commercial banks for a $165.0 million unsecured revolving credit facility, maturing on February 4, 2025. This facility bears interest at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a rate equal to, at our option, either (a) a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 1.0% per annum, in each case, plus an applicable margin of 0.85% per annum. The facility contains certain covenants and restrictions, including certain financial maintenance covenants, and requires payment of a monthly unused commitment fee of 0.20% per annum on the undrawn balance available. There are no borrowings outstanding under the facility. Refer to Note 10. Debt. </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Securitizations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asset-backed securitizations, we sponsor and establish trusts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The assets are transferred into a trust such that the assets are legally isolated from the creditors of Affirm and are not available to satisfy our obligations. These assets can only be used to settle obligations of the underlying trusts. Each securitization trust issued senior notes and residual certificates to finance the purchase of the loans facilitated by our platform. The 2020-Z1, 2020-Z2, 2021-Z1, 2021-Z2 and 2022-X1 securitizations are secured by static pools of loans contributed at closing, whereas the 2020-A, 2021-A and 2021-B securitizations are revolving and we may contribute additional loans from time to time until the end of the respective revolving period. Refer to Note 11. Securitization and Variable Interest Entities.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before="0" w:after="0"/>
        <w:ind w:left="0" w:right="0" w:firstLine="360"/>
        <w:rPr/>
      </w:pPr>
      <w:r>
        <w:rPr/>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7098" w:type="dxa"/>
        <w:jc w:val="left"/>
        <w:tblInd w:w="0" w:type="dxa"/>
        <w:tblCellMar>
          <w:top w:w="28" w:type="dxa"/>
          <w:left w:w="28" w:type="dxa"/>
          <w:bottom w:w="28" w:type="dxa"/>
          <w:right w:w="28" w:type="dxa"/>
        </w:tblCellMar>
      </w:tblPr>
      <w:tblGrid>
        <w:gridCol w:w="1363"/>
        <w:gridCol w:w="1197"/>
        <w:gridCol w:w="1205"/>
        <w:gridCol w:w="109"/>
        <w:gridCol w:w="109"/>
        <w:gridCol w:w="109"/>
        <w:gridCol w:w="494"/>
        <w:gridCol w:w="482"/>
        <w:gridCol w:w="181"/>
        <w:gridCol w:w="181"/>
        <w:gridCol w:w="181"/>
        <w:gridCol w:w="181"/>
        <w:gridCol w:w="531"/>
        <w:gridCol w:w="519"/>
        <w:gridCol w:w="256"/>
      </w:tblGrid>
      <w:tr>
        <w:trPr/>
        <w:tc>
          <w:tcPr>
            <w:tcW w:w="136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w:t>
            </w:r>
          </w:p>
        </w:tc>
      </w:tr>
      <w:tr>
        <w:trPr/>
        <w:tc>
          <w:tcPr>
            <w:tcW w:w="3765"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765"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(103,085)</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(173,217)</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(985,621)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(1,106,378)</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bottom w:val="single" w:sz="8" w:space="0" w:color="CCEEFF"/>
            </w:tcBorders>
            <w:shd w:fill="CCEEFF" w:val="clear"/>
            <w:tcMar>
              <w:top w:w="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Cash Provided by Financing Activities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2,753,959 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2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Amounts include net cash provided by the issuance of redeemable convertible preferred stock and convertible debt as follows:</w:t>
      </w:r>
    </w:p>
    <w:tbl>
      <w:tblPr>
        <w:tblW w:w="10205" w:type="dxa"/>
        <w:jc w:val="left"/>
        <w:tblInd w:w="0" w:type="dxa"/>
        <w:tblCellMar>
          <w:top w:w="28" w:type="dxa"/>
          <w:left w:w="28" w:type="dxa"/>
          <w:bottom w:w="28" w:type="dxa"/>
          <w:right w:w="28" w:type="dxa"/>
        </w:tblCellMar>
      </w:tblPr>
      <w:tblGrid>
        <w:gridCol w:w="2552"/>
        <w:gridCol w:w="2175"/>
        <w:gridCol w:w="2186"/>
        <w:gridCol w:w="109"/>
        <w:gridCol w:w="109"/>
        <w:gridCol w:w="109"/>
        <w:gridCol w:w="211"/>
        <w:gridCol w:w="976"/>
        <w:gridCol w:w="109"/>
        <w:gridCol w:w="109"/>
        <w:gridCol w:w="109"/>
        <w:gridCol w:w="109"/>
        <w:gridCol w:w="211"/>
        <w:gridCol w:w="976"/>
        <w:gridCol w:w="155"/>
      </w:tblGrid>
      <w:tr>
        <w:trPr/>
        <w:tc>
          <w:tcPr>
            <w:tcW w:w="2552"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March 31,</w:t>
            </w:r>
          </w:p>
        </w:tc>
      </w:tr>
      <w:tr>
        <w:trPr/>
        <w:tc>
          <w:tcPr>
            <w:tcW w:w="6913"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913"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9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convertible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net of repurchases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initial public offering,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1,305,301 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and conversion of redeemable convertible preferred stock, net of repurchases and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434,529 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equity-related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1,782,859 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debt-related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1,098,666 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top w:val="single" w:sz="8" w:space="0" w:color="CCEE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 withholding for stock-based compensation</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bottom w:val="single" w:sz="8" w:space="0" w:color="FFFFFF"/>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2,753,959 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for the nine months ended March 31, 2022 was $103.1 million, a decrease of $70.1 million from cash used in operating activities of $173.2 million for the nine months ended March 31, 2021. This reflects our net loss of $520.3 million, adjusted for non-cash charges of $426.9 million. Additionally, we had net cash outflows of $8.6 million provided by changes in our operating assets and liabilities. </w:t>
      </w:r>
    </w:p>
    <w:p>
      <w:pPr>
        <w:pStyle w:val="TextBody"/>
        <w:spacing w:lineRule="auto" w:line="288" w:before="0" w:after="200"/>
        <w:ind w:left="0" w:right="0" w:firstLine="720"/>
        <w:rPr/>
      </w:pPr>
      <w:r>
        <w:rPr>
          <w:rFonts w:ascii="Times New Roman;sans-serif" w:hAnsi="Times New Roman;sans-serif"/>
          <w:b w:val="false"/>
          <w:color w:val="000000"/>
          <w:sz w:val="20"/>
        </w:rPr>
        <w:t>Non-cash charges primarily consisted of: provision for credit losses, which increased by $142.2 million or 352% due to a change in product mix for on-balance sheet loans and an unusually low provision expense in the prior comparative period driven by the</w:t>
      </w:r>
      <w:r>
        <w:rPr>
          <w:color w:val="000000"/>
          <w:highlight w:val="white"/>
        </w:rPr>
        <w:t xml:space="preserve"> </w:t>
      </w:r>
      <w:r>
        <w:rPr>
          <w:rFonts w:ascii="Times New Roman;sans-serif" w:hAnsi="Times New Roman;sans-serif"/>
          <w:b w:val="false"/>
          <w:color w:val="000000"/>
          <w:sz w:val="20"/>
          <w:highlight w:val="white"/>
        </w:rPr>
        <w:t>release of stressed expected loss scenarios and the adoption of CECL</w:t>
      </w:r>
      <w:r>
        <w:rPr>
          <w:rFonts w:ascii="Times New Roman;sans-serif" w:hAnsi="Times New Roman;sans-serif"/>
          <w:b w:val="false"/>
          <w:color w:val="000000"/>
          <w:sz w:val="20"/>
        </w:rPr>
        <w:t>; gain on sales of loans, which increased by $93.8 million from $47.3 million for the nine months ended March 31, 2021 due to improved loan sale economics and increased loan sales since the third quarter of the prior fiscal year; and amortization of premiums and discounts, which increased by $69.0 million or 114% due to increased amortization of discounts related to loans purchased from our originating bank partners at a price above fair market value. Furthermore, we incurred $280.1 million of stock-based compensation, up from $192.4 million due to accelerated vesting of RSUs for which the service-based condition had been met prior to the IPO and the performance-based condition was met on the IPO date, and gains of $136.2 million due to the decrease in the fair value of our contingent consideration liability, driven by changes in the value of our common stock.</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outflows resulting from changes in operating assets and liabilities decreased to $8.6 million for the nine months ended March 31, 2022, compared to net cash outflows of $68.5 million for the nine months ended March 31, 2021. This change was primarily driven by a decrease in other assets due to a reduction of prepaid payroll taxes during the nine months ended March 31, 2022. </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nine months ended March 31, 2022 was $985.6 million, a decrease of $120.8 million from $1,106.4 million for the nine months ended March 31, 2021. The main driver of this was $5,867.6 million of repayments of loans, representing an increase of $2,865.2 million, or 95%, compared to the third quarter of the prior year, due to a higher average balance of loans held for investment and generally increasing credit quality of the portfolio. Additionally, we sold $1,330.3 million of loans, representing an increase of $982.1 million or 282% compared to the third quarter of the prior year. These cash inflows were partially offset by $7,529.3 million of purchases of loans, representing an increase of $3,215.5 million or 75% compared to the third quarter of the prior year, due partly to continued growth in GMV. Additionally, we recorded cash outflows of approximately $770.0 million related to purchases of available for sale securities in the current period.</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nine months ended March 31, 2022 was $2,066.0 million, a decrease of $688.0 million from $2,754.0 million during the nine months ended March 31, 2021. A main driver of this was vesting of warrants for common stock of $1,305.3 million during the nine months ended March 31, 2021 compared to no activity during the nine months ended March 31, 2022. Additionally, during the nine months ended March 31, 2022, we saw a $986.0 million decrease in cash inflows from the issuance of notes by our securitization trusts, net of in-period principal repayments, from $1,251.7 million during the nine months ended March 31, 2021. This decrease in net cash inflows was partially offset by the issuance of convertible debt during the nine months ended March 31, 2022, which resulted in net cash inflows of $1,704.3 million, net of debt issuance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Liquidity and Capital Risks and Requirements</w:t>
      </w:r>
    </w:p>
    <w:p>
      <w:pPr>
        <w:pStyle w:val="TextBody"/>
        <w:spacing w:before="0" w:after="0"/>
        <w:rPr/>
      </w:pPr>
      <w:r>
        <w:rPr/>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are numerous risks to our financial results, liquidity, capital raising, and debt refinancing plans, some of which may not be quantified in our current liquidity forecasts. The principal factors that could impact our liquidity and capital needs are customer delinquencies and defaults, a prolonged inability to adequately access capital market funding, declines in loan purchases and therefore revenue, fluctuations in our financial performance, the timing and extent of spending to support development efforts, the expansion of sales and marketing activities, the introduction of new and enhanced products, and the continuing market adoption of our platform. We intend to support our liquidity and capital position by pursuing diversified debt financings (including new securitizations and revolving debt facilities) and extending existing secured revolving facilities to provide committed liquidity in case of prolonged market fluctuations.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in the future, enter into arrangements to acquire or invest in complementary businesses, products, and technologies. We may be required to seek additional equity or debt financing in connection with those efforts. In the event that we require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additional collateral as security. If we are unable to raise additional capital or generate cash flows necessary to expand our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our significant judgments or estimates could prove to be materially incorrect.</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Concentrations of Revenue</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March 31, 2022, there were no merchants that exceeded 10% of total revenue. For the three and nine months ended March 31, 2021 approximately 20% and 31% of total revenue, respectively, was driven by one merchant partner, Peloton. We believe we have a strong relationship with Peloton and, in September 2020, we entered into a renewed merchant agreement with Peloton with an initial three-year term ending in September 2023, which automatically renews for additional and successive one-year terms until terminated. While we believe our growth will facilitate both revenue growth and merchant diversification as we continue to integrate with a wide range of merchants, changes in merchant loan volume and revenue concentration may cause our financial and operating performance to fluctuate significantly from period to period. Our revenue as a percentage of GMV in any given period varies across products. As such, as we continue to expand our network to include more merchants, revenue as a percentage of GMV will vary.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23, 2021, the Company issued $1.7 billion in aggregate principal amount of 0% convertible senior notes due 2026 (the “2026 Notes”). The 2026 Notes represent senior unsecured obligations of the Company. The 2026 Notes do not bear interest except in special circumstances, and the principal amount of the 2026 Notes does not accrete. The 2026 Notes mature on November 15, 2026.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Off-balance sheet loans relate to unconsolidated securitization transactions and loans sold to third-party investors for which we have some form of continuing involvement, including as servicer. For off-balance sheet loan sales where servicing is the only form of continuing involvement, we would only experience a loss if we were required to repurchase such a loan due to a breach in representations and warranties associated with our loan sale or servicing contracts. For unconsolidated securitization transactions where Affirm is the sponsor and risk retention holder, Affirm could experience a loss of up to 5% of both the senior notes and residual certificates. As of March 31, 2022, the aggregate outstanding balance of loans held by third-party investors or off-balance sheet VIEs was $4.0 billion. As of March 31, 2022, we had three off-balance sheet VIEs, the 2021-Z1, 2021-Z2, and 2022-X1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color w:val="000000"/>
          <w:sz w:val="20"/>
        </w:rPr>
        <w:t xml:space="preserve">securitization trusts. In the unlikely event principal payments on the loans backing any off-balance sheet securitization are insufficient to pay senior note holders, including any retained interest, then any amounts the Company contributed to the securitization reserve accounts may be depleted. See Note 11. Securitization and Variable Interest Entities </w:t>
      </w:r>
      <w:r>
        <w:rPr>
          <w:rFonts w:ascii="Times New Roman;sans-serif" w:hAnsi="Times New Roman;sans-serif"/>
          <w:b w:val="false"/>
          <w:color w:val="000000"/>
          <w:sz w:val="20"/>
          <w:highlight w:val="white"/>
        </w:rPr>
        <w:t>of the accompanying notes to our interim condensed consolidated financial statements for more information.</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ind w:left="0" w:right="0" w:firstLine="405"/>
        <w:rPr/>
      </w:pPr>
      <w:r>
        <w:rPr/>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consolidated financial statements, which have been prepared in accordance with U.S. GAAP. U.S. GAAP requires us to make certain estimates and judgments that affect the amounts reported in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will be affected.</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our significant estimates on an ongoing basis, including, but not limited to, estimates related to merchant network revenue, loss on loan purchase commitment, allowance for credit losses, stock-based compensation, including warrants granted to nonemployees, and income taxes. We believe these estimates have the greatest potential effect on our consolidated financial statements. Therefore, we consider these to be our critical accounting policies and estimates. </w:t>
      </w:r>
    </w:p>
    <w:p>
      <w:pPr>
        <w:pStyle w:val="TextBody"/>
        <w:spacing w:lineRule="auto" w:line="288" w:before="0" w:after="200"/>
        <w:ind w:left="0" w:right="0" w:firstLine="720"/>
        <w:rPr/>
      </w:pPr>
      <w:r>
        <w:rPr>
          <w:rFonts w:ascii="Times New Roman;sans-serif" w:hAnsi="Times New Roman;sans-serif"/>
          <w:b w:val="false"/>
          <w:color w:val="000000"/>
          <w:sz w:val="20"/>
        </w:rPr>
        <w:t xml:space="preserve">For further information, our significant accounting policies are described in </w:t>
      </w:r>
      <w:r>
        <w:rPr>
          <w:rFonts w:ascii="Times New Roman;sans-serif" w:hAnsi="Times New Roman;sans-serif"/>
          <w:b w:val="false"/>
          <w:color w:val="000000"/>
          <w:sz w:val="20"/>
          <w:highlight w:val="white"/>
        </w:rPr>
        <w:t>Note 2. Summary of Significant Accounting Policies within the notes to the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before="0" w:after="0"/>
        <w:ind w:left="0" w:right="0" w:firstLine="405"/>
        <w:rPr/>
      </w:pPr>
      <w:r>
        <w:rPr/>
      </w:r>
    </w:p>
    <w:p>
      <w:pPr>
        <w:pStyle w:val="TextBody"/>
        <w:spacing w:lineRule="auto" w:line="288" w:before="0" w:after="12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Refer to Note 2. Summary of Significant Accounting Policies within the notes to the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operations within the United States, Canada and Australia,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most of our revenue is earned in U.S. dollars.</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and certain of our restricted cash as of March 31, 2022 were held primarily in checking, money market, and savings accounts. As of March 31, 2022, we had $1,462.0 million of cash equivalents invested in money market funds, certificates of deposit, corporate bonds, and other commercial paper with maturities less than three months. Our cash and cash equivalents are held for working capital purposes. The fair value of our cash and cash equivalents and certain restricted cash would not be significantly affected by a change in interest rates due to their short-term nature.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securities available for sale at fair value as of March 31, 2022 included $617.0 million of marketable debt securities with maturities greater than three months. A rise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material. </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Continued volatility in interest rates and potentially inflation, which may persist longer than previously expected, may adversely impact our customers’ spending levels and ability and willingness to pay outstanding amounts owed to us. Higher interest rates may lead to higher payment obligations on our future credit products, or to their lenders under mortgage, credit card, and other loans. Therefore, higher interest rates may lead to increased delinquencies, charge-offs, and allowances for loans and interest receivable, which could have an adverse effect on our operating results.</w:t>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Increases in interest rates may result in higher coupons using refinancing. We maintain an interest rate hedging program which eliminates some, but not all, of the interest rate risk. Factoring in this program, as of March 31, 2022, we estimate that a hypothetical instantaneous 100 basis point upward parallel shock to interest rates would have a less than $30.0 million adverse impact on our annual financial results over the next 12 months.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this evaluation, our Chief Executive Officer and our Chief Financial Officer concluded that our disclosure controls and procedures were effective as of March 31, 2022.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the quarter ended March 31, 2022 that have materially affected, or are reasonably likely to materially affect, our internal control over financial reporting.</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Inherent Limitation on the Effectiveness of Internal Control</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Please refer to Note 8. “Commitments and Contingencies” </w:t>
      </w:r>
      <w:r>
        <w:rPr>
          <w:rFonts w:ascii="Times New Roman;sans-serif" w:hAnsi="Times New Roman;sans-serif"/>
          <w:b w:val="false"/>
          <w:color w:val="000000"/>
          <w:sz w:val="20"/>
          <w:highlight w:val="white"/>
        </w:rPr>
        <w:t>of the accompanying notes to our interim condensed consolidated financial statements</w:t>
      </w:r>
      <w:r>
        <w:rPr>
          <w:rFonts w:ascii="Times New Roman;sans-serif" w:hAnsi="Times New Roman;sans-serif"/>
          <w:b w:val="false"/>
          <w:color w:val="000000"/>
          <w:sz w:val="20"/>
        </w:rPr>
        <w: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risks described under the heading “Risk Factors” in our Annual Report on Form 10-K for the fiscal year ended June 30, 2021 could materially and adversely affect our business, financial condition, and results of operations, and the trading price of our Class A common stock could decline. Those risks are not the only risks that we face—our operations could also be affected by factors that are not presently known to us or that we currently consider to be immaterial to our operations. In addition, you should carefully read and consider such risks, together with all of the other information in our Annual Report on Form 10-K for the fiscal year ended June 30, 2021, in this Quarterly Report on Form 10-Q (including the disclosures below, in the section titled “Management’s Discussion and Analysis of Financial Condition and Results of Operations” and in our interim condensed consolidated financial statements and related notes), and in the other documents that we file with the SEC.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may be reflected in the updated risk factors included below, there have been no material changes from the risk factors previously disclosed under the heading “Risk Factors” in our Annual Report on Form 10-K for the fiscal year ended June 30, 2021.</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before="0" w:after="0"/>
        <w:ind w:left="0" w:right="0" w:firstLine="720"/>
        <w:rPr/>
      </w:pPr>
      <w:r>
        <w:rPr/>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If we are unable to attract additional merchant partners, retain our existing merchant partners, and grow and develop our relationships with new and existing merchant partners, our business, results of operations, financial condition, and future prospects would be materially and adversely affected, as could the market price of our Class A common stock.</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continued success is dependent on our ability to expand our merchant base and to grow our merchants’ revenue on our platform. We derive a significant portion of our revenue from merchant network fees earned from our merchant partners. The network fees are generally charged as a percentage of the transaction volume on our platform. In addition, as more merchants are integrated into our network, there are more reasons for consumers to shop with us.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we are not able to attract additional merchants and to expand revenue and volume of transactions from existing merchants, we will not be able to continue to attract consumers or grow our business. Our ability to retain and grow our relationships with our merchant partners depends on the willingness of merchants to partner with us. The attractiveness of our platform to merchants depends upon, among other things: the size of our consumer base; our brand and reputation; the amount of merchant fees that we charge; our ability to sustain our value proposition to merchants for customer acquisition by demonstrating higher conversion at checkout and increased AOV; the attractiveness to merchants of our technology and data-driven platform; services and products offered by competitors; and our ability to perform under, and maintain, our merchant agreements. Furthermore, having a diversified mix of merchant partners is important to mitigate risk associated with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but we saw a significant increase in revenue from merchant partners offering home fitness equipment, home office products, and home furnishings. We have begun to see these trends reverse as access to COVID-19 vaccinations has increased, but it is difficult to predict the impact that the continuing spread of the various variants and potential additional waves of the pandemic will have on our merchant partners and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success also is dependent on our ability to successfully grow and develop relationships with our merchant partners, particularly early-stage relationships with large e-commerce retailers such as Amazon. The pace of development, integration and rollout of these early-stage relationships is often unpredictable and is generally not within our control. Many of our agreements with our merchant partners are non-exclusive and lack any transaction volume commitments. Accordingly, these merchant partners may have, or may enter into in the future, similar agreements with our competitors, which could adversely affect our ability to drive the level of transaction volume and revenue growth that we seek to achieve or to otherwise satisfy the high expectations of our investors and financial analysts relating to those relationships. While some of our agreements with our merchant partners,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including Amazon, do provide for a period of exclusivity, those periods may be limited in duration, and we may not be able to negotiate extensions of those exclusivity periods on reasonable terms, if at all. In addition, our agreements with our merchant partners generally have terms that range from approximately 12 months to 36 months, and our merchants can generally terminate these agreements without cause upon 30 to 90 days’ prior written notice. We may, therefore, be compelled to renegotiate our agreements with merchant partners from time to time, possibly upon terms significantly less favorable to us than the terms included in our existing agreements with those merchant partners.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we fail to retain any of our larger merchant partners or a substantial number of our smaller merchant partners, if we do not acquire new merchant partners, if we do not successfully grow and develop our relationships with our larger merchant partners, if we do not continually expand revenue and volume from the merchants on our platform, or if we do not attract and retain a diverse mix of merchant partners, our business, results of operations, financial condition, and future prospects would be materially and adversely affected. In addition, should investor expectations relating to the growth, development and retention of our merchant partners, particularly those expectations relating to our relationships with Amazon and Shopify Inc., not be achieved, the market price of our Class A common stock could decline.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Our Class A Common Stock</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has been and may continue to be volatile, which could cause the value of your investment to decline.</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has been and may continue to be highly volatile and could be subject to wide fluctuations. In addition, the trading volume in our Class A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Class A common stock in spite of our operating performance.</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an originating bank partner or key funding sources or merchants; the growth and development of key merchant partner relationships, including our relationship with Amazon; and changes in our earnings estimates (if provided). Also, the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could result in the significant decrease of the market price of shares of our Class A common stock.</w:t>
      </w:r>
    </w:p>
    <w:p>
      <w:pPr>
        <w:pStyle w:val="TextBody"/>
        <w:spacing w:lineRule="auto" w:line="288" w:before="0" w:after="0"/>
        <w:ind w:left="0" w:right="0" w:firstLine="720"/>
        <w:rPr/>
      </w:pPr>
      <w:r>
        <w:rPr>
          <w:rFonts w:ascii="Times New Roman;sans-serif" w:hAnsi="Times New Roman;sans-serif"/>
          <w:b w:val="false"/>
          <w:color w:val="000000"/>
          <w:sz w:val="20"/>
        </w:rPr>
        <w:t xml:space="preserve">These broad market and industry factors may decrease the market price of our Class A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We are subject to securities litigation, as described further in Note 8. “Commitments and Contingencies” </w:t>
      </w:r>
      <w:r>
        <w:rPr>
          <w:rFonts w:ascii="Times New Roman;sans-serif" w:hAnsi="Times New Roman;sans-serif"/>
          <w:b w:val="false"/>
          <w:color w:val="000000"/>
          <w:sz w:val="20"/>
          <w:highlight w:val="white"/>
        </w:rPr>
        <w:t>of the accompanying notes to our interim condensed consolidated financial statements</w:t>
      </w:r>
      <w:r>
        <w:rPr>
          <w:color w:val="000000"/>
        </w:rPr>
        <w:t xml:space="preserve"> </w:t>
      </w:r>
      <w:r>
        <w:rPr>
          <w:rFonts w:ascii="Times New Roman;sans-serif" w:hAnsi="Times New Roman;sans-serif"/>
          <w:b w:val="false"/>
          <w:color w:val="000000"/>
          <w:sz w:val="20"/>
        </w:rPr>
        <w:t>and incorporated by reference in Part II, Item 1-Legal Proceedings. This litigation, and any other securities class actions that may be brought against us, could result in substantial costs and a diversion of our management’s attention and resources.</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issuance by us of additional equity securities may dilute your ownership and adversely affect the market price of our Class A common stock.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authorizes us to issue additional shares of Class A common stock and rights relating to Class A common stock for the consideration and on the terms and conditions established by our board of directors in its sole discretion, whether in connection with acquisitions or otherwise. Any Class A common stock or securities convertible into shares of our Class A common stock that we issue from time to time, including in connection with a financing, acquisition, investment or under any equity incentive plans or otherwise that we may adopt in the future, will dilute your percentage ownership.</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future,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In addition, as we did when we initially formed our partnership with Shopify and when we entered into the Amended and Restated Installment Financing Services Agreement with Amazon, we may issue additional shares of our Class A common stock or securities convertible into shares of Class A common stock as a means of initiating, developing, strengthening or preserving key merchant relationships.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pStyle w:val="TextBody"/>
        <w:spacing w:before="0" w:after="0"/>
        <w:ind w:left="0" w:right="0" w:firstLine="720"/>
        <w:rPr/>
      </w:pPr>
      <w:r>
        <w:rPr/>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Servicing our debt requires a significant amount of cash, and we may not have sufficient cash flow from our business to pay our substantial debt.</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make scheduled payments of the principal of, to pay interest on or to refinance our indebtedness, including our 2026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time.We may not be able to engage in any of these activities or engage in these activities on desirable terms, which could result in a default on our debt obligations.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not have the ability to raise the funds necessary to settle conversions of the 2026 Notes, to repay the 2026 Notes at maturity or to repurchase the 2026 Notes upon a fundamental change, and our future debt may contain limitations on our ability to pay cash upon conversion or repurchase of the 2026 Notes.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will have the right to require us to repurchase their 2026 Notes upon the occurrence of a fundamental change at a fundamental change repurchase price equal to 100% of the principal amount of the 2026 Notes to be repurchased, plus accrued and unpaid special interest, if any. In addition, upon conversion of the 2026 Notes, we will be required to make cash payments for each $1,000 in principal amount of 2026 Notes converted of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least the lesser of $1,000 and the sum of the daily conversion values as described in the indenture governing the 2026 Notes. However, we may not have enough available cash or be able to obtain financing at the time we are required to make repurchases of notes surrendered therefor or pay cash with respect to the 2026 Notes being converted. In addition, our ability to repurchase the 2026 Notes or to pay cash upon conversions of the 2026 Notes may be limited by law, by regulatory authority or by agreements governing our future indebtedness. Our failure to repurchase 2026 Notes at a time when the repurchase is required or to pay any cash payable on future conversions of the 2026 Notes would constitute a default under the indenture governing the 2026 Notes. A default under the indenture governing the 2026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2026 Notes or make cash payments upon conversions thereof.</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2026 Notes is triggered, holders will be entitled to convert their 2026 Notes at any time during specified periods at their option. If one or more holders elect to convert their 2026 Notes, we would be required to settle any converted principal amount of such notes through the payment of cash, which could adversely affect our liquidity. In addition, even if holders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accounting method for reflecting the 2026 Notes on our balance sheet, accruing interest expense for the 2026 Notes and reflecting the underlying shares of our Class A common stock in our reported diluted earnings per share may adversely affect our reported earnings and financial condition.</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including interim periods within those fiscal years. However, early adoption is permitted in certain circumstances for fiscal years beginning after December 15, 2020, including interim periods within those fiscal years. We early adopted ASU 2020-06 effective July 1, 2021 </w:t>
      </w:r>
      <w:r>
        <w:rPr>
          <w:rFonts w:ascii="Times New Roman;sans-serif" w:hAnsi="Times New Roman;sans-serif"/>
          <w:b w:val="false"/>
          <w:color w:val="000000"/>
          <w:sz w:val="20"/>
          <w:highlight w:val="white"/>
        </w:rPr>
        <w:t>on a modified retrospective basis. The adoption of the new standard did not have any impact on our financial statements as of the adoption date.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accordance with ASU 2020-06, the 2026 Notes will be reflected as a liability on our balance sheets, with the initial carrying amount equal to the principal amount of the 2026 Notes, net of issuance costs. The issuance costs will be treated as a debt discount for accounting purposes, which will be amortized into other (expense) income, net over the term of the 2026 Notes. As a result of this amortization, the interest expense that we expect to recognize for the 2026 Notes for accounting purposes will be greater than the cash interest payments we will pay on the 2026 Notes, which will result in lower reported income.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the shares underlying the 2026 Notes are reflected in our diluted earnings per share using the “if converted” method, in accordance with ASU 2020-06. Under that method, if the conversion value of the 2026 Notes exceeds their principal amount for a reporting period, then we will calculate our diluted earnings per share assuming that all of the 2026 Notes were converted at the beginning of the reporting period and that we issued shares of our Class A common stock to settle the excess. However, if reflecting the notes in diluted earnings per share in this manner is anti-dilutive, or if the conversion value of the notes does not exceed their principal amount for a reporting period, then the shares underlying the 2026 Notes will not be reflected in our diluted earnings per share. The application of the if-converted method may reduce our reported diluted earnings per share. We cannot be sure whether other changes may be made to the current accounting standards related to the 2026 Notes, or otherwise, that could have a material effect on our reported financial results.</w:t>
      </w:r>
    </w:p>
    <w:p>
      <w:pPr>
        <w:pStyle w:val="TextBody"/>
        <w:spacing w:before="0" w:after="0"/>
        <w:ind w:left="0" w:right="0" w:firstLine="72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2. 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Purchases of Equity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with respect to the Company’s repurchases of shares of Class A common stock during the quarter ended March 31, 2022.</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393"/>
        <w:gridCol w:w="286"/>
        <w:gridCol w:w="291"/>
        <w:gridCol w:w="109"/>
        <w:gridCol w:w="109"/>
        <w:gridCol w:w="109"/>
        <w:gridCol w:w="473"/>
        <w:gridCol w:w="453"/>
        <w:gridCol w:w="455"/>
        <w:gridCol w:w="109"/>
        <w:gridCol w:w="109"/>
        <w:gridCol w:w="109"/>
        <w:gridCol w:w="303"/>
        <w:gridCol w:w="735"/>
        <w:gridCol w:w="156"/>
        <w:gridCol w:w="109"/>
        <w:gridCol w:w="109"/>
        <w:gridCol w:w="109"/>
        <w:gridCol w:w="761"/>
        <w:gridCol w:w="761"/>
        <w:gridCol w:w="764"/>
        <w:gridCol w:w="109"/>
        <w:gridCol w:w="109"/>
        <w:gridCol w:w="109"/>
        <w:gridCol w:w="894"/>
        <w:gridCol w:w="894"/>
        <w:gridCol w:w="1278"/>
      </w:tblGrid>
      <w:tr>
        <w:trPr/>
        <w:tc>
          <w:tcPr>
            <w:tcW w:w="39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(or Approximate Dollar Value) of Shares that May Yet Be Purchased Under the Plans or Programs</w:t>
            </w:r>
          </w:p>
        </w:tc>
      </w:tr>
      <w:tr>
        <w:trPr/>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7,813 </w:t>
            </w:r>
          </w:p>
        </w:tc>
        <w:tc>
          <w:tcPr>
            <w:tcW w:w="4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9,472 </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The shares purchased were repurchases of unvested shares of our Class A common stock that had been issued upon early exercise of stock options. Pursuant to the associated option award agreements, upon termination of employment of a person holding unvested shares, we were entitled to repurchase the unvested shares.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rPr/>
      </w:pPr>
      <w:r>
        <w:rPr/>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firstLine="720"/>
        <w:rPr/>
      </w:pPr>
      <w:r>
        <w:rPr/>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120"/>
        <w:rPr/>
      </w:pPr>
      <w:r>
        <w:rPr/>
      </w:r>
    </w:p>
    <w:tbl>
      <w:tblPr>
        <w:tblW w:w="10205" w:type="dxa"/>
        <w:jc w:val="left"/>
        <w:tblInd w:w="0" w:type="dxa"/>
        <w:tblCellMar>
          <w:top w:w="28" w:type="dxa"/>
          <w:left w:w="28" w:type="dxa"/>
          <w:bottom w:w="28" w:type="dxa"/>
          <w:right w:w="28" w:type="dxa"/>
        </w:tblCellMar>
      </w:tblPr>
      <w:tblGrid>
        <w:gridCol w:w="294"/>
        <w:gridCol w:w="259"/>
        <w:gridCol w:w="261"/>
        <w:gridCol w:w="109"/>
        <w:gridCol w:w="109"/>
        <w:gridCol w:w="109"/>
        <w:gridCol w:w="1220"/>
        <w:gridCol w:w="1111"/>
        <w:gridCol w:w="1124"/>
        <w:gridCol w:w="109"/>
        <w:gridCol w:w="109"/>
        <w:gridCol w:w="109"/>
        <w:gridCol w:w="170"/>
        <w:gridCol w:w="170"/>
        <w:gridCol w:w="171"/>
        <w:gridCol w:w="109"/>
        <w:gridCol w:w="109"/>
        <w:gridCol w:w="109"/>
        <w:gridCol w:w="237"/>
        <w:gridCol w:w="222"/>
        <w:gridCol w:w="159"/>
        <w:gridCol w:w="109"/>
        <w:gridCol w:w="109"/>
        <w:gridCol w:w="109"/>
        <w:gridCol w:w="210"/>
        <w:gridCol w:w="210"/>
        <w:gridCol w:w="211"/>
        <w:gridCol w:w="109"/>
        <w:gridCol w:w="109"/>
        <w:gridCol w:w="109"/>
        <w:gridCol w:w="422"/>
        <w:gridCol w:w="264"/>
        <w:gridCol w:w="266"/>
        <w:gridCol w:w="117"/>
        <w:gridCol w:w="117"/>
        <w:gridCol w:w="117"/>
        <w:gridCol w:w="109"/>
        <w:gridCol w:w="109"/>
        <w:gridCol w:w="109"/>
        <w:gridCol w:w="139"/>
        <w:gridCol w:w="139"/>
        <w:gridCol w:w="139"/>
        <w:gridCol w:w="139"/>
        <w:gridCol w:w="139"/>
        <w:gridCol w:w="216"/>
      </w:tblGrid>
      <w:tr>
        <w:trPr/>
        <w:tc>
          <w:tcPr>
            <w:tcW w:w="29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3" w:type="dxa"/>
            <w:gridSpan w:val="21"/>
            <w:tcBorders/>
            <w:shd w:fill="auto" w:val="clear"/>
            <w:tcMar>
              <w:top w:w="0" w:type="dxa"/>
              <w:left w:w="0" w:type="dxa"/>
              <w:bottom w:w="0" w:type="dxa"/>
              <w:right w:w="0" w:type="dxa"/>
            </w:tcMar>
            <w:vAlign w:val="center"/>
          </w:tcPr>
          <w:p>
            <w:pPr>
              <w:pStyle w:val="TableContents"/>
              <w:spacing w:lineRule="auto" w:line="276" w:before="0" w:after="0"/>
              <w:ind w:left="0" w:right="0" w:firstLine="266"/>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09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6"/>
            <w:tcBorders/>
            <w:shd w:fill="auto" w:val="clear"/>
          </w:tcPr>
          <w:p>
            <w:pPr>
              <w:pStyle w:val="TableContents"/>
              <w:spacing w:before="0" w:after="283"/>
              <w:rPr>
                <w:sz w:val="4"/>
                <w:szCs w:val="4"/>
              </w:rPr>
            </w:pPr>
            <w:r>
              <w:rPr>
                <w:sz w:val="4"/>
                <w:szCs w:val="4"/>
              </w:rPr>
            </w:r>
          </w:p>
        </w:tc>
      </w:tr>
      <w:tr>
        <w:trPr/>
        <w:tc>
          <w:tcPr>
            <w:tcW w:w="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6"/>
            <w:tcBorders/>
            <w:shd w:fill="auto" w:val="clear"/>
          </w:tcPr>
          <w:p>
            <w:pPr>
              <w:pStyle w:val="TableContents"/>
              <w:spacing w:before="0" w:after="283"/>
              <w:rPr>
                <w:sz w:val="4"/>
                <w:szCs w:val="4"/>
              </w:rPr>
            </w:pPr>
            <w:r>
              <w:rPr>
                <w:sz w:val="4"/>
                <w:szCs w:val="4"/>
              </w:rPr>
            </w:r>
          </w:p>
        </w:tc>
      </w:tr>
      <w:tr>
        <w:trPr/>
        <w:tc>
          <w:tcPr>
            <w:tcW w:w="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6"/>
            <w:tcBorders/>
            <w:shd w:fill="auto" w:val="clear"/>
          </w:tcPr>
          <w:p>
            <w:pPr>
              <w:pStyle w:val="TableContents"/>
              <w:spacing w:before="0" w:after="283"/>
              <w:rPr>
                <w:sz w:val="4"/>
                <w:szCs w:val="4"/>
              </w:rPr>
            </w:pPr>
            <w:r>
              <w:rPr>
                <w:sz w:val="4"/>
                <w:szCs w:val="4"/>
              </w:rPr>
            </w:r>
          </w:p>
        </w:tc>
      </w:tr>
      <w:tr>
        <w:trPr/>
        <w:tc>
          <w:tcPr>
            <w:tcW w:w="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6"/>
            <w:tcBorders/>
            <w:shd w:fill="auto" w:val="clear"/>
          </w:tcPr>
          <w:p>
            <w:pPr>
              <w:pStyle w:val="TableContents"/>
              <w:spacing w:before="0" w:after="283"/>
              <w:rPr>
                <w:sz w:val="4"/>
                <w:szCs w:val="4"/>
              </w:rPr>
            </w:pPr>
            <w:r>
              <w:rPr>
                <w:sz w:val="4"/>
                <w:szCs w:val="4"/>
              </w:rPr>
            </w:r>
          </w:p>
        </w:tc>
      </w:tr>
      <w:tr>
        <w:trPr/>
        <w:tc>
          <w:tcPr>
            <w:tcW w:w="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6"/>
            <w:tcBorders/>
            <w:shd w:fill="auto" w:val="clear"/>
          </w:tcPr>
          <w:p>
            <w:pPr>
              <w:pStyle w:val="TableContents"/>
              <w:spacing w:before="0" w:after="283"/>
              <w:rPr>
                <w:sz w:val="4"/>
                <w:szCs w:val="4"/>
              </w:rPr>
            </w:pPr>
            <w:r>
              <w:rPr>
                <w:sz w:val="4"/>
                <w:szCs w:val="4"/>
              </w:rPr>
            </w:r>
          </w:p>
        </w:tc>
      </w:tr>
      <w:tr>
        <w:trPr/>
        <w:tc>
          <w:tcPr>
            <w:tcW w:w="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6"/>
            <w:tcBorders/>
            <w:shd w:fill="auto" w:val="clear"/>
          </w:tcPr>
          <w:p>
            <w:pPr>
              <w:pStyle w:val="TableContents"/>
              <w:spacing w:before="0" w:after="283"/>
              <w:rPr>
                <w:sz w:val="4"/>
                <w:szCs w:val="4"/>
              </w:rPr>
            </w:pPr>
            <w:r>
              <w:rPr>
                <w:sz w:val="4"/>
                <w:szCs w:val="4"/>
              </w:rPr>
            </w:r>
          </w:p>
        </w:tc>
      </w:tr>
      <w:tr>
        <w:trPr/>
        <w:tc>
          <w:tcPr>
            <w:tcW w:w="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6"/>
            <w:tcBorders/>
            <w:shd w:fill="auto" w:val="clear"/>
          </w:tcPr>
          <w:p>
            <w:pPr>
              <w:pStyle w:val="TableContents"/>
              <w:spacing w:before="0" w:after="283"/>
              <w:rPr>
                <w:sz w:val="4"/>
                <w:szCs w:val="4"/>
              </w:rPr>
            </w:pPr>
            <w:r>
              <w:rPr>
                <w:sz w:val="4"/>
                <w:szCs w:val="4"/>
              </w:rPr>
            </w:r>
          </w:p>
        </w:tc>
      </w:tr>
      <w:tr>
        <w:trPr/>
        <w:tc>
          <w:tcPr>
            <w:tcW w:w="814"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fldChar w:fldCharType="begin"/>
            </w:r>
            <w:r>
              <w:rPr>
                <w:rStyle w:val="InternetLink"/>
                <w:sz w:val="16"/>
                <w:u w:val="single"/>
                <w:b w:val="false"/>
                <w:rFonts w:ascii="Times New Roman;sans-serif" w:hAnsi="Times New Roman;sans-serif"/>
              </w:rPr>
              <w:instrText> HYPERLINK "https://www.sec.gov/Archives/edgar/data/0001820953/000110465921004835/a20-26663_24ex3d1.htm" \l "Exhibit3_1_013332"</w:instrText>
            </w:r>
            <w:r>
              <w:rPr>
                <w:rStyle w:val="InternetLink"/>
                <w:sz w:val="16"/>
                <w:u w:val="single"/>
                <w:b w:val="false"/>
                <w:rFonts w:ascii="Times New Roman;sans-serif" w:hAnsi="Times New Roman;sans-serif"/>
              </w:rPr>
              <w:fldChar w:fldCharType="separate"/>
            </w:r>
            <w:r>
              <w:rPr>
                <w:rStyle w:val="InternetLink"/>
                <w:rFonts w:ascii="Times New Roman;sans-serif" w:hAnsi="Times New Roman;sans-serif"/>
                <w:b w:val="false"/>
                <w:color w:val="0000FF"/>
                <w:sz w:val="16"/>
                <w:u w:val="single"/>
              </w:rPr>
              <w:t>Amended and Restated Certificate of Incorporation</w:t>
            </w:r>
            <w:r>
              <w:rPr>
                <w:rStyle w:val="InternetLink"/>
                <w:sz w:val="16"/>
                <w:u w:val="single"/>
                <w:b w:val="false"/>
                <w:rFonts w:ascii="Times New Roman;sans-serif" w:hAnsi="Times New Roman;sans-serif"/>
              </w:rPr>
              <w:fldChar w:fldCharType="end"/>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15, 2021</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r:id="rId2">
              <w:r>
                <w:rPr>
                  <w:rStyle w:val="InternetLink"/>
                  <w:rFonts w:ascii="Times New Roman;sans-serif" w:hAnsi="Times New Roman;sans-serif"/>
                  <w:b w:val="false"/>
                  <w:color w:val="0000FF"/>
                  <w:sz w:val="16"/>
                  <w:u w:val="single"/>
                </w:rPr>
                <w:t>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8, 2021</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frm-33122exx311.htm">
              <w:r>
                <w:rPr>
                  <w:rStyle w:val="InternetLink"/>
                  <w:rFonts w:ascii="Times New Roman;sans-serif" w:hAnsi="Times New Roman;sans-serif"/>
                  <w:b w:val="false"/>
                  <w:color w:val="0000FF"/>
                  <w:sz w:val="16"/>
                  <w:u w:val="single"/>
                </w:rPr>
                <w:t>Certification of Principal Executive Officer Pursuant to Rules 13a-14(a) and 15d-14(a) under the Exchange Act,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frm-33122exx312.htm">
              <w:r>
                <w:rPr>
                  <w:rStyle w:val="InternetLink"/>
                  <w:rFonts w:ascii="Times New Roman;sans-serif" w:hAnsi="Times New Roman;sans-serif"/>
                  <w:b w:val="false"/>
                  <w:color w:val="0000FF"/>
                  <w:sz w:val="16"/>
                  <w:u w:val="single"/>
                </w:rPr>
                <w:t>Certification of Principal Financial Officer Pursuant to Rules 13a-14(a) and 15d-14(a) under the Exchange Act,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frm-33122exx321.htm">
              <w:r>
                <w:rPr>
                  <w:rStyle w:val="InternetLink"/>
                  <w:rFonts w:ascii="Times New Roman;sans-serif" w:hAnsi="Times New Roman;sans-serif"/>
                  <w:b w:val="false"/>
                  <w:color w:val="0000FF"/>
                  <w:sz w:val="16"/>
                  <w:u w:val="single"/>
                </w:rPr>
                <w:t>Certification of Principal Executive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frm-33122exx322.htm">
              <w:r>
                <w:rPr>
                  <w:rStyle w:val="InternetLink"/>
                  <w:rFonts w:ascii="Times New Roman;sans-serif" w:hAnsi="Times New Roman;sans-serif"/>
                  <w:b w:val="false"/>
                  <w:color w:val="0000FF"/>
                  <w:sz w:val="16"/>
                  <w:u w:val="single"/>
                </w:rPr>
                <w:t>Certification of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e3f01f6ae4f34ee8b226f5be0bac330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5411" w:type="dxa"/>
        <w:jc w:val="center"/>
        <w:tblInd w:w="0" w:type="dxa"/>
        <w:tblCellMar>
          <w:top w:w="28" w:type="dxa"/>
          <w:left w:w="28" w:type="dxa"/>
          <w:bottom w:w="28" w:type="dxa"/>
          <w:right w:w="28" w:type="dxa"/>
        </w:tblCellMar>
      </w:tblPr>
      <w:tblGrid>
        <w:gridCol w:w="629"/>
        <w:gridCol w:w="554"/>
        <w:gridCol w:w="557"/>
        <w:gridCol w:w="384"/>
        <w:gridCol w:w="384"/>
        <w:gridCol w:w="384"/>
        <w:gridCol w:w="731"/>
        <w:gridCol w:w="731"/>
        <w:gridCol w:w="1057"/>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AFFIRM HOLDINGS, INC.</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11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Max Levchin</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 Levchin</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Linford</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Linford</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 AS ADOPTED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Max Levchin, certify that:</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Affirm Holdings, Inc.;</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for the registrant and have: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b.Evaluated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p>
      <w:pPr>
        <w:pStyle w:val="TextBody"/>
        <w:spacing w:before="0" w:after="0"/>
        <w:rPr/>
      </w:pPr>
      <w:r>
        <w:rPr/>
      </w:r>
    </w:p>
    <w:tbl>
      <w:tblPr>
        <w:tblW w:w="4571" w:type="dxa"/>
        <w:jc w:val="left"/>
        <w:tblInd w:w="0" w:type="dxa"/>
        <w:tblCellMar>
          <w:top w:w="28" w:type="dxa"/>
          <w:left w:w="28" w:type="dxa"/>
          <w:bottom w:w="28" w:type="dxa"/>
          <w:right w:w="28" w:type="dxa"/>
        </w:tblCellMar>
      </w:tblPr>
      <w:tblGrid>
        <w:gridCol w:w="629"/>
        <w:gridCol w:w="554"/>
        <w:gridCol w:w="557"/>
        <w:gridCol w:w="109"/>
        <w:gridCol w:w="109"/>
        <w:gridCol w:w="109"/>
        <w:gridCol w:w="733"/>
        <w:gridCol w:w="733"/>
        <w:gridCol w:w="1038"/>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Max Levchin</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 Levchin</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 AS ADOPTED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Michael Linford, certify that:</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Affirm Holdings, Inc.;</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for the registrant and have: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b.Evaluated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before="0" w:after="0"/>
        <w:rPr/>
      </w:pPr>
      <w:r>
        <w:rPr/>
      </w:r>
    </w:p>
    <w:tbl>
      <w:tblPr>
        <w:tblW w:w="4586" w:type="dxa"/>
        <w:jc w:val="left"/>
        <w:tblInd w:w="0" w:type="dxa"/>
        <w:tblCellMar>
          <w:top w:w="28" w:type="dxa"/>
          <w:left w:w="28" w:type="dxa"/>
          <w:bottom w:w="28" w:type="dxa"/>
          <w:right w:w="28" w:type="dxa"/>
        </w:tblCellMar>
      </w:tblPr>
      <w:tblGrid>
        <w:gridCol w:w="629"/>
        <w:gridCol w:w="554"/>
        <w:gridCol w:w="557"/>
        <w:gridCol w:w="109"/>
        <w:gridCol w:w="109"/>
        <w:gridCol w:w="109"/>
        <w:gridCol w:w="736"/>
        <w:gridCol w:w="736"/>
        <w:gridCol w:w="1047"/>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Linford</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Linford</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before="0" w:after="0"/>
        <w:rPr/>
      </w:pPr>
      <w:r>
        <w:rPr/>
      </w:r>
    </w:p>
    <w:p>
      <w:pPr>
        <w:pStyle w:val="TextBody"/>
        <w:spacing w:before="0" w:after="0"/>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 </w:t>
      </w:r>
    </w:p>
    <w:p>
      <w:pPr>
        <w:pStyle w:val="TextBody"/>
        <w:spacing w:before="0" w:after="0"/>
        <w:rPr/>
      </w:pPr>
      <w:r>
        <w:rPr/>
      </w:r>
    </w:p>
    <w:tbl>
      <w:tblPr>
        <w:tblW w:w="4676" w:type="dxa"/>
        <w:jc w:val="left"/>
        <w:tblInd w:w="0" w:type="dxa"/>
        <w:tblCellMar>
          <w:top w:w="28" w:type="dxa"/>
          <w:left w:w="28" w:type="dxa"/>
          <w:bottom w:w="28" w:type="dxa"/>
          <w:right w:w="28" w:type="dxa"/>
        </w:tblCellMar>
      </w:tblPr>
      <w:tblGrid>
        <w:gridCol w:w="667"/>
        <w:gridCol w:w="586"/>
        <w:gridCol w:w="592"/>
        <w:gridCol w:w="109"/>
        <w:gridCol w:w="109"/>
        <w:gridCol w:w="109"/>
        <w:gridCol w:w="733"/>
        <w:gridCol w:w="733"/>
        <w:gridCol w:w="1038"/>
      </w:tblGrid>
      <w:tr>
        <w:trPr/>
        <w:tc>
          <w:tcPr>
            <w:tcW w:w="66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13,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Max Levchin</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Max Levchin</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before="0" w:after="0"/>
        <w:rPr/>
      </w:pPr>
      <w:r>
        <w:rPr/>
      </w:r>
    </w:p>
    <w:p>
      <w:pPr>
        <w:pStyle w:val="TextBody"/>
        <w:spacing w:before="0" w:after="0"/>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 </w:t>
      </w:r>
    </w:p>
    <w:p>
      <w:pPr>
        <w:pStyle w:val="TextBody"/>
        <w:spacing w:before="0" w:after="0"/>
        <w:rPr/>
      </w:pPr>
      <w:r>
        <w:rPr/>
      </w:r>
    </w:p>
    <w:tbl>
      <w:tblPr>
        <w:tblW w:w="4691" w:type="dxa"/>
        <w:jc w:val="left"/>
        <w:tblInd w:w="0" w:type="dxa"/>
        <w:tblCellMar>
          <w:top w:w="28" w:type="dxa"/>
          <w:left w:w="28" w:type="dxa"/>
          <w:bottom w:w="28" w:type="dxa"/>
          <w:right w:w="28" w:type="dxa"/>
        </w:tblCellMar>
      </w:tblPr>
      <w:tblGrid>
        <w:gridCol w:w="667"/>
        <w:gridCol w:w="586"/>
        <w:gridCol w:w="592"/>
        <w:gridCol w:w="109"/>
        <w:gridCol w:w="109"/>
        <w:gridCol w:w="109"/>
        <w:gridCol w:w="736"/>
        <w:gridCol w:w="736"/>
        <w:gridCol w:w="1047"/>
      </w:tblGrid>
      <w:tr>
        <w:trPr/>
        <w:tc>
          <w:tcPr>
            <w:tcW w:w="66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13,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Linford</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Linford</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20953/000162828021018253/affirmholdings-arbylawsle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45071</Words>
  <CharactersWithSpaces>288512</CharactersWithSpaces>
  <Paragraphs>5486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