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1065530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28" w:lineRule="exact"/>
        <w:rPr>
          <w:sz w:val="24"/>
          <w:szCs w:val="24"/>
          <w:color w:val="auto"/>
        </w:rPr>
      </w:pPr>
    </w:p>
    <w:p>
      <w:pPr>
        <w:ind w:left="1720" w:right="1440" w:hanging="319"/>
        <w:spacing w:after="0" w:line="261" w:lineRule="auto"/>
        <w:tabs>
          <w:tab w:leader="none" w:pos="17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2025</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60" w:lineRule="exact"/>
        <w:rPr>
          <w:sz w:val="24"/>
          <w:szCs w:val="24"/>
          <w:color w:val="auto"/>
        </w:rPr>
      </w:pPr>
    </w:p>
    <w:p>
      <w:pPr>
        <w:ind w:left="1720" w:right="1440" w:hanging="319"/>
        <w:spacing w:after="0" w:line="261" w:lineRule="auto"/>
        <w:tabs>
          <w:tab w:leader="none" w:pos="17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6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__________ to __________</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001-39888</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Affirm Holdings, Inc.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18" w:lineRule="exact"/>
        <w:rPr>
          <w:sz w:val="24"/>
          <w:szCs w:val="24"/>
          <w:color w:val="auto"/>
        </w:rPr>
      </w:pPr>
    </w:p>
    <w:tbl>
      <w:tblPr>
        <w:tblLayout w:type="fixed"/>
        <w:tblInd w:w="2020" w:type="dxa"/>
        <w:tblCellMar>
          <w:top w:w="0" w:type="dxa"/>
          <w:left w:w="0" w:type="dxa"/>
          <w:bottom w:w="0" w:type="dxa"/>
          <w:right w:w="0" w:type="dxa"/>
        </w:tblCellMar>
      </w:tblPr>
      <w:tr>
        <w:trPr>
          <w:trHeight w:val="227"/>
        </w:trPr>
        <w:tc>
          <w:tcPr>
            <w:tcW w:w="382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w w:val="98"/>
              </w:rPr>
              <w:t>Nevada</w:t>
            </w:r>
          </w:p>
        </w:tc>
        <w:tc>
          <w:tcPr>
            <w:tcW w:w="3160" w:type="dxa"/>
            <w:vAlign w:val="bottom"/>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84-2224323</w:t>
            </w:r>
          </w:p>
        </w:tc>
      </w:tr>
      <w:tr>
        <w:trPr>
          <w:trHeight w:val="193"/>
        </w:trPr>
        <w:tc>
          <w:tcPr>
            <w:tcW w:w="3820" w:type="dxa"/>
            <w:vAlign w:val="bottom"/>
          </w:tcPr>
          <w:p>
            <w:pPr>
              <w:jc w:val="center"/>
              <w:ind w:right="594"/>
              <w:spacing w:after="0" w:line="194" w:lineRule="exact"/>
              <w:rPr>
                <w:sz w:val="20"/>
                <w:szCs w:val="20"/>
                <w:color w:val="auto"/>
              </w:rPr>
            </w:pPr>
            <w:r>
              <w:rPr>
                <w:rFonts w:ascii="Times New Roman" w:cs="Times New Roman" w:eastAsia="Times New Roman" w:hAnsi="Times New Roman"/>
                <w:sz w:val="17"/>
                <w:szCs w:val="17"/>
                <w:color w:val="auto"/>
              </w:rPr>
              <w:t>(State or other jurisdiction of incorporation or</w:t>
            </w:r>
          </w:p>
        </w:tc>
        <w:tc>
          <w:tcPr>
            <w:tcW w:w="3160" w:type="dxa"/>
            <w:vAlign w:val="bottom"/>
          </w:tcPr>
          <w:p>
            <w:pPr>
              <w:jc w:val="center"/>
              <w:ind w:left="574"/>
              <w:spacing w:after="0" w:line="194" w:lineRule="exact"/>
              <w:rPr>
                <w:sz w:val="20"/>
                <w:szCs w:val="20"/>
                <w:color w:val="auto"/>
              </w:rPr>
            </w:pPr>
            <w:r>
              <w:rPr>
                <w:rFonts w:ascii="Times New Roman" w:cs="Times New Roman" w:eastAsia="Times New Roman" w:hAnsi="Times New Roman"/>
                <w:sz w:val="17"/>
                <w:szCs w:val="17"/>
                <w:color w:val="auto"/>
              </w:rPr>
              <w:t>(I.R.S. Employer Identification No.)</w:t>
            </w:r>
          </w:p>
        </w:tc>
      </w:tr>
      <w:tr>
        <w:trPr>
          <w:trHeight w:val="223"/>
        </w:trPr>
        <w:tc>
          <w:tcPr>
            <w:tcW w:w="3820" w:type="dxa"/>
            <w:vAlign w:val="bottom"/>
          </w:tcPr>
          <w:p>
            <w:pPr>
              <w:jc w:val="center"/>
              <w:ind w:right="594"/>
              <w:spacing w:after="0"/>
              <w:rPr>
                <w:sz w:val="20"/>
                <w:szCs w:val="20"/>
                <w:color w:val="auto"/>
              </w:rPr>
            </w:pPr>
            <w:r>
              <w:rPr>
                <w:rFonts w:ascii="Times New Roman" w:cs="Times New Roman" w:eastAsia="Times New Roman" w:hAnsi="Times New Roman"/>
                <w:sz w:val="17"/>
                <w:szCs w:val="17"/>
                <w:color w:val="auto"/>
                <w:w w:val="99"/>
              </w:rPr>
              <w:t>organization)</w:t>
            </w:r>
          </w:p>
        </w:tc>
        <w:tc>
          <w:tcPr>
            <w:tcW w:w="3160" w:type="dxa"/>
            <w:vAlign w:val="bottom"/>
          </w:tcPr>
          <w:p>
            <w:pPr>
              <w:spacing w:after="0"/>
              <w:rPr>
                <w:sz w:val="19"/>
                <w:szCs w:val="19"/>
                <w:color w:val="auto"/>
              </w:rPr>
            </w:pPr>
          </w:p>
        </w:tc>
      </w:tr>
      <w:tr>
        <w:trPr>
          <w:trHeight w:val="294"/>
        </w:trPr>
        <w:tc>
          <w:tcPr>
            <w:tcW w:w="3820" w:type="dxa"/>
            <w:vAlign w:val="bottom"/>
          </w:tcPr>
          <w:p>
            <w:pPr>
              <w:jc w:val="center"/>
              <w:ind w:right="594"/>
              <w:spacing w:after="0"/>
              <w:rPr>
                <w:sz w:val="20"/>
                <w:szCs w:val="20"/>
                <w:color w:val="auto"/>
              </w:rPr>
            </w:pPr>
            <w:r>
              <w:rPr>
                <w:rFonts w:ascii="Times New Roman" w:cs="Times New Roman" w:eastAsia="Times New Roman" w:hAnsi="Times New Roman"/>
                <w:sz w:val="17"/>
                <w:szCs w:val="17"/>
                <w:b w:val="1"/>
                <w:bCs w:val="1"/>
                <w:color w:val="auto"/>
              </w:rPr>
              <w:t>650 California Street</w:t>
            </w:r>
          </w:p>
        </w:tc>
        <w:tc>
          <w:tcPr>
            <w:tcW w:w="3160" w:type="dxa"/>
            <w:vAlign w:val="bottom"/>
          </w:tcPr>
          <w:p>
            <w:pPr>
              <w:spacing w:after="0"/>
              <w:rPr>
                <w:sz w:val="24"/>
                <w:szCs w:val="24"/>
                <w:color w:val="auto"/>
              </w:rPr>
            </w:pPr>
          </w:p>
        </w:tc>
      </w:tr>
      <w:tr>
        <w:trPr>
          <w:trHeight w:val="268"/>
        </w:trPr>
        <w:tc>
          <w:tcPr>
            <w:tcW w:w="3820" w:type="dxa"/>
            <w:vAlign w:val="bottom"/>
          </w:tcPr>
          <w:p>
            <w:pPr>
              <w:jc w:val="center"/>
              <w:ind w:right="614"/>
              <w:spacing w:after="0"/>
              <w:rPr>
                <w:sz w:val="20"/>
                <w:szCs w:val="20"/>
                <w:color w:val="auto"/>
              </w:rPr>
            </w:pPr>
            <w:r>
              <w:rPr>
                <w:rFonts w:ascii="Times New Roman" w:cs="Times New Roman" w:eastAsia="Times New Roman" w:hAnsi="Times New Roman"/>
                <w:sz w:val="17"/>
                <w:szCs w:val="17"/>
                <w:b w:val="1"/>
                <w:bCs w:val="1"/>
                <w:color w:val="auto"/>
              </w:rPr>
              <w:t>San Francisco, California</w:t>
            </w:r>
          </w:p>
        </w:tc>
        <w:tc>
          <w:tcPr>
            <w:tcW w:w="316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94108</w:t>
            </w:r>
          </w:p>
        </w:tc>
      </w:tr>
      <w:tr>
        <w:trPr>
          <w:trHeight w:val="223"/>
        </w:trPr>
        <w:tc>
          <w:tcPr>
            <w:tcW w:w="3820" w:type="dxa"/>
            <w:vAlign w:val="bottom"/>
          </w:tcPr>
          <w:p>
            <w:pPr>
              <w:jc w:val="center"/>
              <w:ind w:right="59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16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(415) 960-1518</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313"/>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100" w:type="dxa"/>
            <w:vAlign w:val="bottom"/>
          </w:tcPr>
          <w:p>
            <w:pPr>
              <w:spacing w:after="0"/>
              <w:rPr>
                <w:sz w:val="24"/>
                <w:szCs w:val="24"/>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80" w:type="dxa"/>
            <w:vAlign w:val="bottom"/>
          </w:tcPr>
          <w:p>
            <w:pPr>
              <w:spacing w:after="0"/>
              <w:rPr>
                <w:sz w:val="24"/>
                <w:szCs w:val="24"/>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Name of each exchange on which registered</w:t>
            </w:r>
          </w:p>
        </w:tc>
      </w:tr>
      <w:tr>
        <w:trPr>
          <w:trHeight w:val="197"/>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Class A common stock, par value $0.00001 per share</w:t>
            </w:r>
          </w:p>
        </w:tc>
        <w:tc>
          <w:tcPr>
            <w:tcW w:w="26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6"/>
              </w:rPr>
              <w:t>AFRM</w:t>
            </w: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The Nasdaq Global Select Market</w:t>
            </w:r>
          </w:p>
        </w:tc>
      </w:tr>
    </w:tbl>
    <w:p>
      <w:pPr>
        <w:spacing w:after="0" w:line="330" w:lineRule="exact"/>
        <w:rPr>
          <w:sz w:val="24"/>
          <w:szCs w:val="24"/>
          <w:color w:val="auto"/>
        </w:rPr>
      </w:pPr>
    </w:p>
    <w:p>
      <w:pPr>
        <w:ind w:right="220"/>
        <w:spacing w:after="0" w:line="22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9" w:lineRule="exact"/>
        <w:rPr>
          <w:sz w:val="24"/>
          <w:szCs w:val="24"/>
          <w:color w:val="auto"/>
        </w:rPr>
      </w:pPr>
    </w:p>
    <w:p>
      <w:pPr>
        <w:ind w:right="40"/>
        <w:spacing w:after="0" w:line="22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pacing w:after="0" w:line="116"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5"/>
              </w:rPr>
              <w:t>Large accelerated filer</w:t>
            </w:r>
          </w:p>
        </w:tc>
        <w:tc>
          <w:tcPr>
            <w:tcW w:w="176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Accelerated filer</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3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94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0"/>
        </w:trPr>
        <w:tc>
          <w:tcPr>
            <w:tcW w:w="23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3" w:lineRule="exact"/>
        <w:rPr>
          <w:sz w:val="24"/>
          <w:szCs w:val="24"/>
          <w:color w:val="auto"/>
        </w:rPr>
      </w:pPr>
    </w:p>
    <w:p>
      <w:pPr>
        <w:ind w:right="460"/>
        <w:spacing w:after="0" w:line="20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4" w:lineRule="exact"/>
        <w:rPr>
          <w:sz w:val="24"/>
          <w:szCs w:val="24"/>
          <w:color w:val="auto"/>
        </w:rPr>
      </w:pPr>
    </w:p>
    <w:p>
      <w:pPr>
        <w:spacing w:after="0" w:line="184" w:lineRule="exact"/>
        <w:tabs>
          <w:tab w:leader="none" w:pos="7220" w:val="left"/>
          <w:tab w:leader="none" w:pos="79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78" w:lineRule="exact"/>
        <w:rPr>
          <w:sz w:val="24"/>
          <w:szCs w:val="24"/>
          <w:color w:val="auto"/>
        </w:rPr>
      </w:pPr>
    </w:p>
    <w:p>
      <w:pPr>
        <w:ind w:right="140"/>
        <w:spacing w:after="0" w:line="307" w:lineRule="auto"/>
        <w:rPr>
          <w:sz w:val="20"/>
          <w:szCs w:val="20"/>
          <w:color w:val="auto"/>
        </w:rPr>
      </w:pPr>
      <w:r>
        <w:rPr>
          <w:rFonts w:ascii="Times New Roman" w:cs="Times New Roman" w:eastAsia="Times New Roman" w:hAnsi="Times New Roman"/>
          <w:sz w:val="16"/>
          <w:szCs w:val="16"/>
          <w:color w:val="auto"/>
        </w:rPr>
        <w:t>As of October 31, 2025, the number of shares of the registrant’s Class A common stock outstanding was 289,362,771 and the number of shares of the registrant’s Class B common stock outstanding was 40,710,867.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13803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440" w:right="339" w:bottom="997"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338455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760" w:type="dxa"/>
            <w:vAlign w:val="bottom"/>
            <w:gridSpan w:val="11"/>
          </w:tcPr>
          <w:p>
            <w:pPr>
              <w:ind w:left="9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74"/>
        </w:trPr>
        <w:tc>
          <w:tcPr>
            <w:tcW w:w="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62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260" w:type="dxa"/>
            <w:vAlign w:val="bottom"/>
            <w:tcBorders>
              <w:bottom w:val="single" w:sz="8" w:color="CCEEFF"/>
            </w:tcBorders>
          </w:tcPr>
          <w:p>
            <w:pPr>
              <w:spacing w:after="0"/>
              <w:rPr>
                <w:sz w:val="6"/>
                <w:szCs w:val="6"/>
                <w:color w:val="auto"/>
              </w:rPr>
            </w:pPr>
          </w:p>
        </w:tc>
        <w:tc>
          <w:tcPr>
            <w:tcW w:w="1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74"/>
        </w:trPr>
        <w:tc>
          <w:tcPr>
            <w:tcW w:w="20" w:type="dxa"/>
            <w:vAlign w:val="bottom"/>
            <w:shd w:val="clear" w:color="auto" w:fill="CCEEFF"/>
          </w:tcPr>
          <w:p>
            <w:pPr>
              <w:spacing w:after="0"/>
              <w:rPr>
                <w:sz w:val="15"/>
                <w:szCs w:val="15"/>
                <w:color w:val="auto"/>
              </w:rPr>
            </w:pPr>
          </w:p>
        </w:tc>
        <w:tc>
          <w:tcPr>
            <w:tcW w:w="440" w:type="dxa"/>
            <w:vAlign w:val="bottom"/>
            <w:tcBorders>
              <w:right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FF"/>
                <w:w w:val="96"/>
              </w:rPr>
              <w:t>Cover</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left w:val="single" w:sz="8" w:color="CCEEFF"/>
              <w:right w:val="single" w:sz="8" w:color="CCEEFF"/>
            </w:tcBorders>
            <w:shd w:val="clear" w:color="auto" w:fill="CCEEFF"/>
          </w:tcPr>
          <w:p>
            <w:pPr>
              <w:spacing w:after="0"/>
              <w:rPr>
                <w:sz w:val="15"/>
                <w:szCs w:val="15"/>
                <w:color w:val="auto"/>
              </w:rPr>
            </w:pPr>
          </w:p>
        </w:tc>
        <w:tc>
          <w:tcPr>
            <w:tcW w:w="300" w:type="dxa"/>
            <w:vAlign w:val="bottom"/>
            <w:tcBorders>
              <w:left w:val="single" w:sz="8" w:color="CCEEFF"/>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tcBorders>
              <w:lef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tcBorders>
              <w:lef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spacing w:after="0"/>
              <w:rPr>
                <w:sz w:val="15"/>
                <w:szCs w:val="15"/>
                <w:color w:val="auto"/>
              </w:rPr>
            </w:pPr>
          </w:p>
        </w:tc>
        <w:tc>
          <w:tcPr>
            <w:tcW w:w="10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FF"/>
                <w:w w:val="93"/>
              </w:rPr>
              <w:t>1</w:t>
            </w: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80" w:type="dxa"/>
            <w:vAlign w:val="bottom"/>
            <w:gridSpan w:val="29"/>
          </w:tcPr>
          <w:p>
            <w:pPr>
              <w:spacing w:after="0" w:line="181" w:lineRule="exact"/>
              <w:rPr>
                <w:sz w:val="20"/>
                <w:szCs w:val="20"/>
                <w:color w:val="auto"/>
              </w:rPr>
            </w:pPr>
            <w:r>
              <w:rPr>
                <w:rFonts w:ascii="Times New Roman" w:cs="Times New Roman" w:eastAsia="Times New Roman" w:hAnsi="Times New Roman"/>
                <w:sz w:val="17"/>
                <w:szCs w:val="17"/>
                <w:color w:val="0000FF"/>
              </w:rPr>
              <w:t>Table of Contents</w:t>
            </w:r>
          </w:p>
        </w:tc>
        <w:tc>
          <w:tcPr>
            <w:tcW w:w="740" w:type="dxa"/>
            <w:vAlign w:val="bottom"/>
            <w:gridSpan w:val="4"/>
          </w:tcPr>
          <w:p>
            <w:pPr>
              <w:ind w:left="640"/>
              <w:spacing w:after="0" w:line="181" w:lineRule="exact"/>
              <w:rPr>
                <w:sz w:val="20"/>
                <w:szCs w:val="20"/>
                <w:color w:val="auto"/>
              </w:rPr>
            </w:pPr>
            <w:r>
              <w:rPr>
                <w:rFonts w:ascii="Times New Roman" w:cs="Times New Roman" w:eastAsia="Times New Roman" w:hAnsi="Times New Roman"/>
                <w:sz w:val="17"/>
                <w:szCs w:val="17"/>
                <w:color w:val="0000FF"/>
                <w:w w:val="93"/>
              </w:rPr>
              <w:t>2</w:t>
            </w:r>
          </w:p>
        </w:tc>
      </w:tr>
      <w:tr>
        <w:trPr>
          <w:trHeight w:val="29"/>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10480" w:type="dxa"/>
            <w:vAlign w:val="bottom"/>
            <w:gridSpan w:val="2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Part I - Financial Information</w:t>
            </w:r>
          </w:p>
        </w:tc>
        <w:tc>
          <w:tcPr>
            <w:tcW w:w="740" w:type="dxa"/>
            <w:vAlign w:val="bottom"/>
            <w:gridSpan w:val="4"/>
            <w:shd w:val="clear" w:color="auto" w:fill="CCEEFF"/>
          </w:tcPr>
          <w:p>
            <w:pPr>
              <w:ind w:left="640"/>
              <w:spacing w:after="0" w:line="190" w:lineRule="exact"/>
              <w:rPr>
                <w:sz w:val="20"/>
                <w:szCs w:val="20"/>
                <w:color w:val="auto"/>
              </w:rPr>
            </w:pPr>
            <w:r>
              <w:rPr>
                <w:rFonts w:ascii="Times New Roman" w:cs="Times New Roman" w:eastAsia="Times New Roman" w:hAnsi="Times New Roman"/>
                <w:sz w:val="17"/>
                <w:szCs w:val="17"/>
                <w:color w:val="0000FF"/>
                <w:w w:val="93"/>
              </w:rPr>
              <w:t>5</w:t>
            </w: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12"/>
          </w:tcPr>
          <w:p>
            <w:pPr>
              <w:spacing w:after="0" w:line="181" w:lineRule="exact"/>
              <w:rPr>
                <w:sz w:val="20"/>
                <w:szCs w:val="20"/>
                <w:color w:val="auto"/>
              </w:rPr>
            </w:pPr>
            <w:r>
              <w:rPr>
                <w:rFonts w:ascii="Times New Roman" w:cs="Times New Roman" w:eastAsia="Times New Roman" w:hAnsi="Times New Roman"/>
                <w:sz w:val="17"/>
                <w:szCs w:val="17"/>
                <w:color w:val="0000FF"/>
                <w:w w:val="99"/>
              </w:rPr>
              <w:t>Item 1. Financial Statements</w:t>
            </w:r>
          </w:p>
        </w:tc>
        <w:tc>
          <w:tcPr>
            <w:tcW w:w="8300" w:type="dxa"/>
            <w:vAlign w:val="bottom"/>
            <w:gridSpan w:val="16"/>
          </w:tcPr>
          <w:p>
            <w:pPr>
              <w:spacing w:after="0"/>
              <w:rPr>
                <w:sz w:val="15"/>
                <w:szCs w:val="15"/>
                <w:color w:val="auto"/>
              </w:rPr>
            </w:pPr>
          </w:p>
        </w:tc>
        <w:tc>
          <w:tcPr>
            <w:tcW w:w="640" w:type="dxa"/>
            <w:vAlign w:val="bottom"/>
            <w:gridSpan w:val="2"/>
          </w:tcPr>
          <w:p>
            <w:pPr>
              <w:spacing w:after="0"/>
              <w:rPr>
                <w:sz w:val="15"/>
                <w:szCs w:val="15"/>
                <w:color w:val="auto"/>
              </w:rPr>
            </w:pPr>
          </w:p>
        </w:tc>
        <w:tc>
          <w:tcPr>
            <w:tcW w:w="1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3"/>
              </w:rPr>
              <w:t>5</w:t>
            </w: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740" w:type="dxa"/>
            <w:vAlign w:val="bottom"/>
            <w:gridSpan w:val="4"/>
            <w:shd w:val="clear" w:color="auto" w:fill="CCEEFF"/>
          </w:tcPr>
          <w:p>
            <w:pPr>
              <w:ind w:left="640"/>
              <w:spacing w:after="0" w:line="190" w:lineRule="exact"/>
              <w:rPr>
                <w:sz w:val="20"/>
                <w:szCs w:val="20"/>
                <w:color w:val="auto"/>
              </w:rPr>
            </w:pPr>
            <w:r>
              <w:rPr>
                <w:rFonts w:ascii="Times New Roman" w:cs="Times New Roman" w:eastAsia="Times New Roman" w:hAnsi="Times New Roman"/>
                <w:sz w:val="17"/>
                <w:szCs w:val="17"/>
                <w:color w:val="0000FF"/>
                <w:w w:val="93"/>
              </w:rPr>
              <w:t>5</w:t>
            </w: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300" w:type="dxa"/>
            <w:vAlign w:val="bottom"/>
            <w:tcBorders>
              <w:left w:val="single" w:sz="8" w:color="0000FF"/>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2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CONDENSED CONSOLIDATED BALANCE SHEETS, CONT. (Unaudited)</w:t>
            </w:r>
          </w:p>
        </w:tc>
        <w:tc>
          <w:tcPr>
            <w:tcW w:w="740" w:type="dxa"/>
            <w:vAlign w:val="bottom"/>
            <w:gridSpan w:val="4"/>
          </w:tcPr>
          <w:p>
            <w:pPr>
              <w:ind w:left="640"/>
              <w:spacing w:after="0" w:line="181" w:lineRule="exact"/>
              <w:rPr>
                <w:sz w:val="20"/>
                <w:szCs w:val="20"/>
                <w:color w:val="auto"/>
              </w:rPr>
            </w:pPr>
            <w:r>
              <w:rPr>
                <w:rFonts w:ascii="Times New Roman" w:cs="Times New Roman" w:eastAsia="Times New Roman" w:hAnsi="Times New Roman"/>
                <w:sz w:val="17"/>
                <w:szCs w:val="17"/>
                <w:color w:val="0000FF"/>
                <w:w w:val="93"/>
              </w:rPr>
              <w:t>6</w:t>
            </w: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OPERATIONS AND COMPREHENSIVE INCOME (LOSS) (Unaudited)</w:t>
            </w:r>
          </w:p>
        </w:tc>
        <w:tc>
          <w:tcPr>
            <w:tcW w:w="740" w:type="dxa"/>
            <w:vAlign w:val="bottom"/>
            <w:gridSpan w:val="4"/>
            <w:shd w:val="clear" w:color="auto" w:fill="CCEEFF"/>
          </w:tcPr>
          <w:p>
            <w:pPr>
              <w:ind w:left="640"/>
              <w:spacing w:after="0" w:line="190" w:lineRule="exact"/>
              <w:rPr>
                <w:sz w:val="20"/>
                <w:szCs w:val="20"/>
                <w:color w:val="auto"/>
              </w:rPr>
            </w:pPr>
            <w:r>
              <w:rPr>
                <w:rFonts w:ascii="Times New Roman" w:cs="Times New Roman" w:eastAsia="Times New Roman" w:hAnsi="Times New Roman"/>
                <w:sz w:val="17"/>
                <w:szCs w:val="17"/>
                <w:color w:val="0000FF"/>
                <w:w w:val="93"/>
              </w:rPr>
              <w:t>7</w:t>
            </w: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300" w:type="dxa"/>
            <w:vAlign w:val="bottom"/>
            <w:tcBorders>
              <w:left w:val="single" w:sz="8" w:color="0000FF"/>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2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260" w:type="dxa"/>
            <w:vAlign w:val="bottom"/>
            <w:shd w:val="clear" w:color="auto" w:fill="0000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 OF STOCKHOLDERS’ EQUITY (Unaudited)</w:t>
            </w:r>
          </w:p>
        </w:tc>
        <w:tc>
          <w:tcPr>
            <w:tcW w:w="740" w:type="dxa"/>
            <w:vAlign w:val="bottom"/>
            <w:gridSpan w:val="4"/>
          </w:tcPr>
          <w:p>
            <w:pPr>
              <w:ind w:left="640"/>
              <w:spacing w:after="0" w:line="181" w:lineRule="exact"/>
              <w:rPr>
                <w:sz w:val="20"/>
                <w:szCs w:val="20"/>
                <w:color w:val="auto"/>
              </w:rPr>
            </w:pPr>
            <w:r>
              <w:rPr>
                <w:rFonts w:ascii="Times New Roman" w:cs="Times New Roman" w:eastAsia="Times New Roman" w:hAnsi="Times New Roman"/>
                <w:sz w:val="17"/>
                <w:szCs w:val="17"/>
                <w:color w:val="0000FF"/>
                <w:w w:val="93"/>
              </w:rPr>
              <w:t>8</w:t>
            </w: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740" w:type="dxa"/>
            <w:vAlign w:val="bottom"/>
            <w:gridSpan w:val="4"/>
            <w:shd w:val="clear" w:color="auto" w:fill="CCEEFF"/>
          </w:tcPr>
          <w:p>
            <w:pPr>
              <w:ind w:left="640"/>
              <w:spacing w:after="0" w:line="190" w:lineRule="exact"/>
              <w:rPr>
                <w:sz w:val="20"/>
                <w:szCs w:val="20"/>
                <w:color w:val="auto"/>
              </w:rPr>
            </w:pPr>
            <w:r>
              <w:rPr>
                <w:rFonts w:ascii="Times New Roman" w:cs="Times New Roman" w:eastAsia="Times New Roman" w:hAnsi="Times New Roman"/>
                <w:sz w:val="17"/>
                <w:szCs w:val="17"/>
                <w:color w:val="0000FF"/>
                <w:w w:val="93"/>
              </w:rPr>
              <w:t>9</w:t>
            </w: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300" w:type="dxa"/>
            <w:vAlign w:val="bottom"/>
            <w:tcBorders>
              <w:left w:val="single" w:sz="8" w:color="0000FF"/>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2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CASH FLOWS, CONT. (Unaudited)</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10</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1. Business Description</w:t>
            </w:r>
          </w:p>
        </w:tc>
        <w:tc>
          <w:tcPr>
            <w:tcW w:w="740" w:type="dxa"/>
            <w:vAlign w:val="bottom"/>
            <w:gridSpan w:val="4"/>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93"/>
              </w:rPr>
              <w:t>11</w:t>
            </w: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CCEEFF"/>
            </w:tcBorders>
            <w:shd w:val="clear" w:color="auto" w:fill="CCEEFF"/>
          </w:tcPr>
          <w:p>
            <w:pPr>
              <w:spacing w:after="0"/>
              <w:rPr>
                <w:sz w:val="3"/>
                <w:szCs w:val="3"/>
                <w:color w:val="auto"/>
              </w:rPr>
            </w:pPr>
          </w:p>
        </w:tc>
        <w:tc>
          <w:tcPr>
            <w:tcW w:w="3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640" w:type="dxa"/>
            <w:vAlign w:val="bottom"/>
            <w:gridSpan w:val="4"/>
          </w:tcPr>
          <w:p>
            <w:pPr>
              <w:ind w:left="440"/>
              <w:spacing w:after="0" w:line="181" w:lineRule="exact"/>
              <w:rPr>
                <w:sz w:val="20"/>
                <w:szCs w:val="20"/>
                <w:color w:val="auto"/>
              </w:rPr>
            </w:pPr>
            <w:r>
              <w:rPr>
                <w:rFonts w:ascii="Times New Roman" w:cs="Times New Roman" w:eastAsia="Times New Roman" w:hAnsi="Times New Roman"/>
                <w:sz w:val="17"/>
                <w:szCs w:val="17"/>
                <w:color w:val="0000FF"/>
              </w:rPr>
              <w:t>2.</w:t>
            </w:r>
          </w:p>
        </w:tc>
        <w:tc>
          <w:tcPr>
            <w:tcW w:w="9860" w:type="dxa"/>
            <w:vAlign w:val="bottom"/>
            <w:gridSpan w:val="26"/>
          </w:tcPr>
          <w:p>
            <w:pPr>
              <w:spacing w:after="0" w:line="181" w:lineRule="exact"/>
              <w:rPr>
                <w:sz w:val="20"/>
                <w:szCs w:val="20"/>
                <w:color w:val="auto"/>
              </w:rPr>
            </w:pPr>
            <w:r>
              <w:rPr>
                <w:rFonts w:ascii="Times New Roman" w:cs="Times New Roman" w:eastAsia="Times New Roman" w:hAnsi="Times New Roman"/>
                <w:sz w:val="17"/>
                <w:szCs w:val="17"/>
                <w:color w:val="0000FF"/>
              </w:rPr>
              <w:t>Summary of Significant Accounting Policies</w:t>
            </w:r>
          </w:p>
        </w:tc>
        <w:tc>
          <w:tcPr>
            <w:tcW w:w="740" w:type="dxa"/>
            <w:vAlign w:val="bottom"/>
            <w:gridSpan w:val="4"/>
          </w:tcPr>
          <w:p>
            <w:pPr>
              <w:ind w:left="560"/>
              <w:spacing w:after="0" w:line="181" w:lineRule="exact"/>
              <w:rPr>
                <w:sz w:val="20"/>
                <w:szCs w:val="20"/>
                <w:color w:val="auto"/>
              </w:rPr>
            </w:pPr>
            <w:r>
              <w:rPr>
                <w:rFonts w:ascii="Times New Roman" w:cs="Times New Roman" w:eastAsia="Times New Roman" w:hAnsi="Times New Roman"/>
                <w:sz w:val="17"/>
                <w:szCs w:val="17"/>
                <w:color w:val="0000FF"/>
                <w:w w:val="93"/>
              </w:rPr>
              <w:t>11</w:t>
            </w: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3. Revenue</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13</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4. Loans Held for Investment and Allowance for Credit Losses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16</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5. Balance Sheet Components</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20</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300" w:type="dxa"/>
            <w:vAlign w:val="bottom"/>
            <w:tcBorders>
              <w:left w:val="single" w:sz="8" w:color="0000FF"/>
              <w:right w:val="single" w:sz="8" w:color="0000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6. Leases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22</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7. Commitments and Contingencies</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23</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300" w:type="dxa"/>
            <w:vAlign w:val="bottom"/>
            <w:tcBorders>
              <w:left w:val="single" w:sz="8" w:color="0000FF"/>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8. Debt</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25</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9. Securitization and Variable Interest Entities</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30</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300" w:type="dxa"/>
            <w:vAlign w:val="bottom"/>
            <w:tcBorders>
              <w:left w:val="single" w:sz="8" w:color="0000FF"/>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640" w:type="dxa"/>
            <w:vAlign w:val="bottom"/>
            <w:gridSpan w:val="4"/>
          </w:tcPr>
          <w:p>
            <w:pPr>
              <w:ind w:left="440"/>
              <w:spacing w:after="0" w:line="181" w:lineRule="exact"/>
              <w:rPr>
                <w:sz w:val="20"/>
                <w:szCs w:val="20"/>
                <w:color w:val="auto"/>
              </w:rPr>
            </w:pPr>
            <w:r>
              <w:rPr>
                <w:rFonts w:ascii="Times New Roman" w:cs="Times New Roman" w:eastAsia="Times New Roman" w:hAnsi="Times New Roman"/>
                <w:sz w:val="17"/>
                <w:szCs w:val="17"/>
                <w:color w:val="0000FF"/>
                <w:w w:val="84"/>
              </w:rPr>
              <w:t>10.</w:t>
            </w:r>
          </w:p>
        </w:tc>
        <w:tc>
          <w:tcPr>
            <w:tcW w:w="9860" w:type="dxa"/>
            <w:vAlign w:val="bottom"/>
            <w:gridSpan w:val="26"/>
          </w:tcPr>
          <w:p>
            <w:pPr>
              <w:ind w:left="100"/>
              <w:spacing w:after="0" w:line="181" w:lineRule="exact"/>
              <w:rPr>
                <w:sz w:val="20"/>
                <w:szCs w:val="20"/>
                <w:color w:val="auto"/>
              </w:rPr>
            </w:pPr>
            <w:r>
              <w:rPr>
                <w:rFonts w:ascii="Times New Roman" w:cs="Times New Roman" w:eastAsia="Times New Roman" w:hAnsi="Times New Roman"/>
                <w:sz w:val="17"/>
                <w:szCs w:val="17"/>
                <w:color w:val="0000FF"/>
              </w:rPr>
              <w:t>Investments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33</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640" w:type="dxa"/>
            <w:vAlign w:val="bottom"/>
            <w:gridSpan w:val="4"/>
            <w:shd w:val="clear" w:color="auto" w:fill="CCEEFF"/>
          </w:tcPr>
          <w:p>
            <w:pPr>
              <w:ind w:left="440"/>
              <w:spacing w:after="0" w:line="190" w:lineRule="exact"/>
              <w:rPr>
                <w:sz w:val="20"/>
                <w:szCs w:val="20"/>
                <w:color w:val="auto"/>
              </w:rPr>
            </w:pPr>
            <w:r>
              <w:rPr>
                <w:rFonts w:ascii="Times New Roman" w:cs="Times New Roman" w:eastAsia="Times New Roman" w:hAnsi="Times New Roman"/>
                <w:sz w:val="17"/>
                <w:szCs w:val="17"/>
                <w:color w:val="0000FF"/>
                <w:w w:val="84"/>
              </w:rPr>
              <w:t>11.</w:t>
            </w:r>
          </w:p>
        </w:tc>
        <w:tc>
          <w:tcPr>
            <w:tcW w:w="9860" w:type="dxa"/>
            <w:vAlign w:val="bottom"/>
            <w:gridSpan w:val="26"/>
            <w:shd w:val="clear" w:color="auto" w:fill="CCEEFF"/>
          </w:tcPr>
          <w:p>
            <w:pPr>
              <w:ind w:left="80"/>
              <w:spacing w:after="0" w:line="190" w:lineRule="exact"/>
              <w:rPr>
                <w:sz w:val="20"/>
                <w:szCs w:val="20"/>
                <w:color w:val="auto"/>
              </w:rPr>
            </w:pPr>
            <w:r>
              <w:rPr>
                <w:rFonts w:ascii="Times New Roman" w:cs="Times New Roman" w:eastAsia="Times New Roman" w:hAnsi="Times New Roman"/>
                <w:sz w:val="17"/>
                <w:szCs w:val="17"/>
                <w:color w:val="0000FF"/>
              </w:rPr>
              <w:t>Derivative Financial Instruments</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37</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300" w:type="dxa"/>
            <w:vAlign w:val="bottom"/>
            <w:tcBorders>
              <w:left w:val="single" w:sz="8" w:color="0000FF"/>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12. Fair Value of Financial Assets and Liabilities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39</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13. Stockholders</w:t>
            </w:r>
            <w:r>
              <w:rPr>
                <w:rFonts w:ascii="Times New Roman" w:cs="Times New Roman" w:eastAsia="Times New Roman" w:hAnsi="Times New Roman"/>
                <w:sz w:val="17"/>
                <w:szCs w:val="17"/>
                <w:u w:val="single" w:color="auto"/>
                <w:color w:val="000000"/>
              </w:rPr>
              <w:t>’</w:t>
            </w:r>
            <w:r>
              <w:rPr>
                <w:rFonts w:ascii="Times New Roman" w:cs="Times New Roman" w:eastAsia="Times New Roman" w:hAnsi="Times New Roman"/>
                <w:sz w:val="17"/>
                <w:szCs w:val="17"/>
                <w:color w:val="0000FF"/>
              </w:rPr>
              <w:t xml:space="preserve"> Equity</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50</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CCEE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CCEEFF"/>
            </w:tcBorders>
            <w:shd w:val="clear" w:color="auto" w:fill="0000FF"/>
          </w:tcPr>
          <w:p>
            <w:pPr>
              <w:spacing w:after="0"/>
              <w:rPr>
                <w:sz w:val="3"/>
                <w:szCs w:val="3"/>
                <w:color w:val="auto"/>
              </w:rPr>
            </w:pPr>
          </w:p>
        </w:tc>
        <w:tc>
          <w:tcPr>
            <w:tcW w:w="3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14. Equity Incentive Plans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51</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15. Income Taxes</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54</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16. Net Income (Loss) per Share Attributable to Common Stockholders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55</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ind w:left="220"/>
              <w:spacing w:after="0" w:line="190" w:lineRule="exact"/>
              <w:rPr>
                <w:sz w:val="20"/>
                <w:szCs w:val="20"/>
                <w:color w:val="auto"/>
              </w:rPr>
            </w:pPr>
            <w:r>
              <w:rPr>
                <w:rFonts w:ascii="Times New Roman" w:cs="Times New Roman" w:eastAsia="Times New Roman" w:hAnsi="Times New Roman"/>
                <w:sz w:val="17"/>
                <w:szCs w:val="17"/>
                <w:color w:val="0000FF"/>
              </w:rPr>
              <w:t>17. Segment Information</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55</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CCEE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3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ind w:left="220"/>
              <w:spacing w:after="0" w:line="181" w:lineRule="exact"/>
              <w:rPr>
                <w:sz w:val="20"/>
                <w:szCs w:val="20"/>
                <w:color w:val="auto"/>
              </w:rPr>
            </w:pPr>
            <w:r>
              <w:rPr>
                <w:rFonts w:ascii="Times New Roman" w:cs="Times New Roman" w:eastAsia="Times New Roman" w:hAnsi="Times New Roman"/>
                <w:sz w:val="17"/>
                <w:szCs w:val="17"/>
                <w:color w:val="0000FF"/>
              </w:rPr>
              <w:t>18. Subsequent Events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56</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80" w:type="dxa"/>
            <w:vAlign w:val="bottom"/>
            <w:gridSpan w:val="28"/>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2. Management</w:t>
            </w:r>
            <w:r>
              <w:rPr>
                <w:rFonts w:ascii="Times New Roman" w:cs="Times New Roman" w:eastAsia="Times New Roman" w:hAnsi="Times New Roman"/>
                <w:sz w:val="17"/>
                <w:szCs w:val="17"/>
                <w:color w:val="000000"/>
                <w:highlight w:val="white"/>
              </w:rPr>
              <w:t>’</w:t>
            </w:r>
            <w:r>
              <w:rPr>
                <w:rFonts w:ascii="Times New Roman" w:cs="Times New Roman" w:eastAsia="Times New Roman" w:hAnsi="Times New Roman"/>
                <w:sz w:val="17"/>
                <w:szCs w:val="17"/>
                <w:color w:val="0000FF"/>
              </w:rPr>
              <w:t>s Discussion and Analysis of Financial Condition and Results of Operations</w:t>
            </w: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57</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300" w:type="dxa"/>
            <w:vAlign w:val="bottom"/>
            <w:tcBorders>
              <w:left w:val="single" w:sz="8" w:color="0000FF"/>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2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80" w:type="dxa"/>
            <w:vAlign w:val="bottom"/>
            <w:gridSpan w:val="28"/>
          </w:tcPr>
          <w:p>
            <w:pPr>
              <w:spacing w:after="0" w:line="181" w:lineRule="exact"/>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74</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80" w:type="dxa"/>
            <w:vAlign w:val="bottom"/>
            <w:tcBorders>
              <w:right w:val="single" w:sz="8" w:color="CCEEFF"/>
            </w:tcBorders>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4. Controls and Procedures</w:t>
            </w:r>
          </w:p>
        </w:tc>
        <w:tc>
          <w:tcPr>
            <w:tcW w:w="2420" w:type="dxa"/>
            <w:vAlign w:val="bottom"/>
            <w:gridSpan w:val="6"/>
            <w:shd w:val="clear" w:color="auto" w:fill="CCEEFF"/>
          </w:tcPr>
          <w:p>
            <w:pPr>
              <w:spacing w:after="0"/>
              <w:rPr>
                <w:sz w:val="16"/>
                <w:szCs w:val="16"/>
                <w:color w:val="auto"/>
              </w:rPr>
            </w:pPr>
          </w:p>
        </w:tc>
        <w:tc>
          <w:tcPr>
            <w:tcW w:w="5580" w:type="dxa"/>
            <w:vAlign w:val="bottom"/>
            <w:gridSpan w:val="9"/>
            <w:shd w:val="clear" w:color="auto" w:fill="CCEEFF"/>
          </w:tcPr>
          <w:p>
            <w:pPr>
              <w:spacing w:after="0"/>
              <w:rPr>
                <w:sz w:val="16"/>
                <w:szCs w:val="16"/>
                <w:color w:val="auto"/>
              </w:rPr>
            </w:pP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76</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300" w:type="dxa"/>
            <w:vAlign w:val="bottom"/>
            <w:tcBorders>
              <w:left w:val="single" w:sz="8" w:color="0000FF"/>
              <w:right w:val="single" w:sz="8" w:color="CCEE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840" w:type="dxa"/>
            <w:vAlign w:val="bottom"/>
            <w:gridSpan w:val="11"/>
          </w:tcPr>
          <w:p>
            <w:pPr>
              <w:spacing w:after="0" w:line="181" w:lineRule="exact"/>
              <w:rPr>
                <w:sz w:val="20"/>
                <w:szCs w:val="20"/>
                <w:color w:val="auto"/>
              </w:rPr>
            </w:pPr>
            <w:r>
              <w:rPr>
                <w:rFonts w:ascii="Times New Roman" w:cs="Times New Roman" w:eastAsia="Times New Roman" w:hAnsi="Times New Roman"/>
                <w:sz w:val="17"/>
                <w:szCs w:val="17"/>
                <w:color w:val="0000FF"/>
              </w:rPr>
              <w:t>Part II - Other Information</w:t>
            </w:r>
          </w:p>
        </w:tc>
        <w:tc>
          <w:tcPr>
            <w:tcW w:w="8640" w:type="dxa"/>
            <w:vAlign w:val="bottom"/>
            <w:gridSpan w:val="18"/>
          </w:tcPr>
          <w:p>
            <w:pPr>
              <w:spacing w:after="0"/>
              <w:rPr>
                <w:sz w:val="15"/>
                <w:szCs w:val="15"/>
                <w:color w:val="auto"/>
              </w:rPr>
            </w:pP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77</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0" w:type="dxa"/>
            <w:vAlign w:val="bottom"/>
            <w:gridSpan w:val="11"/>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8"/>
              </w:rPr>
              <w:t>Item 1. Legal Proceedings</w:t>
            </w:r>
          </w:p>
        </w:tc>
        <w:tc>
          <w:tcPr>
            <w:tcW w:w="8480" w:type="dxa"/>
            <w:vAlign w:val="bottom"/>
            <w:tcBorders>
              <w:left w:val="single" w:sz="8" w:color="CCEEFF"/>
            </w:tcBorders>
            <w:gridSpan w:val="17"/>
            <w:shd w:val="clear" w:color="auto" w:fill="CCEEFF"/>
          </w:tcPr>
          <w:p>
            <w:pPr>
              <w:spacing w:after="0"/>
              <w:rPr>
                <w:sz w:val="16"/>
                <w:szCs w:val="16"/>
                <w:color w:val="auto"/>
              </w:rPr>
            </w:pP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77</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11"/>
          </w:tcPr>
          <w:p>
            <w:pPr>
              <w:spacing w:after="0" w:line="181" w:lineRule="exact"/>
              <w:rPr>
                <w:sz w:val="20"/>
                <w:szCs w:val="20"/>
                <w:color w:val="auto"/>
              </w:rPr>
            </w:pPr>
            <w:r>
              <w:rPr>
                <w:rFonts w:ascii="Times New Roman" w:cs="Times New Roman" w:eastAsia="Times New Roman" w:hAnsi="Times New Roman"/>
                <w:sz w:val="17"/>
                <w:szCs w:val="17"/>
                <w:color w:val="0000FF"/>
              </w:rPr>
              <w:t>Item 1A. Risk Factors</w:t>
            </w:r>
          </w:p>
        </w:tc>
        <w:tc>
          <w:tcPr>
            <w:tcW w:w="8480" w:type="dxa"/>
            <w:vAlign w:val="bottom"/>
            <w:gridSpan w:val="17"/>
          </w:tcPr>
          <w:p>
            <w:pPr>
              <w:spacing w:after="0"/>
              <w:rPr>
                <w:sz w:val="15"/>
                <w:szCs w:val="15"/>
                <w:color w:val="auto"/>
              </w:rPr>
            </w:pP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77</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700" w:type="dxa"/>
            <w:vAlign w:val="bottom"/>
            <w:gridSpan w:val="1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5580" w:type="dxa"/>
            <w:vAlign w:val="bottom"/>
            <w:gridSpan w:val="9"/>
            <w:shd w:val="clear" w:color="auto" w:fill="CCEEFF"/>
          </w:tcPr>
          <w:p>
            <w:pPr>
              <w:spacing w:after="0"/>
              <w:rPr>
                <w:sz w:val="16"/>
                <w:szCs w:val="16"/>
                <w:color w:val="auto"/>
              </w:rPr>
            </w:pP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77</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300" w:type="dxa"/>
            <w:vAlign w:val="bottom"/>
            <w:tcBorders>
              <w:left w:val="single" w:sz="8" w:color="0000FF"/>
              <w:right w:val="single" w:sz="8" w:color="0000FF"/>
            </w:tcBorders>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20" w:type="dxa"/>
            <w:vAlign w:val="bottom"/>
            <w:tcBorders>
              <w:left w:val="single" w:sz="8" w:color="0000FF"/>
            </w:tcBorders>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00" w:type="dxa"/>
            <w:vAlign w:val="bottom"/>
            <w:gridSpan w:val="19"/>
          </w:tcPr>
          <w:p>
            <w:pPr>
              <w:spacing w:after="0" w:line="181" w:lineRule="exact"/>
              <w:rPr>
                <w:sz w:val="20"/>
                <w:szCs w:val="20"/>
                <w:color w:val="auto"/>
              </w:rPr>
            </w:pPr>
            <w:r>
              <w:rPr>
                <w:rFonts w:ascii="Times New Roman" w:cs="Times New Roman" w:eastAsia="Times New Roman" w:hAnsi="Times New Roman"/>
                <w:sz w:val="17"/>
                <w:szCs w:val="17"/>
                <w:color w:val="0000FF"/>
              </w:rPr>
              <w:t>Item 3. Defaults Upon Senior Securities</w:t>
            </w:r>
          </w:p>
        </w:tc>
        <w:tc>
          <w:tcPr>
            <w:tcW w:w="5580" w:type="dxa"/>
            <w:vAlign w:val="bottom"/>
            <w:gridSpan w:val="9"/>
          </w:tcPr>
          <w:p>
            <w:pPr>
              <w:spacing w:after="0"/>
              <w:rPr>
                <w:sz w:val="15"/>
                <w:szCs w:val="15"/>
                <w:color w:val="auto"/>
              </w:rPr>
            </w:pP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77</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300" w:type="dxa"/>
            <w:vAlign w:val="bottom"/>
            <w:tcBorders>
              <w:left w:val="single" w:sz="8" w:color="0000FF"/>
              <w:right w:val="single" w:sz="8" w:color="0000FF"/>
            </w:tcBorders>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80" w:type="dxa"/>
            <w:vAlign w:val="bottom"/>
            <w:tcBorders>
              <w:right w:val="single" w:sz="8" w:color="CCEEFF"/>
            </w:tcBorders>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4. Mine Safety Disclosures</w:t>
            </w:r>
          </w:p>
        </w:tc>
        <w:tc>
          <w:tcPr>
            <w:tcW w:w="480" w:type="dxa"/>
            <w:vAlign w:val="bottom"/>
            <w:gridSpan w:val="2"/>
            <w:shd w:val="clear" w:color="auto" w:fill="CCEEFF"/>
          </w:tcPr>
          <w:p>
            <w:pPr>
              <w:spacing w:after="0"/>
              <w:rPr>
                <w:sz w:val="16"/>
                <w:szCs w:val="16"/>
                <w:color w:val="auto"/>
              </w:rPr>
            </w:pPr>
          </w:p>
        </w:tc>
        <w:tc>
          <w:tcPr>
            <w:tcW w:w="7520" w:type="dxa"/>
            <w:vAlign w:val="bottom"/>
            <w:tcBorders>
              <w:left w:val="single" w:sz="8" w:color="CCEEFF"/>
            </w:tcBorders>
            <w:gridSpan w:val="13"/>
            <w:shd w:val="clear" w:color="auto" w:fill="CCEEFF"/>
          </w:tcPr>
          <w:p>
            <w:pPr>
              <w:spacing w:after="0"/>
              <w:rPr>
                <w:sz w:val="16"/>
                <w:szCs w:val="16"/>
                <w:color w:val="auto"/>
              </w:rPr>
            </w:pP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77</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80" w:type="dxa"/>
            <w:vAlign w:val="bottom"/>
            <w:tcBorders>
              <w:left w:val="single" w:sz="8" w:color="0000FF"/>
              <w:right w:val="single" w:sz="8" w:color="0000FF"/>
            </w:tcBorders>
            <w:shd w:val="clear" w:color="auto" w:fill="0000FF"/>
          </w:tcPr>
          <w:p>
            <w:pPr>
              <w:spacing w:after="0"/>
              <w:rPr>
                <w:sz w:val="3"/>
                <w:szCs w:val="3"/>
                <w:color w:val="auto"/>
              </w:rPr>
            </w:pPr>
          </w:p>
        </w:tc>
        <w:tc>
          <w:tcPr>
            <w:tcW w:w="300" w:type="dxa"/>
            <w:vAlign w:val="bottom"/>
            <w:tcBorders>
              <w:left w:val="single" w:sz="8" w:color="0000FF"/>
              <w:right w:val="single" w:sz="8" w:color="CCEEFF"/>
            </w:tcBorders>
            <w:shd w:val="clear" w:color="auto" w:fill="0000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11"/>
          </w:tcPr>
          <w:p>
            <w:pPr>
              <w:spacing w:after="0" w:line="181" w:lineRule="exact"/>
              <w:rPr>
                <w:sz w:val="20"/>
                <w:szCs w:val="20"/>
                <w:color w:val="auto"/>
              </w:rPr>
            </w:pPr>
            <w:r>
              <w:rPr>
                <w:rFonts w:ascii="Times New Roman" w:cs="Times New Roman" w:eastAsia="Times New Roman" w:hAnsi="Times New Roman"/>
                <w:sz w:val="17"/>
                <w:szCs w:val="17"/>
                <w:color w:val="0000FF"/>
                <w:w w:val="99"/>
              </w:rPr>
              <w:t>Item 5. Other Information</w:t>
            </w:r>
          </w:p>
        </w:tc>
        <w:tc>
          <w:tcPr>
            <w:tcW w:w="480" w:type="dxa"/>
            <w:vAlign w:val="bottom"/>
            <w:gridSpan w:val="2"/>
          </w:tcPr>
          <w:p>
            <w:pPr>
              <w:spacing w:after="0"/>
              <w:rPr>
                <w:sz w:val="15"/>
                <w:szCs w:val="15"/>
                <w:color w:val="auto"/>
              </w:rPr>
            </w:pPr>
          </w:p>
        </w:tc>
        <w:tc>
          <w:tcPr>
            <w:tcW w:w="8000" w:type="dxa"/>
            <w:vAlign w:val="bottom"/>
            <w:gridSpan w:val="15"/>
          </w:tcPr>
          <w:p>
            <w:pPr>
              <w:spacing w:after="0"/>
              <w:rPr>
                <w:sz w:val="15"/>
                <w:szCs w:val="15"/>
                <w:color w:val="auto"/>
              </w:rPr>
            </w:pP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78</w:t>
            </w:r>
          </w:p>
        </w:tc>
        <w:tc>
          <w:tcPr>
            <w:tcW w:w="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80" w:type="dxa"/>
            <w:vAlign w:val="bottom"/>
            <w:tcBorders>
              <w:left w:val="single" w:sz="8" w:color="0000FF"/>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Item 6. Exhibits</w:t>
            </w:r>
          </w:p>
        </w:tc>
        <w:tc>
          <w:tcPr>
            <w:tcW w:w="680" w:type="dxa"/>
            <w:vAlign w:val="bottom"/>
            <w:gridSpan w:val="4"/>
            <w:shd w:val="clear" w:color="auto" w:fill="CCEEFF"/>
          </w:tcPr>
          <w:p>
            <w:pPr>
              <w:spacing w:after="0"/>
              <w:rPr>
                <w:sz w:val="16"/>
                <w:szCs w:val="16"/>
                <w:color w:val="auto"/>
              </w:rPr>
            </w:pPr>
          </w:p>
        </w:tc>
        <w:tc>
          <w:tcPr>
            <w:tcW w:w="8480" w:type="dxa"/>
            <w:vAlign w:val="bottom"/>
            <w:tcBorders>
              <w:left w:val="single" w:sz="8" w:color="CCEEFF"/>
            </w:tcBorders>
            <w:gridSpan w:val="17"/>
            <w:shd w:val="clear" w:color="auto" w:fill="CCEEFF"/>
          </w:tcPr>
          <w:p>
            <w:pPr>
              <w:spacing w:after="0"/>
              <w:rPr>
                <w:sz w:val="16"/>
                <w:szCs w:val="16"/>
                <w:color w:val="auto"/>
              </w:rPr>
            </w:pPr>
          </w:p>
        </w:tc>
        <w:tc>
          <w:tcPr>
            <w:tcW w:w="720" w:type="dxa"/>
            <w:vAlign w:val="bottom"/>
            <w:gridSpan w:val="3"/>
            <w:shd w:val="clear" w:color="auto" w:fill="CCEEFF"/>
          </w:tcPr>
          <w:p>
            <w:pPr>
              <w:ind w:left="560"/>
              <w:spacing w:after="0" w:line="190" w:lineRule="exact"/>
              <w:rPr>
                <w:sz w:val="20"/>
                <w:szCs w:val="20"/>
                <w:color w:val="auto"/>
              </w:rPr>
            </w:pPr>
            <w:r>
              <w:rPr>
                <w:rFonts w:ascii="Times New Roman" w:cs="Times New Roman" w:eastAsia="Times New Roman" w:hAnsi="Times New Roman"/>
                <w:sz w:val="17"/>
                <w:szCs w:val="17"/>
                <w:color w:val="0000FF"/>
                <w:w w:val="82"/>
              </w:rPr>
              <w:t>79</w:t>
            </w:r>
          </w:p>
        </w:tc>
        <w:tc>
          <w:tcPr>
            <w:tcW w:w="20" w:type="dxa"/>
            <w:vAlign w:val="bottom"/>
            <w:shd w:val="clear" w:color="auto" w:fill="CCEEFF"/>
          </w:tcPr>
          <w:p>
            <w:pPr>
              <w:spacing w:after="0"/>
              <w:rPr>
                <w:sz w:val="16"/>
                <w:szCs w:val="16"/>
                <w:color w:val="auto"/>
              </w:rPr>
            </w:pPr>
          </w:p>
        </w:tc>
      </w:tr>
      <w:tr>
        <w:trPr>
          <w:trHeight w:val="39"/>
        </w:trPr>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tcBorders>
              <w:left w:val="single" w:sz="8" w:color="CCEEFF"/>
              <w:right w:val="single" w:sz="8" w:color="CCEEFF"/>
            </w:tcBorders>
            <w:shd w:val="clear" w:color="auto" w:fill="CCEEFF"/>
          </w:tcPr>
          <w:p>
            <w:pPr>
              <w:spacing w:after="0"/>
              <w:rPr>
                <w:sz w:val="3"/>
                <w:szCs w:val="3"/>
                <w:color w:val="auto"/>
              </w:rPr>
            </w:pPr>
          </w:p>
        </w:tc>
        <w:tc>
          <w:tcPr>
            <w:tcW w:w="300" w:type="dxa"/>
            <w:vAlign w:val="bottom"/>
            <w:tcBorders>
              <w:left w:val="single" w:sz="8" w:color="CCEEFF"/>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80" w:type="dxa"/>
            <w:vAlign w:val="bottom"/>
            <w:gridSpan w:val="29"/>
          </w:tcPr>
          <w:p>
            <w:pPr>
              <w:spacing w:after="0" w:line="181" w:lineRule="exact"/>
              <w:rPr>
                <w:sz w:val="20"/>
                <w:szCs w:val="20"/>
                <w:color w:val="auto"/>
              </w:rPr>
            </w:pPr>
            <w:r>
              <w:rPr>
                <w:rFonts w:ascii="Times New Roman" w:cs="Times New Roman" w:eastAsia="Times New Roman" w:hAnsi="Times New Roman"/>
                <w:sz w:val="17"/>
                <w:szCs w:val="17"/>
                <w:color w:val="0000FF"/>
              </w:rPr>
              <w:t>Signatures</w:t>
            </w:r>
          </w:p>
        </w:tc>
        <w:tc>
          <w:tcPr>
            <w:tcW w:w="720" w:type="dxa"/>
            <w:vAlign w:val="bottom"/>
            <w:gridSpan w:val="3"/>
          </w:tcPr>
          <w:p>
            <w:pPr>
              <w:ind w:left="560"/>
              <w:spacing w:after="0" w:line="181" w:lineRule="exact"/>
              <w:rPr>
                <w:sz w:val="20"/>
                <w:szCs w:val="20"/>
                <w:color w:val="auto"/>
              </w:rPr>
            </w:pPr>
            <w:r>
              <w:rPr>
                <w:rFonts w:ascii="Times New Roman" w:cs="Times New Roman" w:eastAsia="Times New Roman" w:hAnsi="Times New Roman"/>
                <w:sz w:val="17"/>
                <w:szCs w:val="17"/>
                <w:color w:val="0000FF"/>
                <w:w w:val="82"/>
              </w:rPr>
              <w:t>80</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-5570220</wp:posOffset>
            </wp:positionV>
            <wp:extent cx="65963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6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48"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regarding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05"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future revenue, expenses, and other operating results and key operating metrics;</w:t>
      </w:r>
    </w:p>
    <w:p>
      <w:pPr>
        <w:spacing w:after="0" w:line="114" w:lineRule="exact"/>
        <w:rPr>
          <w:rFonts w:ascii="Times New Roman" w:cs="Times New Roman" w:eastAsia="Times New Roman" w:hAnsi="Times New Roman"/>
          <w:sz w:val="17"/>
          <w:szCs w:val="17"/>
          <w:color w:val="auto"/>
        </w:rPr>
      </w:pPr>
    </w:p>
    <w:p>
      <w:pPr>
        <w:ind w:left="620" w:right="70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merchant partners and commerce platforms and grow our relationships with existing merchant partners and commerce platforms;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successfully in a highly competitive and evolving industry;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consumers and retain and grow our relationships with our existing consumers;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development, innovation, introduction of, and demand for, our products;</w:t>
      </w:r>
    </w:p>
    <w:p>
      <w:pPr>
        <w:spacing w:after="0" w:line="114" w:lineRule="exact"/>
        <w:rPr>
          <w:rFonts w:ascii="Times New Roman" w:cs="Times New Roman" w:eastAsia="Times New Roman" w:hAnsi="Times New Roman"/>
          <w:sz w:val="17"/>
          <w:szCs w:val="17"/>
          <w:color w:val="auto"/>
        </w:rPr>
      </w:pPr>
    </w:p>
    <w:p>
      <w:pPr>
        <w:ind w:left="620" w:right="6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maintain our relationship with existing originating bank partners and card issuing bank partners and engage additional originating bank partners and card issuing bank partners;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renew or replace our existing funding arrangements and build and grow new funding relationships;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any of our funding sources becoming unwilling or unable to provide funding to us on terms acceptable to us, or at all;</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price and score credit risk using our proprietary risk model;</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of loans facilitated and originated through our platform;</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use and provide AI-powered solutions;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growth rate of our revenue and related key operating metrics;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sustained profitability in the future;</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our originating bank and other partners, to comply, and remain in compliance with, laws and regulations that currently apply or become applicable to our business or the businesses of such partners;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our confidential, proprietary, or sensitive information;</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past and future acquisitions, investments, and other strategic investments;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expand into new international geographies;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brand and intellectual property;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investigations, regulatory inquiries, and proceedings;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our regulatory environment;</w:t>
      </w:r>
    </w:p>
    <w:p>
      <w:pPr>
        <w:spacing w:after="0" w:line="101" w:lineRule="exact"/>
        <w:rPr>
          <w:rFonts w:ascii="Times New Roman" w:cs="Times New Roman" w:eastAsia="Times New Roman" w:hAnsi="Times New Roman"/>
          <w:sz w:val="17"/>
          <w:szCs w:val="17"/>
          <w:color w:val="auto"/>
        </w:rPr>
      </w:pPr>
    </w:p>
    <w:p>
      <w:pPr>
        <w:ind w:left="620" w:right="200" w:hanging="307"/>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macroeconomic conditions on our business, including the impacts of inflation, an elevated interest rate environment and corresponding elevated negotiated interest rate spreads, ongoing recessionary concerns, uncertainty relating to the magnitude, duration and impact of tariffs on global trade,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 w:name="page5"/>
    <w:bookmarkEnd w:id="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potential impact of macroeconomic conditions on the stability of the financial institutions with whom we do business; and</w:t>
      </w:r>
    </w:p>
    <w:p>
      <w:pPr>
        <w:spacing w:after="0" w:line="115"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growth rates of the markets in which we compete.</w:t>
      </w:r>
    </w:p>
    <w:p>
      <w:pPr>
        <w:spacing w:after="0" w:line="115" w:lineRule="exact"/>
        <w:rPr>
          <w:sz w:val="20"/>
          <w:szCs w:val="20"/>
          <w:color w:val="auto"/>
        </w:rPr>
      </w:pPr>
    </w:p>
    <w:p>
      <w:pPr>
        <w:ind w:right="140" w:firstLine="620"/>
        <w:spacing w:after="0" w:line="258" w:lineRule="auto"/>
        <w:rPr>
          <w:sz w:val="20"/>
          <w:szCs w:val="20"/>
          <w:color w:val="auto"/>
        </w:rPr>
      </w:pPr>
      <w:r>
        <w:rPr>
          <w:rFonts w:ascii="Times New Roman" w:cs="Times New Roman" w:eastAsia="Times New Roman" w:hAnsi="Times New Roman"/>
          <w:sz w:val="17"/>
          <w:szCs w:val="17"/>
          <w:color w:val="auto"/>
        </w:rPr>
        <w:t xml:space="preserve">Forward-looking statements, including statements such as “we believe” and similar statements, are based on our management’s current beliefs, opinions and assumptions and on information currently available as of the date of this Report. Such information may be limited or incomplete, and our statements should not be read to indicate that we have conducted an exhaustive inquiry into, or review of, all potentially available relevant information. These forward-looking statements are subject to a number of known and unknown risks, uncertainties and assumptions, including risks described in the section titled “Risk Factors” and elsewhere in this Form 10-Q and in our most recently filed Annual Report on Form 10-K for the fiscal year ended June 30, 2025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Annual Report”). Other sections of this Form 10-Q may include additional factors that could harm our business and financial performance. Moreover, we operate in a very competitive, heavily regulated and rapidly changing environment. New risks emerge from time to time, and it is not possible for our management to predict all risks that we may face, nor can we assess the impact of all risks on our business or the extent to which any risk, or combination of risks, may cause our actual results to differ from those contained in, or implied by, any forward-looking statements.</w:t>
      </w:r>
    </w:p>
    <w:p>
      <w:pPr>
        <w:spacing w:after="0" w:line="202"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Although we believe that the expectations reflected in the forward-looking statements are reasonable as of the date of this Report, we cannot guarantee future results, levels of activity, performance, achievements, events, outcomes, timing of results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outcomes, achievements and timing of results or outcomes may be materially different from what we expect. We qualify all of our forward-looking statements by these cautionary statements.</w:t>
      </w:r>
    </w:p>
    <w:p>
      <w:pPr>
        <w:spacing w:after="0" w:line="202" w:lineRule="exact"/>
        <w:rPr>
          <w:sz w:val="20"/>
          <w:szCs w:val="20"/>
          <w:color w:val="auto"/>
        </w:rPr>
      </w:pPr>
    </w:p>
    <w:p>
      <w:pPr>
        <w:ind w:right="60" w:firstLine="620"/>
        <w:spacing w:after="0" w:line="251" w:lineRule="auto"/>
        <w:rPr>
          <w:sz w:val="20"/>
          <w:szCs w:val="20"/>
          <w:color w:val="auto"/>
        </w:rPr>
      </w:pPr>
      <w:r>
        <w:rPr>
          <w:rFonts w:ascii="Times New Roman" w:cs="Times New Roman" w:eastAsia="Times New Roman" w:hAnsi="Times New Roman"/>
          <w:sz w:val="17"/>
          <w:szCs w:val="17"/>
          <w:color w:val="auto"/>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for convenience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Part I - Financial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AFFIRM HOLDINGS,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(in thousands, except shares and per share amounts)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7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14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1,428,848</w:t>
            </w:r>
          </w:p>
        </w:tc>
        <w:tc>
          <w:tcPr>
            <w:tcW w:w="8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1,354,455</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668,762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401,968</w:t>
            </w:r>
          </w:p>
        </w:tc>
        <w:tc>
          <w:tcPr>
            <w:tcW w:w="0" w:type="dxa"/>
            <w:vAlign w:val="bottom"/>
          </w:tcPr>
          <w:p>
            <w:pPr>
              <w:spacing w:after="0"/>
              <w:rPr>
                <w:sz w:val="1"/>
                <w:szCs w:val="1"/>
                <w:color w:val="auto"/>
              </w:rPr>
            </w:pPr>
          </w:p>
        </w:tc>
      </w:tr>
      <w:tr>
        <w:trPr>
          <w:trHeight w:val="18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 at fair value</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812,442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871,425</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7,235,177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7,025,534</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(425,801)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(396,929)</w:t>
            </w:r>
          </w:p>
        </w:tc>
        <w:tc>
          <w:tcPr>
            <w:tcW w:w="0" w:type="dxa"/>
            <w:vAlign w:val="bottom"/>
          </w:tcPr>
          <w:p>
            <w:pPr>
              <w:spacing w:after="0"/>
              <w:rPr>
                <w:sz w:val="1"/>
                <w:szCs w:val="1"/>
                <w:color w:val="auto"/>
              </w:rPr>
            </w:pPr>
          </w:p>
        </w:tc>
      </w:tr>
      <w:tr>
        <w:trPr>
          <w:trHeight w:val="179"/>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6,809,376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6,628,606</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283,726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426,177</w:t>
            </w:r>
          </w:p>
        </w:tc>
        <w:tc>
          <w:tcPr>
            <w:tcW w:w="0" w:type="dxa"/>
            <w:vAlign w:val="bottom"/>
          </w:tcPr>
          <w:p>
            <w:pPr>
              <w:spacing w:after="0"/>
              <w:rPr>
                <w:sz w:val="1"/>
                <w:szCs w:val="1"/>
                <w:color w:val="auto"/>
              </w:rPr>
            </w:pPr>
          </w:p>
        </w:tc>
      </w:tr>
      <w:tr>
        <w:trPr>
          <w:trHeight w:val="18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613,938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572,637</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529,910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534,156</w:t>
            </w:r>
          </w:p>
        </w:tc>
        <w:tc>
          <w:tcPr>
            <w:tcW w:w="0" w:type="dxa"/>
            <w:vAlign w:val="bottom"/>
          </w:tcPr>
          <w:p>
            <w:pPr>
              <w:spacing w:after="0"/>
              <w:rPr>
                <w:sz w:val="1"/>
                <w:szCs w:val="1"/>
                <w:color w:val="auto"/>
              </w:rPr>
            </w:pPr>
          </w:p>
        </w:tc>
      </w:tr>
      <w:tr>
        <w:trPr>
          <w:trHeight w:val="186"/>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12,935</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agreement assets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49,154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57,210</w:t>
            </w:r>
          </w:p>
        </w:tc>
        <w:tc>
          <w:tcPr>
            <w:tcW w:w="0" w:type="dxa"/>
            <w:vAlign w:val="bottom"/>
          </w:tcPr>
          <w:p>
            <w:pPr>
              <w:spacing w:after="0"/>
              <w:rPr>
                <w:sz w:val="1"/>
                <w:szCs w:val="1"/>
                <w:color w:val="auto"/>
              </w:rPr>
            </w:pPr>
          </w:p>
        </w:tc>
      </w:tr>
      <w:tr>
        <w:trPr>
          <w:trHeight w:val="187"/>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269,713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295,360</w:t>
            </w:r>
          </w:p>
        </w:tc>
        <w:tc>
          <w:tcPr>
            <w:tcW w:w="0" w:type="dxa"/>
            <w:vAlign w:val="bottom"/>
          </w:tcPr>
          <w:p>
            <w:pPr>
              <w:spacing w:after="0"/>
              <w:rPr>
                <w:sz w:val="1"/>
                <w:szCs w:val="1"/>
                <w:color w:val="auto"/>
              </w:rPr>
            </w:pPr>
          </w:p>
        </w:tc>
      </w:tr>
      <w:tr>
        <w:trPr>
          <w:trHeight w:val="219"/>
        </w:trPr>
        <w:tc>
          <w:tcPr>
            <w:tcW w:w="75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11,478,567</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11,154,929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58,019</w:t>
            </w:r>
          </w:p>
        </w:tc>
        <w:tc>
          <w:tcPr>
            <w:tcW w:w="8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82,820</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Payable to third-party loan owners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193,790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211,700</w:t>
            </w:r>
          </w:p>
        </w:tc>
        <w:tc>
          <w:tcPr>
            <w:tcW w:w="0" w:type="dxa"/>
            <w:vAlign w:val="bottom"/>
          </w:tcPr>
          <w:p>
            <w:pPr>
              <w:spacing w:after="0"/>
              <w:rPr>
                <w:sz w:val="1"/>
                <w:szCs w:val="1"/>
                <w:color w:val="auto"/>
              </w:rPr>
            </w:pPr>
          </w:p>
        </w:tc>
      </w:tr>
      <w:tr>
        <w:trPr>
          <w:trHeight w:val="186"/>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24,465</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165,830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157,272</w:t>
            </w:r>
          </w:p>
        </w:tc>
        <w:tc>
          <w:tcPr>
            <w:tcW w:w="0" w:type="dxa"/>
            <w:vAlign w:val="bottom"/>
          </w:tcPr>
          <w:p>
            <w:pPr>
              <w:spacing w:after="0"/>
              <w:rPr>
                <w:sz w:val="1"/>
                <w:szCs w:val="1"/>
                <w:color w:val="auto"/>
              </w:rPr>
            </w:pPr>
          </w:p>
        </w:tc>
      </w:tr>
      <w:tr>
        <w:trPr>
          <w:trHeight w:val="186"/>
        </w:trPr>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senior notes, net</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1,127,668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1,153,000</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4,830,819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4,833,855</w:t>
            </w:r>
          </w:p>
        </w:tc>
        <w:tc>
          <w:tcPr>
            <w:tcW w:w="0" w:type="dxa"/>
            <w:vAlign w:val="bottom"/>
          </w:tcPr>
          <w:p>
            <w:pPr>
              <w:spacing w:after="0"/>
              <w:rPr>
                <w:sz w:val="1"/>
                <w:szCs w:val="1"/>
                <w:color w:val="auto"/>
              </w:rPr>
            </w:pPr>
          </w:p>
        </w:tc>
      </w:tr>
      <w:tr>
        <w:trPr>
          <w:trHeight w:val="18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Funding debt</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1,777,906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1,622,808</w:t>
            </w:r>
          </w:p>
        </w:tc>
        <w:tc>
          <w:tcPr>
            <w:tcW w:w="0" w:type="dxa"/>
            <w:vAlign w:val="bottom"/>
          </w:tcPr>
          <w:p>
            <w:pPr>
              <w:spacing w:after="0"/>
              <w:rPr>
                <w:sz w:val="1"/>
                <w:szCs w:val="1"/>
                <w:color w:val="auto"/>
              </w:rPr>
            </w:pPr>
          </w:p>
        </w:tc>
      </w:tr>
      <w:tr>
        <w:trPr>
          <w:trHeight w:val="194"/>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8,179,682</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8,085,919</w:t>
            </w:r>
          </w:p>
        </w:tc>
        <w:tc>
          <w:tcPr>
            <w:tcW w:w="0" w:type="dxa"/>
            <w:vAlign w:val="bottom"/>
          </w:tcPr>
          <w:p>
            <w:pPr>
              <w:spacing w:after="0"/>
              <w:rPr>
                <w:sz w:val="1"/>
                <w:szCs w:val="1"/>
                <w:color w:val="auto"/>
              </w:rPr>
            </w:pPr>
          </w:p>
        </w:tc>
      </w:tr>
      <w:tr>
        <w:trPr>
          <w:trHeight w:val="166"/>
        </w:trPr>
        <w:tc>
          <w:tcPr>
            <w:tcW w:w="75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Commitments and contingencies (Note 7)</w:t>
            </w: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75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A common stock, par value $0.00001 per share: 3,030,000,000 shares authorized, 289,324,958 shares issued and outstanding as</w:t>
            </w:r>
          </w:p>
        </w:tc>
        <w:tc>
          <w:tcPr>
            <w:tcW w:w="20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4"/>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September 30, 2025; 3,030,000,000 shares authorized, 284,378,565 shares issued and outstanding as of June 30, 2025</w:t>
            </w: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5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Class B common stock, par value $0.00001 per share: 140,000,000 shares authorized, 40,723,546 shares issued and outstanding as of</w:t>
            </w:r>
          </w:p>
        </w:tc>
        <w:tc>
          <w:tcPr>
            <w:tcW w:w="20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2025; 140,000,000 authorized, 40,734,234 shares issued and outstanding as of June 30, 2025</w:t>
            </w:r>
          </w:p>
        </w:tc>
        <w:tc>
          <w:tcPr>
            <w:tcW w:w="2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5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6,299,395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6,140,893</w:t>
            </w:r>
          </w:p>
        </w:tc>
        <w:tc>
          <w:tcPr>
            <w:tcW w:w="0" w:type="dxa"/>
            <w:vAlign w:val="bottom"/>
          </w:tcPr>
          <w:p>
            <w:pPr>
              <w:spacing w:after="0"/>
              <w:rPr>
                <w:sz w:val="1"/>
                <w:szCs w:val="1"/>
                <w:color w:val="auto"/>
              </w:rPr>
            </w:pPr>
          </w:p>
        </w:tc>
      </w:tr>
      <w:tr>
        <w:trPr>
          <w:trHeight w:val="201"/>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(2,976,124)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(3,056,818)</w:t>
            </w:r>
          </w:p>
        </w:tc>
        <w:tc>
          <w:tcPr>
            <w:tcW w:w="0" w:type="dxa"/>
            <w:vAlign w:val="bottom"/>
          </w:tcPr>
          <w:p>
            <w:pPr>
              <w:spacing w:after="0"/>
              <w:rPr>
                <w:sz w:val="1"/>
                <w:szCs w:val="1"/>
                <w:color w:val="auto"/>
              </w:rPr>
            </w:pPr>
          </w:p>
        </w:tc>
      </w:tr>
      <w:tr>
        <w:trPr>
          <w:trHeight w:val="187"/>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(24,389)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(15,069)</w:t>
            </w:r>
          </w:p>
        </w:tc>
        <w:tc>
          <w:tcPr>
            <w:tcW w:w="0" w:type="dxa"/>
            <w:vAlign w:val="bottom"/>
          </w:tcPr>
          <w:p>
            <w:pPr>
              <w:spacing w:after="0"/>
              <w:rPr>
                <w:sz w:val="1"/>
                <w:szCs w:val="1"/>
                <w:color w:val="auto"/>
              </w:rPr>
            </w:pPr>
          </w:p>
        </w:tc>
      </w:tr>
      <w:tr>
        <w:trPr>
          <w:trHeight w:val="188"/>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3,298,885</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3,069,009</w:t>
            </w:r>
          </w:p>
        </w:tc>
        <w:tc>
          <w:tcPr>
            <w:tcW w:w="0" w:type="dxa"/>
            <w:vAlign w:val="bottom"/>
          </w:tcPr>
          <w:p>
            <w:pPr>
              <w:spacing w:after="0"/>
              <w:rPr>
                <w:sz w:val="1"/>
                <w:szCs w:val="1"/>
                <w:color w:val="auto"/>
              </w:rPr>
            </w:pPr>
          </w:p>
        </w:tc>
      </w:tr>
      <w:tr>
        <w:trPr>
          <w:trHeight w:val="192"/>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11,478,567</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11,154,929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 w:name="page7"/>
    <w:bookmarkEnd w:id="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AFFIRM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CONT.</w:t>
      </w:r>
    </w:p>
    <w:p>
      <w:pPr>
        <w:spacing w:after="0" w:line="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(in thousands)</w:t>
      </w:r>
    </w:p>
    <w:p>
      <w:pPr>
        <w:spacing w:after="0" w:line="227" w:lineRule="exact"/>
        <w:rPr>
          <w:sz w:val="20"/>
          <w:szCs w:val="20"/>
          <w:color w:val="auto"/>
        </w:rPr>
      </w:pPr>
    </w:p>
    <w:p>
      <w:pPr>
        <w:ind w:firstLine="169"/>
        <w:spacing w:after="0" w:line="263" w:lineRule="auto"/>
        <w:rPr>
          <w:sz w:val="20"/>
          <w:szCs w:val="20"/>
          <w:color w:val="auto"/>
        </w:rPr>
      </w:pPr>
      <w:r>
        <w:rPr>
          <w:rFonts w:ascii="Times New Roman" w:cs="Times New Roman" w:eastAsia="Times New Roman" w:hAnsi="Times New Roman"/>
          <w:sz w:val="17"/>
          <w:szCs w:val="17"/>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14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3"/>
        </w:trPr>
        <w:tc>
          <w:tcPr>
            <w:tcW w:w="7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of consolidated VIEs, included in total assets above</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6"/>
        </w:trPr>
        <w:tc>
          <w:tcPr>
            <w:tcW w:w="7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318,300</w:t>
            </w:r>
          </w:p>
        </w:tc>
        <w:tc>
          <w:tcPr>
            <w:tcW w:w="8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192,638</w:t>
            </w:r>
          </w:p>
        </w:tc>
      </w:tr>
      <w:tr>
        <w:trPr>
          <w:trHeight w:val="201"/>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7,000,611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6,828,758</w:t>
            </w:r>
          </w:p>
        </w:tc>
      </w:tr>
      <w:tr>
        <w:trPr>
          <w:trHeight w:val="187"/>
        </w:trPr>
        <w:tc>
          <w:tcPr>
            <w:tcW w:w="7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(377,582)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(365,656)</w:t>
            </w:r>
          </w:p>
        </w:tc>
      </w:tr>
      <w:tr>
        <w:trPr>
          <w:trHeight w:val="194"/>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6,623,029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6,463,101</w:t>
            </w:r>
          </w:p>
        </w:tc>
      </w:tr>
      <w:tr>
        <w:trPr>
          <w:trHeight w:val="186"/>
        </w:trPr>
        <w:tc>
          <w:tcPr>
            <w:tcW w:w="7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w:t>
            </w:r>
          </w:p>
        </w:tc>
      </w:tr>
      <w:tr>
        <w:trPr>
          <w:trHeight w:val="194"/>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of consolidated VIEs</w:t>
            </w:r>
          </w:p>
        </w:tc>
        <w:tc>
          <w:tcPr>
            <w:tcW w:w="6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6,946,193</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6,661,329</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0"/>
        </w:trPr>
        <w:tc>
          <w:tcPr>
            <w:tcW w:w="762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Liabilities of consolidated VIEs, included in total liabilities above</w:t>
            </w:r>
          </w:p>
        </w:tc>
        <w:tc>
          <w:tcPr>
            <w:tcW w:w="6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6"/>
        </w:trPr>
        <w:tc>
          <w:tcPr>
            <w:tcW w:w="7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620" w:type="dxa"/>
            <w:vAlign w:val="bottom"/>
          </w:tcPr>
          <w:p>
            <w:pPr>
              <w:jc w:val="right"/>
              <w:ind w:right="47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w:t>
            </w:r>
          </w:p>
        </w:tc>
      </w:tr>
      <w:tr>
        <w:trPr>
          <w:trHeight w:val="201"/>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23,446</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23,998</w:t>
            </w:r>
          </w:p>
        </w:tc>
      </w:tr>
      <w:tr>
        <w:trPr>
          <w:trHeight w:val="186"/>
        </w:trPr>
        <w:tc>
          <w:tcPr>
            <w:tcW w:w="7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6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r>
      <w:tr>
        <w:trPr>
          <w:trHeight w:val="201"/>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4,830,819</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4,833,855</w:t>
            </w:r>
          </w:p>
        </w:tc>
      </w:tr>
      <w:tr>
        <w:trPr>
          <w:trHeight w:val="187"/>
        </w:trPr>
        <w:tc>
          <w:tcPr>
            <w:tcW w:w="7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Funding debt</w:t>
            </w: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1,757,016</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1,592,139</w:t>
            </w:r>
          </w:p>
        </w:tc>
      </w:tr>
      <w:tr>
        <w:trPr>
          <w:trHeight w:val="18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of consolidated VIEs</w:t>
            </w:r>
          </w:p>
        </w:tc>
        <w:tc>
          <w:tcPr>
            <w:tcW w:w="6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6,613,451</w:t>
            </w:r>
          </w:p>
        </w:tc>
        <w:tc>
          <w:tcPr>
            <w:tcW w:w="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6,455,621</w:t>
            </w:r>
          </w:p>
        </w:tc>
      </w:tr>
      <w:tr>
        <w:trPr>
          <w:trHeight w:val="192"/>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 of consolidated VIEs</w:t>
            </w:r>
          </w:p>
        </w:tc>
        <w:tc>
          <w:tcPr>
            <w:tcW w:w="6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332,742</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205,707</w:t>
            </w:r>
          </w:p>
        </w:tc>
      </w:tr>
      <w:tr>
        <w:trPr>
          <w:trHeight w:val="20"/>
        </w:trPr>
        <w:tc>
          <w:tcPr>
            <w:tcW w:w="7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AFFIRM HOLDINGS,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(in thousands, except share and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23"/>
        </w:trPr>
        <w:tc>
          <w:tcPr>
            <w:tcW w:w="8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0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Merchant network revenue</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251,147</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184,339</w:t>
            </w:r>
          </w:p>
        </w:tc>
        <w:tc>
          <w:tcPr>
            <w:tcW w:w="0" w:type="dxa"/>
            <w:vAlign w:val="bottom"/>
          </w:tcPr>
          <w:p>
            <w:pPr>
              <w:spacing w:after="0"/>
              <w:rPr>
                <w:sz w:val="1"/>
                <w:szCs w:val="1"/>
                <w:color w:val="auto"/>
              </w:rPr>
            </w:pPr>
          </w:p>
        </w:tc>
      </w:tr>
      <w:tr>
        <w:trPr>
          <w:trHeight w:val="201"/>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Card network revenue</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47,480</w:t>
            </w:r>
          </w:p>
        </w:tc>
        <w:tc>
          <w:tcPr>
            <w:tcW w:w="0" w:type="dxa"/>
            <w:vAlign w:val="bottom"/>
          </w:tcPr>
          <w:p>
            <w:pPr>
              <w:spacing w:after="0"/>
              <w:rPr>
                <w:sz w:val="1"/>
                <w:szCs w:val="1"/>
                <w:color w:val="auto"/>
              </w:rPr>
            </w:pPr>
          </w:p>
        </w:tc>
      </w:tr>
      <w:tr>
        <w:trPr>
          <w:trHeight w:val="179"/>
        </w:trPr>
        <w:tc>
          <w:tcPr>
            <w:tcW w:w="80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network revenue</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231,819</w:t>
            </w:r>
          </w:p>
        </w:tc>
        <w:tc>
          <w:tcPr>
            <w:tcW w:w="0" w:type="dxa"/>
            <w:vAlign w:val="bottom"/>
          </w:tcPr>
          <w:p>
            <w:pPr>
              <w:spacing w:after="0"/>
              <w:rPr>
                <w:sz w:val="1"/>
                <w:szCs w:val="1"/>
                <w:color w:val="auto"/>
              </w:rPr>
            </w:pPr>
          </w:p>
        </w:tc>
      </w:tr>
      <w:tr>
        <w:trPr>
          <w:trHeight w:val="201"/>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454,122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377,064</w:t>
            </w:r>
          </w:p>
        </w:tc>
        <w:tc>
          <w:tcPr>
            <w:tcW w:w="0" w:type="dxa"/>
            <w:vAlign w:val="bottom"/>
          </w:tcPr>
          <w:p>
            <w:pPr>
              <w:spacing w:after="0"/>
              <w:rPr>
                <w:sz w:val="1"/>
                <w:szCs w:val="1"/>
                <w:color w:val="auto"/>
              </w:rPr>
            </w:pPr>
          </w:p>
        </w:tc>
      </w:tr>
      <w:tr>
        <w:trPr>
          <w:trHeight w:val="186"/>
        </w:trPr>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sales of loans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63,613</w:t>
            </w:r>
          </w:p>
        </w:tc>
        <w:tc>
          <w:tcPr>
            <w:tcW w:w="0" w:type="dxa"/>
            <w:vAlign w:val="bottom"/>
          </w:tcPr>
          <w:p>
            <w:pPr>
              <w:spacing w:after="0"/>
              <w:rPr>
                <w:sz w:val="1"/>
                <w:szCs w:val="1"/>
                <w:color w:val="auto"/>
              </w:rPr>
            </w:pPr>
          </w:p>
        </w:tc>
      </w:tr>
      <w:tr>
        <w:trPr>
          <w:trHeight w:val="201"/>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Servicing income</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25,983</w:t>
            </w:r>
          </w:p>
        </w:tc>
        <w:tc>
          <w:tcPr>
            <w:tcW w:w="0" w:type="dxa"/>
            <w:vAlign w:val="bottom"/>
          </w:tcPr>
          <w:p>
            <w:pPr>
              <w:spacing w:after="0"/>
              <w:rPr>
                <w:sz w:val="1"/>
                <w:szCs w:val="1"/>
                <w:color w:val="auto"/>
              </w:rPr>
            </w:pPr>
          </w:p>
        </w:tc>
      </w:tr>
      <w:tr>
        <w:trPr>
          <w:trHeight w:val="18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933,337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698,479</w:t>
            </w:r>
          </w:p>
        </w:tc>
        <w:tc>
          <w:tcPr>
            <w:tcW w:w="0" w:type="dxa"/>
            <w:vAlign w:val="bottom"/>
          </w:tcPr>
          <w:p>
            <w:pPr>
              <w:spacing w:after="0"/>
              <w:rPr>
                <w:sz w:val="1"/>
                <w:szCs w:val="1"/>
                <w:color w:val="auto"/>
              </w:rPr>
            </w:pPr>
          </w:p>
        </w:tc>
      </w:tr>
      <w:tr>
        <w:trPr>
          <w:trHeight w:val="17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loan purchase commitment</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71,552</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54,237</w:t>
            </w:r>
          </w:p>
        </w:tc>
        <w:tc>
          <w:tcPr>
            <w:tcW w:w="0" w:type="dxa"/>
            <w:vAlign w:val="bottom"/>
          </w:tcPr>
          <w:p>
            <w:pPr>
              <w:spacing w:after="0"/>
              <w:rPr>
                <w:sz w:val="1"/>
                <w:szCs w:val="1"/>
                <w:color w:val="auto"/>
              </w:rPr>
            </w:pPr>
          </w:p>
        </w:tc>
      </w:tr>
      <w:tr>
        <w:trPr>
          <w:trHeight w:val="201"/>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159,824</w:t>
            </w:r>
          </w:p>
        </w:tc>
        <w:tc>
          <w:tcPr>
            <w:tcW w:w="0" w:type="dxa"/>
            <w:vAlign w:val="bottom"/>
          </w:tcPr>
          <w:p>
            <w:pPr>
              <w:spacing w:after="0"/>
              <w:rPr>
                <w:sz w:val="1"/>
                <w:szCs w:val="1"/>
                <w:color w:val="auto"/>
              </w:rPr>
            </w:pPr>
          </w:p>
        </w:tc>
      </w:tr>
      <w:tr>
        <w:trPr>
          <w:trHeight w:val="186"/>
        </w:trPr>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Funding costs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104,145</w:t>
            </w:r>
          </w:p>
        </w:tc>
        <w:tc>
          <w:tcPr>
            <w:tcW w:w="0" w:type="dxa"/>
            <w:vAlign w:val="bottom"/>
          </w:tcPr>
          <w:p>
            <w:pPr>
              <w:spacing w:after="0"/>
              <w:rPr>
                <w:sz w:val="1"/>
                <w:szCs w:val="1"/>
                <w:color w:val="auto"/>
              </w:rPr>
            </w:pPr>
          </w:p>
        </w:tc>
      </w:tr>
      <w:tr>
        <w:trPr>
          <w:trHeight w:val="201"/>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Processing and servicing</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133,807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95,146</w:t>
            </w:r>
          </w:p>
        </w:tc>
        <w:tc>
          <w:tcPr>
            <w:tcW w:w="0" w:type="dxa"/>
            <w:vAlign w:val="bottom"/>
          </w:tcPr>
          <w:p>
            <w:pPr>
              <w:spacing w:after="0"/>
              <w:rPr>
                <w:sz w:val="1"/>
                <w:szCs w:val="1"/>
                <w:color w:val="auto"/>
              </w:rPr>
            </w:pPr>
          </w:p>
        </w:tc>
      </w:tr>
      <w:tr>
        <w:trPr>
          <w:trHeight w:val="186"/>
        </w:trPr>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Technology and data analytics</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134,290</w:t>
            </w:r>
          </w:p>
        </w:tc>
        <w:tc>
          <w:tcPr>
            <w:tcW w:w="0" w:type="dxa"/>
            <w:vAlign w:val="bottom"/>
          </w:tcPr>
          <w:p>
            <w:pPr>
              <w:spacing w:after="0"/>
              <w:rPr>
                <w:sz w:val="1"/>
                <w:szCs w:val="1"/>
                <w:color w:val="auto"/>
              </w:rPr>
            </w:pPr>
          </w:p>
        </w:tc>
      </w:tr>
      <w:tr>
        <w:trPr>
          <w:trHeight w:val="201"/>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145,233</w:t>
            </w:r>
          </w:p>
        </w:tc>
        <w:tc>
          <w:tcPr>
            <w:tcW w:w="0" w:type="dxa"/>
            <w:vAlign w:val="bottom"/>
          </w:tcPr>
          <w:p>
            <w:pPr>
              <w:spacing w:after="0"/>
              <w:rPr>
                <w:sz w:val="1"/>
                <w:szCs w:val="1"/>
                <w:color w:val="auto"/>
              </w:rPr>
            </w:pPr>
          </w:p>
        </w:tc>
      </w:tr>
      <w:tr>
        <w:trPr>
          <w:trHeight w:val="186"/>
        </w:trPr>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138,482</w:t>
            </w:r>
          </w:p>
        </w:tc>
        <w:tc>
          <w:tcPr>
            <w:tcW w:w="0" w:type="dxa"/>
            <w:vAlign w:val="bottom"/>
          </w:tcPr>
          <w:p>
            <w:pPr>
              <w:spacing w:after="0"/>
              <w:rPr>
                <w:sz w:val="1"/>
                <w:szCs w:val="1"/>
                <w:color w:val="auto"/>
              </w:rPr>
            </w:pPr>
          </w:p>
        </w:tc>
      </w:tr>
      <w:tr>
        <w:trPr>
          <w:trHeight w:val="201"/>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Restructuring and other</w:t>
            </w: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0" w:type="dxa"/>
            <w:vAlign w:val="bottom"/>
          </w:tcPr>
          <w:p>
            <w:pPr>
              <w:spacing w:after="0"/>
              <w:rPr>
                <w:sz w:val="1"/>
                <w:szCs w:val="1"/>
                <w:color w:val="auto"/>
              </w:rPr>
            </w:pPr>
          </w:p>
        </w:tc>
      </w:tr>
      <w:tr>
        <w:trPr>
          <w:trHeight w:val="18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869,676</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831,102</w:t>
            </w:r>
          </w:p>
        </w:tc>
        <w:tc>
          <w:tcPr>
            <w:tcW w:w="0" w:type="dxa"/>
            <w:vAlign w:val="bottom"/>
          </w:tcPr>
          <w:p>
            <w:pPr>
              <w:spacing w:after="0"/>
              <w:rPr>
                <w:sz w:val="1"/>
                <w:szCs w:val="1"/>
                <w:color w:val="auto"/>
              </w:rPr>
            </w:pPr>
          </w:p>
        </w:tc>
      </w:tr>
      <w:tr>
        <w:trPr>
          <w:trHeight w:val="19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63,661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(132,623)</w:t>
            </w:r>
          </w:p>
        </w:tc>
        <w:tc>
          <w:tcPr>
            <w:tcW w:w="0" w:type="dxa"/>
            <w:vAlign w:val="bottom"/>
          </w:tcPr>
          <w:p>
            <w:pPr>
              <w:spacing w:after="0"/>
              <w:rPr>
                <w:sz w:val="1"/>
                <w:szCs w:val="1"/>
                <w:color w:val="auto"/>
              </w:rPr>
            </w:pPr>
          </w:p>
        </w:tc>
      </w:tr>
      <w:tr>
        <w:trPr>
          <w:trHeight w:val="180"/>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19,358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34,303</w:t>
            </w:r>
          </w:p>
        </w:tc>
        <w:tc>
          <w:tcPr>
            <w:tcW w:w="0" w:type="dxa"/>
            <w:vAlign w:val="bottom"/>
          </w:tcPr>
          <w:p>
            <w:pPr>
              <w:spacing w:after="0"/>
              <w:rPr>
                <w:sz w:val="1"/>
                <w:szCs w:val="1"/>
                <w:color w:val="auto"/>
              </w:rPr>
            </w:pPr>
          </w:p>
        </w:tc>
      </w:tr>
      <w:tr>
        <w:trPr>
          <w:trHeight w:val="19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83,019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(98,320)</w:t>
            </w:r>
          </w:p>
        </w:tc>
        <w:tc>
          <w:tcPr>
            <w:tcW w:w="0" w:type="dxa"/>
            <w:vAlign w:val="bottom"/>
          </w:tcPr>
          <w:p>
            <w:pPr>
              <w:spacing w:after="0"/>
              <w:rPr>
                <w:sz w:val="1"/>
                <w:szCs w:val="1"/>
                <w:color w:val="auto"/>
              </w:rPr>
            </w:pPr>
          </w:p>
        </w:tc>
      </w:tr>
      <w:tr>
        <w:trPr>
          <w:trHeight w:val="180"/>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0" w:type="dxa"/>
            <w:vAlign w:val="bottom"/>
          </w:tcPr>
          <w:p>
            <w:pPr>
              <w:spacing w:after="0"/>
              <w:rPr>
                <w:sz w:val="1"/>
                <w:szCs w:val="1"/>
                <w:color w:val="auto"/>
              </w:rPr>
            </w:pPr>
          </w:p>
        </w:tc>
      </w:tr>
      <w:tr>
        <w:trPr>
          <w:trHeight w:val="194"/>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80,694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(100,222)</w:t>
            </w:r>
          </w:p>
        </w:tc>
        <w:tc>
          <w:tcPr>
            <w:tcW w:w="0" w:type="dxa"/>
            <w:vAlign w:val="bottom"/>
          </w:tcPr>
          <w:p>
            <w:pPr>
              <w:spacing w:after="0"/>
              <w:rPr>
                <w:sz w:val="1"/>
                <w:szCs w:val="1"/>
                <w:color w:val="auto"/>
              </w:rPr>
            </w:pP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securities available for sale, net</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0" w:type="dxa"/>
            <w:vAlign w:val="bottom"/>
          </w:tcPr>
          <w:p>
            <w:pPr>
              <w:spacing w:after="0"/>
              <w:rPr>
                <w:sz w:val="1"/>
                <w:szCs w:val="1"/>
                <w:color w:val="auto"/>
              </w:rPr>
            </w:pPr>
          </w:p>
        </w:tc>
      </w:tr>
      <w:tr>
        <w:trPr>
          <w:trHeight w:val="20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cash flow hedges</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181"/>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other comprehensive income (loss)</w:t>
            </w: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(9,320)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12,443</w:t>
            </w:r>
          </w:p>
        </w:tc>
        <w:tc>
          <w:tcPr>
            <w:tcW w:w="0" w:type="dxa"/>
            <w:vAlign w:val="bottom"/>
          </w:tcPr>
          <w:p>
            <w:pPr>
              <w:spacing w:after="0"/>
              <w:rPr>
                <w:sz w:val="1"/>
                <w:szCs w:val="1"/>
                <w:color w:val="auto"/>
              </w:rPr>
            </w:pPr>
          </w:p>
        </w:tc>
      </w:tr>
      <w:tr>
        <w:trPr>
          <w:trHeight w:val="217"/>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71,373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(87,779)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0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per share attributable to common stockholders for Class A and Class B</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6"/>
                <w:szCs w:val="16"/>
                <w:color w:val="auto"/>
              </w:rPr>
            </w:pP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201"/>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88"/>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330,238,205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318,234,555</w:t>
            </w:r>
          </w:p>
        </w:tc>
        <w:tc>
          <w:tcPr>
            <w:tcW w:w="0" w:type="dxa"/>
            <w:vAlign w:val="bottom"/>
          </w:tcPr>
          <w:p>
            <w:pPr>
              <w:spacing w:after="0"/>
              <w:rPr>
                <w:sz w:val="1"/>
                <w:szCs w:val="1"/>
                <w:color w:val="auto"/>
              </w:rPr>
            </w:pPr>
          </w:p>
        </w:tc>
      </w:tr>
      <w:tr>
        <w:trPr>
          <w:trHeight w:val="179"/>
        </w:trPr>
        <w:tc>
          <w:tcPr>
            <w:tcW w:w="8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348,278,403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318,234,555</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60" w:top="123" w:right="359" w:bottom="1440" w:gutter="0" w:footer="0" w:header="0"/>
        </w:sectPr>
      </w:pPr>
    </w:p>
    <w:bookmarkStart w:id="8" w:name="page9"/>
    <w:bookmarkEnd w:id="8"/>
    <w:p>
      <w:pPr>
        <w:ind w:left="5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2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Additional Paid-In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 w:type="dxa"/>
            <w:vAlign w:val="bottom"/>
          </w:tcPr>
          <w:p>
            <w:pPr>
              <w:spacing w:after="0"/>
              <w:rPr>
                <w:sz w:val="15"/>
                <w:szCs w:val="15"/>
                <w:color w:val="auto"/>
              </w:rPr>
            </w:pPr>
          </w:p>
        </w:tc>
        <w:tc>
          <w:tcPr>
            <w:tcW w:w="13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6"/>
              </w:rPr>
              <w:t>Total Stockholders’</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ind w:left="300"/>
              <w:spacing w:after="0" w:line="187"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7"/>
                <w:szCs w:val="17"/>
                <w:b w:val="1"/>
                <w:bCs w:val="1"/>
                <w:color w:val="auto"/>
                <w:vertAlign w:val="superscript"/>
              </w:rPr>
              <w:t>(1)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6"/>
                <w:szCs w:val="16"/>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Comprehensive Loss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325,112,799</w:t>
            </w: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6,140,893</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(3,056,818)</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(15,069)</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3,069,009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3,020,789</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94,828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94,828</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1,914,916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6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40,977</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138,738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138,738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6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(116,041)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(116,041)</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6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cash flow hedges</w:t>
            </w: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80,694</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80,694</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330,048,504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6,299,395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(2,976,124)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tcBorders>
              <w:bottom w:val="single" w:sz="8" w:color="auto"/>
            </w:tcBorders>
            <w:gridSpan w:val="2"/>
            <w:shd w:val="clear" w:color="auto" w:fill="CCEEFF"/>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(24,389)</w:t>
            </w: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3,298,885</w:t>
            </w:r>
          </w:p>
        </w:tc>
        <w:tc>
          <w:tcPr>
            <w:tcW w:w="0" w:type="dxa"/>
            <w:vAlign w:val="bottom"/>
          </w:tcPr>
          <w:p>
            <w:pPr>
              <w:spacing w:after="0"/>
              <w:rPr>
                <w:sz w:val="1"/>
                <w:szCs w:val="1"/>
                <w:color w:val="auto"/>
              </w:rPr>
            </w:pPr>
          </w:p>
        </w:tc>
      </w:tr>
      <w:tr>
        <w:trPr>
          <w:trHeight w:val="609"/>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Additional Paid-In</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 w:type="dxa"/>
            <w:vAlign w:val="bottom"/>
          </w:tcPr>
          <w:p>
            <w:pPr>
              <w:spacing w:after="0"/>
              <w:rPr>
                <w:sz w:val="24"/>
                <w:szCs w:val="24"/>
                <w:color w:val="auto"/>
              </w:rPr>
            </w:pPr>
          </w:p>
        </w:tc>
        <w:tc>
          <w:tcPr>
            <w:tcW w:w="1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6"/>
              </w:rPr>
              <w:t>Total Stockholders’</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ind w:left="340"/>
              <w:spacing w:after="0" w:line="187"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7"/>
                <w:szCs w:val="17"/>
                <w:b w:val="1"/>
                <w:bCs w:val="1"/>
                <w:color w:val="auto"/>
                <w:vertAlign w:val="superscript"/>
              </w:rPr>
              <w:t>(1)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20" w:type="dxa"/>
            <w:vAlign w:val="bottom"/>
          </w:tcPr>
          <w:p>
            <w:pPr>
              <w:spacing w:after="0"/>
              <w:rPr>
                <w:sz w:val="16"/>
                <w:szCs w:val="16"/>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Comprehensive Loss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311,053,031</w:t>
            </w: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5,862,555</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(3,109,004)</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(21,565)</w:t>
            </w: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2,731,989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Issuance of common stock upon exercise of stock options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432,277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2,492,095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6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143,711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143,711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6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securities available for sale</w:t>
            </w:r>
          </w:p>
        </w:tc>
        <w:tc>
          <w:tcPr>
            <w:tcW w:w="60" w:type="dxa"/>
            <w:vAlign w:val="bottom"/>
          </w:tcPr>
          <w:p>
            <w:pPr>
              <w:spacing w:after="0"/>
              <w:rPr>
                <w:sz w:val="16"/>
                <w:szCs w:val="16"/>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cash flow hedges</w:t>
            </w:r>
          </w:p>
        </w:tc>
        <w:tc>
          <w:tcPr>
            <w:tcW w:w="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(100,222)</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(100,222)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60" w:type="dxa"/>
            <w:vAlign w:val="bottom"/>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313,977,403</w:t>
            </w:r>
          </w:p>
        </w:tc>
        <w:tc>
          <w:tcPr>
            <w:tcW w:w="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6,053,917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(3,209,226)</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(9,122)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2,835,572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147955</wp:posOffset>
            </wp:positionV>
            <wp:extent cx="1017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247" w:lineRule="exact"/>
        <w:rPr>
          <w:sz w:val="20"/>
          <w:szCs w:val="20"/>
          <w:color w:val="auto"/>
        </w:rPr>
      </w:pPr>
    </w:p>
    <w:p>
      <w:pPr>
        <w:ind w:left="560" w:hanging="307"/>
        <w:spacing w:after="0"/>
        <w:tabs>
          <w:tab w:leader="none" w:pos="5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share amounts listed above combine Class A and Class B stock.</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80" w:top="123" w:right="399" w:bottom="1440" w:gutter="0" w:footer="0" w:header="0"/>
        </w:sectPr>
      </w:pPr>
    </w:p>
    <w:bookmarkStart w:id="9" w:name="page10"/>
    <w:bookmarkEnd w:id="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4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640" w:type="dxa"/>
            <w:vAlign w:val="bottom"/>
            <w:tcBorders>
              <w:bottom w:val="single" w:sz="8" w:color="auto"/>
            </w:tcBorders>
          </w:tcPr>
          <w:p>
            <w:pPr>
              <w:spacing w:after="0"/>
              <w:rPr>
                <w:sz w:val="14"/>
                <w:szCs w:val="14"/>
                <w:color w:val="auto"/>
              </w:rPr>
            </w:pPr>
          </w:p>
        </w:tc>
      </w:tr>
      <w:tr>
        <w:trPr>
          <w:trHeight w:val="164"/>
        </w:trPr>
        <w:tc>
          <w:tcPr>
            <w:tcW w:w="79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640" w:type="dxa"/>
            <w:vAlign w:val="bottom"/>
            <w:tcBorders>
              <w:bottom w:val="single" w:sz="8" w:color="auto"/>
            </w:tcBorders>
          </w:tcPr>
          <w:p>
            <w:pPr>
              <w:spacing w:after="0"/>
              <w:rPr>
                <w:sz w:val="14"/>
                <w:szCs w:val="14"/>
                <w:color w:val="auto"/>
              </w:rPr>
            </w:pPr>
          </w:p>
        </w:tc>
      </w:tr>
      <w:tr>
        <w:trPr>
          <w:trHeight w:val="152"/>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9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 (loss)</w:t>
            </w:r>
          </w:p>
        </w:tc>
        <w:tc>
          <w:tcPr>
            <w:tcW w:w="94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80,694</w:t>
            </w:r>
          </w:p>
        </w:tc>
        <w:tc>
          <w:tcPr>
            <w:tcW w:w="80" w:type="dxa"/>
            <w:vAlign w:val="bottom"/>
          </w:tcPr>
          <w:p>
            <w:pPr>
              <w:spacing w:after="0"/>
              <w:rPr>
                <w:sz w:val="14"/>
                <w:szCs w:val="14"/>
                <w:color w:val="auto"/>
              </w:rPr>
            </w:pPr>
          </w:p>
        </w:tc>
        <w:tc>
          <w:tcPr>
            <w:tcW w:w="1000" w:type="dxa"/>
            <w:vAlign w:val="bottom"/>
          </w:tcPr>
          <w:p>
            <w:pPr>
              <w:jc w:val="right"/>
              <w:ind w:right="86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(100,222)</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Adjustments to reconcile net income (loss) to net cash used in operating activities: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Provision for losses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162,752</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159,824</w:t>
            </w:r>
          </w:p>
        </w:tc>
      </w:tr>
      <w:tr>
        <w:trPr>
          <w:trHeight w:val="174"/>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Amortization of premiums and discounts on loans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(65,072)</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(52,064)</w:t>
            </w: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Gain on sales of loans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(119,049)</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(63,613)</w:t>
            </w:r>
          </w:p>
        </w:tc>
      </w:tr>
      <w:tr>
        <w:trPr>
          <w:trHeight w:val="174"/>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Gain on extinguishment of debt</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(19,624)</w:t>
            </w: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Changes in fair value of assets and liabilities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1,668</w:t>
            </w:r>
          </w:p>
        </w:tc>
      </w:tr>
      <w:tr>
        <w:trPr>
          <w:trHeight w:val="174"/>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Amortization of commercial agreement assets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8,056</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14,256</w:t>
            </w: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Amortization of debt issuance costs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6,828</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6,083</w:t>
            </w:r>
          </w:p>
        </w:tc>
      </w:tr>
      <w:tr>
        <w:trPr>
          <w:trHeight w:val="174"/>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Accrued interest on securities available for sale</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(9,959)</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(15,797)</w:t>
            </w: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Commercial agreement warrant expense</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40,977</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107,263</w:t>
            </w:r>
          </w:p>
        </w:tc>
      </w:tr>
      <w:tr>
        <w:trPr>
          <w:trHeight w:val="174"/>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85,853</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94,233</w:t>
            </w: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65,329</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46,720</w:t>
            </w:r>
          </w:p>
        </w:tc>
      </w:tr>
      <w:tr>
        <w:trPr>
          <w:trHeight w:val="174"/>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Other</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(4,930)</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(2,209)</w:t>
            </w:r>
          </w:p>
        </w:tc>
      </w:tr>
      <w:tr>
        <w:trPr>
          <w:trHeight w:val="162"/>
        </w:trPr>
        <w:tc>
          <w:tcPr>
            <w:tcW w:w="79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Purchases and origination of loans held for sale</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(749,202)</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(1,219,022)</w:t>
            </w:r>
          </w:p>
        </w:tc>
      </w:tr>
      <w:tr>
        <w:trPr>
          <w:trHeight w:val="162"/>
        </w:trPr>
        <w:tc>
          <w:tcPr>
            <w:tcW w:w="79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Proceeds from the sale of loans held for sale</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748,761</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1,219,061</w:t>
            </w:r>
          </w:p>
        </w:tc>
      </w:tr>
      <w:tr>
        <w:trPr>
          <w:trHeight w:val="174"/>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Accounts receivable, net</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138,862</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41,117</w:t>
            </w:r>
          </w:p>
        </w:tc>
      </w:tr>
      <w:tr>
        <w:trPr>
          <w:trHeight w:val="162"/>
        </w:trPr>
        <w:tc>
          <w:tcPr>
            <w:tcW w:w="79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Other assets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30,955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(6,833)</w:t>
            </w:r>
          </w:p>
        </w:tc>
      </w:tr>
      <w:tr>
        <w:trPr>
          <w:trHeight w:val="174"/>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Accounts payable</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(24,801)</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16,543</w:t>
            </w:r>
          </w:p>
        </w:tc>
      </w:tr>
      <w:tr>
        <w:trPr>
          <w:trHeight w:val="162"/>
        </w:trPr>
        <w:tc>
          <w:tcPr>
            <w:tcW w:w="794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Payable to third-party loan buyers</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(17,910)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(7,608)</w:t>
            </w:r>
          </w:p>
        </w:tc>
      </w:tr>
      <w:tr>
        <w:trPr>
          <w:trHeight w:val="174"/>
        </w:trPr>
        <w:tc>
          <w:tcPr>
            <w:tcW w:w="7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Accrued interest payable</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1,621</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w:t>
            </w:r>
          </w:p>
        </w:tc>
      </w:tr>
      <w:tr>
        <w:trPr>
          <w:trHeight w:val="162"/>
        </w:trPr>
        <w:tc>
          <w:tcPr>
            <w:tcW w:w="7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(3,586)</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(23,755)</w:t>
            </w:r>
          </w:p>
        </w:tc>
      </w:tr>
      <w:tr>
        <w:trPr>
          <w:trHeight w:val="16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374,572</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196,867</w:t>
            </w:r>
          </w:p>
        </w:tc>
      </w:tr>
      <w:tr>
        <w:trPr>
          <w:trHeight w:val="144"/>
        </w:trPr>
        <w:tc>
          <w:tcPr>
            <w:tcW w:w="7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2"/>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Purchases and origination of loans held for investment</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(9,797,362)</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(6,388,350)</w:t>
            </w: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the sale of loans held for investment</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4,282,839</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1,630,671</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Principal repayments and other loan servicing activity</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5,359,253</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4,132,682</w:t>
            </w: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Additions to property, equipment and software</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(54,365)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(44,152)</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Purchases of securities available for sale</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(146,462)</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(136,727)</w:t>
            </w: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maturities and repayments of securities available for sale</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216,425</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215,680</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investing inflows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36,197</w:t>
            </w: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Other investing outflows</w:t>
            </w:r>
          </w:p>
        </w:tc>
        <w:tc>
          <w:tcPr>
            <w:tcW w:w="9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(21,000)</w:t>
            </w:r>
          </w:p>
        </w:tc>
      </w:tr>
      <w:tr>
        <w:trPr>
          <w:trHeight w:val="167"/>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(139,611)</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(574,999)</w:t>
            </w:r>
          </w:p>
        </w:tc>
      </w:tr>
      <w:tr>
        <w:trPr>
          <w:trHeight w:val="144"/>
        </w:trPr>
        <w:tc>
          <w:tcPr>
            <w:tcW w:w="7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2"/>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the issuance of funding debt</w:t>
            </w: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7,980,435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3,188,998</w:t>
            </w: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issuance of notes and certificates by securitization trust</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1,100,000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750,000</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Principal repayments of funding debt</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(7,818,589)</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(3,289,384)</w:t>
            </w: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Principal repayments of notes issued by securitization trust</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(1,100,000)</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Payment of debt issuance costs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(9,466)</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(4,321)</w:t>
            </w:r>
          </w:p>
        </w:tc>
      </w:tr>
      <w:tr>
        <w:trPr>
          <w:trHeight w:val="162"/>
        </w:trPr>
        <w:tc>
          <w:tcPr>
            <w:tcW w:w="79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Extinguishment of convertible debt</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(24,814)</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(120,056)</w:t>
            </w:r>
          </w:p>
        </w:tc>
      </w:tr>
      <w:tr>
        <w:trPr>
          <w:trHeight w:val="174"/>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Proceeds from exercise of common stock options and warrants and contributions to ESPP</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94,828</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3,596</w:t>
            </w:r>
          </w:p>
        </w:tc>
      </w:tr>
      <w:tr>
        <w:trPr>
          <w:trHeight w:val="162"/>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Taxes paid related to net share settlement of equity awards</w:t>
            </w: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(112,307)</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(63,208)</w:t>
            </w:r>
          </w:p>
        </w:tc>
      </w:tr>
      <w:tr>
        <w:trPr>
          <w:trHeight w:val="16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110,086</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465,625</w:t>
            </w:r>
          </w:p>
        </w:tc>
      </w:tr>
      <w:tr>
        <w:trPr>
          <w:trHeight w:val="155"/>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w:t>
            </w:r>
          </w:p>
        </w:tc>
        <w:tc>
          <w:tcPr>
            <w:tcW w:w="9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(3,861)</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1,730</w:t>
            </w:r>
          </w:p>
        </w:tc>
      </w:tr>
      <w:tr>
        <w:trPr>
          <w:trHeight w:val="16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increase in cash, cash equivalents and restricted cash</w:t>
            </w:r>
          </w:p>
        </w:tc>
        <w:tc>
          <w:tcPr>
            <w:tcW w:w="9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341,187</w:t>
            </w:r>
          </w:p>
        </w:tc>
        <w:tc>
          <w:tcPr>
            <w:tcW w:w="8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89,223</w:t>
            </w:r>
          </w:p>
        </w:tc>
      </w:tr>
      <w:tr>
        <w:trPr>
          <w:trHeight w:val="155"/>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beginning of period</w:t>
            </w:r>
          </w:p>
        </w:tc>
        <w:tc>
          <w:tcPr>
            <w:tcW w:w="9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1,756,423</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1,295,399</w:t>
            </w:r>
          </w:p>
        </w:tc>
      </w:tr>
      <w:tr>
        <w:trPr>
          <w:trHeight w:val="19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end of period</w:t>
            </w:r>
          </w:p>
        </w:tc>
        <w:tc>
          <w:tcPr>
            <w:tcW w:w="94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2,097,610</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1,384,622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w:t>
      </w:r>
    </w:p>
    <w:p>
      <w:pPr>
        <w:spacing w:after="0" w:line="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ind w:left="5240"/>
        <w:spacing w:after="0"/>
        <w:rPr>
          <w:sz w:val="20"/>
          <w:szCs w:val="20"/>
          <w:color w:val="auto"/>
        </w:rPr>
      </w:pPr>
      <w:r>
        <w:rPr>
          <w:rFonts w:ascii="Times New Roman" w:cs="Times New Roman" w:eastAsia="Times New Roman" w:hAnsi="Times New Roman"/>
          <w:sz w:val="14"/>
          <w:szCs w:val="14"/>
          <w:color w:val="auto"/>
        </w:rPr>
        <w:t>(in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60" w:type="dxa"/>
            <w:vAlign w:val="bottom"/>
          </w:tcPr>
          <w:p>
            <w:pPr>
              <w:spacing w:after="0"/>
              <w:rPr>
                <w:sz w:val="15"/>
                <w:szCs w:val="15"/>
                <w:color w:val="auto"/>
              </w:rPr>
            </w:pPr>
          </w:p>
        </w:tc>
        <w:tc>
          <w:tcPr>
            <w:tcW w:w="3180" w:type="dxa"/>
            <w:vAlign w:val="bottom"/>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80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 (as of period end)</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6"/>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0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1,428,848</w:t>
            </w:r>
          </w:p>
        </w:tc>
        <w:tc>
          <w:tcPr>
            <w:tcW w:w="100" w:type="dxa"/>
            <w:vAlign w:val="bottom"/>
          </w:tcPr>
          <w:p>
            <w:pPr>
              <w:spacing w:after="0"/>
              <w:rPr>
                <w:sz w:val="16"/>
                <w:szCs w:val="16"/>
                <w:color w:val="auto"/>
              </w:rPr>
            </w:pP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1,046,160</w:t>
            </w:r>
          </w:p>
        </w:tc>
      </w:tr>
      <w:tr>
        <w:trPr>
          <w:trHeight w:val="19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668,762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338,462</w:t>
            </w:r>
          </w:p>
        </w:tc>
      </w:tr>
      <w:tr>
        <w:trPr>
          <w:trHeight w:val="194"/>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9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2,097,610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1,384,622</w:t>
            </w:r>
          </w:p>
        </w:tc>
      </w:tr>
      <w:tr>
        <w:trPr>
          <w:trHeight w:val="20"/>
        </w:trPr>
        <w:tc>
          <w:tcPr>
            <w:tcW w:w="80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r>
      <w:tr>
        <w:trPr>
          <w:trHeight w:val="512"/>
        </w:trPr>
        <w:tc>
          <w:tcPr>
            <w:tcW w:w="8060" w:type="dxa"/>
            <w:vAlign w:val="bottom"/>
          </w:tcPr>
          <w:p>
            <w:pPr>
              <w:spacing w:after="0"/>
              <w:rPr>
                <w:sz w:val="24"/>
                <w:szCs w:val="24"/>
                <w:color w:val="auto"/>
              </w:rPr>
            </w:pPr>
          </w:p>
        </w:tc>
        <w:tc>
          <w:tcPr>
            <w:tcW w:w="3180" w:type="dxa"/>
            <w:vAlign w:val="bottom"/>
            <w:gridSpan w:val="5"/>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3"/>
        </w:trPr>
        <w:tc>
          <w:tcPr>
            <w:tcW w:w="8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80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6"/>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payments for interest expense</w:t>
            </w:r>
          </w:p>
        </w:tc>
        <w:tc>
          <w:tcPr>
            <w:tcW w:w="900" w:type="dxa"/>
            <w:vAlign w:val="bottom"/>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103,252</w:t>
            </w:r>
          </w:p>
        </w:tc>
        <w:tc>
          <w:tcPr>
            <w:tcW w:w="100" w:type="dxa"/>
            <w:vAlign w:val="bottom"/>
          </w:tcPr>
          <w:p>
            <w:pPr>
              <w:spacing w:after="0"/>
              <w:rPr>
                <w:sz w:val="16"/>
                <w:szCs w:val="16"/>
                <w:color w:val="auto"/>
              </w:rPr>
            </w:pP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99,506</w:t>
            </w:r>
          </w:p>
        </w:tc>
      </w:tr>
      <w:tr>
        <w:trPr>
          <w:trHeight w:val="201"/>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w:t>
            </w:r>
          </w:p>
        </w:tc>
      </w:tr>
      <w:tr>
        <w:trPr>
          <w:trHeight w:val="186"/>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201"/>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79"/>
        </w:trPr>
        <w:tc>
          <w:tcPr>
            <w:tcW w:w="8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included in capitalized internal-use software</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52,885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49,478</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Description</w:t>
      </w:r>
    </w:p>
    <w:p>
      <w:pPr>
        <w:spacing w:after="0" w:line="248" w:lineRule="exact"/>
        <w:rPr>
          <w:sz w:val="20"/>
          <w:szCs w:val="20"/>
          <w:color w:val="auto"/>
        </w:rPr>
      </w:pPr>
    </w:p>
    <w:p>
      <w:pPr>
        <w:jc w:val="both"/>
        <w:ind w:right="20" w:firstLine="620"/>
        <w:spacing w:after="0" w:line="262" w:lineRule="auto"/>
        <w:rPr>
          <w:sz w:val="20"/>
          <w:szCs w:val="20"/>
          <w:color w:val="auto"/>
        </w:rPr>
      </w:pPr>
      <w:r>
        <w:rPr>
          <w:rFonts w:ascii="Times New Roman" w:cs="Times New Roman" w:eastAsia="Times New Roman" w:hAnsi="Times New Roman"/>
          <w:sz w:val="17"/>
          <w:szCs w:val="17"/>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spacing w:after="0" w:line="199"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Merchants partner with us to transform the consumer shopping experience and to acquire and convert consumers more effectively through our frictionless point-of-sale payment solutions. Consumers get the flexibility to buy now and make simple regular payments for their purchases and merchants see increased average order value, repeat purchase rates, and an overall more satisfied consumer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199" w:lineRule="exact"/>
        <w:rPr>
          <w:sz w:val="20"/>
          <w:szCs w:val="20"/>
          <w:color w:val="auto"/>
        </w:rPr>
      </w:pPr>
    </w:p>
    <w:p>
      <w:pPr>
        <w:ind w:right="140" w:firstLine="620"/>
        <w:spacing w:after="0" w:line="270" w:lineRule="auto"/>
        <w:rPr>
          <w:sz w:val="20"/>
          <w:szCs w:val="20"/>
          <w:color w:val="auto"/>
        </w:rPr>
      </w:pPr>
      <w:r>
        <w:rPr>
          <w:rFonts w:ascii="Times New Roman" w:cs="Times New Roman" w:eastAsia="Times New Roman" w:hAnsi="Times New Roman"/>
          <w:sz w:val="17"/>
          <w:szCs w:val="17"/>
          <w:color w:val="auto"/>
        </w:rPr>
        <w:t>On June 26, 2025, the Company filed a certificate of conversion with the Secretary of State of the State of Delaware and filed articles of conversion and articles of incorporation with the Secretary of State of the State of Nevada, which as of July 1, 2025, effected a change in our jurisdiction of incorporation from Delaware to Nevada (the “Reincorporation”).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250"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2025. The balance sheet as of June 30, 2025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98" w:lineRule="exact"/>
        <w:rPr>
          <w:sz w:val="20"/>
          <w:szCs w:val="20"/>
          <w:color w:val="auto"/>
        </w:rPr>
      </w:pPr>
    </w:p>
    <w:p>
      <w:pPr>
        <w:ind w:firstLine="620"/>
        <w:spacing w:after="0" w:line="242" w:lineRule="auto"/>
        <w:rPr>
          <w:sz w:val="20"/>
          <w:szCs w:val="20"/>
          <w:color w:val="auto"/>
        </w:rPr>
      </w:pPr>
      <w:r>
        <w:rPr>
          <w:rFonts w:ascii="Times New Roman" w:cs="Times New Roman" w:eastAsia="Times New Roman" w:hAnsi="Times New Roman"/>
          <w:sz w:val="17"/>
          <w:szCs w:val="17"/>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 Within the interim condensed consolidated financial statements and tables presented in the accompanying notes, certain columns and rows may not sum due to the use of rounded numbers for disclosure purposes.</w:t>
      </w:r>
    </w:p>
    <w:p>
      <w:pPr>
        <w:spacing w:after="0" w:line="216" w:lineRule="exact"/>
        <w:rPr>
          <w:sz w:val="20"/>
          <w:szCs w:val="20"/>
          <w:color w:val="auto"/>
        </w:rPr>
      </w:pPr>
    </w:p>
    <w:p>
      <w:pPr>
        <w:jc w:val="both"/>
        <w:ind w:right="40" w:firstLine="620"/>
        <w:spacing w:after="0" w:line="278" w:lineRule="auto"/>
        <w:rPr>
          <w:sz w:val="20"/>
          <w:szCs w:val="20"/>
          <w:color w:val="auto"/>
        </w:rPr>
      </w:pPr>
      <w:r>
        <w:rPr>
          <w:rFonts w:ascii="Times New Roman" w:cs="Times New Roman" w:eastAsia="Times New Roman" w:hAnsi="Times New Roman"/>
          <w:sz w:val="17"/>
          <w:szCs w:val="17"/>
          <w:color w:val="auto"/>
        </w:rPr>
        <w:t>Our VIE variable interests arise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50"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the allowance for credit losses, capitalized internal-use software development costs, valuation allowance for deferred tax assets, loss on loan purchase commitment, discount on directly originated loans, the evaluation for impairment of intangible assets and goodwill, the fair value of available for sale debt securities including retained interests in our securitization trusts and residual interest in structured transactions, the fair value of risk sharing arrangements, and stock-based compensation.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211" w:lineRule="exact"/>
        <w:rPr>
          <w:sz w:val="20"/>
          <w:szCs w:val="20"/>
          <w:color w:val="auto"/>
        </w:rPr>
      </w:pPr>
    </w:p>
    <w:p>
      <w:pPr>
        <w:ind w:right="340" w:firstLine="620"/>
        <w:spacing w:after="0" w:line="288" w:lineRule="auto"/>
        <w:rPr>
          <w:sz w:val="20"/>
          <w:szCs w:val="20"/>
          <w:color w:val="auto"/>
        </w:rPr>
      </w:pPr>
      <w:r>
        <w:rPr>
          <w:rFonts w:ascii="Times New Roman" w:cs="Times New Roman" w:eastAsia="Times New Roman" w:hAnsi="Times New Roman"/>
          <w:sz w:val="17"/>
          <w:szCs w:val="17"/>
          <w:color w:val="auto"/>
        </w:rPr>
        <w:t>These estimates are based on information available as of the date of the interim condensed consolidated financial statements; therefore, actual results could differ materially from those estimates.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263" w:lineRule="exact"/>
        <w:rPr>
          <w:sz w:val="20"/>
          <w:szCs w:val="20"/>
          <w:color w:val="auto"/>
        </w:rPr>
      </w:pPr>
    </w:p>
    <w:p>
      <w:pPr>
        <w:ind w:right="60" w:firstLine="620"/>
        <w:spacing w:after="0" w:line="288" w:lineRule="auto"/>
        <w:rPr>
          <w:sz w:val="20"/>
          <w:szCs w:val="20"/>
          <w:color w:val="auto"/>
        </w:rPr>
      </w:pPr>
      <w:r>
        <w:rPr>
          <w:rFonts w:ascii="Times New Roman" w:cs="Times New Roman" w:eastAsia="Times New Roman" w:hAnsi="Times New Roman"/>
          <w:sz w:val="17"/>
          <w:szCs w:val="17"/>
          <w:color w:val="auto"/>
        </w:rPr>
        <w:t>There were no material changes to our significant accounting policies as disclosed in Note 2. Summary of Significant Accounting Policies of our Annual Report on Form 10-K for the fiscal year ended June 30, 2025, which was filed with the SEC on August 28,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244" w:lineRule="exact"/>
        <w:rPr>
          <w:sz w:val="20"/>
          <w:szCs w:val="20"/>
          <w:color w:val="auto"/>
        </w:rPr>
      </w:pPr>
    </w:p>
    <w:p>
      <w:pPr>
        <w:ind w:firstLine="620"/>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The new guidance is expected to increase transparency and usefulness of income tax disclosures through improvements to the rate reconciliation, income taxes paid, and other disclosure requirements. The ASU is effective for fiscal years beginning after December 15, 2024 and should be applied on a prospective basis, although retrospective application is permitted. Early adoption is permitted for annual financial statements that have not yet been issued or made available for issuance. We will apply the guidance beginning with our Annual Report on Form 10-K for the fiscal year ended June 30, 2026. We are in the process of evaluating the impact of adopting this accounting standard update on our consolidated financial statements and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Reporting Comprehensive Income</w:t>
      </w:r>
    </w:p>
    <w:p>
      <w:pPr>
        <w:spacing w:after="0" w:line="257"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Statement—Reporting Comprehensive Income—Expense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220-40): Disaggregation of Income Statement Expenses”</w:t>
      </w:r>
      <w:r>
        <w:rPr>
          <w:rFonts w:ascii="Times New Roman" w:cs="Times New Roman" w:eastAsia="Times New Roman" w:hAnsi="Times New Roman"/>
          <w:sz w:val="17"/>
          <w:szCs w:val="17"/>
          <w:color w:val="auto"/>
        </w:rPr>
        <w:t>. Subsequent to the issuance of ASU 2024-03, the FASB issued ASU 2025-01 to clarify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date of ASU 2024-03. The new guidance requires disclosure, in the notes to the financial statements, specified information about certain income statement costs and expenses for each interim and annual reporting period. The ASU is effective for fiscal years beginning after December 15, 2026 and interim periods within fiscal years beginning after December 15, 2027, and should be applied on a prospective basis, although retrospective application is permitted. Early adoption is permitted. We are in the process of evaluating the impact of adopting this accounting standard update on our consolidated financial statements and disclosures.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Debt with Conversion and Other Options</w:t>
      </w:r>
    </w:p>
    <w:p>
      <w:pPr>
        <w:spacing w:after="0" w:line="244" w:lineRule="exact"/>
        <w:rPr>
          <w:sz w:val="20"/>
          <w:szCs w:val="20"/>
          <w:color w:val="auto"/>
        </w:rPr>
      </w:pPr>
    </w:p>
    <w:p>
      <w:pPr>
        <w:ind w:right="100" w:firstLine="620"/>
        <w:spacing w:after="0" w:line="273"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2024-04, </w:t>
      </w:r>
      <w:r>
        <w:rPr>
          <w:rFonts w:ascii="Times New Roman" w:cs="Times New Roman" w:eastAsia="Times New Roman" w:hAnsi="Times New Roman"/>
          <w:sz w:val="17"/>
          <w:szCs w:val="17"/>
          <w:i w:val="1"/>
          <w:iCs w:val="1"/>
          <w:color w:val="auto"/>
        </w:rPr>
        <w:t>“Debt—Debt with Conversion and Other Options (Subtopic 470-20): Induced Conversions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Convertible Debt Instruments”</w:t>
      </w:r>
      <w:r>
        <w:rPr>
          <w:rFonts w:ascii="Times New Roman" w:cs="Times New Roman" w:eastAsia="Times New Roman" w:hAnsi="Times New Roman"/>
          <w:sz w:val="17"/>
          <w:szCs w:val="17"/>
          <w:color w:val="auto"/>
        </w:rPr>
        <w:t>. The new guidance clarifies the requirements for determining whether certain settlements of convertible debt should be accounted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as an induced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 w:name="page14"/>
    <w:bookmarkEnd w:id="1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conversion. The ASU is effective for fiscal years beginning after December 15, 2025 and interim periods within those annual reporting periods, and should be applied on a prospective basis, although retrospective application is permitted. Early adoption is permitted. We are in the process of evaluating the impact of adopting this accounting standard update on our consolidated financial statements and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Losses for Accounts Receivable and Contract Assets</w:t>
      </w:r>
    </w:p>
    <w:p>
      <w:pPr>
        <w:spacing w:after="0" w:line="244" w:lineRule="exact"/>
        <w:rPr>
          <w:sz w:val="20"/>
          <w:szCs w:val="20"/>
          <w:color w:val="auto"/>
        </w:rPr>
      </w:pPr>
    </w:p>
    <w:p>
      <w:pPr>
        <w:ind w:firstLine="620"/>
        <w:spacing w:after="0" w:line="263" w:lineRule="auto"/>
        <w:rPr>
          <w:sz w:val="20"/>
          <w:szCs w:val="20"/>
          <w:color w:val="auto"/>
        </w:rPr>
      </w:pPr>
      <w:r>
        <w:rPr>
          <w:rFonts w:ascii="Times New Roman" w:cs="Times New Roman" w:eastAsia="Times New Roman" w:hAnsi="Times New Roman"/>
          <w:sz w:val="17"/>
          <w:szCs w:val="17"/>
          <w:color w:val="auto"/>
        </w:rPr>
        <w:t>In July 2025, the FASB issued ASU 2025-05, “</w:t>
      </w:r>
      <w:r>
        <w:rPr>
          <w:rFonts w:ascii="Times New Roman" w:cs="Times New Roman" w:eastAsia="Times New Roman" w:hAnsi="Times New Roman"/>
          <w:sz w:val="17"/>
          <w:szCs w:val="17"/>
          <w:i w:val="1"/>
          <w:iCs w:val="1"/>
          <w:color w:val="auto"/>
        </w:rPr>
        <w:t>Financial Instruments—Credit Losses (Topic 326): Measurement of Credit Losses for Accounts Receivable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Contract Assets</w:t>
      </w:r>
      <w:r>
        <w:rPr>
          <w:rFonts w:ascii="Times New Roman" w:cs="Times New Roman" w:eastAsia="Times New Roman" w:hAnsi="Times New Roman"/>
          <w:sz w:val="17"/>
          <w:szCs w:val="17"/>
          <w:color w:val="auto"/>
        </w:rPr>
        <w:t>”. The new guidance introduces a practical expedient for estimating expected credit losses on current accounts receivable and current contract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arising from transactions accounted for under Topic 606. The ASU is effective for fiscal years beginning after December 15, 2025 and interim periods within those annual reporting periods, and should be applied on a prospective basis. Early adoption is permitted. We are in the process of evaluating the impact of adopting this accounting standard update on our consolidated financial statements and disclosures.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Internal-Use Software</w:t>
      </w:r>
    </w:p>
    <w:p>
      <w:pPr>
        <w:spacing w:after="0" w:line="244" w:lineRule="exact"/>
        <w:rPr>
          <w:sz w:val="20"/>
          <w:szCs w:val="20"/>
          <w:color w:val="auto"/>
        </w:rPr>
      </w:pPr>
    </w:p>
    <w:p>
      <w:pPr>
        <w:ind w:right="20" w:firstLine="620"/>
        <w:spacing w:after="0" w:line="263" w:lineRule="auto"/>
        <w:rPr>
          <w:sz w:val="20"/>
          <w:szCs w:val="20"/>
          <w:color w:val="auto"/>
        </w:rPr>
      </w:pPr>
      <w:r>
        <w:rPr>
          <w:rFonts w:ascii="Times New Roman" w:cs="Times New Roman" w:eastAsia="Times New Roman" w:hAnsi="Times New Roman"/>
          <w:sz w:val="17"/>
          <w:szCs w:val="17"/>
          <w:color w:val="auto"/>
        </w:rPr>
        <w:t>In September 2025, the FASB issued ASU 2025-06, “</w:t>
      </w:r>
      <w:r>
        <w:rPr>
          <w:rFonts w:ascii="Times New Roman" w:cs="Times New Roman" w:eastAsia="Times New Roman" w:hAnsi="Times New Roman"/>
          <w:sz w:val="17"/>
          <w:szCs w:val="17"/>
          <w:i w:val="1"/>
          <w:iCs w:val="1"/>
          <w:color w:val="auto"/>
        </w:rPr>
        <w:t>Intangibles—Goodwill and Other— Internal-Use Software (Subtopic 350-40): Targeted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the Accounting for Internal-Use Software</w:t>
      </w:r>
      <w:r>
        <w:rPr>
          <w:rFonts w:ascii="Times New Roman" w:cs="Times New Roman" w:eastAsia="Times New Roman" w:hAnsi="Times New Roman"/>
          <w:sz w:val="17"/>
          <w:szCs w:val="17"/>
          <w:color w:val="auto"/>
        </w:rPr>
        <w:t>”. The new guidance primarily changes the software cost capitalization criteria and modifies the website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cost guidance. The ASU is effective for fiscal years beginning after December 15, 2027 and interim periods within those annual reporting periods, and may be applied on a prospective, modified transition, or retrospective basis approach. Early adoption is permitted. We are in the process of evaluating the impact of adopting this accounting standard update on our consolidated financial statements and disclosures.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our revenue disaggregated by revenue source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3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r>
      <w:tr>
        <w:trPr>
          <w:trHeight w:val="201"/>
        </w:trPr>
        <w:tc>
          <w:tcPr>
            <w:tcW w:w="73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7"/>
                <w:szCs w:val="17"/>
                <w:color w:val="auto"/>
              </w:rPr>
            </w:pP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Merchant network revenue</w:t>
            </w:r>
          </w:p>
        </w:tc>
        <w:tc>
          <w:tcPr>
            <w:tcW w:w="122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251,147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184,339</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Card network revenue</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69,330</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47,480</w:t>
            </w: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454,122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377,064</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sales of loans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119,049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63,613</w:t>
            </w: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income</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25,983</w:t>
            </w: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 net</w:t>
            </w:r>
          </w:p>
        </w:tc>
        <w:tc>
          <w:tcPr>
            <w:tcW w:w="122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933,337</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3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698,479</w:t>
            </w:r>
          </w:p>
        </w:tc>
      </w:tr>
      <w:tr>
        <w:trPr>
          <w:trHeight w:val="20"/>
        </w:trPr>
        <w:tc>
          <w:tcPr>
            <w:tcW w:w="7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Merchant Network Revenue — Revenue from Contracts with Customers</w:t>
      </w:r>
    </w:p>
    <w:p>
      <w:pPr>
        <w:spacing w:after="0" w:line="248"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Merchant network revenue primarily consists of merchant fees. Merchant partners (or integrated merchants) are generally charged a fee based on gross merchandise volume (“GMV”)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w:t>
      </w:r>
    </w:p>
    <w:p>
      <w:pPr>
        <w:spacing w:after="0" w:line="206" w:lineRule="exact"/>
        <w:rPr>
          <w:sz w:val="20"/>
          <w:szCs w:val="20"/>
          <w:color w:val="auto"/>
        </w:rPr>
      </w:pPr>
    </w:p>
    <w:p>
      <w:pPr>
        <w:jc w:val="both"/>
        <w:ind w:right="120" w:firstLine="620"/>
        <w:spacing w:after="0" w:line="265" w:lineRule="auto"/>
        <w:rPr>
          <w:sz w:val="20"/>
          <w:szCs w:val="20"/>
          <w:color w:val="auto"/>
        </w:rPr>
      </w:pPr>
      <w:r>
        <w:rPr>
          <w:rFonts w:ascii="Times New Roman" w:cs="Times New Roman" w:eastAsia="Times New Roman" w:hAnsi="Times New Roman"/>
          <w:sz w:val="17"/>
          <w:szCs w:val="17"/>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firstLine="620"/>
        <w:spacing w:after="0" w:line="288" w:lineRule="auto"/>
        <w:rPr>
          <w:sz w:val="20"/>
          <w:szCs w:val="20"/>
          <w:color w:val="auto"/>
        </w:rPr>
      </w:pPr>
      <w:r>
        <w:rPr>
          <w:rFonts w:ascii="Times New Roman" w:cs="Times New Roman" w:eastAsia="Times New Roman" w:hAnsi="Times New Roman"/>
          <w:sz w:val="17"/>
          <w:szCs w:val="17"/>
          <w:color w:val="auto"/>
        </w:rPr>
        <w:t>Our service comprises a single performance obligation to merchants to facilitate transactions with consumers. From time to time, we offer merchants incentives to promote our platform to their customers, such as fee reductions or rebates. These amounts are recorded as a reduction to merchant network revenue.</w:t>
      </w:r>
    </w:p>
    <w:p>
      <w:pPr>
        <w:spacing w:after="0" w:line="177"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We may originate certain loans via our wholly-owned subsidiaries, with zero or below market interest rates. In these instances, the par value of the loans originated is in excess of the fair market value of such loans, resulting in a loss on loan origination, which we record as a reduction to merchant network revenue. In certain cases, the losses incurred on loans originated for a merchant may exceed the total merchant network revenue earned on those loans. We record the excess loss amounts as a sales and marketing expense.</w:t>
      </w:r>
    </w:p>
    <w:p>
      <w:pPr>
        <w:spacing w:after="0" w:line="196"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sale occurs. For the three months ended September 30, 2025 and 2024, affiliate network revenue was $30.9 million and $24.9 million, respectively.</w:t>
      </w:r>
    </w:p>
    <w:p>
      <w:pPr>
        <w:spacing w:after="0" w:line="206" w:lineRule="exact"/>
        <w:rPr>
          <w:sz w:val="20"/>
          <w:szCs w:val="20"/>
          <w:color w:val="auto"/>
        </w:rPr>
      </w:pPr>
    </w:p>
    <w:p>
      <w:pPr>
        <w:ind w:right="160" w:firstLine="620"/>
        <w:spacing w:after="0" w:line="288" w:lineRule="auto"/>
        <w:rPr>
          <w:sz w:val="20"/>
          <w:szCs w:val="20"/>
          <w:color w:val="auto"/>
        </w:rPr>
      </w:pPr>
      <w:r>
        <w:rPr>
          <w:rFonts w:ascii="Times New Roman" w:cs="Times New Roman" w:eastAsia="Times New Roman" w:hAnsi="Times New Roman"/>
          <w:sz w:val="17"/>
          <w:szCs w:val="17"/>
          <w:color w:val="auto"/>
        </w:rPr>
        <w:t>We reviewed merchant network revenue by merchant as a percentage of total revenue for the three months ended September 30, 2025 and 2024, and no individual merchant accounted for 10% or more of total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Card Network Revenue — Revenue from Contracts with Customers</w:t>
      </w:r>
    </w:p>
    <w:p>
      <w:pPr>
        <w:spacing w:after="0" w:line="248" w:lineRule="exact"/>
        <w:rPr>
          <w:sz w:val="20"/>
          <w:szCs w:val="20"/>
          <w:color w:val="auto"/>
        </w:rPr>
      </w:pPr>
    </w:p>
    <w:p>
      <w:pPr>
        <w:ind w:right="100" w:firstLine="620"/>
        <w:spacing w:after="0" w:line="267" w:lineRule="auto"/>
        <w:rPr>
          <w:sz w:val="20"/>
          <w:szCs w:val="20"/>
          <w:color w:val="auto"/>
        </w:rPr>
      </w:pPr>
      <w:r>
        <w:rPr>
          <w:rFonts w:ascii="Times New Roman" w:cs="Times New Roman" w:eastAsia="Times New Roman" w:hAnsi="Times New Roman"/>
          <w:sz w:val="17"/>
          <w:szCs w:val="17"/>
          <w:color w:val="auto"/>
        </w:rPr>
        <w:t>We have agreements with card-issuing partners to facilitate the issuance of physical and one-time-use virtual cards to be used by consumers at checkout. Prior to purchase, consumers can apply at Affirm.com or via the Affirm App and, upon approval, use a physical or virtual card to complete their purchase online or in-store. Eligible consumers can also use the Affirm Card, a card issued by a card-issuing partner to pay in full or pay later, by using a unique post-purchase feature that allows them to instantly apply for an installment loan for any eligible debit transaction. Where applicable, our originating bank partner, or wholly-owned subsidiaries, then originates a loan to the consumer after the transaction is confirmed by the merchant. The merchant is charged interchange fees for each successful card transaction, and a portion of this revenue is shared with us by our card-issuing partners.</w:t>
      </w:r>
    </w:p>
    <w:p>
      <w:pPr>
        <w:spacing w:after="0" w:line="207"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Merchants may also elect to utilize our agreement with card-issuing partners as a means of integrating Affirm services. Similarly, for these arrangements with integrated merchants, the merchant is charged interchange fees for each successful card transaction and a portion of this revenue is shared with us. From time to time, we offer certain integrated merchants promotional incentives to promote our platform to their customers, such as rebates of interchange fees incurred by the merchant. These amounts are recorded as a reduction of card network revenue.</w:t>
      </w:r>
    </w:p>
    <w:p>
      <w:pPr>
        <w:spacing w:after="0" w:line="196"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Our contracts with our card-issuing partners are defined at the transaction level and do not extend beyond the service already provided. The revenue collected from card-issuing partners for each transaction are determined as a percentage of the interchange fees charged on transactions facilitated on the payment processor network, and revenue is recognized at the point in time the transaction is completed successfully. The amounts collected are presented in revenue, net of associated transaction-related processing fees paid to our card-issuing partners. We have concluded that the revenue collected does not give rise to a future material right because the pricing of each transaction does not depend on the volume of prior successful transactions. We do not have any capitalized contract costs, and do not carry any material contract balances.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service comprises a single performance obligation to the card-issuing partner to facilitate transactions with consumers.</w:t>
      </w:r>
    </w:p>
    <w:p>
      <w:pPr>
        <w:spacing w:after="0" w:line="244" w:lineRule="exact"/>
        <w:rPr>
          <w:sz w:val="20"/>
          <w:szCs w:val="20"/>
          <w:color w:val="auto"/>
        </w:rPr>
      </w:pPr>
    </w:p>
    <w:p>
      <w:pPr>
        <w:ind w:right="300" w:firstLine="620"/>
        <w:spacing w:after="0" w:line="270" w:lineRule="auto"/>
        <w:rPr>
          <w:sz w:val="20"/>
          <w:szCs w:val="20"/>
          <w:color w:val="auto"/>
        </w:rPr>
      </w:pPr>
      <w:r>
        <w:rPr>
          <w:rFonts w:ascii="Times New Roman" w:cs="Times New Roman" w:eastAsia="Times New Roman" w:hAnsi="Times New Roman"/>
          <w:sz w:val="17"/>
          <w:szCs w:val="17"/>
          <w:color w:val="auto"/>
        </w:rPr>
        <w:t>A portion of card network revenue relates to incentive payments from card network partners, which we are eligible to receive for reaching certain cumulative volume targets on program cards issued by our card-issuing partners. We earn incentive revenue as a percentage of each associated transaction and estimate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 w:name="page16"/>
    <w:bookmarkEnd w:id="1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17"/>
          <w:szCs w:val="17"/>
          <w:color w:val="auto"/>
        </w:rPr>
        <w:t>percentage based on observed cumulative volume on program cards. Revenue is recognized at the point in time when the performance obligation has been fulfilled, which is when the transaction is completed successfully.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income consisted of the following components (in thousands):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280" w:type="dxa"/>
            <w:vAlign w:val="bottom"/>
          </w:tcPr>
          <w:p>
            <w:pPr>
              <w:spacing w:after="0"/>
              <w:rPr>
                <w:sz w:val="18"/>
                <w:szCs w:val="18"/>
                <w:color w:val="auto"/>
              </w:rPr>
            </w:pPr>
          </w:p>
        </w:tc>
        <w:tc>
          <w:tcPr>
            <w:tcW w:w="3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r>
      <w:tr>
        <w:trPr>
          <w:trHeight w:val="201"/>
        </w:trPr>
        <w:tc>
          <w:tcPr>
            <w:tcW w:w="72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7"/>
                <w:szCs w:val="17"/>
                <w:color w:val="auto"/>
              </w:rPr>
            </w:pPr>
          </w:p>
        </w:tc>
      </w:tr>
      <w:tr>
        <w:trPr>
          <w:trHeight w:val="21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 income on unpaid principal balance</w:t>
            </w:r>
          </w:p>
        </w:tc>
        <w:tc>
          <w:tcPr>
            <w:tcW w:w="1200" w:type="dxa"/>
            <w:vAlign w:val="bottom"/>
            <w:shd w:val="clear" w:color="auto" w:fill="CCEEFF"/>
          </w:tcPr>
          <w:p>
            <w:pPr>
              <w:jc w:val="right"/>
              <w:ind w:right="101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400,114</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337,159</w:t>
            </w:r>
          </w:p>
        </w:tc>
      </w:tr>
      <w:tr>
        <w:trPr>
          <w:trHeight w:val="220"/>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discount on loans</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71,316</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56,697</w:t>
            </w:r>
          </w:p>
        </w:tc>
      </w:tr>
      <w:tr>
        <w:trPr>
          <w:trHeight w:val="22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premiums on loans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(6,244)</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(4,633)</w:t>
            </w:r>
          </w:p>
        </w:tc>
      </w:tr>
      <w:tr>
        <w:trPr>
          <w:trHeight w:val="22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receivable charged-off, net of recoveries</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(11,064)</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(12,159)</w:t>
            </w:r>
          </w:p>
        </w:tc>
      </w:tr>
      <w:tr>
        <w:trPr>
          <w:trHeight w:val="23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interest income</w:t>
            </w:r>
          </w:p>
        </w:tc>
        <w:tc>
          <w:tcPr>
            <w:tcW w:w="1200" w:type="dxa"/>
            <w:vAlign w:val="bottom"/>
            <w:tcBorders>
              <w:bottom w:val="single" w:sz="8" w:color="auto"/>
            </w:tcBorders>
            <w:shd w:val="clear" w:color="auto" w:fill="CCEEFF"/>
          </w:tcPr>
          <w:p>
            <w:pPr>
              <w:jc w:val="right"/>
              <w:ind w:right="101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454,122</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377,064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We accrue interest income using the effective interest method, which includes the amortization of any discounts or premiums on loan receivables created upon the purchase of a loan from our originating bank partners or upon the origination of a loan.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September 30, 2025 and June 30, 2025, the balance of loans held for investment on non-accrual status was $6.7 million and $6.2 million, respectively.</w:t>
      </w:r>
    </w:p>
    <w:p>
      <w:pPr>
        <w:spacing w:after="0" w:line="202"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The account is charged-off in the period if the account becomes 120 days past due or meets other charge-off policy requirements. Past due status is based on the contractual terms of the loans. Previously recognized interest receivable from charged-off loans that is accrued but not collected from the consumer is charged-off.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on Sales of Loans</w:t>
      </w:r>
    </w:p>
    <w:p>
      <w:pPr>
        <w:spacing w:after="0" w:line="248" w:lineRule="exact"/>
        <w:rPr>
          <w:sz w:val="20"/>
          <w:szCs w:val="20"/>
          <w:color w:val="auto"/>
        </w:rPr>
      </w:pPr>
    </w:p>
    <w:p>
      <w:pPr>
        <w:ind w:right="40" w:firstLine="620"/>
        <w:spacing w:after="0" w:line="259" w:lineRule="auto"/>
        <w:rPr>
          <w:sz w:val="20"/>
          <w:szCs w:val="20"/>
          <w:color w:val="auto"/>
        </w:rPr>
      </w:pPr>
      <w:r>
        <w:rPr>
          <w:rFonts w:ascii="Times New Roman" w:cs="Times New Roman" w:eastAsia="Times New Roman" w:hAnsi="Times New Roman"/>
          <w:sz w:val="17"/>
          <w:szCs w:val="17"/>
          <w:color w:val="auto"/>
        </w:rPr>
        <w:t>We sell certain loans we originate or purchase from our originating bank partners directly to third-party investors or to securitizations. We recognize a gain or loss on sale of loans sold to third parties or to unconsolidated securitizations by calculating the difference between the proceeds received and the carrying value of the loan. This amount is adjusted for the initial recognition of any assets or liabilities incurred upon sale. These generally include a net servicing asset or liability in connection with our ongoing obligation to continue to service the loans and a liability in connection with our loan repurchase obligation for loans that do not meet certain contractual requirements and such information about the loan was unknown at the time of sale. Additionally, we recognize a risk sharing asset or liability in certain arrangements where payments are made or received based on the actual versus expected loan performance, as contractually agreed upon with the third party.</w:t>
      </w:r>
    </w:p>
    <w:p>
      <w:pPr>
        <w:spacing w:after="0" w:line="203" w:lineRule="exact"/>
        <w:rPr>
          <w:sz w:val="20"/>
          <w:szCs w:val="20"/>
          <w:color w:val="auto"/>
        </w:rPr>
      </w:pPr>
    </w:p>
    <w:p>
      <w:pPr>
        <w:ind w:right="160" w:firstLine="620"/>
        <w:spacing w:after="0" w:line="288" w:lineRule="auto"/>
        <w:rPr>
          <w:sz w:val="20"/>
          <w:szCs w:val="20"/>
          <w:color w:val="auto"/>
        </w:rPr>
      </w:pPr>
      <w:r>
        <w:rPr>
          <w:rFonts w:ascii="Times New Roman" w:cs="Times New Roman" w:eastAsia="Times New Roman" w:hAnsi="Times New Roman"/>
          <w:sz w:val="17"/>
          <w:szCs w:val="17"/>
          <w:color w:val="auto"/>
        </w:rPr>
        <w:t>Refer to Note 9. Securitization and Variable Interest Entities for further discussion on transfers of loan receivables and Note 12. Fair Value of Financial Assets and Liabilities for further discussion of risk sharing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Servicing Income</w:t>
      </w:r>
    </w:p>
    <w:p>
      <w:pPr>
        <w:spacing w:after="0" w:line="248" w:lineRule="exact"/>
        <w:rPr>
          <w:sz w:val="20"/>
          <w:szCs w:val="20"/>
          <w:color w:val="auto"/>
        </w:rPr>
      </w:pPr>
    </w:p>
    <w:p>
      <w:pPr>
        <w:ind w:right="60" w:firstLine="620"/>
        <w:spacing w:after="0" w:line="264" w:lineRule="auto"/>
        <w:rPr>
          <w:sz w:val="20"/>
          <w:szCs w:val="20"/>
          <w:color w:val="auto"/>
        </w:rPr>
      </w:pPr>
      <w:r>
        <w:rPr>
          <w:rFonts w:ascii="Times New Roman" w:cs="Times New Roman" w:eastAsia="Times New Roman" w:hAnsi="Times New Roman"/>
          <w:sz w:val="17"/>
          <w:szCs w:val="17"/>
          <w:color w:val="auto"/>
        </w:rPr>
        <w:t>Servicing income includes contractual fees specified in our servicing agreements with third-party loan owners and unconsolidated securitizations that are earned from providing professional services to manage loan portfolios on their behalf. The servicing fee is calculated on a daily basis by multiplying a set</w:t>
      </w:r>
    </w:p>
    <w:p>
      <w:pPr>
        <w:ind w:right="20"/>
        <w:spacing w:after="0" w:line="267" w:lineRule="auto"/>
        <w:rPr>
          <w:sz w:val="20"/>
          <w:szCs w:val="20"/>
          <w:color w:val="auto"/>
        </w:rPr>
      </w:pPr>
      <w:r>
        <w:rPr>
          <w:rFonts w:ascii="Times New Roman" w:cs="Times New Roman" w:eastAsia="Times New Roman" w:hAnsi="Times New Roman"/>
          <w:sz w:val="17"/>
          <w:szCs w:val="17"/>
          <w:color w:val="auto"/>
        </w:rPr>
        <w:t>fee percentage (as outlined in the executed agreements with third-party loan owners) by the outstanding loan principal balance. Servicing income also includes fair value adjustments for servicing assets and servicing liabilities.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Loans Held for Investment and Allowance for Credit Losses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Loans held for investment consisted of the following (in thousands):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Pr>
          <w:p>
            <w:pPr>
              <w:spacing w:after="0"/>
              <w:rPr>
                <w:sz w:val="18"/>
                <w:szCs w:val="18"/>
                <w:color w:val="auto"/>
              </w:rPr>
            </w:pPr>
          </w:p>
        </w:tc>
        <w:tc>
          <w:tcPr>
            <w:tcW w:w="166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5"/>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Unpaid principal balance</w:t>
            </w:r>
          </w:p>
        </w:tc>
        <w:tc>
          <w:tcPr>
            <w:tcW w:w="2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7,257,448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7,050,446</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67,953</w:t>
            </w: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Premiums on loans held for investment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9,818</w:t>
            </w: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Discount due to loss on loan purchase commitment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(75,124)</w:t>
            </w: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Discount due to loss on directly originated loans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(27,559)</w:t>
            </w:r>
          </w:p>
        </w:tc>
      </w:tr>
      <w:tr>
        <w:trPr>
          <w:trHeight w:val="213"/>
        </w:trPr>
        <w:tc>
          <w:tcPr>
            <w:tcW w:w="7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loans held for investment</w:t>
            </w: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7,235,177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7,025,534</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Loans held for investment includes loans originated through our originating bank partners and directly originated loans. Loans that are underwritten using our technology platform and originated by our originating bank partners are later purchased by us. We purchased loans from our originating bank partners in the amount of $8.7 billion and $6.4 billion during the three months ended September 30, 2025 and 2024, respectively. We directly originated $1.9 billion and $1.3 billion of loans during the three months ended September 30, 2025 and 2024, respectively.</w:t>
      </w:r>
    </w:p>
    <w:p>
      <w:pPr>
        <w:spacing w:after="0" w:line="196" w:lineRule="exact"/>
        <w:rPr>
          <w:sz w:val="20"/>
          <w:szCs w:val="20"/>
          <w:color w:val="auto"/>
        </w:rPr>
      </w:pPr>
    </w:p>
    <w:p>
      <w:pPr>
        <w:ind w:right="140" w:firstLine="620"/>
        <w:spacing w:after="0" w:line="265" w:lineRule="auto"/>
        <w:rPr>
          <w:sz w:val="20"/>
          <w:szCs w:val="20"/>
          <w:color w:val="auto"/>
        </w:rPr>
      </w:pPr>
      <w:r>
        <w:rPr>
          <w:rFonts w:ascii="Times New Roman" w:cs="Times New Roman" w:eastAsia="Times New Roman" w:hAnsi="Times New Roman"/>
          <w:sz w:val="17"/>
          <w:szCs w:val="17"/>
          <w:color w:val="auto"/>
        </w:rPr>
        <w:t>Our portfolio consists of interest bearing and non-interest bearing consumer loans with original term lengths of up to sixty months originated in markets including the U.S., U.K., and Canada, with the majority of loans originated within the U.S. While we view our loan portfolio as a single product segment, unsecured consumer loans, we consider factors such as country of origin, loan product, origination channel, merchant and various borrower characteristics to predict future losses.</w:t>
      </w:r>
    </w:p>
    <w:p>
      <w:pPr>
        <w:spacing w:after="0" w:line="196" w:lineRule="exact"/>
        <w:rPr>
          <w:sz w:val="20"/>
          <w:szCs w:val="20"/>
          <w:color w:val="auto"/>
        </w:rPr>
      </w:pPr>
    </w:p>
    <w:p>
      <w:pPr>
        <w:ind w:right="60" w:firstLine="620"/>
        <w:spacing w:after="0" w:line="265" w:lineRule="auto"/>
        <w:rPr>
          <w:sz w:val="20"/>
          <w:szCs w:val="20"/>
          <w:color w:val="auto"/>
        </w:rPr>
      </w:pPr>
      <w:r>
        <w:rPr>
          <w:rFonts w:ascii="Times New Roman" w:cs="Times New Roman" w:eastAsia="Times New Roman" w:hAnsi="Times New Roman"/>
          <w:sz w:val="17"/>
          <w:szCs w:val="17"/>
          <w:color w:val="auto"/>
        </w:rPr>
        <w:t>We closely monitor the performance of our loan receivables to manage and evaluate our exposure to credit risk. Credit risk management begins with initial underwriting and continues through to full repayment of a loan. To assess a consumer who requests a loan, we use, among other indicators, internally developed risk models that leverage detailed information from external sources, such as credit bureaus where available, as well as the consumer’s prior repayment history on our platform.</w:t>
      </w:r>
    </w:p>
    <w:p>
      <w:pPr>
        <w:spacing w:after="0" w:line="196" w:lineRule="exact"/>
        <w:rPr>
          <w:sz w:val="20"/>
          <w:szCs w:val="20"/>
          <w:color w:val="auto"/>
        </w:rPr>
      </w:pPr>
    </w:p>
    <w:p>
      <w:pPr>
        <w:ind w:right="140" w:firstLine="620"/>
        <w:spacing w:after="0" w:line="288" w:lineRule="auto"/>
        <w:rPr>
          <w:sz w:val="20"/>
          <w:szCs w:val="20"/>
          <w:color w:val="auto"/>
        </w:rPr>
      </w:pPr>
      <w:r>
        <w:rPr>
          <w:rFonts w:ascii="Times New Roman" w:cs="Times New Roman" w:eastAsia="Times New Roman" w:hAnsi="Times New Roman"/>
          <w:sz w:val="17"/>
          <w:szCs w:val="17"/>
          <w:color w:val="auto"/>
        </w:rPr>
        <w:t>We evaluate the credit quality of our loan receivable based on the aging status of the loan. Loan receivables are considered past due if either principal or interest has not been received within four calendar days of the contractual due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an aging analysis of the amortized cost basis excluding accrued interest receivable, by fiscal year of origination, of loans held for investment by delinquency status as of September 30, 2025 and June 30, 2025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3"/>
        </w:trPr>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gridSpan w:val="9"/>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0"/>
        </w:trPr>
        <w:tc>
          <w:tcPr>
            <w:tcW w:w="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9"/>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Amortized Costs Basis by Fiscal Year of Origination</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88"/>
        </w:trPr>
        <w:tc>
          <w:tcPr>
            <w:tcW w:w="620" w:type="dxa"/>
            <w:vAlign w:val="bottom"/>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w:t>
            </w:r>
          </w:p>
        </w:tc>
      </w:tr>
      <w:tr>
        <w:trPr>
          <w:trHeight w:val="192"/>
        </w:trPr>
        <w:tc>
          <w:tcPr>
            <w:tcW w:w="620" w:type="dxa"/>
            <w:vAlign w:val="bottom"/>
          </w:tcPr>
          <w:p>
            <w:pPr>
              <w:spacing w:after="0"/>
              <w:rPr>
                <w:sz w:val="16"/>
                <w:szCs w:val="16"/>
                <w:color w:val="auto"/>
              </w:rPr>
            </w:pPr>
          </w:p>
        </w:tc>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Non-delinquent loans</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3,527,113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3,003,940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183,548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6"/>
        </w:trPr>
        <w:tc>
          <w:tcPr>
            <w:tcW w:w="620" w:type="dxa"/>
            <w:vAlign w:val="bottom"/>
          </w:tcPr>
          <w:p>
            <w:pPr>
              <w:spacing w:after="0"/>
              <w:rPr>
                <w:sz w:val="16"/>
                <w:szCs w:val="16"/>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 – 29 calendar days past due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01"/>
        </w:trPr>
        <w:tc>
          <w:tcPr>
            <w:tcW w:w="620" w:type="dxa"/>
            <w:vAlign w:val="bottom"/>
          </w:tcPr>
          <w:p>
            <w:pPr>
              <w:spacing w:after="0"/>
              <w:rPr>
                <w:sz w:val="17"/>
                <w:szCs w:val="17"/>
                <w:color w:val="auto"/>
              </w:rPr>
            </w:pPr>
          </w:p>
        </w:tc>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 – 59 calendar days past due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186"/>
        </w:trPr>
        <w:tc>
          <w:tcPr>
            <w:tcW w:w="620" w:type="dxa"/>
            <w:vAlign w:val="bottom"/>
          </w:tcPr>
          <w:p>
            <w:pPr>
              <w:spacing w:after="0"/>
              <w:rPr>
                <w:sz w:val="16"/>
                <w:szCs w:val="16"/>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60 – 89 calendar days past due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01"/>
        </w:trPr>
        <w:tc>
          <w:tcPr>
            <w:tcW w:w="620" w:type="dxa"/>
            <w:vAlign w:val="bottom"/>
          </w:tcPr>
          <w:p>
            <w:pPr>
              <w:spacing w:after="0"/>
              <w:rPr>
                <w:sz w:val="17"/>
                <w:szCs w:val="17"/>
                <w:color w:val="auto"/>
              </w:rPr>
            </w:pPr>
          </w:p>
        </w:tc>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 119 calendar days past due</w:t>
            </w:r>
            <w:r>
              <w:rPr>
                <w:rFonts w:ascii="Times New Roman" w:cs="Times New Roman" w:eastAsia="Times New Roman" w:hAnsi="Times New Roman"/>
                <w:sz w:val="17"/>
                <w:szCs w:val="17"/>
                <w:color w:val="auto"/>
                <w:vertAlign w:val="superscript"/>
              </w:rPr>
              <w:t>(1)</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187"/>
        </w:trPr>
        <w:tc>
          <w:tcPr>
            <w:tcW w:w="620" w:type="dxa"/>
            <w:vAlign w:val="bottom"/>
          </w:tcPr>
          <w:p>
            <w:pPr>
              <w:spacing w:after="0"/>
              <w:rPr>
                <w:sz w:val="16"/>
                <w:szCs w:val="16"/>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amortized cost basis</w:t>
            </w: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3,623,171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3,302,661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195,295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37,135</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5"/>
        </w:trPr>
        <w:tc>
          <w:tcPr>
            <w:tcW w:w="6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spacing w:after="0" w:line="83"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$57.7 million of loan receivables as of September 30, 2025 that are 90 days or more past due, but are not on non-accrual status.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
        </w:trPr>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gridSpan w:val="9"/>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0"/>
        </w:trPr>
        <w:tc>
          <w:tcPr>
            <w:tcW w:w="2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gridSpan w:val="9"/>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Amortized Costs Basis by Fiscal Year of Origination</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8"/>
        </w:trPr>
        <w:tc>
          <w:tcPr>
            <w:tcW w:w="22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Non-delinquent loans</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6,268,050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294,778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6,618,117</w:t>
            </w:r>
          </w:p>
        </w:tc>
      </w:tr>
      <w:tr>
        <w:trPr>
          <w:trHeight w:val="186"/>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4 – 29 calendar days past due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168,156</w:t>
            </w:r>
          </w:p>
        </w:tc>
      </w:tr>
      <w:tr>
        <w:trPr>
          <w:trHeight w:val="201"/>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 – 59 calendar days past due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66,944</w:t>
            </w:r>
          </w:p>
        </w:tc>
      </w:tr>
      <w:tr>
        <w:trPr>
          <w:trHeight w:val="186"/>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60 – 89 calendar days past due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56,633</w:t>
            </w:r>
          </w:p>
        </w:tc>
      </w:tr>
      <w:tr>
        <w:trPr>
          <w:trHeight w:val="201"/>
        </w:trPr>
        <w:tc>
          <w:tcPr>
            <w:tcW w:w="2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 119 calendar days past due</w:t>
            </w:r>
            <w:r>
              <w:rPr>
                <w:rFonts w:ascii="Times New Roman" w:cs="Times New Roman" w:eastAsia="Times New Roman" w:hAnsi="Times New Roman"/>
                <w:sz w:val="17"/>
                <w:szCs w:val="17"/>
                <w:color w:val="auto"/>
                <w:vertAlign w:val="superscript"/>
              </w:rPr>
              <w:t>(1)</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47,732</w:t>
            </w:r>
          </w:p>
        </w:tc>
      </w:tr>
      <w:tr>
        <w:trPr>
          <w:trHeight w:val="187"/>
        </w:trPr>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amortized cost basis</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6,580,225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319,680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53,076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4,414</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6,957,582</w:t>
            </w:r>
          </w:p>
        </w:tc>
      </w:tr>
      <w:tr>
        <w:trPr>
          <w:trHeight w:val="20"/>
        </w:trPr>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5"/>
        </w:trPr>
        <w:tc>
          <w:tcPr>
            <w:tcW w:w="2220" w:type="dxa"/>
            <w:vAlign w:val="bottom"/>
            <w:tcBorders>
              <w:bottom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13" w:lineRule="exact"/>
        <w:rPr>
          <w:sz w:val="20"/>
          <w:szCs w:val="20"/>
          <w:color w:val="auto"/>
        </w:rPr>
      </w:pPr>
    </w:p>
    <w:p>
      <w:pPr>
        <w:ind w:left="620" w:right="1760" w:hanging="307"/>
        <w:spacing w:after="0" w:line="362" w:lineRule="auto"/>
        <w:tabs>
          <w:tab w:leader="none" w:pos="608"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$47.6 million of loan receivables as of June 30, 2025 that are 90 days or more past due, but are not on non-accrual status. The following table presents net charge-offs by fiscal year of origination as of September 30, 2025 (in thousands):</w:t>
      </w:r>
    </w:p>
    <w:tbl>
      <w:tblPr>
        <w:tblLayout w:type="fixed"/>
        <w:tblInd w:w="0" w:type="dxa"/>
        <w:tblCellMar>
          <w:top w:w="0" w:type="dxa"/>
          <w:left w:w="0" w:type="dxa"/>
          <w:bottom w:w="0" w:type="dxa"/>
          <w:right w:w="0" w:type="dxa"/>
        </w:tblCellMar>
      </w:tblPr>
      <w:tr>
        <w:trPr>
          <w:trHeight w:val="183"/>
        </w:trPr>
        <w:tc>
          <w:tcPr>
            <w:tcW w:w="2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
        </w:trPr>
        <w:tc>
          <w:tcPr>
            <w:tcW w:w="2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gridSpan w:val="7"/>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0"/>
        </w:trPr>
        <w:tc>
          <w:tcPr>
            <w:tcW w:w="27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7"/>
          </w:tcPr>
          <w:p>
            <w:pPr>
              <w:ind w:left="1060"/>
              <w:spacing w:after="0"/>
              <w:rPr>
                <w:sz w:val="20"/>
                <w:szCs w:val="20"/>
                <w:color w:val="auto"/>
              </w:rPr>
            </w:pPr>
            <w:r>
              <w:rPr>
                <w:rFonts w:ascii="Times New Roman" w:cs="Times New Roman" w:eastAsia="Times New Roman" w:hAnsi="Times New Roman"/>
                <w:sz w:val="14"/>
                <w:szCs w:val="14"/>
                <w:b w:val="1"/>
                <w:bCs w:val="1"/>
                <w:color w:val="auto"/>
              </w:rPr>
              <w:t>Net Charge-offs by Fiscal Year of Origination</w:t>
            </w: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2700" w:type="dxa"/>
            <w:vAlign w:val="bottom"/>
          </w:tcPr>
          <w:p>
            <w:pPr>
              <w:spacing w:after="0"/>
              <w:rPr>
                <w:sz w:val="16"/>
                <w:szCs w:val="16"/>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1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gridSpan w:val="2"/>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1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charge-offs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(130,212)</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(11,715)</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w w:val="94"/>
              </w:rPr>
              <w:t>(14)</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(144,595)</w:t>
            </w:r>
          </w:p>
        </w:tc>
      </w:tr>
      <w:tr>
        <w:trPr>
          <w:trHeight w:val="187"/>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recoveries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6,621</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80" w:type="dxa"/>
            <w:vAlign w:val="bottom"/>
          </w:tcPr>
          <w:p>
            <w:pPr>
              <w:spacing w:after="0"/>
              <w:rPr>
                <w:sz w:val="16"/>
                <w:szCs w:val="16"/>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17,063</w:t>
            </w:r>
          </w:p>
        </w:tc>
      </w:tr>
      <w:tr>
        <w:trPr>
          <w:trHeight w:val="219"/>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net charge-offs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(127,532)</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00" w:firstLine="620"/>
        <w:spacing w:after="0" w:line="259" w:lineRule="auto"/>
        <w:rPr>
          <w:sz w:val="20"/>
          <w:szCs w:val="20"/>
          <w:color w:val="auto"/>
        </w:rPr>
      </w:pPr>
      <w:r>
        <w:rPr>
          <w:rFonts w:ascii="Times New Roman" w:cs="Times New Roman" w:eastAsia="Times New Roman" w:hAnsi="Times New Roman"/>
          <w:sz w:val="17"/>
          <w:szCs w:val="17"/>
          <w:color w:val="auto"/>
        </w:rPr>
        <w:t>We maintain an allowance for credit losses at a level sufficient to absorb expected credit losses based on evaluating known and inherent risks in our loan portfolio. The allowance for credit losses reflects our estimate of expected lifetime credit losses, which consider the remaining contractual term, historical credit losses, consumer payment trends, estimated recoveries, and future payment expectations as of each balance sheet date. Adjustments to the allowance for changes in our estimate of lifetime expected credit losses are recognized in earnings through the provision for credit losses presented within our interim condensed consolidated statements of operations and comprehensive income (loss). When available information confirms that specific loans or portions thereof are uncollectible, identified amounts are charged off against the allowance for credit losses. Loans are charged off in accordance with our charge-off policy, as the contractual principal becomes 120 days past due. Subsequent recoveries of the unpaid principal balance, if any, are credited to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8" w:name="page19"/>
    <w:bookmarkEnd w:id="1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details activity in the allowance for credit losses, including charge-offs, recoveries and provision for loan losses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8"/>
                <w:szCs w:val="18"/>
                <w:color w:val="auto"/>
              </w:rPr>
            </w:pPr>
          </w:p>
        </w:tc>
        <w:tc>
          <w:tcPr>
            <w:tcW w:w="3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40" w:type="dxa"/>
            <w:vAlign w:val="bottom"/>
            <w:tcBorders>
              <w:bottom w:val="single" w:sz="8" w:color="auto"/>
            </w:tcBorders>
          </w:tcPr>
          <w:p>
            <w:pPr>
              <w:spacing w:after="0"/>
              <w:rPr>
                <w:sz w:val="18"/>
                <w:szCs w:val="18"/>
                <w:color w:val="auto"/>
              </w:rPr>
            </w:pPr>
          </w:p>
        </w:tc>
      </w:tr>
      <w:tr>
        <w:trPr>
          <w:trHeight w:val="201"/>
        </w:trPr>
        <w:tc>
          <w:tcPr>
            <w:tcW w:w="72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Borders>
              <w:bottom w:val="single" w:sz="8" w:color="auto"/>
            </w:tcBorders>
          </w:tcPr>
          <w:p>
            <w:pPr>
              <w:spacing w:after="0"/>
              <w:rPr>
                <w:sz w:val="17"/>
                <w:szCs w:val="17"/>
                <w:color w:val="auto"/>
              </w:rPr>
            </w:pPr>
          </w:p>
        </w:tc>
      </w:tr>
      <w:tr>
        <w:trPr>
          <w:trHeight w:val="21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60" w:type="dxa"/>
            <w:vAlign w:val="bottom"/>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396,929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309,097</w:t>
            </w:r>
          </w:p>
        </w:tc>
      </w:tr>
      <w:tr>
        <w:trPr>
          <w:trHeight w:val="220"/>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loan losses</w:t>
            </w:r>
          </w:p>
        </w:tc>
        <w:tc>
          <w:tcPr>
            <w:tcW w:w="1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156,404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154,805</w:t>
            </w:r>
          </w:p>
        </w:tc>
      </w:tr>
      <w:tr>
        <w:trPr>
          <w:trHeight w:val="22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Charge-offs</w:t>
            </w:r>
          </w:p>
        </w:tc>
        <w:tc>
          <w:tcPr>
            <w:tcW w:w="1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(121,448)</w:t>
            </w:r>
          </w:p>
        </w:tc>
      </w:tr>
      <w:tr>
        <w:trPr>
          <w:trHeight w:val="22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Recoveries of charged-off receivables</w:t>
            </w:r>
          </w:p>
        </w:tc>
        <w:tc>
          <w:tcPr>
            <w:tcW w:w="1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17,063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8,152</w:t>
            </w:r>
          </w:p>
        </w:tc>
      </w:tr>
      <w:tr>
        <w:trPr>
          <w:trHeight w:val="23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425,801</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7"/>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350,606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Loan Modifications for Borrowers Experiencing Financial Difficulty</w:t>
      </w:r>
    </w:p>
    <w:p>
      <w:pPr>
        <w:spacing w:after="0" w:line="325"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We have a loan modification program for borrowers experiencing financial difficulty if certain eligibility criteria are met. A loan is evaluated for modification program eligibility when a borrower self-reports financial hardship, either when a borrower contacts us directly or upon making contact with the borrower to determine eligibility when a loan payment is past due. The objectives of the loan modification program are to offer borrowers assistance during times of financial stress, increase collections, and minimize losses.</w:t>
      </w:r>
    </w:p>
    <w:p>
      <w:pPr>
        <w:spacing w:after="0" w:line="196" w:lineRule="exact"/>
        <w:rPr>
          <w:sz w:val="20"/>
          <w:szCs w:val="20"/>
          <w:color w:val="auto"/>
        </w:rPr>
      </w:pPr>
    </w:p>
    <w:p>
      <w:pPr>
        <w:ind w:right="80" w:firstLine="620"/>
        <w:spacing w:after="0" w:line="262" w:lineRule="auto"/>
        <w:rPr>
          <w:sz w:val="20"/>
          <w:szCs w:val="20"/>
          <w:color w:val="auto"/>
        </w:rPr>
      </w:pPr>
      <w:r>
        <w:rPr>
          <w:rFonts w:ascii="Times New Roman" w:cs="Times New Roman" w:eastAsia="Times New Roman" w:hAnsi="Times New Roman"/>
          <w:sz w:val="17"/>
          <w:szCs w:val="17"/>
          <w:color w:val="auto"/>
        </w:rPr>
        <w:t>We have two primary loan modification strategies: payment deferrals and loan re-amortization. A payment deferral provides the borrower relief by extending the due date for the next payment due. While a borrower may obtain more than one deferral, the total deferral period may not exceed three months. A loan re-amortization provides the borrower relief by lowering monthly payments through extending the term length of the loan; however, the total remaining term may not exceed twenty-four months. In addition, the total interest due from the consumer will not exceed the initial total interest due prior to modification, and a loan may not be re-amortized more than once.</w:t>
      </w:r>
    </w:p>
    <w:p>
      <w:pPr>
        <w:spacing w:after="0" w:line="199" w:lineRule="exact"/>
        <w:rPr>
          <w:sz w:val="20"/>
          <w:szCs w:val="20"/>
          <w:color w:val="auto"/>
        </w:rPr>
      </w:pPr>
    </w:p>
    <w:p>
      <w:pPr>
        <w:ind w:right="50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amortized cost basis of loans excluding accrued interest receivable that were modified for borrowers experiencing financial difficulty during the three months ended September 30, 2025 and 2024, by type of modification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00" w:type="dxa"/>
            <w:vAlign w:val="bottom"/>
          </w:tcPr>
          <w:p>
            <w:pPr>
              <w:spacing w:after="0"/>
              <w:rPr>
                <w:sz w:val="19"/>
                <w:szCs w:val="19"/>
                <w:color w:val="auto"/>
              </w:rPr>
            </w:pPr>
          </w:p>
        </w:tc>
        <w:tc>
          <w:tcPr>
            <w:tcW w:w="3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deferral</w:t>
            </w:r>
          </w:p>
        </w:tc>
        <w:tc>
          <w:tcPr>
            <w:tcW w:w="130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8,690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10,975</w:t>
            </w:r>
          </w:p>
        </w:tc>
        <w:tc>
          <w:tcPr>
            <w:tcW w:w="0" w:type="dxa"/>
            <w:vAlign w:val="bottom"/>
          </w:tcPr>
          <w:p>
            <w:pPr>
              <w:spacing w:after="0"/>
              <w:rPr>
                <w:sz w:val="1"/>
                <w:szCs w:val="1"/>
                <w:color w:val="auto"/>
              </w:rPr>
            </w:pPr>
          </w:p>
        </w:tc>
      </w:tr>
      <w:tr>
        <w:trPr>
          <w:trHeight w:val="22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Loan re-amortization</w:t>
            </w:r>
          </w:p>
        </w:tc>
        <w:tc>
          <w:tcPr>
            <w:tcW w:w="1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3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00" w:type="dxa"/>
            <w:vAlign w:val="bottom"/>
            <w:tcBorders>
              <w:bottom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8,839</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11,140</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 of total loan receivables outstanding</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0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0.12 %</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0.18 %</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440" w:firstLine="620"/>
        <w:spacing w:after="0" w:line="288" w:lineRule="auto"/>
        <w:rPr>
          <w:sz w:val="20"/>
          <w:szCs w:val="20"/>
          <w:color w:val="auto"/>
        </w:rPr>
      </w:pPr>
      <w:r>
        <w:rPr>
          <w:rFonts w:ascii="Times New Roman" w:cs="Times New Roman" w:eastAsia="Times New Roman" w:hAnsi="Times New Roman"/>
          <w:sz w:val="17"/>
          <w:szCs w:val="17"/>
          <w:color w:val="auto"/>
        </w:rPr>
        <w:t>With respect to borrowers who received payment deferrals during the three months ended September 30, 2025 and 2024, the length of each deferral period was one month.</w:t>
      </w:r>
    </w:p>
    <w:p>
      <w:pPr>
        <w:spacing w:after="0" w:line="177" w:lineRule="exact"/>
        <w:rPr>
          <w:sz w:val="20"/>
          <w:szCs w:val="20"/>
          <w:color w:val="auto"/>
        </w:rPr>
      </w:pPr>
    </w:p>
    <w:p>
      <w:pPr>
        <w:ind w:right="260" w:firstLine="620"/>
        <w:spacing w:after="0" w:line="288" w:lineRule="auto"/>
        <w:rPr>
          <w:sz w:val="20"/>
          <w:szCs w:val="20"/>
          <w:color w:val="auto"/>
        </w:rPr>
      </w:pPr>
      <w:r>
        <w:rPr>
          <w:rFonts w:ascii="Times New Roman" w:cs="Times New Roman" w:eastAsia="Times New Roman" w:hAnsi="Times New Roman"/>
          <w:sz w:val="17"/>
          <w:szCs w:val="17"/>
          <w:color w:val="auto"/>
        </w:rPr>
        <w:t>With respect to borrowers who received a loan re-amortization during the three months ended September 30, 2025 and 2024, the payment amount was reduced by half and the term of the loan was extended between one month and twelve months.</w:t>
      </w:r>
    </w:p>
    <w:p>
      <w:pPr>
        <w:spacing w:after="0" w:line="177" w:lineRule="exact"/>
        <w:rPr>
          <w:sz w:val="20"/>
          <w:szCs w:val="20"/>
          <w:color w:val="auto"/>
        </w:rPr>
      </w:pPr>
    </w:p>
    <w:p>
      <w:pPr>
        <w:ind w:right="220" w:firstLine="620"/>
        <w:spacing w:after="0" w:line="262" w:lineRule="auto"/>
        <w:rPr>
          <w:sz w:val="20"/>
          <w:szCs w:val="20"/>
          <w:color w:val="auto"/>
        </w:rPr>
      </w:pPr>
      <w:r>
        <w:rPr>
          <w:rFonts w:ascii="Times New Roman" w:cs="Times New Roman" w:eastAsia="Times New Roman" w:hAnsi="Times New Roman"/>
          <w:sz w:val="17"/>
          <w:szCs w:val="17"/>
          <w:color w:val="auto"/>
        </w:rPr>
        <w:t>During the modification process, the loans are made current, and payment schedules for these loans are updated according to the modified terms. We closely monitor the performance of loans that are modified for borrowers experiencing financial difficulty to understand the effectiveness of our modification efforts. We hold an allowance for credit losses for modified loans classified as held for investment. Our allowance estimate considers whether a loan has been modified, the delinquency status of the loan on the date of modification, and the increased likelihood that such loan may become delinquent or charge-off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The following tables present the delinquency status as of September 30, 2025 and 2024, by amortized cost basis excluding accrued interest receivable, of loan receivables that have been modified within the last 12 months where the borrower was experiencing financial difficulty at the time of modification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r>
      <w:tr>
        <w:trPr>
          <w:trHeight w:val="213"/>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Payment Deferral</w:t>
            </w:r>
          </w:p>
        </w:tc>
        <w:tc>
          <w:tcPr>
            <w:tcW w:w="18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Loan Re-amortization</w:t>
            </w:r>
          </w:p>
        </w:tc>
        <w:tc>
          <w:tcPr>
            <w:tcW w:w="500" w:type="dxa"/>
            <w:vAlign w:val="bottom"/>
          </w:tcPr>
          <w:p>
            <w:pPr>
              <w:spacing w:after="0"/>
              <w:rPr>
                <w:sz w:val="18"/>
                <w:szCs w:val="18"/>
                <w:color w:val="auto"/>
              </w:rPr>
            </w:pPr>
          </w:p>
        </w:tc>
        <w:tc>
          <w:tcPr>
            <w:tcW w:w="1640" w:type="dxa"/>
            <w:vAlign w:val="bottom"/>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Non-delinquent loans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8,960</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 – 29 calendar days past due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w:t>
            </w:r>
          </w:p>
        </w:tc>
      </w:tr>
      <w:tr>
        <w:trPr>
          <w:trHeight w:val="22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 59 calendar days past due</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 – 89 calendar days past due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r>
      <w:tr>
        <w:trPr>
          <w:trHeight w:val="22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90 – 119 calendar days past due</w:t>
            </w: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amortized cost basis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13,787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14,043</w:t>
            </w: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r>
      <w:tr>
        <w:trPr>
          <w:trHeight w:val="213"/>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Payment Deferral</w:t>
            </w:r>
          </w:p>
        </w:tc>
        <w:tc>
          <w:tcPr>
            <w:tcW w:w="180" w:type="dxa"/>
            <w:vAlign w:val="bottom"/>
          </w:tcPr>
          <w:p>
            <w:pPr>
              <w:spacing w:after="0"/>
              <w:rPr>
                <w:sz w:val="18"/>
                <w:szCs w:val="18"/>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Loan Re-amortization</w:t>
            </w:r>
          </w:p>
        </w:tc>
        <w:tc>
          <w:tcPr>
            <w:tcW w:w="500" w:type="dxa"/>
            <w:vAlign w:val="bottom"/>
          </w:tcPr>
          <w:p>
            <w:pPr>
              <w:spacing w:after="0"/>
              <w:rPr>
                <w:sz w:val="18"/>
                <w:szCs w:val="18"/>
                <w:color w:val="auto"/>
              </w:rPr>
            </w:pPr>
          </w:p>
        </w:tc>
        <w:tc>
          <w:tcPr>
            <w:tcW w:w="1640" w:type="dxa"/>
            <w:vAlign w:val="bottom"/>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Non-delinquent loans</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12,932</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 – 29 calendar days past due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3,810</w:t>
            </w:r>
          </w:p>
        </w:tc>
      </w:tr>
      <w:tr>
        <w:trPr>
          <w:trHeight w:val="22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 – 59 calendar days past due</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2,740</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60 – 89 calendar days past due</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4,018</w:t>
            </w:r>
          </w:p>
        </w:tc>
      </w:tr>
      <w:tr>
        <w:trPr>
          <w:trHeight w:val="22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90 – 119 calendar days past due</w:t>
            </w:r>
          </w:p>
        </w:tc>
        <w:tc>
          <w:tcPr>
            <w:tcW w:w="2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w:t>
            </w:r>
          </w:p>
        </w:tc>
      </w:tr>
      <w:tr>
        <w:trPr>
          <w:trHeight w:val="213"/>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amortized cost basis</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25,654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26,215</w:t>
            </w: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jc w:val="both"/>
        <w:ind w:right="20" w:firstLine="620"/>
        <w:spacing w:after="0" w:line="288" w:lineRule="auto"/>
        <w:rPr>
          <w:sz w:val="20"/>
          <w:szCs w:val="20"/>
          <w:color w:val="auto"/>
        </w:rPr>
      </w:pPr>
      <w:r>
        <w:rPr>
          <w:rFonts w:ascii="Times New Roman" w:cs="Times New Roman" w:eastAsia="Times New Roman" w:hAnsi="Times New Roman"/>
          <w:sz w:val="17"/>
          <w:szCs w:val="17"/>
          <w:color w:val="auto"/>
        </w:rPr>
        <w:t>With respect to modifications during the 12 months preceding September 30, 2025 and 2024, respectively, where the borrower was experiencing financial difficulty at the time of modification, the amortized cost basis of loans which have been charged off was $5.1 million and $16.0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Balance Sheet Components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net</w:t>
      </w:r>
    </w:p>
    <w:p>
      <w:pPr>
        <w:spacing w:after="0" w:line="250" w:lineRule="exact"/>
        <w:rPr>
          <w:sz w:val="20"/>
          <w:szCs w:val="20"/>
          <w:color w:val="auto"/>
        </w:rPr>
      </w:pPr>
    </w:p>
    <w:p>
      <w:pPr>
        <w:ind w:right="140" w:firstLine="620"/>
        <w:spacing w:after="0" w:line="275" w:lineRule="auto"/>
        <w:rPr>
          <w:sz w:val="20"/>
          <w:szCs w:val="20"/>
          <w:color w:val="auto"/>
        </w:rPr>
      </w:pPr>
      <w:r>
        <w:rPr>
          <w:rFonts w:ascii="Times New Roman" w:cs="Times New Roman" w:eastAsia="Times New Roman" w:hAnsi="Times New Roman"/>
          <w:sz w:val="17"/>
          <w:szCs w:val="17"/>
          <w:color w:val="auto"/>
        </w:rPr>
        <w:t>Our accounts receivable consist primarily of amounts due from payment processors, merchant partners, affiliate network partners and servicing fees due from third-party loan owners. For each of these groups, we evaluate accounts receivable to determine management’s current estimate of expected credit losses based on historical experience and future expectations and record an allowance for credit losses. Our allowance for credit losses with respect to accounts receivable was $20.2 million and $18.8 million as of September 30, 2025 and June 30,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Equipment and Software, net</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Property, equipment and software, net consisted of the following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Pr>
          <w:p>
            <w:pPr>
              <w:spacing w:after="0"/>
              <w:rPr>
                <w:sz w:val="18"/>
                <w:szCs w:val="18"/>
                <w:color w:val="auto"/>
              </w:rPr>
            </w:pPr>
          </w:p>
        </w:tc>
        <w:tc>
          <w:tcPr>
            <w:tcW w:w="16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5"/>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Internally developed software</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1,088,527</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987,399</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21,990</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9,555</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Furniture and equipment</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9,007</w:t>
            </w:r>
          </w:p>
        </w:tc>
      </w:tr>
      <w:tr>
        <w:trPr>
          <w:trHeight w:val="21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equipment and software, at cost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1,132,093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1,027,952</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(518,155)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(455,315)</w:t>
            </w:r>
          </w:p>
        </w:tc>
      </w:tr>
      <w:tr>
        <w:trPr>
          <w:trHeight w:val="23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equipment and software, net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613,938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572,637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920" w:firstLine="620"/>
        <w:spacing w:after="0" w:line="304" w:lineRule="auto"/>
        <w:rPr>
          <w:sz w:val="20"/>
          <w:szCs w:val="20"/>
          <w:color w:val="auto"/>
        </w:rPr>
      </w:pPr>
      <w:r>
        <w:rPr>
          <w:rFonts w:ascii="Times New Roman" w:cs="Times New Roman" w:eastAsia="Times New Roman" w:hAnsi="Times New Roman"/>
          <w:sz w:val="17"/>
          <w:szCs w:val="17"/>
          <w:color w:val="auto"/>
        </w:rPr>
        <w:t>Depreciation and amortization expense on property, equipment and software was $65.3 million and $46.1 million for the three months ended September 30, 2025 and 2024, respectively.</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impairment losses related to property, equipment and software were recorded during the three months ended September 30, 2025 and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39"/>
        </w:trPr>
        <w:tc>
          <w:tcPr>
            <w:tcW w:w="1016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auto"/>
              </w:rPr>
              <w:t>The changes in the carrying amount of goodwill during the three months ended September 30, 2025 were as follows (in thousands):</w:t>
            </w:r>
          </w:p>
        </w:tc>
        <w:tc>
          <w:tcPr>
            <w:tcW w:w="1080" w:type="dxa"/>
            <w:vAlign w:val="bottom"/>
          </w:tcPr>
          <w:p>
            <w:pPr>
              <w:spacing w:after="0"/>
              <w:rPr>
                <w:sz w:val="24"/>
                <w:szCs w:val="24"/>
                <w:color w:val="auto"/>
              </w:rPr>
            </w:pPr>
          </w:p>
        </w:tc>
      </w:tr>
      <w:tr>
        <w:trPr>
          <w:trHeight w:val="258"/>
        </w:trPr>
        <w:tc>
          <w:tcPr>
            <w:tcW w:w="22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0"/>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2025</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534,156</w:t>
            </w:r>
          </w:p>
        </w:tc>
      </w:tr>
      <w:tr>
        <w:trPr>
          <w:trHeight w:val="220"/>
        </w:trPr>
        <w:tc>
          <w:tcPr>
            <w:tcW w:w="9280" w:type="dxa"/>
            <w:vAlign w:val="bottom"/>
            <w:tcBorders>
              <w:bottom w:val="single" w:sz="8" w:color="CCEEFF"/>
            </w:tcBorders>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(1)</w:t>
            </w:r>
          </w:p>
        </w:tc>
        <w:tc>
          <w:tcPr>
            <w:tcW w:w="8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(4,245)</w:t>
            </w:r>
          </w:p>
        </w:tc>
      </w:tr>
      <w:tr>
        <w:trPr>
          <w:trHeight w:val="238"/>
        </w:trPr>
        <w:tc>
          <w:tcPr>
            <w:tcW w:w="9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2025</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529,910</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220" w:type="dxa"/>
            <w:vAlign w:val="bottom"/>
            <w:tcBorders>
              <w:bottom w:val="single" w:sz="8" w:color="auto"/>
            </w:tcBorders>
          </w:tcPr>
          <w:p>
            <w:pPr>
              <w:spacing w:after="0"/>
              <w:rPr>
                <w:sz w:val="14"/>
                <w:szCs w:val="14"/>
                <w:color w:val="auto"/>
              </w:rPr>
            </w:pPr>
          </w:p>
        </w:tc>
        <w:tc>
          <w:tcPr>
            <w:tcW w:w="7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13" w:lineRule="exact"/>
        <w:rPr>
          <w:sz w:val="20"/>
          <w:szCs w:val="20"/>
          <w:color w:val="auto"/>
        </w:rPr>
      </w:pPr>
    </w:p>
    <w:p>
      <w:pPr>
        <w:ind w:left="620" w:right="960" w:hanging="307"/>
        <w:spacing w:after="0" w:line="503" w:lineRule="auto"/>
        <w:tabs>
          <w:tab w:leader="none" w:pos="608"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Adjustments to goodwill during the three months ended September 30, 2025 primarily pertained to foreign currency translation adjustments. No impairment losses related to goodwill were recorded during the three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Intangible assets consisted of the following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center"/>
              <w:ind w:left="296"/>
              <w:spacing w:after="0"/>
              <w:rPr>
                <w:sz w:val="20"/>
                <w:szCs w:val="20"/>
                <w:color w:val="auto"/>
              </w:rPr>
            </w:pPr>
            <w:r>
              <w:rPr>
                <w:rFonts w:ascii="Times New Roman" w:cs="Times New Roman" w:eastAsia="Times New Roman" w:hAnsi="Times New Roman"/>
                <w:sz w:val="16"/>
                <w:szCs w:val="16"/>
                <w:b w:val="1"/>
                <w:bCs w:val="1"/>
                <w:color w:val="auto"/>
                <w:w w:val="95"/>
              </w:rPr>
              <w:t>September 30, 2025</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120" w:type="dxa"/>
            <w:vAlign w:val="bottom"/>
            <w:vMerge w:val="restart"/>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Net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 Useful Life</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1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14"/>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Merchant relationships</w:t>
            </w:r>
          </w:p>
        </w:tc>
        <w:tc>
          <w:tcPr>
            <w:tcW w:w="1100" w:type="dxa"/>
            <w:vAlign w:val="bottom"/>
            <w:tcBorders>
              <w:top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37,695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(37,695)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0.0</w:t>
            </w:r>
          </w:p>
        </w:tc>
        <w:tc>
          <w:tcPr>
            <w:tcW w:w="0" w:type="dxa"/>
            <w:vAlign w:val="bottom"/>
          </w:tcPr>
          <w:p>
            <w:pPr>
              <w:spacing w:after="0"/>
              <w:rPr>
                <w:sz w:val="1"/>
                <w:szCs w:val="1"/>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(39,288)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8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3"/>
              </w:rPr>
              <w:t>0.0</w:t>
            </w:r>
          </w:p>
        </w:tc>
        <w:tc>
          <w:tcPr>
            <w:tcW w:w="0" w:type="dxa"/>
            <w:vAlign w:val="bottom"/>
          </w:tcPr>
          <w:p>
            <w:pPr>
              <w:spacing w:after="0"/>
              <w:rPr>
                <w:sz w:val="1"/>
                <w:szCs w:val="1"/>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Trademarks and domains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8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0.3</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Trademarks, licenses and domains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3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10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39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center"/>
              <w:ind w:left="316"/>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line="151" w:lineRule="exact"/>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120" w:type="dxa"/>
            <w:vAlign w:val="bottom"/>
            <w:vMerge w:val="restart"/>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Net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 Useful Life</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1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14"/>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Merchant relationships</w:t>
            </w:r>
          </w:p>
        </w:tc>
        <w:tc>
          <w:tcPr>
            <w:tcW w:w="1100" w:type="dxa"/>
            <w:vAlign w:val="bottom"/>
            <w:tcBorders>
              <w:top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(37,845)</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0.0</w:t>
            </w:r>
          </w:p>
        </w:tc>
        <w:tc>
          <w:tcPr>
            <w:tcW w:w="0" w:type="dxa"/>
            <w:vAlign w:val="bottom"/>
          </w:tcPr>
          <w:p>
            <w:pPr>
              <w:spacing w:after="0"/>
              <w:rPr>
                <w:sz w:val="1"/>
                <w:szCs w:val="1"/>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(39,369)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8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1.3</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w w:val="93"/>
              </w:rPr>
              <w:t>0.0</w:t>
            </w:r>
          </w:p>
        </w:tc>
        <w:tc>
          <w:tcPr>
            <w:tcW w:w="0" w:type="dxa"/>
            <w:vAlign w:val="bottom"/>
          </w:tcPr>
          <w:p>
            <w:pPr>
              <w:spacing w:after="0"/>
              <w:rPr>
                <w:sz w:val="1"/>
                <w:szCs w:val="1"/>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Trademarks and domains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8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w w:val="93"/>
              </w:rPr>
              <w:t>0.6</w:t>
            </w:r>
          </w:p>
        </w:tc>
        <w:tc>
          <w:tcPr>
            <w:tcW w:w="0" w:type="dxa"/>
            <w:vAlign w:val="bottom"/>
          </w:tcPr>
          <w:p>
            <w:pPr>
              <w:spacing w:after="0"/>
              <w:rPr>
                <w:sz w:val="1"/>
                <w:szCs w:val="1"/>
                <w:color w:val="auto"/>
              </w:rPr>
            </w:pPr>
          </w:p>
        </w:tc>
      </w:tr>
      <w:tr>
        <w:trPr>
          <w:trHeight w:val="22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Trademarks, licenses and domains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20"/>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3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10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right="100" w:firstLine="620"/>
        <w:spacing w:after="0" w:line="288" w:lineRule="auto"/>
        <w:rPr>
          <w:sz w:val="20"/>
          <w:szCs w:val="20"/>
          <w:color w:val="auto"/>
        </w:rPr>
      </w:pPr>
      <w:r>
        <w:rPr>
          <w:rFonts w:ascii="Times New Roman" w:cs="Times New Roman" w:eastAsia="Times New Roman" w:hAnsi="Times New Roman"/>
          <w:sz w:val="17"/>
          <w:szCs w:val="17"/>
          <w:color w:val="auto"/>
        </w:rPr>
        <w:t>Amortization expense for intangible assets was $0.1 million and $0.6 million for the three months ended September 30, 2025 and 2024, respectively. No impairment losses related to intangible assets were recorded during the three months ended September 30, 2025 and 2024.</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expected future amortization expense of these intangible assets as of September 30, 2025 is as follows, by fiscal year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(remaining nine months)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20"/>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8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 and thereafter</w:t>
            </w:r>
          </w:p>
        </w:tc>
        <w:tc>
          <w:tcPr>
            <w:tcW w:w="8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amortization expense</w:t>
            </w:r>
          </w:p>
        </w:tc>
        <w:tc>
          <w:tcPr>
            <w:tcW w:w="8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0"/>
        </w:trPr>
        <w:tc>
          <w:tcPr>
            <w:tcW w:w="9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Agreement Assets</w:t>
      </w:r>
    </w:p>
    <w:p>
      <w:pPr>
        <w:spacing w:after="0" w:line="250"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In fiscal year 2022, we granted warrants in connection with our commercial agreements with certain subsidiaries of Amazon.com, Inc. (“Amazon”). We recognized an asset of $133.5 million associated with the portion of the warrants that were fully vested upon grant. The asset was valued based on the fair value of the warrants and represents the probable future economic benefit to be realized over the expected benefit period of four years.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both the three months ended September 30, 2025 and 2024, we recognized amortization expense of $5.2 million in our interim condensed consolidated statements of operations and comprehensive income (loss) as a component of sales and marketing expense. As of September 30, 2025, the accumulated amortization is $126.6 million and the remaining net asset value is $7.0 million, which will be recognized over the remaining useful life of 0.3 years. Refer to Note 13. Stockholders’ Equity for further discussion of the warrants.</w:t>
      </w:r>
    </w:p>
    <w:p>
      <w:pPr>
        <w:spacing w:after="0" w:line="183" w:lineRule="exact"/>
        <w:rPr>
          <w:sz w:val="20"/>
          <w:szCs w:val="20"/>
          <w:color w:val="auto"/>
        </w:rPr>
      </w:pPr>
    </w:p>
    <w:p>
      <w:pPr>
        <w:ind w:firstLine="620"/>
        <w:spacing w:after="0" w:line="243" w:lineRule="auto"/>
        <w:rPr>
          <w:sz w:val="20"/>
          <w:szCs w:val="20"/>
          <w:color w:val="auto"/>
        </w:rPr>
      </w:pPr>
      <w:r>
        <w:rPr>
          <w:rFonts w:ascii="Times New Roman" w:cs="Times New Roman" w:eastAsia="Times New Roman" w:hAnsi="Times New Roman"/>
          <w:sz w:val="17"/>
          <w:szCs w:val="17"/>
          <w:color w:val="auto"/>
        </w:rPr>
        <w:t>In fiscal year 2021, we granted warrants in exchange for the opportunity to acquire new merchant partners through a commercial agreement with Shopify Inc. (“Shopify”). We recognized an asset of $270.6 million based on the grant-date fair value of the vested warrants. We amortize the asset over the expected benefit period, which was extended from six to nine years during the fiscal year 2025 upon execution of a commercial agreement that superseded and replaced the previous commercial agreement. The benefit period is reevaluated each reporting period. For the three months ended September 30, 2025 and 2024, we recorded amortization expense related to the commercial agreement asset of $2.8 million and $9.0 million, respectively, in our interim condensed consolidated statements of operations and comprehensive income (loss) as a component of sales and marketing expense. As of September 30, 2025, the accumulated amortization is $228.3 million and the remaining net asset value is $42.3 million, which will be recognized over the remaining useful life of 3.8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Assets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Other assets consisted of the following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Processing reserves</w:t>
            </w: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68,416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90,826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46,411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47,027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 sharing assets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41,565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43,179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 held at cost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40,396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40,277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payroll taxes for stock-based compensation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31,606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16,754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deferred tax asset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11,889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7"/>
                <w:szCs w:val="17"/>
                <w:color w:val="auto"/>
              </w:rPr>
              <w:t>12,677</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assets</w:t>
            </w:r>
          </w:p>
        </w:tc>
        <w:tc>
          <w:tcPr>
            <w:tcW w:w="220" w:type="dxa"/>
            <w:vAlign w:val="bottom"/>
            <w:tcBorders>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7"/>
                <w:szCs w:val="17"/>
                <w:color w:val="auto"/>
              </w:rPr>
              <w:t>269,713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7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Accrued expenses and other liabilities consisted of the following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shd w:val="clear" w:color="auto" w:fill="CCEEFF"/>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75,669</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72,813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28,108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31,943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62,053</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7"/>
                <w:szCs w:val="17"/>
                <w:color w:val="auto"/>
              </w:rPr>
              <w:t>Total accrued expenses and other liabilities</w:t>
            </w: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7"/>
                <w:szCs w:val="17"/>
                <w:color w:val="auto"/>
              </w:rPr>
              <w:t>165,830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Leases</w:t>
      </w:r>
    </w:p>
    <w:p>
      <w:pPr>
        <w:spacing w:after="0" w:line="248"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We lease office space under operating leases with various expiration dates through 2032. We have the option to renew or extend our leases. Certain lease agreements include the option to terminate the lease with prior written notice ranging from nine months to one year. As of September 30, 2025, we have not considered such provisions in the determination of the lease term, as it is not reasonably certain these options will be exercised. Leases have remaining terms that range from less than one year to seven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20" w:firstLine="620"/>
        <w:spacing w:after="0" w:line="249" w:lineRule="auto"/>
        <w:rPr>
          <w:sz w:val="20"/>
          <w:szCs w:val="20"/>
          <w:color w:val="auto"/>
        </w:rPr>
      </w:pPr>
      <w:r>
        <w:rPr>
          <w:rFonts w:ascii="Times New Roman" w:cs="Times New Roman" w:eastAsia="Times New Roman" w:hAnsi="Times New Roman"/>
          <w:sz w:val="17"/>
          <w:szCs w:val="17"/>
          <w:color w:val="auto"/>
        </w:rPr>
        <w:t>Several leases require us to obtain standby letters of credit, naming the lessor as a beneficiary. These letters of credit act as security for the faithful performance by us of all terms, covenants and conditions of the lease agreement. We are required to post collateral for the letters of credit in the form of cash or eligible securities. As of both September 30, 2025 and June 30, 2025, the collateral totaled $4.5 million, which was in the form of securities that have been classified as securities available for sale at fair value in the interim condensed consolidated balance sheets.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Operating lease expense is as follows (in thousands):</w:t>
      </w:r>
    </w:p>
    <w:p>
      <w:pPr>
        <w:spacing w:after="0" w:line="283"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Borders>
              <w:bottom w:val="single" w:sz="8" w:color="CCEEFF"/>
            </w:tcBorders>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508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bottom w:val="single" w:sz="8" w:color="auto"/>
            </w:tcBorders>
          </w:tcPr>
          <w:p>
            <w:pPr>
              <w:spacing w:after="0"/>
              <w:rPr>
                <w:sz w:val="17"/>
                <w:szCs w:val="17"/>
                <w:color w:val="auto"/>
              </w:rPr>
            </w:pPr>
          </w:p>
        </w:tc>
      </w:tr>
      <w:tr>
        <w:trPr>
          <w:trHeight w:val="213"/>
        </w:trPr>
        <w:tc>
          <w:tcPr>
            <w:tcW w:w="4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80"/>
              <w:spacing w:after="0" w:line="213" w:lineRule="exact"/>
              <w:rPr>
                <w:sz w:val="20"/>
                <w:szCs w:val="20"/>
                <w:color w:val="auto"/>
              </w:rPr>
            </w:pPr>
            <w:r>
              <w:rPr>
                <w:rFonts w:ascii="Times New Roman" w:cs="Times New Roman" w:eastAsia="Times New Roman" w:hAnsi="Times New Roman"/>
                <w:sz w:val="17"/>
                <w:szCs w:val="17"/>
                <w:color w:val="auto"/>
              </w:rPr>
              <w:t xml:space="preserve">Operating lease expense </w:t>
            </w:r>
            <w:r>
              <w:rPr>
                <w:rFonts w:ascii="Times New Roman" w:cs="Times New Roman" w:eastAsia="Times New Roman" w:hAnsi="Times New Roman"/>
                <w:sz w:val="22"/>
                <w:szCs w:val="22"/>
                <w:color w:val="auto"/>
                <w:vertAlign w:val="superscript"/>
              </w:rPr>
              <w:t>(1)</w:t>
            </w: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7"/>
                <w:szCs w:val="17"/>
                <w:color w:val="auto"/>
              </w:rPr>
              <w:t>$3,108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rPr>
              <w:t>$2,853</w:t>
            </w:r>
          </w:p>
        </w:tc>
        <w:tc>
          <w:tcPr>
            <w:tcW w:w="20" w:type="dxa"/>
            <w:vAlign w:val="bottom"/>
            <w:shd w:val="clear" w:color="auto" w:fill="CCEEFF"/>
          </w:tcPr>
          <w:p>
            <w:pPr>
              <w:spacing w:after="0"/>
              <w:rPr>
                <w:sz w:val="18"/>
                <w:szCs w:val="18"/>
                <w:color w:val="auto"/>
              </w:rPr>
            </w:pPr>
          </w:p>
        </w:tc>
      </w:tr>
      <w:tr>
        <w:trPr>
          <w:trHeight w:val="194"/>
        </w:trPr>
        <w:tc>
          <w:tcPr>
            <w:tcW w:w="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5700" w:type="dxa"/>
            <w:vAlign w:val="bottom"/>
            <w:gridSpan w:val="2"/>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6"/>
        </w:trPr>
        <w:tc>
          <w:tcPr>
            <w:tcW w:w="40" w:type="dxa"/>
            <w:vAlign w:val="bottom"/>
          </w:tcPr>
          <w:p>
            <w:pPr>
              <w:spacing w:after="0"/>
              <w:rPr>
                <w:sz w:val="24"/>
                <w:szCs w:val="24"/>
                <w:color w:val="auto"/>
              </w:rPr>
            </w:pPr>
          </w:p>
        </w:tc>
        <w:tc>
          <w:tcPr>
            <w:tcW w:w="788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Lease expenses for our short-term leases were immaterial for the periods presented.</w:t>
            </w: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40" w:type="dxa"/>
            <w:vAlign w:val="bottom"/>
          </w:tcPr>
          <w:p>
            <w:pPr>
              <w:spacing w:after="0"/>
              <w:rPr>
                <w:sz w:val="24"/>
                <w:szCs w:val="24"/>
                <w:color w:val="auto"/>
              </w:rPr>
            </w:pPr>
          </w:p>
        </w:tc>
        <w:tc>
          <w:tcPr>
            <w:tcW w:w="788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Lease term and discount rate information are summarized as follows:</w:t>
            </w: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50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September 30, 2025</w:t>
            </w:r>
          </w:p>
        </w:tc>
      </w:tr>
      <w:tr>
        <w:trPr>
          <w:trHeight w:val="215"/>
        </w:trPr>
        <w:tc>
          <w:tcPr>
            <w:tcW w:w="7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(in years)</w:t>
            </w: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shd w:val="clear" w:color="auto" w:fill="CCEEFF"/>
          </w:tcPr>
          <w:p>
            <w:pPr>
              <w:spacing w:after="0"/>
              <w:rPr>
                <w:sz w:val="18"/>
                <w:szCs w:val="18"/>
                <w:color w:val="auto"/>
              </w:rPr>
            </w:pPr>
          </w:p>
        </w:tc>
      </w:tr>
      <w:tr>
        <w:trPr>
          <w:trHeight w:val="223"/>
        </w:trPr>
        <w:tc>
          <w:tcPr>
            <w:tcW w:w="7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Pr>
          <w:p>
            <w:pPr>
              <w:spacing w:after="0"/>
              <w:rPr>
                <w:sz w:val="19"/>
                <w:szCs w:val="19"/>
                <w:color w:val="auto"/>
              </w:rPr>
            </w:pPr>
          </w:p>
        </w:tc>
      </w:tr>
      <w:tr>
        <w:trPr>
          <w:trHeight w:val="513"/>
        </w:trPr>
        <w:tc>
          <w:tcPr>
            <w:tcW w:w="40" w:type="dxa"/>
            <w:vAlign w:val="bottom"/>
          </w:tcPr>
          <w:p>
            <w:pPr>
              <w:spacing w:after="0"/>
              <w:rPr>
                <w:sz w:val="24"/>
                <w:szCs w:val="24"/>
                <w:color w:val="auto"/>
              </w:rPr>
            </w:pPr>
          </w:p>
        </w:tc>
        <w:tc>
          <w:tcPr>
            <w:tcW w:w="7880" w:type="dxa"/>
            <w:vAlign w:val="bottom"/>
            <w:gridSpan w:val="3"/>
          </w:tcPr>
          <w:p>
            <w:pPr>
              <w:ind w:left="580"/>
              <w:spacing w:after="0"/>
              <w:rPr>
                <w:sz w:val="20"/>
                <w:szCs w:val="20"/>
                <w:color w:val="auto"/>
              </w:rPr>
            </w:pPr>
            <w:r>
              <w:rPr>
                <w:rFonts w:ascii="Times New Roman" w:cs="Times New Roman" w:eastAsia="Times New Roman" w:hAnsi="Times New Roman"/>
                <w:sz w:val="17"/>
                <w:szCs w:val="17"/>
                <w:color w:val="auto"/>
              </w:rPr>
              <w:t>As of September 30, 2025, future minimum lease payments are as follows, by fiscal year (in thousands):</w:t>
            </w: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6"/>
        </w:trPr>
        <w:tc>
          <w:tcPr>
            <w:tcW w:w="40" w:type="dxa"/>
            <w:vAlign w:val="bottom"/>
          </w:tcPr>
          <w:p>
            <w:pPr>
              <w:spacing w:after="0"/>
              <w:rPr>
                <w:sz w:val="10"/>
                <w:szCs w:val="10"/>
                <w:color w:val="auto"/>
              </w:rPr>
            </w:pPr>
          </w:p>
        </w:tc>
        <w:tc>
          <w:tcPr>
            <w:tcW w:w="7880" w:type="dxa"/>
            <w:vAlign w:val="bottom"/>
            <w:gridSpan w:val="3"/>
          </w:tcPr>
          <w:p>
            <w:pPr>
              <w:spacing w:after="0"/>
              <w:rPr>
                <w:sz w:val="10"/>
                <w:szCs w:val="10"/>
                <w:color w:val="auto"/>
              </w:rPr>
            </w:pPr>
          </w:p>
        </w:tc>
        <w:tc>
          <w:tcPr>
            <w:tcW w:w="1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3"/>
          </w:tcPr>
          <w:p>
            <w:pPr>
              <w:spacing w:after="0"/>
              <w:rPr>
                <w:sz w:val="10"/>
                <w:szCs w:val="10"/>
                <w:color w:val="auto"/>
              </w:rPr>
            </w:pPr>
          </w:p>
        </w:tc>
        <w:tc>
          <w:tcPr>
            <w:tcW w:w="17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20"/>
        </w:trPr>
        <w:tc>
          <w:tcPr>
            <w:tcW w:w="40" w:type="dxa"/>
            <w:vAlign w:val="bottom"/>
          </w:tcPr>
          <w:p>
            <w:pPr>
              <w:spacing w:after="0"/>
              <w:rPr>
                <w:sz w:val="19"/>
                <w:szCs w:val="19"/>
                <w:color w:val="auto"/>
              </w:rPr>
            </w:pPr>
          </w:p>
        </w:tc>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(remaining nine months)</w:t>
            </w:r>
          </w:p>
        </w:tc>
        <w:tc>
          <w:tcPr>
            <w:tcW w:w="1300" w:type="dxa"/>
            <w:vAlign w:val="bottom"/>
            <w:shd w:val="clear" w:color="auto" w:fill="CCEEFF"/>
          </w:tcPr>
          <w:p>
            <w:pPr>
              <w:spacing w:after="0"/>
              <w:rPr>
                <w:sz w:val="19"/>
                <w:szCs w:val="19"/>
                <w:color w:val="auto"/>
              </w:rPr>
            </w:pPr>
          </w:p>
        </w:tc>
        <w:tc>
          <w:tcPr>
            <w:tcW w:w="2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12,314</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3,563</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5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3,618</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5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3,745</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78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3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4,436</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32,112</w:t>
            </w:r>
          </w:p>
        </w:tc>
        <w:tc>
          <w:tcPr>
            <w:tcW w:w="2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78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3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(4,004)</w:t>
            </w:r>
          </w:p>
        </w:tc>
        <w:tc>
          <w:tcPr>
            <w:tcW w:w="20" w:type="dxa"/>
            <w:vAlign w:val="bottom"/>
          </w:tcPr>
          <w:p>
            <w:pPr>
              <w:spacing w:after="0"/>
              <w:rPr>
                <w:sz w:val="19"/>
                <w:szCs w:val="19"/>
                <w:color w:val="auto"/>
              </w:rPr>
            </w:pPr>
          </w:p>
        </w:tc>
      </w:tr>
      <w:tr>
        <w:trPr>
          <w:trHeight w:val="238"/>
        </w:trPr>
        <w:tc>
          <w:tcPr>
            <w:tcW w:w="40" w:type="dxa"/>
            <w:vAlign w:val="bottom"/>
          </w:tcPr>
          <w:p>
            <w:pPr>
              <w:spacing w:after="0"/>
              <w:rPr>
                <w:sz w:val="20"/>
                <w:szCs w:val="20"/>
                <w:color w:val="auto"/>
              </w:rPr>
            </w:pPr>
          </w:p>
        </w:tc>
        <w:tc>
          <w:tcPr>
            <w:tcW w:w="78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total lease liabilities</w:t>
            </w:r>
          </w:p>
        </w:tc>
        <w:tc>
          <w:tcPr>
            <w:tcW w:w="13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28,108</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Commitments and Contingencies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Repurchase Obligations</w:t>
      </w:r>
    </w:p>
    <w:p>
      <w:pPr>
        <w:spacing w:after="0" w:line="250"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Under the normal terms of our whole loan sales to third-party investors, we may become obligated to repurchase loans from investors in certain instances where a breach in representations and warranties is identified. Generally, a breach in representations and warranties could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As of September 30, 2025, the aggregate outstanding balance of loans held by third-party investors or unconsolidated VIEs was $8.5 billion, of which we have recorded a repurchase liability of $8.4 million within accrued expenses and other liabilities in our interim condensed consolidated balance sheets.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50" w:lineRule="exact"/>
        <w:rPr>
          <w:sz w:val="20"/>
          <w:szCs w:val="20"/>
          <w:color w:val="auto"/>
        </w:rPr>
      </w:pPr>
    </w:p>
    <w:p>
      <w:pPr>
        <w:ind w:right="680" w:firstLine="620"/>
        <w:spacing w:after="0" w:line="288" w:lineRule="auto"/>
        <w:rPr>
          <w:sz w:val="20"/>
          <w:szCs w:val="20"/>
          <w:color w:val="auto"/>
        </w:rPr>
      </w:pPr>
      <w:r>
        <w:rPr>
          <w:rFonts w:ascii="Times New Roman" w:cs="Times New Roman" w:eastAsia="Times New Roman" w:hAnsi="Times New Roman"/>
          <w:sz w:val="17"/>
          <w:szCs w:val="17"/>
          <w:color w:val="auto"/>
        </w:rPr>
        <w:t>From time to time, we are subject to legal proceedings and claims in the ordinary course of business. The results of such matters often cannot be predicted with certainty. In accordance with applicable accounting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740"/>
        <w:spacing w:after="0" w:line="288" w:lineRule="auto"/>
        <w:rPr>
          <w:sz w:val="20"/>
          <w:szCs w:val="20"/>
          <w:color w:val="auto"/>
        </w:rPr>
      </w:pPr>
      <w:r>
        <w:rPr>
          <w:rFonts w:ascii="Times New Roman" w:cs="Times New Roman" w:eastAsia="Times New Roman" w:hAnsi="Times New Roman"/>
          <w:sz w:val="17"/>
          <w:szCs w:val="17"/>
          <w:color w:val="auto"/>
        </w:rPr>
        <w:t>we establish an accrued liability for legal proceedings and claims when those matters present loss contingencies which are both probable and reasonably estimable.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Kusnier v. Affirm Holdings, Inc.</w:t>
      </w:r>
    </w:p>
    <w:p>
      <w:pPr>
        <w:spacing w:after="0" w:line="248" w:lineRule="exact"/>
        <w:rPr>
          <w:sz w:val="20"/>
          <w:szCs w:val="20"/>
          <w:color w:val="auto"/>
        </w:rPr>
      </w:pPr>
    </w:p>
    <w:p>
      <w:pPr>
        <w:ind w:right="80" w:firstLine="620"/>
        <w:spacing w:after="0" w:line="256" w:lineRule="auto"/>
        <w:rPr>
          <w:sz w:val="20"/>
          <w:szCs w:val="20"/>
          <w:color w:val="auto"/>
        </w:rPr>
      </w:pPr>
      <w:r>
        <w:rPr>
          <w:rFonts w:ascii="Times New Roman" w:cs="Times New Roman" w:eastAsia="Times New Roman" w:hAnsi="Times New Roman"/>
          <w:sz w:val="17"/>
          <w:szCs w:val="17"/>
          <w:color w:val="auto"/>
        </w:rPr>
        <w:t>On December 8, 2022, plaintiff Mark Kusnier filed a putative class action lawsuit against Affirm, Max Levchin, and Michael Linford in the U.S. District Court for the Northern District of California (the “Kusnier action”). On May 5, 2023, plaintiffs Kusnier and Chris Meinsen filed their first amended complaint alleging that the defendants (i) caused Affirm to make materially false and/or misleading statements and/or failed to disclose that Affirm’s BNPL service facilitated excessive consumer debt (including with respect to certain for-profit educational institutions), regulatory arbitrage, and data harvesting; (ii) made false and/or misleading statements about certain public regulatory actions; and (iii) made false and/or misleading statements about whether Affirm’s business model was vulnerable to interest rate changes. On December 20, 2023, the Court granted Affirm’s motion to dismiss the first amended complaint with leave to amend. On January 19, 2024, plaintiffs filed their second amended complaint, which contained only the allegations from the first amended complaint relating to false and/or misleading statements about whether Affirm’s business model was vulnerable to interest rate changes. In light of the above, plaintiffs assert that Affirm violated Section 10(b) of the Exchange Act and Rule 10b-5 promulgated thereunder, and that Levchin and Linford violated Section 20(a) of the Exchange Act. Plaintiffs sought class certification, unspecified compensatory and punitive damages, and costs and expenses. Affirm filed its motion to dismiss the second amended complaint on February 2, 2024. On August 26, 2024, the Court granted Affirm’s motion to dismiss with leave to amend. On September 23, 2024, plaintiffs filed a motion for leave to file a motion for reconsideration of the Court's Order granting Affirm's motion to dismiss. On August 14, 2025, the Court resolved plaintiffs' motion in Affirm's favor. On September 30, 2025, the Court dismissed the action with prejudice. On October 29, 2025, plaintiffs filed a notice of appeal to the U.S. Court of Appeals for the Ninth Circuit.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Quiroga v. Levchin, et al.</w:t>
      </w:r>
    </w:p>
    <w:p>
      <w:pPr>
        <w:spacing w:after="0" w:line="248"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color w:val="auto"/>
        </w:rPr>
        <w:t>On March 29, 2023, plaintiff John Quiroga filed a shareholder derivative lawsuit in the U.S. District Court for the Northern District of California (the “Quiroga action”) against Affirm, as a nominal defendant, and certain of Affirm’s current officers and directors as defendants based on allegations substantially similar to those in the Kusnier action at the time of filing. The Quiroga complaint purports to assert claims on Affirm’s behalf for contribution under the federal securities laws, breaches of fiduciary duty, unjust enrichment, and waste of corporate assets, and seeks corporate reforms, unspecified damages and restitution, and fees and costs. On May 1, 2023, the action was stayed by agreement of the parties. The stay can be lifted at the request of either party or upon certain conditions relating to the resolution of the Kusnier action.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Jeffries v. Levchin, et al.</w:t>
      </w:r>
    </w:p>
    <w:p>
      <w:pPr>
        <w:spacing w:after="0" w:line="248" w:lineRule="exact"/>
        <w:rPr>
          <w:sz w:val="20"/>
          <w:szCs w:val="20"/>
          <w:color w:val="auto"/>
        </w:rPr>
      </w:pPr>
    </w:p>
    <w:p>
      <w:pPr>
        <w:ind w:right="100" w:firstLine="620"/>
        <w:spacing w:after="0" w:line="260" w:lineRule="auto"/>
        <w:rPr>
          <w:sz w:val="20"/>
          <w:szCs w:val="20"/>
          <w:color w:val="auto"/>
        </w:rPr>
      </w:pPr>
      <w:r>
        <w:rPr>
          <w:rFonts w:ascii="Times New Roman" w:cs="Times New Roman" w:eastAsia="Times New Roman" w:hAnsi="Times New Roman"/>
          <w:sz w:val="17"/>
          <w:szCs w:val="17"/>
          <w:color w:val="auto"/>
        </w:rPr>
        <w:t>On May 24, 2023, plaintiff Sabrina Jeffries filed a shareholder derivative lawsuit in the U.S. District Court for the Northern District of California (the “Jeffries action”) against Affirm, as a nominal defendant, and certain of Affirm's current officers and directors as defendants based on allegations substantially similar to those in the Kusnier and Quiroga actions at the time of filing. The Jeffries complaint purports to assert claims on Affirm's behalf for breach of fiduciary duties, making false statements under federal securities law, unjust enrichment, waste of corporate assets, and aiding and abetting breach of fiduciary duties, and seeks unspecified damages, equitable relief, and fees and costs. On August 15, 2023, the action was stayed by agreement of the parties. The stay can be lifted at the request of either party or upon certain conditions relating to the resolution of the Kusnier action.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Vallieres v. Levchin, et al.</w:t>
      </w:r>
    </w:p>
    <w:p>
      <w:pPr>
        <w:spacing w:after="0" w:line="248" w:lineRule="exact"/>
        <w:rPr>
          <w:sz w:val="20"/>
          <w:szCs w:val="20"/>
          <w:color w:val="auto"/>
        </w:rPr>
      </w:pPr>
    </w:p>
    <w:p>
      <w:pPr>
        <w:ind w:firstLine="620"/>
        <w:spacing w:after="0" w:line="254" w:lineRule="auto"/>
        <w:rPr>
          <w:sz w:val="20"/>
          <w:szCs w:val="20"/>
          <w:color w:val="auto"/>
        </w:rPr>
      </w:pPr>
      <w:r>
        <w:rPr>
          <w:rFonts w:ascii="Times New Roman" w:cs="Times New Roman" w:eastAsia="Times New Roman" w:hAnsi="Times New Roman"/>
          <w:sz w:val="17"/>
          <w:szCs w:val="17"/>
          <w:color w:val="auto"/>
        </w:rPr>
        <w:t>On September 14, 2023, plaintiff Michael Vallieres filed a shareholder derivative lawsuit in the U.S. District Court for the District of Delaware against Affirm, as a nominal defendant, and certain of Affirm’s current officers and directors as defendants based on allegations substantially similar to those in the Kusnier, Quiroga, and Jeffries actions at the time of filing. The Vallieres complaint purports to assert claims on Affirm's behalf for breach of fiduciary duties, gross management, abuse of control, unjust enrichment, and contribution, and seeks unspecified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damages, equitable relief, and fees and costs. On November 30, 2023, the case was stayed by agreement of the parties.</w:t>
      </w:r>
    </w:p>
    <w:p>
      <w:pPr>
        <w:spacing w:after="0" w:line="231" w:lineRule="exact"/>
        <w:rPr>
          <w:sz w:val="20"/>
          <w:szCs w:val="20"/>
          <w:color w:val="auto"/>
        </w:rPr>
      </w:pPr>
    </w:p>
    <w:p>
      <w:pPr>
        <w:ind w:right="180" w:firstLine="620"/>
        <w:spacing w:after="0" w:line="265" w:lineRule="auto"/>
        <w:rPr>
          <w:sz w:val="20"/>
          <w:szCs w:val="20"/>
          <w:color w:val="auto"/>
        </w:rPr>
      </w:pPr>
      <w:r>
        <w:rPr>
          <w:rFonts w:ascii="Times New Roman" w:cs="Times New Roman" w:eastAsia="Times New Roman" w:hAnsi="Times New Roman"/>
          <w:sz w:val="17"/>
          <w:szCs w:val="17"/>
          <w:color w:val="auto"/>
        </w:rPr>
        <w:t>We have determined, based on current knowledge, that the aggregate amount or range of losses that are estimable with respect to our legal proceedings, including the matters described above, would not have a material adverse effect within our consolidated financial position, results of operations or cash flows. Amounts accrued as of September 30, 2025 were not material. The ultimate outcome of legal proceedings involves judgments, estimates and inherent uncertainties, and cannot be predicted with certainty.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Debt</w:t>
      </w:r>
    </w:p>
    <w:p>
      <w:pPr>
        <w:spacing w:after="0" w:line="248" w:lineRule="exact"/>
        <w:rPr>
          <w:sz w:val="20"/>
          <w:szCs w:val="20"/>
          <w:color w:val="auto"/>
        </w:rPr>
      </w:pPr>
    </w:p>
    <w:p>
      <w:pPr>
        <w:jc w:val="both"/>
        <w:ind w:right="140" w:firstLine="620"/>
        <w:spacing w:after="0" w:line="265" w:lineRule="auto"/>
        <w:rPr>
          <w:sz w:val="20"/>
          <w:szCs w:val="20"/>
          <w:color w:val="auto"/>
        </w:rPr>
      </w:pPr>
      <w:r>
        <w:rPr>
          <w:rFonts w:ascii="Times New Roman" w:cs="Times New Roman" w:eastAsia="Times New Roman" w:hAnsi="Times New Roman"/>
          <w:sz w:val="17"/>
          <w:szCs w:val="17"/>
          <w:color w:val="auto"/>
        </w:rPr>
        <w:t>Debt outstanding as of September 30, 2025 includes amounts classified within our interim condensed consolidated balance sheets as funding debt, notes issued by securitization trusts, and convertible senior notes. Secured debt includes borrowings from our warehouse facilities, variable funding notes, notes issued by securitization trusts and sale and repurchase agreements. Unsecured debt includes outstanding convertible senior notes and any borrowings on our unsecured revolving credit facility.</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components and terms of our secured and unsecured debt as of September 30, 2025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Debt Outstanding net</w:t>
            </w:r>
          </w:p>
        </w:tc>
      </w:tr>
      <w:tr>
        <w:trPr>
          <w:trHeight w:val="141"/>
        </w:trPr>
        <w:tc>
          <w:tcPr>
            <w:tcW w:w="3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91"/>
              <w:spacing w:after="0" w:line="141" w:lineRule="exact"/>
              <w:rPr>
                <w:sz w:val="20"/>
                <w:szCs w:val="20"/>
                <w:color w:val="auto"/>
              </w:rPr>
            </w:pPr>
            <w:r>
              <w:rPr>
                <w:rFonts w:ascii="Times New Roman" w:cs="Times New Roman" w:eastAsia="Times New Roman" w:hAnsi="Times New Roman"/>
                <w:sz w:val="14"/>
                <w:szCs w:val="14"/>
                <w:b w:val="1"/>
                <w:bCs w:val="1"/>
                <w:color w:val="auto"/>
                <w:w w:val="98"/>
              </w:rPr>
              <w:t>of unamortized</w:t>
            </w:r>
          </w:p>
        </w:tc>
      </w:tr>
      <w:tr>
        <w:trPr>
          <w:trHeight w:val="181"/>
        </w:trPr>
        <w:tc>
          <w:tcPr>
            <w:tcW w:w="364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Unused</w:t>
            </w:r>
          </w:p>
        </w:tc>
        <w:tc>
          <w:tcPr>
            <w:tcW w:w="1460" w:type="dxa"/>
            <w:vAlign w:val="bottom"/>
            <w:gridSpan w:val="3"/>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Maturity by Fiscal</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Borrowing</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Debt Outstanding</w:t>
            </w:r>
          </w:p>
        </w:tc>
        <w:tc>
          <w:tcPr>
            <w:tcW w:w="160" w:type="dxa"/>
            <w:vAlign w:val="bottom"/>
          </w:tcPr>
          <w:p>
            <w:pPr>
              <w:spacing w:after="0"/>
              <w:rPr>
                <w:sz w:val="15"/>
                <w:szCs w:val="15"/>
                <w:color w:val="auto"/>
              </w:rPr>
            </w:pPr>
          </w:p>
        </w:tc>
        <w:tc>
          <w:tcPr>
            <w:tcW w:w="122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premiums and</w:t>
            </w:r>
          </w:p>
        </w:tc>
      </w:tr>
      <w:tr>
        <w:trPr>
          <w:trHeight w:val="155"/>
        </w:trPr>
        <w:tc>
          <w:tcPr>
            <w:tcW w:w="36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13"/>
                <w:szCs w:val="13"/>
                <w:color w:val="auto"/>
              </w:rPr>
            </w:pPr>
          </w:p>
        </w:tc>
        <w:tc>
          <w:tcPr>
            <w:tcW w:w="136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Commitment Fees</w:t>
            </w:r>
          </w:p>
        </w:tc>
        <w:tc>
          <w:tcPr>
            <w:tcW w:w="1460" w:type="dxa"/>
            <w:vAlign w:val="bottom"/>
            <w:gridSpan w:val="3"/>
          </w:tcPr>
          <w:p>
            <w:pPr>
              <w:jc w:val="right"/>
              <w:ind w:right="651"/>
              <w:spacing w:after="0" w:line="155" w:lineRule="exact"/>
              <w:rPr>
                <w:sz w:val="20"/>
                <w:szCs w:val="20"/>
                <w:color w:val="auto"/>
              </w:rPr>
            </w:pPr>
            <w:r>
              <w:rPr>
                <w:rFonts w:ascii="Times New Roman" w:cs="Times New Roman" w:eastAsia="Times New Roman" w:hAnsi="Times New Roman"/>
                <w:sz w:val="14"/>
                <w:szCs w:val="14"/>
                <w:b w:val="1"/>
                <w:bCs w:val="1"/>
                <w:color w:val="auto"/>
              </w:rPr>
              <w:t>Year</w:t>
            </w:r>
          </w:p>
        </w:tc>
        <w:tc>
          <w:tcPr>
            <w:tcW w:w="10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3"/>
              </w:rPr>
              <w:t xml:space="preserve">Capacity </w:t>
            </w:r>
            <w:r>
              <w:rPr>
                <w:rFonts w:ascii="Times New Roman" w:cs="Times New Roman" w:eastAsia="Times New Roman" w:hAnsi="Times New Roman"/>
                <w:sz w:val="17"/>
                <w:szCs w:val="17"/>
                <w:b w:val="1"/>
                <w:bCs w:val="1"/>
                <w:color w:val="auto"/>
                <w:w w:val="93"/>
                <w:vertAlign w:val="superscript"/>
              </w:rPr>
              <w:t>(2)</w:t>
            </w:r>
          </w:p>
        </w:tc>
        <w:tc>
          <w:tcPr>
            <w:tcW w:w="320" w:type="dxa"/>
            <w:vAlign w:val="bottom"/>
          </w:tcPr>
          <w:p>
            <w:pPr>
              <w:spacing w:after="0"/>
              <w:rPr>
                <w:sz w:val="13"/>
                <w:szCs w:val="13"/>
                <w:color w:val="auto"/>
              </w:rPr>
            </w:pPr>
          </w:p>
        </w:tc>
        <w:tc>
          <w:tcPr>
            <w:tcW w:w="900" w:type="dxa"/>
            <w:vAlign w:val="bottom"/>
          </w:tcPr>
          <w:p>
            <w:pPr>
              <w:jc w:val="right"/>
              <w:ind w:right="493"/>
              <w:spacing w:after="0"/>
              <w:rPr>
                <w:sz w:val="20"/>
                <w:szCs w:val="20"/>
                <w:color w:val="auto"/>
              </w:rPr>
            </w:pPr>
            <w:r>
              <w:rPr>
                <w:rFonts w:ascii="Times New Roman" w:cs="Times New Roman" w:eastAsia="Times New Roman" w:hAnsi="Times New Roman"/>
                <w:sz w:val="9"/>
                <w:szCs w:val="9"/>
                <w:b w:val="1"/>
                <w:bCs w:val="1"/>
                <w:color w:val="auto"/>
              </w:rPr>
              <w:t>(3)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91"/>
              <w:spacing w:after="0" w:line="155" w:lineRule="exact"/>
              <w:rPr>
                <w:sz w:val="20"/>
                <w:szCs w:val="20"/>
                <w:color w:val="auto"/>
              </w:rPr>
            </w:pPr>
            <w:r>
              <w:rPr>
                <w:rFonts w:ascii="Times New Roman" w:cs="Times New Roman" w:eastAsia="Times New Roman" w:hAnsi="Times New Roman"/>
                <w:sz w:val="14"/>
                <w:szCs w:val="14"/>
                <w:b w:val="1"/>
                <w:bCs w:val="1"/>
                <w:color w:val="auto"/>
                <w:w w:val="98"/>
              </w:rPr>
              <w:t>discount</w:t>
            </w:r>
          </w:p>
        </w:tc>
      </w:tr>
      <w:tr>
        <w:trPr>
          <w:trHeight w:val="174"/>
        </w:trPr>
        <w:tc>
          <w:tcPr>
            <w:tcW w:w="3640" w:type="dxa"/>
            <w:vAlign w:val="bottom"/>
            <w:tcBorders>
              <w:top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Secured debt</w:t>
            </w: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86"/>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Funding debt</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1"/>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warehouse facilities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5.91%</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0.20% - 0.50%</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2027 - 2032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5,150,000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1,249,622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1,235,609</w:t>
            </w:r>
          </w:p>
        </w:tc>
      </w:tr>
      <w:tr>
        <w:trPr>
          <w:trHeight w:val="194"/>
        </w:trPr>
        <w:tc>
          <w:tcPr>
            <w:tcW w:w="3640" w:type="dxa"/>
            <w:vAlign w:val="bottom"/>
          </w:tcPr>
          <w:p>
            <w:pPr>
              <w:ind w:left="180"/>
              <w:spacing w:after="0" w:line="194" w:lineRule="exact"/>
              <w:rPr>
                <w:sz w:val="20"/>
                <w:szCs w:val="20"/>
                <w:color w:val="auto"/>
              </w:rPr>
            </w:pPr>
            <w:r>
              <w:rPr>
                <w:rFonts w:ascii="Times New Roman" w:cs="Times New Roman" w:eastAsia="Times New Roman" w:hAnsi="Times New Roman"/>
                <w:sz w:val="14"/>
                <w:szCs w:val="14"/>
                <w:color w:val="auto"/>
              </w:rPr>
              <w:t xml:space="preserve">International warehouse facilities </w:t>
            </w:r>
            <w:r>
              <w:rPr>
                <w:rFonts w:ascii="Times New Roman" w:cs="Times New Roman" w:eastAsia="Times New Roman" w:hAnsi="Times New Roman"/>
                <w:sz w:val="17"/>
                <w:szCs w:val="17"/>
                <w:color w:val="auto"/>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4.89%</w:t>
            </w: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0.30% - 0.45%</w:t>
            </w:r>
          </w:p>
        </w:tc>
        <w:tc>
          <w:tcPr>
            <w:tcW w:w="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2028 - 2030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644,466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460,063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458,965</w:t>
            </w:r>
          </w:p>
        </w:tc>
      </w:tr>
      <w:tr>
        <w:trPr>
          <w:trHeight w:val="194"/>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Variable funding notes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5.78%</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0.30%</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2032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1,350,000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65,201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62,040</w:t>
            </w:r>
          </w:p>
        </w:tc>
      </w:tr>
      <w:tr>
        <w:trPr>
          <w:trHeight w:val="186"/>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repurchase agreements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6.47%</w:t>
            </w: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2028 - 2029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21,292</w:t>
            </w:r>
          </w:p>
        </w:tc>
      </w:tr>
      <w:tr>
        <w:trPr>
          <w:trHeight w:val="201"/>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5.18%</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2029 - 2035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4,850,000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4,850,000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4,830,819</w:t>
            </w:r>
          </w:p>
        </w:tc>
      </w:tr>
      <w:tr>
        <w:trPr>
          <w:trHeight w:val="179"/>
        </w:trPr>
        <w:tc>
          <w:tcPr>
            <w:tcW w:w="3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11,994,466</w:t>
            </w:r>
          </w:p>
        </w:tc>
        <w:tc>
          <w:tcPr>
            <w:tcW w:w="80" w:type="dxa"/>
            <w:vAlign w:val="bottom"/>
          </w:tcPr>
          <w:p>
            <w:pPr>
              <w:spacing w:after="0"/>
              <w:rPr>
                <w:sz w:val="15"/>
                <w:szCs w:val="15"/>
                <w:color w:val="auto"/>
              </w:rPr>
            </w:pP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6,646,177</w:t>
            </w:r>
          </w:p>
        </w:tc>
        <w:tc>
          <w:tcPr>
            <w:tcW w:w="80" w:type="dxa"/>
            <w:vAlign w:val="bottom"/>
          </w:tcPr>
          <w:p>
            <w:pPr>
              <w:spacing w:after="0"/>
              <w:rPr>
                <w:sz w:val="15"/>
                <w:szCs w:val="15"/>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6,608,725</w:t>
            </w:r>
          </w:p>
        </w:tc>
      </w:tr>
      <w:tr>
        <w:trPr>
          <w:trHeight w:val="201"/>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debt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86"/>
        </w:trPr>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Convertible senior notes: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1"/>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 Notes</w:t>
            </w: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221,707</w:t>
            </w:r>
          </w:p>
        </w:tc>
      </w:tr>
      <w:tr>
        <w:trPr>
          <w:trHeight w:val="186"/>
        </w:trPr>
        <w:tc>
          <w:tcPr>
            <w:tcW w:w="36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2029 Notes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0.75%</w:t>
            </w:r>
          </w:p>
        </w:tc>
        <w:tc>
          <w:tcPr>
            <w:tcW w:w="10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905,961</w:t>
            </w:r>
          </w:p>
        </w:tc>
      </w:tr>
      <w:tr>
        <w:trPr>
          <w:trHeight w:val="201"/>
        </w:trPr>
        <w:tc>
          <w:tcPr>
            <w:tcW w:w="3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0.20%</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6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330,000</w:t>
            </w: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1,142,309</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1,127,668</w:t>
            </w:r>
          </w:p>
        </w:tc>
      </w:tr>
      <w:tr>
        <w:trPr>
          <w:trHeight w:val="219"/>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12,324,466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7,788,486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7,736,393</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320" w:right="40" w:hanging="317"/>
        <w:spacing w:after="0" w:line="241" w:lineRule="auto"/>
        <w:tabs>
          <w:tab w:leader="none" w:pos="30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stated interest rate reflects the fixed or variable interest rate in effect for each of our contractual arrangements as of September 30, 2025, weighted by the outstanding principal balance as of that date. The interest rate resets periodically for our variable rate debt, typically based on a reference rate such as Secured Overnight Financing Rate (“SOFR”) or Canadian Overnight Repo Rate Average (“CORRA”) plus a spread, or an alternative rate based on the cost funds for the lender.</w:t>
      </w:r>
    </w:p>
    <w:p>
      <w:pPr>
        <w:ind w:left="300" w:hanging="297"/>
        <w:spacing w:after="0" w:line="196" w:lineRule="auto"/>
        <w:tabs>
          <w:tab w:leader="none" w:pos="3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total revolving commitment amount, inclusive of debt outstanding as of September 30, 2025.</w:t>
      </w:r>
    </w:p>
    <w:p>
      <w:pPr>
        <w:spacing w:after="0" w:line="1" w:lineRule="exact"/>
        <w:rPr>
          <w:rFonts w:ascii="Times New Roman" w:cs="Times New Roman" w:eastAsia="Times New Roman" w:hAnsi="Times New Roman"/>
          <w:sz w:val="22"/>
          <w:szCs w:val="22"/>
          <w:color w:val="auto"/>
          <w:vertAlign w:val="superscript"/>
        </w:rPr>
      </w:pPr>
    </w:p>
    <w:p>
      <w:pPr>
        <w:jc w:val="both"/>
        <w:ind w:left="320" w:hanging="317"/>
        <w:spacing w:after="0" w:line="230" w:lineRule="auto"/>
        <w:tabs>
          <w:tab w:leader="none" w:pos="308"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loans are pledged as collateral for borrowings in our secured debt facilities, except for our sales and repurchase agreements which are collateralized by securitization notes receivable and certificates retained by the Company and classified as securities available for sale at fair value. The carrying value of these pledged assets was $7.1 billion as of September 30, 2025.</w:t>
      </w:r>
    </w:p>
    <w:p>
      <w:pPr>
        <w:spacing w:after="0" w:line="1" w:lineRule="exact"/>
        <w:rPr>
          <w:rFonts w:ascii="Times New Roman" w:cs="Times New Roman" w:eastAsia="Times New Roman" w:hAnsi="Times New Roman"/>
          <w:sz w:val="22"/>
          <w:szCs w:val="22"/>
          <w:color w:val="auto"/>
          <w:vertAlign w:val="superscript"/>
        </w:rPr>
      </w:pPr>
    </w:p>
    <w:p>
      <w:pPr>
        <w:ind w:left="300" w:hanging="297"/>
        <w:spacing w:after="0" w:line="196" w:lineRule="auto"/>
        <w:tabs>
          <w:tab w:leader="none" w:pos="3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2025, international facilities finance loan receivables originated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Maturity by Fiscal Year</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aggregate future maturities of our funding debt, notes issued by securitization trusts and convertible notes consists of the following (in thousands):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5"/>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9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681,664</w:t>
            </w:r>
          </w:p>
        </w:tc>
      </w:tr>
      <w:tr>
        <w:trPr>
          <w:trHeight w:val="22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901,115</w:t>
            </w:r>
          </w:p>
        </w:tc>
      </w:tr>
      <w:tr>
        <w:trPr>
          <w:trHeight w:val="220"/>
        </w:trPr>
        <w:tc>
          <w:tcPr>
            <w:tcW w:w="9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1,269,841</w:t>
            </w:r>
          </w:p>
        </w:tc>
      </w:tr>
      <w:tr>
        <w:trPr>
          <w:trHeight w:val="220"/>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1,817,754</w:t>
            </w:r>
          </w:p>
        </w:tc>
      </w:tr>
      <w:tr>
        <w:trPr>
          <w:trHeight w:val="22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3,118,112</w:t>
            </w:r>
          </w:p>
        </w:tc>
      </w:tr>
      <w:tr>
        <w:trPr>
          <w:trHeight w:val="213"/>
        </w:trPr>
        <w:tc>
          <w:tcPr>
            <w:tcW w:w="9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7,788,486</w:t>
            </w:r>
          </w:p>
        </w:tc>
      </w:tr>
      <w:tr>
        <w:trPr>
          <w:trHeight w:val="220"/>
        </w:trPr>
        <w:tc>
          <w:tcPr>
            <w:tcW w:w="9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Deferred debt issuance costs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(52,093)</w:t>
            </w:r>
          </w:p>
        </w:tc>
      </w:tr>
      <w:tr>
        <w:trPr>
          <w:trHeight w:val="238"/>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funding debt, net of deferred debt issuance costs</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7,736,393</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Warehouse Credit Facilities</w:t>
      </w:r>
    </w:p>
    <w:p>
      <w:pPr>
        <w:spacing w:after="0" w:line="170" w:lineRule="exact"/>
        <w:rPr>
          <w:sz w:val="20"/>
          <w:szCs w:val="20"/>
          <w:color w:val="auto"/>
        </w:rPr>
      </w:pPr>
    </w:p>
    <w:p>
      <w:pPr>
        <w:ind w:right="40" w:firstLine="620"/>
        <w:spacing w:after="0" w:line="244" w:lineRule="auto"/>
        <w:rPr>
          <w:sz w:val="20"/>
          <w:szCs w:val="20"/>
          <w:color w:val="auto"/>
        </w:rPr>
      </w:pPr>
      <w:r>
        <w:rPr>
          <w:rFonts w:ascii="Times New Roman" w:cs="Times New Roman" w:eastAsia="Times New Roman" w:hAnsi="Times New Roman"/>
          <w:sz w:val="17"/>
          <w:szCs w:val="17"/>
          <w:color w:val="auto"/>
        </w:rPr>
        <w:t>Through certain consolidated subsidiaries, which are typically trusts, we enter into secured borrowing arrangements with banks and other financial institutions. Through each of these subsidiaries we enter into a loan or credit and security agreement where we borrow against loans pledged as collateral. Financing terms, including the advance rate and financing spread, vary across these revolving facilities and generally depend on the types of collateral that may be pledged and respective concentration limits. We may continue to pledge new receivables to allow us to borrow up to the commitment amount throughout the revolving period for each facility. The length of the revolving period, the maximum amount we may borrow against pledged collateral balance during the revolving period, and the length of the amortization period prior to the maturity date varies across borrowing facilities depending negotiated terms.</w:t>
      </w:r>
    </w:p>
    <w:p>
      <w:pPr>
        <w:spacing w:after="0" w:line="203" w:lineRule="exact"/>
        <w:rPr>
          <w:sz w:val="20"/>
          <w:szCs w:val="20"/>
          <w:color w:val="auto"/>
        </w:rPr>
      </w:pPr>
    </w:p>
    <w:p>
      <w:pPr>
        <w:ind w:right="200" w:firstLine="620"/>
        <w:spacing w:after="0" w:line="255" w:lineRule="auto"/>
        <w:rPr>
          <w:sz w:val="20"/>
          <w:szCs w:val="20"/>
          <w:color w:val="auto"/>
        </w:rPr>
      </w:pPr>
      <w:r>
        <w:rPr>
          <w:rFonts w:ascii="Times New Roman" w:cs="Times New Roman" w:eastAsia="Times New Roman" w:hAnsi="Times New Roman"/>
          <w:sz w:val="17"/>
          <w:szCs w:val="17"/>
          <w:color w:val="auto"/>
        </w:rPr>
        <w:t>Borrowings under these agreements are classified as funding debt within our interim condensed consolidated balance sheets and proceeds from the borrowings can only be used for the purposes of funding loans. These borrowing facilities are bankruptcy-remote special-purpose vehicles in which creditors do not have recourse against the general credit of Affirm.</w:t>
      </w:r>
    </w:p>
    <w:p>
      <w:pPr>
        <w:spacing w:after="0" w:line="204" w:lineRule="exact"/>
        <w:rPr>
          <w:sz w:val="20"/>
          <w:szCs w:val="20"/>
          <w:color w:val="auto"/>
        </w:rPr>
      </w:pPr>
    </w:p>
    <w:p>
      <w:pPr>
        <w:ind w:right="340" w:firstLine="620"/>
        <w:spacing w:after="0" w:line="270" w:lineRule="auto"/>
        <w:rPr>
          <w:sz w:val="20"/>
          <w:szCs w:val="20"/>
          <w:color w:val="auto"/>
        </w:rPr>
      </w:pPr>
      <w:r>
        <w:rPr>
          <w:rFonts w:ascii="Times New Roman" w:cs="Times New Roman" w:eastAsia="Times New Roman" w:hAnsi="Times New Roman"/>
          <w:sz w:val="17"/>
          <w:szCs w:val="17"/>
          <w:color w:val="auto"/>
        </w:rPr>
        <w:t>Our funding debt agreements contain certain customary negative covenants and financial covenants including maintaining certain levels of minimum liquidity, maximum leverage, and minimum tangible net worth. As of September 30, 2025, we were in compliance with all applicable covenants in the agreements.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Variable Funding Note</w:t>
      </w:r>
    </w:p>
    <w:p>
      <w:pPr>
        <w:spacing w:after="0" w:line="248" w:lineRule="exact"/>
        <w:rPr>
          <w:sz w:val="20"/>
          <w:szCs w:val="20"/>
          <w:color w:val="auto"/>
        </w:rPr>
      </w:pPr>
    </w:p>
    <w:p>
      <w:pPr>
        <w:ind w:right="240" w:firstLine="620"/>
        <w:spacing w:after="0" w:line="265" w:lineRule="auto"/>
        <w:rPr>
          <w:sz w:val="20"/>
          <w:szCs w:val="20"/>
          <w:color w:val="auto"/>
        </w:rPr>
      </w:pPr>
      <w:r>
        <w:rPr>
          <w:rFonts w:ascii="Times New Roman" w:cs="Times New Roman" w:eastAsia="Times New Roman" w:hAnsi="Times New Roman"/>
          <w:sz w:val="17"/>
          <w:szCs w:val="17"/>
          <w:color w:val="auto"/>
        </w:rPr>
        <w:t>We entered into a syndicated revolving loan agreement through a securitization master trust which funds loans. In connection with the loan agreement, the master trust issued a variable funding note (“VFN”), where borrowings are secured by loan collateral sold to the master trust. Throughout the reinvestment period of the VFN, the master trust periodically issues asset-backed securities, where securitization note proceeds affects the level of utilization of the VFN. Outstanding borrowings under the VFN are classified as funding debt within our interim condensed consolidated balance sheets.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and Repurchase Agreements</w:t>
      </w:r>
    </w:p>
    <w:p>
      <w:pPr>
        <w:spacing w:after="0" w:line="248"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We entered into certain sale and repurchase agreements pursuant to our retained interests in our off-balance sheet securitizations where we have sold these securities to a counterparty with an obligation to repurchase at a future date and price. These repurchase agreements have a term equaling the contractual life of the securitization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notes pledged. We record the debt outstanding under our sale and repurchase agreements within our funding debt in the interim condensed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Notes Issued by Securitization Trusts</w:t>
      </w:r>
    </w:p>
    <w:p>
      <w:pPr>
        <w:spacing w:after="0" w:line="237" w:lineRule="exact"/>
        <w:rPr>
          <w:sz w:val="20"/>
          <w:szCs w:val="20"/>
          <w:color w:val="auto"/>
        </w:rPr>
      </w:pPr>
    </w:p>
    <w:p>
      <w:pPr>
        <w:ind w:right="60" w:firstLine="620"/>
        <w:spacing w:after="0" w:line="246" w:lineRule="auto"/>
        <w:rPr>
          <w:sz w:val="20"/>
          <w:szCs w:val="20"/>
          <w:color w:val="auto"/>
        </w:rPr>
      </w:pPr>
      <w:r>
        <w:rPr>
          <w:rFonts w:ascii="Times New Roman" w:cs="Times New Roman" w:eastAsia="Times New Roman" w:hAnsi="Times New Roman"/>
          <w:sz w:val="17"/>
          <w:szCs w:val="17"/>
          <w:color w:val="auto"/>
        </w:rPr>
        <w:t>We issue asset-backed securities through securitization trusts using a combination of term, amortizing and revolving structures. Each trust may issue one or more classes of notes, which will be repaid through collections on the loans in accordance with the trust priority of payments. For consolidated securitization trusts, asset-backed notes held by third-party investors are classified as notes issued by securitization trusts within our interim condensed consolidated balance sheets. We defer and amortize debt issuance costs for consolidated securitization trusts on a straight-line basis over the expected life of the notes. Refer to Note 9 Securitization and Variable Interest Entities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Facility</w:t>
      </w:r>
    </w:p>
    <w:p>
      <w:pPr>
        <w:spacing w:after="0" w:line="237" w:lineRule="exact"/>
        <w:rPr>
          <w:sz w:val="20"/>
          <w:szCs w:val="20"/>
          <w:color w:val="auto"/>
        </w:rPr>
      </w:pPr>
    </w:p>
    <w:p>
      <w:pPr>
        <w:ind w:right="60" w:firstLine="620"/>
        <w:spacing w:after="0" w:line="245" w:lineRule="auto"/>
        <w:rPr>
          <w:sz w:val="20"/>
          <w:szCs w:val="20"/>
          <w:color w:val="auto"/>
        </w:rPr>
      </w:pPr>
      <w:r>
        <w:rPr>
          <w:rFonts w:ascii="Times New Roman" w:cs="Times New Roman" w:eastAsia="Times New Roman" w:hAnsi="Times New Roman"/>
          <w:sz w:val="17"/>
          <w:szCs w:val="17"/>
          <w:color w:val="auto"/>
        </w:rPr>
        <w:t>We have a Revolving Credit Agreement with a syndicate of banks for a $330.0 million unsecured revolving credit facility. Proceeds of the borrowings under this facility will be used for general corporate purposes in the ordinary course of business. This facility bears interest at a rate equal to, either (a) for SOFR borrowing, a SOFR rate determined by reference to the forward-looking term SOFR rate for the interest period, plus an applicable margin of 1.75% per annum or</w:t>
      </w:r>
    </w:p>
    <w:p>
      <w:pPr>
        <w:spacing w:after="0" w:line="1" w:lineRule="exact"/>
        <w:rPr>
          <w:sz w:val="20"/>
          <w:szCs w:val="20"/>
          <w:color w:val="auto"/>
        </w:rPr>
      </w:pPr>
    </w:p>
    <w:p>
      <w:pPr>
        <w:jc w:val="both"/>
        <w:ind w:right="20" w:firstLine="3"/>
        <w:spacing w:after="0" w:line="237" w:lineRule="auto"/>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alternative base rate borrowings, a base rate determined by reference to the highest of (i) the federal funds rate plus 0.50% per annum, (ii) the rate last quoted by the Wall Street Journal as the U.S. prime rate and (iii) the one-month forward-looking term SOFR rate plus 1.00% per annum, in each case, plus an applicable margin of 0.75% per annum. The facility contains certain financial covenants which may result in an acceleration of the maturity if not maintained, and requires payment of a monthly unused commitment fee of 0.20% per annum on the undrawn balance available.</w:t>
      </w:r>
    </w:p>
    <w:p>
      <w:pPr>
        <w:spacing w:after="0" w:line="205" w:lineRule="exact"/>
        <w:rPr>
          <w:sz w:val="20"/>
          <w:szCs w:val="20"/>
          <w:color w:val="auto"/>
        </w:rPr>
      </w:pPr>
    </w:p>
    <w:p>
      <w:pPr>
        <w:ind w:right="420" w:firstLine="620"/>
        <w:spacing w:after="0" w:line="272" w:lineRule="auto"/>
        <w:rPr>
          <w:sz w:val="20"/>
          <w:szCs w:val="20"/>
          <w:color w:val="auto"/>
        </w:rPr>
      </w:pPr>
      <w:r>
        <w:rPr>
          <w:rFonts w:ascii="Times New Roman" w:cs="Times New Roman" w:eastAsia="Times New Roman" w:hAnsi="Times New Roman"/>
          <w:sz w:val="17"/>
          <w:szCs w:val="17"/>
          <w:color w:val="auto"/>
        </w:rPr>
        <w:t>As of September 30, 2025, we were in compliance with all applicable covenants in the agreement. There were no borrowings outstanding under the facility as of September 30,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2029 Notes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On December 20, 2024, we issued approximately $920.0 million in aggregate principal amount of 0.75% convertible senior notes due 2029 (the “2029 Notes”) in a private placement to qualified institutional buyers pursuant to Rule 144A under the Securities Act of 1933, as amended. The total net proceeds from this offering, after deducting debt issuance costs, were approximately $903.1 million. The 2029 Notes represent senior unsecured obligations of the Company. The 2029 Notes will bear interest at a fixed rate of 0.75% per year, payable semiannually in arrears on June 15 and December 15 of each year, beginning on June 15, 2025. The 2029 Notes mature on December 15, 2029, unless such Notes are earlier converted, redeemed or repurchased in accordance with their terms.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Each $1,000 of principal of the 2029 Notes will initially be convertible into 9.8992 shares of our common stock, which is equivalent to an initial</w:t>
      </w:r>
    </w:p>
    <w:p>
      <w:pPr>
        <w:spacing w:after="0" w:line="2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conversion price of approximately $101.02 per share, subject to adjustment upon the occurrence of certain specified events set forth in the indenture governing the 2029 Notes (the “2029 Indenture”). Holders of the 2029 Notes may convert their 2029 Notes at their option at any time on or after September 15, 2029 until close of business on the second scheduled trading day immediately preceding the maturity date of December 15, 2029. Further, holders of the 2029 Notes may convert all or any portion of their 2029 Notes at their option prior to the close of business on the business day immediately preceding September 15, 2029, only under the following circumstances:</w:t>
      </w:r>
    </w:p>
    <w:p>
      <w:pPr>
        <w:spacing w:after="0" w:line="196" w:lineRule="exact"/>
        <w:rPr>
          <w:sz w:val="20"/>
          <w:szCs w:val="20"/>
          <w:color w:val="auto"/>
        </w:rPr>
      </w:pPr>
    </w:p>
    <w:p>
      <w:pPr>
        <w:ind w:left="540" w:right="20" w:firstLine="6"/>
        <w:spacing w:after="0" w:line="270" w:lineRule="auto"/>
        <w:tabs>
          <w:tab w:leader="none" w:pos="72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calendar quarter commencing after the calendar quarter ending March 31, 2025 (and only during such calendar quarter), if the last reported sale price of the Class A common stock for at least 20 trading days (whether or not consecutive) during a period of 30 consecutive trading days ending 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8" w:name="page29"/>
    <w:bookmarkEnd w:id="2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0" w:right="220"/>
        <w:spacing w:after="0" w:line="288" w:lineRule="auto"/>
        <w:rPr>
          <w:sz w:val="20"/>
          <w:szCs w:val="20"/>
          <w:color w:val="auto"/>
        </w:rPr>
      </w:pPr>
      <w:r>
        <w:rPr>
          <w:rFonts w:ascii="Times New Roman" w:cs="Times New Roman" w:eastAsia="Times New Roman" w:hAnsi="Times New Roman"/>
          <w:sz w:val="17"/>
          <w:szCs w:val="17"/>
          <w:color w:val="auto"/>
        </w:rPr>
        <w:t>including, the last trading day of the immediately preceding calendar quarter is greater than or equal to 130% of the conversion price on each applicable trading day;</w:t>
      </w:r>
    </w:p>
    <w:p>
      <w:pPr>
        <w:spacing w:after="0" w:line="177" w:lineRule="exact"/>
        <w:rPr>
          <w:sz w:val="20"/>
          <w:szCs w:val="20"/>
          <w:color w:val="auto"/>
        </w:rPr>
      </w:pPr>
    </w:p>
    <w:p>
      <w:pPr>
        <w:jc w:val="both"/>
        <w:ind w:left="540" w:right="80" w:firstLine="6"/>
        <w:spacing w:after="0" w:line="270" w:lineRule="auto"/>
        <w:tabs>
          <w:tab w:leader="none" w:pos="72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five consecutive trading day period (the measurement period) in which the trading price (as defined in the indenture governing the 2029 Notes) per $1,000 principal amount of the 2029 Notes for each trading day of the measurement period was less than 98% of the product of the last reported sale price of the Company’s Class A common stock and the conversion rate on each such trading day;</w:t>
      </w:r>
    </w:p>
    <w:p>
      <w:pPr>
        <w:spacing w:after="0" w:line="193" w:lineRule="exact"/>
        <w:rPr>
          <w:rFonts w:ascii="Times New Roman" w:cs="Times New Roman" w:eastAsia="Times New Roman" w:hAnsi="Times New Roman"/>
          <w:sz w:val="17"/>
          <w:szCs w:val="17"/>
          <w:color w:val="auto"/>
        </w:rPr>
      </w:pPr>
    </w:p>
    <w:p>
      <w:pPr>
        <w:ind w:left="540" w:right="660" w:firstLine="6"/>
        <w:spacing w:after="0" w:line="288" w:lineRule="auto"/>
        <w:tabs>
          <w:tab w:leader="none" w:pos="72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calls any or all of the notes for redemption, at any time prior to the close of business on the scheduled trading day immediately preceding the redemption date; or</w:t>
      </w:r>
    </w:p>
    <w:p>
      <w:pPr>
        <w:spacing w:after="0" w:line="176" w:lineRule="exact"/>
        <w:rPr>
          <w:rFonts w:ascii="Times New Roman" w:cs="Times New Roman" w:eastAsia="Times New Roman" w:hAnsi="Times New Roman"/>
          <w:sz w:val="17"/>
          <w:szCs w:val="17"/>
          <w:color w:val="auto"/>
        </w:rPr>
      </w:pPr>
    </w:p>
    <w:p>
      <w:pPr>
        <w:ind w:left="740" w:hanging="194"/>
        <w:spacing w:after="0"/>
        <w:tabs>
          <w:tab w:leader="none" w:pos="7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certain specified corporate events.</w:t>
      </w:r>
    </w:p>
    <w:p>
      <w:pPr>
        <w:spacing w:after="0" w:line="244" w:lineRule="exact"/>
        <w:rPr>
          <w:sz w:val="20"/>
          <w:szCs w:val="20"/>
          <w:color w:val="auto"/>
        </w:rPr>
      </w:pPr>
    </w:p>
    <w:p>
      <w:pPr>
        <w:ind w:right="80" w:firstLine="620"/>
        <w:spacing w:after="0" w:line="260" w:lineRule="auto"/>
        <w:rPr>
          <w:sz w:val="20"/>
          <w:szCs w:val="20"/>
          <w:color w:val="auto"/>
        </w:rPr>
      </w:pPr>
      <w:r>
        <w:rPr>
          <w:rFonts w:ascii="Times New Roman" w:cs="Times New Roman" w:eastAsia="Times New Roman" w:hAnsi="Times New Roman"/>
          <w:sz w:val="17"/>
          <w:szCs w:val="17"/>
          <w:color w:val="auto"/>
        </w:rPr>
        <w:t>Upon conversion of the 2029 Notes, the Company will pay cash up to the aggregate principal amount of the notes to be converted and pay or deliver, as the case may be, cash, shares of our common stock or a combination of cash and shares of our common stock, at the Company’s election, in respect of the remainder, if any, of the conversion obligation in excess of the aggregate principal amount of the notes being converted.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“2029 Indenture”) calculated on a proportionate basis for each trading day in a 40 trading day observation period.</w:t>
      </w:r>
    </w:p>
    <w:p>
      <w:pPr>
        <w:spacing w:after="0" w:line="202" w:lineRule="exact"/>
        <w:rPr>
          <w:sz w:val="20"/>
          <w:szCs w:val="20"/>
          <w:color w:val="auto"/>
        </w:rPr>
      </w:pPr>
    </w:p>
    <w:p>
      <w:pPr>
        <w:ind w:right="80" w:firstLine="620"/>
        <w:spacing w:after="0" w:line="262" w:lineRule="auto"/>
        <w:rPr>
          <w:sz w:val="20"/>
          <w:szCs w:val="20"/>
          <w:color w:val="auto"/>
        </w:rPr>
      </w:pPr>
      <w:r>
        <w:rPr>
          <w:rFonts w:ascii="Times New Roman" w:cs="Times New Roman" w:eastAsia="Times New Roman" w:hAnsi="Times New Roman"/>
          <w:sz w:val="17"/>
          <w:szCs w:val="17"/>
          <w:color w:val="auto"/>
        </w:rPr>
        <w:t>No sinking fund is provided for the 2029 Notes. We may redeem for cash all or part of the 2029 Notes on or after December 20, 2027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interest, if any.</w:t>
      </w:r>
    </w:p>
    <w:p>
      <w:pPr>
        <w:spacing w:after="0" w:line="199"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If a fundamental change (as defined in the 2029 Indenture) occurs prior to the maturity date, holders of the 2029 Notes may require us to repurchase all or a portion of their notes for cash at a repurchase price equal to 100% of the principal amount of the 2029 Notes, plus any accrued and unpaid interest to, but excluding, the repurchase date. In addition, if specific corporate events occur prior to the maturity date of the 2029 Notes, we will be required to increase the conversion rate for holders who elect to convert their 2029 Notes in connection with such corporate events.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2026 Notes</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senior unsecured obligations of the Company. The 2026 Notes do not bear interest except in special circumstances described below, and the principal amount of the 2026 Notes does not accrete. The 2026 Notes mature on November 15, 2026.</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Each $1,000 of principal of the 2026 Notes will initially be convertible into 4.6371 shares of our common stock, which is equivalent to an initial</w:t>
      </w:r>
    </w:p>
    <w:p>
      <w:pPr>
        <w:spacing w:after="0" w:line="2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conversion price of approximately $215.65 per share, subject to adjustment upon the occurrence of certain specified events set forth in the indenture governing the 2026 Notes (the “2026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their option prior to the close of business on the business day immediately preceding August 15, 2026, only under the following circumstances:</w:t>
      </w:r>
    </w:p>
    <w:p>
      <w:pPr>
        <w:spacing w:after="0" w:line="244" w:lineRule="exact"/>
        <w:rPr>
          <w:sz w:val="20"/>
          <w:szCs w:val="20"/>
          <w:color w:val="auto"/>
        </w:rPr>
      </w:pPr>
    </w:p>
    <w:p>
      <w:pPr>
        <w:ind w:left="540" w:right="220" w:firstLine="6"/>
        <w:spacing w:after="0" w:line="270" w:lineRule="auto"/>
        <w:tabs>
          <w:tab w:leader="none" w:pos="72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93" w:lineRule="exact"/>
        <w:rPr>
          <w:rFonts w:ascii="Times New Roman" w:cs="Times New Roman" w:eastAsia="Times New Roman" w:hAnsi="Times New Roman"/>
          <w:sz w:val="17"/>
          <w:szCs w:val="17"/>
          <w:color w:val="auto"/>
        </w:rPr>
      </w:pPr>
    </w:p>
    <w:p>
      <w:pPr>
        <w:jc w:val="both"/>
        <w:ind w:left="540" w:right="80" w:firstLine="6"/>
        <w:spacing w:after="0" w:line="270" w:lineRule="auto"/>
        <w:tabs>
          <w:tab w:leader="none" w:pos="72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spacing w:after="0" w:line="193" w:lineRule="exact"/>
        <w:rPr>
          <w:rFonts w:ascii="Times New Roman" w:cs="Times New Roman" w:eastAsia="Times New Roman" w:hAnsi="Times New Roman"/>
          <w:sz w:val="17"/>
          <w:szCs w:val="17"/>
          <w:color w:val="auto"/>
        </w:rPr>
      </w:pPr>
    </w:p>
    <w:p>
      <w:pPr>
        <w:ind w:left="540" w:right="660" w:firstLine="6"/>
        <w:spacing w:after="0" w:line="288" w:lineRule="auto"/>
        <w:tabs>
          <w:tab w:leader="none" w:pos="72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calls any or all of the notes for redemption, at any time prior to the close of business on the scheduled trading day immediately preceding the redemption date; or</w:t>
      </w:r>
    </w:p>
    <w:p>
      <w:pPr>
        <w:spacing w:after="0" w:line="176" w:lineRule="exact"/>
        <w:rPr>
          <w:rFonts w:ascii="Times New Roman" w:cs="Times New Roman" w:eastAsia="Times New Roman" w:hAnsi="Times New Roman"/>
          <w:sz w:val="17"/>
          <w:szCs w:val="17"/>
          <w:color w:val="auto"/>
        </w:rPr>
      </w:pPr>
    </w:p>
    <w:p>
      <w:pPr>
        <w:ind w:left="740" w:hanging="194"/>
        <w:spacing w:after="0"/>
        <w:tabs>
          <w:tab w:leader="none" w:pos="7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certain specified corporate events.</w:t>
      </w:r>
    </w:p>
    <w:p>
      <w:pPr>
        <w:spacing w:after="0" w:line="244" w:lineRule="exact"/>
        <w:rPr>
          <w:sz w:val="20"/>
          <w:szCs w:val="20"/>
          <w:color w:val="auto"/>
        </w:rPr>
      </w:pPr>
    </w:p>
    <w:p>
      <w:pPr>
        <w:ind w:right="80" w:firstLine="620"/>
        <w:spacing w:after="0" w:line="267" w:lineRule="auto"/>
        <w:rPr>
          <w:sz w:val="20"/>
          <w:szCs w:val="20"/>
          <w:color w:val="auto"/>
        </w:rPr>
      </w:pPr>
      <w:r>
        <w:rPr>
          <w:rFonts w:ascii="Times New Roman" w:cs="Times New Roman" w:eastAsia="Times New Roman" w:hAnsi="Times New Roman"/>
          <w:sz w:val="17"/>
          <w:szCs w:val="17"/>
          <w:color w:val="auto"/>
        </w:rPr>
        <w:t>Upon conversion of the 2026 Notes, the Company will pay cash up to the aggregate principal amount of the notes to be converted and pay or deliver, as the case may be, cash, shares of our common stock or a combination of cash and shares of our common stock, at the Company’s election, in respect of the remainder, if any, of the conversion obligation in excess of the aggregate principal amount of the notes being converted.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“2026 Indenture”) calculated on a proportionate basis for each trading day in a 40 trading day observation period.</w:t>
      </w:r>
    </w:p>
    <w:p>
      <w:pPr>
        <w:spacing w:after="0" w:line="207" w:lineRule="exact"/>
        <w:rPr>
          <w:sz w:val="20"/>
          <w:szCs w:val="20"/>
          <w:color w:val="auto"/>
        </w:rPr>
      </w:pPr>
    </w:p>
    <w:p>
      <w:pPr>
        <w:ind w:firstLine="620"/>
        <w:spacing w:after="0" w:line="266" w:lineRule="auto"/>
        <w:rPr>
          <w:sz w:val="20"/>
          <w:szCs w:val="20"/>
          <w:color w:val="auto"/>
        </w:rPr>
      </w:pPr>
      <w:r>
        <w:rPr>
          <w:rFonts w:ascii="Times New Roman" w:cs="Times New Roman" w:eastAsia="Times New Roman" w:hAnsi="Times New Roman"/>
          <w:sz w:val="17"/>
          <w:szCs w:val="17"/>
          <w:color w:val="auto"/>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special interest, if any.</w:t>
      </w:r>
    </w:p>
    <w:p>
      <w:pPr>
        <w:spacing w:after="0" w:line="209"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If a fundamental change (as defined in the 2026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Repurchase of a Portion of the 2026 Notes</w:t>
      </w:r>
    </w:p>
    <w:p>
      <w:pPr>
        <w:spacing w:after="0" w:line="261" w:lineRule="exact"/>
        <w:rPr>
          <w:sz w:val="20"/>
          <w:szCs w:val="20"/>
          <w:color w:val="auto"/>
        </w:rPr>
      </w:pPr>
    </w:p>
    <w:p>
      <w:pPr>
        <w:ind w:right="100" w:firstLine="620"/>
        <w:spacing w:after="0" w:line="266" w:lineRule="auto"/>
        <w:rPr>
          <w:sz w:val="20"/>
          <w:szCs w:val="20"/>
          <w:color w:val="auto"/>
        </w:rPr>
      </w:pPr>
      <w:r>
        <w:rPr>
          <w:rFonts w:ascii="Times New Roman" w:cs="Times New Roman" w:eastAsia="Times New Roman" w:hAnsi="Times New Roman"/>
          <w:sz w:val="17"/>
          <w:szCs w:val="17"/>
          <w:color w:val="auto"/>
        </w:rPr>
        <w:t>On May 18, 2025, the Board of Directors authorized the repurchase of up to $200 million in aggregate principal amount of the 2026 Notes. Note repurchases under the May 2025 authorization may be made from time to time during the period commencing July 1, 2025 through December 31, 2025 through open market purchases, privately negotiated purchases, purchase plans under Rule 10b5-1, or through a combination thereof. Repurchases are subject to available liquidity, general market and economic conditions, alternate uses for the capital, and other factors, and there is no minimum principal amount of 2026 Notes that the Company is obligated to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During the three months ended September 30, 2025, we paid $24.8 million in cash for the repurchase of $26.4 million aggregate principal amount of our 2026 Notes under the May 2025 authorization. The carrying amount of the extinguished 2026 Notes was approximately $26.3 million resulting in a $1.5 million gain on early extinguishment of debt. The repurchased 2026 Notes were received and canceled. As of September 30, 2025, $222.3 million in aggregate principal amount of the 2026 Notes remains outstanding.</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interest expense recognized related to the convertible senior notes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340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40" w:type="dxa"/>
            <w:vAlign w:val="bottom"/>
            <w:tcBorders>
              <w:bottom w:val="single" w:sz="8" w:color="auto"/>
            </w:tcBorders>
          </w:tcPr>
          <w:p>
            <w:pPr>
              <w:spacing w:after="0"/>
              <w:rPr>
                <w:sz w:val="18"/>
                <w:szCs w:val="18"/>
                <w:color w:val="auto"/>
              </w:rPr>
            </w:pPr>
          </w:p>
        </w:tc>
      </w:tr>
      <w:tr>
        <w:trPr>
          <w:trHeight w:val="201"/>
        </w:trPr>
        <w:tc>
          <w:tcPr>
            <w:tcW w:w="73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r>
      <w:tr>
        <w:trPr>
          <w:trHeight w:val="201"/>
        </w:trPr>
        <w:tc>
          <w:tcPr>
            <w:tcW w:w="73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7"/>
                <w:szCs w:val="17"/>
                <w:color w:val="auto"/>
              </w:rPr>
              <w:t xml:space="preserve">Amortization of debt issuance costs </w:t>
            </w:r>
            <w:r>
              <w:rPr>
                <w:rFonts w:ascii="Times New Roman" w:cs="Times New Roman" w:eastAsia="Times New Roman" w:hAnsi="Times New Roman"/>
                <w:sz w:val="22"/>
                <w:szCs w:val="22"/>
                <w:color w:val="auto"/>
                <w:vertAlign w:val="superscript"/>
              </w:rPr>
              <w:t>(1)</w:t>
            </w:r>
          </w:p>
        </w:tc>
        <w:tc>
          <w:tcPr>
            <w:tcW w:w="1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20"/>
        </w:trPr>
        <w:tc>
          <w:tcPr>
            <w:tcW w:w="7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2026 Notes</w:t>
            </w:r>
          </w:p>
        </w:tc>
        <w:tc>
          <w:tcPr>
            <w:tcW w:w="1300" w:type="dxa"/>
            <w:vAlign w:val="bottom"/>
          </w:tcPr>
          <w:p>
            <w:pPr>
              <w:jc w:val="right"/>
              <w:ind w:right="111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9"/>
                <w:szCs w:val="19"/>
                <w:color w:val="auto"/>
              </w:rPr>
            </w:pPr>
          </w:p>
        </w:tc>
        <w:tc>
          <w:tcPr>
            <w:tcW w:w="1380" w:type="dxa"/>
            <w:vAlign w:val="bottom"/>
          </w:tcPr>
          <w:p>
            <w:pPr>
              <w:jc w:val="right"/>
              <w:ind w:right="119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r>
      <w:tr>
        <w:trPr>
          <w:trHeight w:val="22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2029 Notes</w:t>
            </w:r>
          </w:p>
        </w:tc>
        <w:tc>
          <w:tcPr>
            <w:tcW w:w="13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amortization of debt issuance costs</w:t>
            </w:r>
          </w:p>
        </w:tc>
        <w:tc>
          <w:tcPr>
            <w:tcW w:w="1300" w:type="dxa"/>
            <w:vAlign w:val="bottom"/>
            <w:tcBorders>
              <w:bottom w:val="single" w:sz="8" w:color="auto"/>
            </w:tcBorders>
          </w:tcPr>
          <w:p>
            <w:pPr>
              <w:jc w:val="right"/>
              <w:ind w:right="111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11"/>
        </w:trPr>
        <w:tc>
          <w:tcPr>
            <w:tcW w:w="730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7"/>
                <w:szCs w:val="17"/>
                <w:color w:val="auto"/>
              </w:rPr>
              <w:t xml:space="preserve">Coupon interest expense </w:t>
            </w:r>
            <w:r>
              <w:rPr>
                <w:rFonts w:ascii="Times New Roman" w:cs="Times New Roman" w:eastAsia="Times New Roman" w:hAnsi="Times New Roman"/>
                <w:sz w:val="22"/>
                <w:szCs w:val="22"/>
                <w:color w:val="auto"/>
                <w:vertAlign w:val="superscript"/>
              </w:rPr>
              <w:t>(1) (2)</w:t>
            </w:r>
          </w:p>
        </w:tc>
        <w:tc>
          <w:tcPr>
            <w:tcW w:w="1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expenses related to the convertible notes</w:t>
            </w:r>
          </w:p>
        </w:tc>
        <w:tc>
          <w:tcPr>
            <w:tcW w:w="1300" w:type="dxa"/>
            <w:vAlign w:val="bottom"/>
            <w:tcBorders>
              <w:bottom w:val="single" w:sz="8" w:color="auto"/>
            </w:tcBorders>
          </w:tcPr>
          <w:p>
            <w:pPr>
              <w:jc w:val="right"/>
              <w:ind w:right="111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2,712</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w:t>
            </w:r>
          </w:p>
        </w:tc>
      </w:tr>
      <w:tr>
        <w:trPr>
          <w:trHeight w:val="20"/>
        </w:trPr>
        <w:tc>
          <w:tcPr>
            <w:tcW w:w="7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83" w:lineRule="exact"/>
        <w:rPr>
          <w:sz w:val="20"/>
          <w:szCs w:val="20"/>
          <w:color w:val="auto"/>
        </w:rPr>
      </w:pPr>
    </w:p>
    <w:p>
      <w:pPr>
        <w:ind w:left="620" w:hanging="307"/>
        <w:spacing w:after="0"/>
        <w:tabs>
          <w:tab w:leader="none" w:pos="620" w:val="left"/>
        </w:tabs>
        <w:numPr>
          <w:ilvl w:val="1"/>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our interim condensed consolidated statement of operations and comprehensive income (loss) within other income, net.</w:t>
      </w:r>
    </w:p>
    <w:p>
      <w:pPr>
        <w:spacing w:after="0" w:line="1" w:lineRule="exact"/>
        <w:rPr>
          <w:rFonts w:ascii="Times New Roman" w:cs="Times New Roman" w:eastAsia="Times New Roman" w:hAnsi="Times New Roman"/>
          <w:sz w:val="22"/>
          <w:szCs w:val="22"/>
          <w:color w:val="auto"/>
          <w:vertAlign w:val="superscript"/>
        </w:rPr>
      </w:pPr>
    </w:p>
    <w:p>
      <w:pPr>
        <w:ind w:left="620" w:hanging="307"/>
        <w:spacing w:after="0" w:line="194" w:lineRule="auto"/>
        <w:tabs>
          <w:tab w:leader="none" w:pos="620" w:val="left"/>
        </w:tabs>
        <w:numPr>
          <w:ilvl w:val="1"/>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coupon interest expense is related to the 2029 Notes.</w:t>
      </w:r>
    </w:p>
    <w:p>
      <w:pPr>
        <w:spacing w:after="0" w:line="212" w:lineRule="exact"/>
        <w:rPr>
          <w:rFonts w:ascii="Times New Roman" w:cs="Times New Roman" w:eastAsia="Times New Roman" w:hAnsi="Times New Roman"/>
          <w:sz w:val="22"/>
          <w:szCs w:val="22"/>
          <w:color w:val="auto"/>
          <w:vertAlign w:val="superscript"/>
        </w:rPr>
      </w:pPr>
    </w:p>
    <w:p>
      <w:pPr>
        <w:ind w:left="220" w:hanging="217"/>
        <w:spacing w:after="0"/>
        <w:tabs>
          <w:tab w:leader="none" w:pos="2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Securitization and Variable Interest Entities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Consolidated VIEs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Warehouse Credit Facilities</w:t>
      </w:r>
    </w:p>
    <w:p>
      <w:pPr>
        <w:spacing w:after="0" w:line="248" w:lineRule="exact"/>
        <w:rPr>
          <w:sz w:val="20"/>
          <w:szCs w:val="20"/>
          <w:color w:val="auto"/>
        </w:rPr>
      </w:pPr>
    </w:p>
    <w:p>
      <w:pPr>
        <w:jc w:val="both"/>
        <w:ind w:right="40" w:firstLine="620"/>
        <w:spacing w:after="0" w:line="262" w:lineRule="auto"/>
        <w:rPr>
          <w:sz w:val="20"/>
          <w:szCs w:val="20"/>
          <w:color w:val="auto"/>
        </w:rPr>
      </w:pPr>
      <w:r>
        <w:rPr>
          <w:rFonts w:ascii="Times New Roman" w:cs="Times New Roman" w:eastAsia="Times New Roman" w:hAnsi="Times New Roman"/>
          <w:sz w:val="17"/>
          <w:szCs w:val="17"/>
          <w:color w:val="auto"/>
        </w:rPr>
        <w:t>We established certain entities, deemed to be VIEs, to enter into warehouse credit facilities for the purpose of purchasing loans from our originating bank partners and funding directly originated loans. Refer to Note 8. Debt for additional information. The creditors of the VIEs have no recourse to the general credit of Affirm and the liabilities of the VIEs can only be settled by the respective VIEs’ assets; however, as the servicer of the loans pledged to our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Securitizations</w:t>
      </w:r>
    </w:p>
    <w:p>
      <w:pPr>
        <w:spacing w:after="0" w:line="261" w:lineRule="exact"/>
        <w:rPr>
          <w:sz w:val="20"/>
          <w:szCs w:val="20"/>
          <w:color w:val="auto"/>
        </w:rPr>
      </w:pPr>
    </w:p>
    <w:p>
      <w:pPr>
        <w:ind w:right="40" w:firstLine="620"/>
        <w:spacing w:after="0" w:line="267" w:lineRule="auto"/>
        <w:rPr>
          <w:sz w:val="20"/>
          <w:szCs w:val="20"/>
          <w:color w:val="auto"/>
        </w:rPr>
      </w:pPr>
      <w:r>
        <w:rPr>
          <w:rFonts w:ascii="Times New Roman" w:cs="Times New Roman" w:eastAsia="Times New Roman" w:hAnsi="Times New Roman"/>
          <w:sz w:val="17"/>
          <w:szCs w:val="17"/>
          <w:color w:val="auto"/>
        </w:rPr>
        <w:t>We finance the origination and purchase of loans though our asset-backed securitization program using a combination of amortizing, revolving and variable funding structures. In connection with our program, we sponsor and establish trusts (deemed to be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spacing w:after="0" w:line="194" w:lineRule="exact"/>
        <w:rPr>
          <w:sz w:val="20"/>
          <w:szCs w:val="20"/>
          <w:color w:val="auto"/>
        </w:rPr>
      </w:pPr>
    </w:p>
    <w:p>
      <w:pPr>
        <w:ind w:right="20" w:firstLine="620"/>
        <w:spacing w:after="0" w:line="262" w:lineRule="auto"/>
        <w:rPr>
          <w:sz w:val="20"/>
          <w:szCs w:val="20"/>
          <w:color w:val="auto"/>
        </w:rPr>
      </w:pPr>
      <w:r>
        <w:rPr>
          <w:rFonts w:ascii="Times New Roman" w:cs="Times New Roman" w:eastAsia="Times New Roman" w:hAnsi="Times New Roman"/>
          <w:sz w:val="17"/>
          <w:szCs w:val="17"/>
          <w:color w:val="auto"/>
        </w:rPr>
        <w:t>We consolidate securitization VIEs when we are deemed to be the primary beneficiary. For these VIEs, it is determined that we have the power to direct the activities that most significantly affect the VIEs’ economic performance and the obligation to absorb losses or right to receive benefits that could potentially be significant to the VIEs.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the payment waterfall. The servicing fees earned from these arrangements are considered variable interests when we also hold significant retained interests in the VIEs and they would absorb losses or receive benefits that are more than an insignificant amount of the VIEs' expected performance.</w:t>
      </w:r>
    </w:p>
    <w:p>
      <w:pPr>
        <w:spacing w:after="0" w:line="177" w:lineRule="exact"/>
        <w:rPr>
          <w:sz w:val="20"/>
          <w:szCs w:val="20"/>
          <w:color w:val="auto"/>
        </w:rPr>
      </w:pPr>
    </w:p>
    <w:p>
      <w:pPr>
        <w:ind w:right="100" w:firstLine="620"/>
        <w:spacing w:after="0" w:line="288" w:lineRule="auto"/>
        <w:rPr>
          <w:sz w:val="20"/>
          <w:szCs w:val="20"/>
          <w:color w:val="auto"/>
        </w:rPr>
      </w:pPr>
      <w:r>
        <w:rPr>
          <w:rFonts w:ascii="Times New Roman" w:cs="Times New Roman" w:eastAsia="Times New Roman" w:hAnsi="Times New Roman"/>
          <w:sz w:val="17"/>
          <w:szCs w:val="17"/>
          <w:color w:val="auto"/>
        </w:rPr>
        <w:t>For the primary beneficiary evaluation, we consider both qualitative and quantitative factors regarding the nature, size and form of our involvement with the VIEs. We perform reassessments an ongoing basis to evaluate whether we are the primary beneficiary of the VIEs.</w:t>
      </w:r>
    </w:p>
    <w:p>
      <w:pPr>
        <w:spacing w:after="0" w:line="177" w:lineRule="exact"/>
        <w:rPr>
          <w:sz w:val="20"/>
          <w:szCs w:val="20"/>
          <w:color w:val="auto"/>
        </w:rPr>
      </w:pPr>
    </w:p>
    <w:p>
      <w:pPr>
        <w:ind w:right="220" w:firstLine="620"/>
        <w:spacing w:after="0" w:line="288" w:lineRule="auto"/>
        <w:rPr>
          <w:sz w:val="20"/>
          <w:szCs w:val="20"/>
          <w:color w:val="auto"/>
        </w:rPr>
      </w:pPr>
      <w:r>
        <w:rPr>
          <w:rFonts w:ascii="Times New Roman" w:cs="Times New Roman" w:eastAsia="Times New Roman" w:hAnsi="Times New Roman"/>
          <w:sz w:val="17"/>
          <w:szCs w:val="17"/>
          <w:color w:val="auto"/>
        </w:rPr>
        <w:t>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w:t>
      </w:r>
    </w:p>
    <w:p>
      <w:pPr>
        <w:spacing w:after="0" w:line="177" w:lineRule="exact"/>
        <w:rPr>
          <w:sz w:val="20"/>
          <w:szCs w:val="20"/>
          <w:color w:val="auto"/>
        </w:rPr>
      </w:pPr>
    </w:p>
    <w:p>
      <w:pPr>
        <w:ind w:right="540" w:firstLine="620"/>
        <w:spacing w:after="0" w:line="278" w:lineRule="auto"/>
        <w:rPr>
          <w:sz w:val="20"/>
          <w:szCs w:val="20"/>
          <w:color w:val="auto"/>
        </w:rPr>
      </w:pPr>
      <w:r>
        <w:rPr>
          <w:rFonts w:ascii="Times New Roman" w:cs="Times New Roman" w:eastAsia="Times New Roman" w:hAnsi="Times New Roman"/>
          <w:sz w:val="17"/>
          <w:szCs w:val="17"/>
          <w:color w:val="auto"/>
        </w:rPr>
        <w:t>For each securitization, the residual trust certificates represent the right to receive excess cash on the loans each collection period after all fees and required distributions have been made to the note holders on the related payment date. In addition to the retained residual trust certificates, our continued involvement includes loan servicing responsibilities over the life of the underlying loans.</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the aggregate carrying value of financial assets and liabilities from our involvement with consolidated VIEs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September 30, 2025</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r>
      <w:tr>
        <w:trPr>
          <w:trHeight w:val="201"/>
        </w:trPr>
        <w:tc>
          <w:tcPr>
            <w:tcW w:w="5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40" w:type="dxa"/>
            <w:vAlign w:val="bottom"/>
          </w:tcPr>
          <w:p>
            <w:pPr>
              <w:spacing w:after="0"/>
              <w:rPr>
                <w:sz w:val="17"/>
                <w:szCs w:val="17"/>
                <w:color w:val="auto"/>
              </w:rPr>
            </w:pPr>
          </w:p>
        </w:tc>
        <w:tc>
          <w:tcPr>
            <w:tcW w:w="146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14"/>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Warehouse credit facilities</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1,862,286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1,708,091</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154,195</w:t>
            </w:r>
          </w:p>
        </w:tc>
      </w:tr>
      <w:tr>
        <w:trPr>
          <w:trHeight w:val="220"/>
        </w:trPr>
        <w:tc>
          <w:tcPr>
            <w:tcW w:w="568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Securitizations</w:t>
            </w:r>
            <w:r>
              <w:rPr>
                <w:rFonts w:ascii="Times New Roman" w:cs="Times New Roman" w:eastAsia="Times New Roman" w:hAnsi="Times New Roman"/>
                <w:sz w:val="22"/>
                <w:szCs w:val="22"/>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5,083,907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4,905,360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178,547</w:t>
            </w: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consolidated VIEs</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6,946,193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6,613,451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332,742</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512"/>
        </w:trPr>
        <w:tc>
          <w:tcPr>
            <w:tcW w:w="56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01"/>
        </w:trPr>
        <w:tc>
          <w:tcPr>
            <w:tcW w:w="5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40" w:type="dxa"/>
            <w:vAlign w:val="bottom"/>
          </w:tcPr>
          <w:p>
            <w:pPr>
              <w:spacing w:after="0"/>
              <w:rPr>
                <w:sz w:val="17"/>
                <w:szCs w:val="17"/>
                <w:color w:val="auto"/>
              </w:rPr>
            </w:pPr>
          </w:p>
        </w:tc>
        <w:tc>
          <w:tcPr>
            <w:tcW w:w="146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14"/>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Warehouse credit facilities</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1,668,181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1,504,136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164,044</w:t>
            </w:r>
          </w:p>
        </w:tc>
      </w:tr>
      <w:tr>
        <w:trPr>
          <w:trHeight w:val="22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Securitizations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4,993,148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4,951,485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41,663</w:t>
            </w: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consolidated VIEs</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6,661,329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6,455,621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205,707</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14109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620" w:right="280" w:hanging="307"/>
        <w:spacing w:after="0" w:line="230" w:lineRule="auto"/>
        <w:tabs>
          <w:tab w:leader="none" w:pos="608"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2025, liabilities include a VFN of $62.0 million classified as funding debt and asset-backed securities of $4.8 billion classified as notes issued from securitization trusts.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Unconsolidated VIEs</w:t>
      </w:r>
    </w:p>
    <w:p>
      <w:pPr>
        <w:spacing w:after="0" w:line="263" w:lineRule="exact"/>
        <w:rPr>
          <w:sz w:val="20"/>
          <w:szCs w:val="20"/>
          <w:color w:val="auto"/>
        </w:rPr>
      </w:pPr>
    </w:p>
    <w:p>
      <w:pPr>
        <w:ind w:right="180" w:firstLine="620"/>
        <w:spacing w:after="0" w:line="266" w:lineRule="auto"/>
        <w:rPr>
          <w:sz w:val="20"/>
          <w:szCs w:val="20"/>
          <w:color w:val="auto"/>
        </w:rPr>
      </w:pPr>
      <w:r>
        <w:rPr>
          <w:rFonts w:ascii="Times New Roman" w:cs="Times New Roman" w:eastAsia="Times New Roman" w:hAnsi="Times New Roman"/>
          <w:sz w:val="17"/>
          <w:szCs w:val="17"/>
          <w:color w:val="auto"/>
        </w:rPr>
        <w:t>We are involved with various unconsolidated VIEs, established for the purposes of securitization and forward flow arrangements. We retain economic exposure as variable interests in these unconsolidated VIEs, which consist of securitization notes receivable and certificates in unconsolidated trusts, residual interests in structured transactions, and risk sharing assets and liabilities. While we continue to be involved with the unconsolidated VIEs through our role as the servicer, we determined that we are not the primary beneficiary as of September 30, 2025. Factors we considered for this determination are that we hold an insignificant variable interest or rights held by other variable interest holders convey power in the unconsolidated VIEs.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Securitization notes receivable and certificates in unconsolidated securitization trusts</w:t>
      </w:r>
    </w:p>
    <w:p>
      <w:pPr>
        <w:spacing w:after="0" w:line="248" w:lineRule="exact"/>
        <w:rPr>
          <w:sz w:val="20"/>
          <w:szCs w:val="20"/>
          <w:color w:val="auto"/>
        </w:rPr>
      </w:pPr>
    </w:p>
    <w:p>
      <w:pPr>
        <w:ind w:right="140" w:firstLine="620"/>
        <w:spacing w:after="0" w:line="278" w:lineRule="auto"/>
        <w:rPr>
          <w:sz w:val="20"/>
          <w:szCs w:val="20"/>
          <w:color w:val="auto"/>
        </w:rPr>
      </w:pPr>
      <w:r>
        <w:rPr>
          <w:rFonts w:ascii="Times New Roman" w:cs="Times New Roman" w:eastAsia="Times New Roman" w:hAnsi="Times New Roman"/>
          <w:sz w:val="17"/>
          <w:szCs w:val="17"/>
          <w:color w:val="auto"/>
        </w:rPr>
        <w:t>We have investments in certain unconsolidated securitization trusts in the form of notes and certificates. These notes and certificates are considered variable interests that absorb a portion of the variability of the trusts. The principal and interest payments on these investments are dependent on the performance of the underlying loans held within each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Residual interests in structured transactions</w:t>
      </w:r>
    </w:p>
    <w:p>
      <w:pPr>
        <w:spacing w:after="0" w:line="248" w:lineRule="exact"/>
        <w:rPr>
          <w:sz w:val="20"/>
          <w:szCs w:val="20"/>
          <w:color w:val="auto"/>
        </w:rPr>
      </w:pPr>
    </w:p>
    <w:p>
      <w:pPr>
        <w:ind w:right="140" w:firstLine="620"/>
        <w:spacing w:after="0" w:line="278" w:lineRule="auto"/>
        <w:rPr>
          <w:sz w:val="20"/>
          <w:szCs w:val="20"/>
          <w:color w:val="auto"/>
        </w:rPr>
      </w:pPr>
      <w:r>
        <w:rPr>
          <w:rFonts w:ascii="Times New Roman" w:cs="Times New Roman" w:eastAsia="Times New Roman" w:hAnsi="Times New Roman"/>
          <w:sz w:val="17"/>
          <w:szCs w:val="17"/>
          <w:color w:val="auto"/>
        </w:rPr>
        <w:t>Under certain forward flow arrangements with third-party loan buyers, we hold a beneficial interest representing our right to receive a portion of the residual cash flows from the underlying loans sold in connection with the transaction. The loans are held in an off-balance sheet VIE that has been established by the third-party loan buyers.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Risk sharing assets and liabilities</w:t>
      </w:r>
    </w:p>
    <w:p>
      <w:pPr>
        <w:spacing w:after="0" w:line="248" w:lineRule="exact"/>
        <w:rPr>
          <w:sz w:val="20"/>
          <w:szCs w:val="20"/>
          <w:color w:val="auto"/>
        </w:rPr>
      </w:pPr>
    </w:p>
    <w:p>
      <w:pPr>
        <w:ind w:right="140" w:firstLine="620"/>
        <w:spacing w:after="0" w:line="278" w:lineRule="auto"/>
        <w:rPr>
          <w:sz w:val="20"/>
          <w:szCs w:val="20"/>
          <w:color w:val="auto"/>
        </w:rPr>
      </w:pPr>
      <w:r>
        <w:rPr>
          <w:rFonts w:ascii="Times New Roman" w:cs="Times New Roman" w:eastAsia="Times New Roman" w:hAnsi="Times New Roman"/>
          <w:sz w:val="17"/>
          <w:szCs w:val="17"/>
          <w:color w:val="auto"/>
        </w:rPr>
        <w:t>Under certain other forward flow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information pertains to unconsolidated VIEs where we hold a variable interest but are not the primary beneficiary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gridSpan w:val="5"/>
          </w:tcPr>
          <w:p>
            <w:pPr>
              <w:ind w:left="92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200" w:type="dxa"/>
            <w:vAlign w:val="bottom"/>
          </w:tcPr>
          <w:p>
            <w:pPr>
              <w:spacing w:after="0"/>
              <w:rPr>
                <w:sz w:val="19"/>
                <w:szCs w:val="19"/>
                <w:color w:val="auto"/>
              </w:rPr>
            </w:pPr>
          </w:p>
        </w:tc>
        <w:tc>
          <w:tcPr>
            <w:tcW w:w="3480" w:type="dxa"/>
            <w:vAlign w:val="bottom"/>
            <w:gridSpan w:val="4"/>
          </w:tcPr>
          <w:p>
            <w:pPr>
              <w:jc w:val="right"/>
              <w:ind w:right="1256"/>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center"/>
              <w:ind w:right="36"/>
              <w:spacing w:after="0" w:line="148" w:lineRule="exact"/>
              <w:rPr>
                <w:sz w:val="20"/>
                <w:szCs w:val="20"/>
                <w:color w:val="auto"/>
              </w:rPr>
            </w:pPr>
            <w:r>
              <w:rPr>
                <w:rFonts w:ascii="Times New Roman" w:cs="Times New Roman" w:eastAsia="Times New Roman" w:hAnsi="Times New Roman"/>
                <w:sz w:val="16"/>
                <w:szCs w:val="16"/>
                <w:b w:val="1"/>
                <w:bCs w:val="1"/>
                <w:color w:val="auto"/>
                <w:w w:val="96"/>
              </w:rPr>
              <w:t>Maximum Exposure to</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ind w:right="56"/>
              <w:spacing w:after="0" w:line="148" w:lineRule="exact"/>
              <w:rPr>
                <w:sz w:val="20"/>
                <w:szCs w:val="20"/>
                <w:color w:val="auto"/>
              </w:rPr>
            </w:pPr>
            <w:r>
              <w:rPr>
                <w:rFonts w:ascii="Times New Roman" w:cs="Times New Roman" w:eastAsia="Times New Roman" w:hAnsi="Times New Roman"/>
                <w:sz w:val="16"/>
                <w:szCs w:val="16"/>
                <w:b w:val="1"/>
                <w:bCs w:val="1"/>
                <w:color w:val="auto"/>
                <w:w w:val="96"/>
              </w:rPr>
              <w:t>Maximum Exposure to</w:t>
            </w:r>
          </w:p>
        </w:tc>
        <w:tc>
          <w:tcPr>
            <w:tcW w:w="0" w:type="dxa"/>
            <w:vAlign w:val="bottom"/>
          </w:tcPr>
          <w:p>
            <w:pPr>
              <w:spacing w:after="0"/>
              <w:rPr>
                <w:sz w:val="1"/>
                <w:szCs w:val="1"/>
                <w:color w:val="auto"/>
              </w:rPr>
            </w:pPr>
          </w:p>
        </w:tc>
      </w:tr>
      <w:tr>
        <w:trPr>
          <w:trHeight w:val="207"/>
        </w:trPr>
        <w:tc>
          <w:tcPr>
            <w:tcW w:w="3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20"/>
              <w:spacing w:after="0" w:line="207" w:lineRule="exact"/>
              <w:rPr>
                <w:sz w:val="20"/>
                <w:szCs w:val="20"/>
                <w:color w:val="auto"/>
              </w:rPr>
            </w:pPr>
            <w:r>
              <w:rPr>
                <w:rFonts w:ascii="Times New Roman" w:cs="Times New Roman" w:eastAsia="Times New Roman" w:hAnsi="Times New Roman"/>
                <w:sz w:val="16"/>
                <w:szCs w:val="16"/>
                <w:b w:val="1"/>
                <w:bCs w:val="1"/>
                <w:color w:val="auto"/>
                <w:w w:val="89"/>
              </w:rPr>
              <w:t>Losses</w:t>
            </w:r>
            <w:r>
              <w:rPr>
                <w:rFonts w:ascii="Times New Roman" w:cs="Times New Roman" w:eastAsia="Times New Roman" w:hAnsi="Times New Roman"/>
                <w:sz w:val="20"/>
                <w:szCs w:val="20"/>
                <w:b w:val="1"/>
                <w:bCs w:val="1"/>
                <w:color w:val="auto"/>
                <w:w w:val="89"/>
                <w:vertAlign w:val="superscript"/>
              </w:rPr>
              <w:t>(4)</w:t>
            </w:r>
          </w:p>
        </w:tc>
        <w:tc>
          <w:tcPr>
            <w:tcW w:w="20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ind w:right="536"/>
              <w:spacing w:after="0" w:line="207" w:lineRule="exact"/>
              <w:rPr>
                <w:sz w:val="20"/>
                <w:szCs w:val="20"/>
                <w:color w:val="auto"/>
              </w:rPr>
            </w:pPr>
            <w:r>
              <w:rPr>
                <w:rFonts w:ascii="Times New Roman" w:cs="Times New Roman" w:eastAsia="Times New Roman" w:hAnsi="Times New Roman"/>
                <w:sz w:val="16"/>
                <w:szCs w:val="16"/>
                <w:b w:val="1"/>
                <w:bCs w:val="1"/>
                <w:color w:val="auto"/>
              </w:rPr>
              <w:t>Losses</w:t>
            </w:r>
            <w:r>
              <w:rPr>
                <w:rFonts w:ascii="Times New Roman" w:cs="Times New Roman" w:eastAsia="Times New Roman" w:hAnsi="Times New Roman"/>
                <w:sz w:val="20"/>
                <w:szCs w:val="20"/>
                <w:b w:val="1"/>
                <w:bCs w:val="1"/>
                <w:color w:val="auto"/>
                <w:vertAlign w:val="superscript"/>
              </w:rPr>
              <w:t>(4)</w:t>
            </w:r>
          </w:p>
        </w:tc>
        <w:tc>
          <w:tcPr>
            <w:tcW w:w="0" w:type="dxa"/>
            <w:vAlign w:val="bottom"/>
          </w:tcPr>
          <w:p>
            <w:pPr>
              <w:spacing w:after="0"/>
              <w:rPr>
                <w:sz w:val="1"/>
                <w:szCs w:val="1"/>
                <w:color w:val="auto"/>
              </w:rPr>
            </w:pPr>
          </w:p>
        </w:tc>
      </w:tr>
      <w:tr>
        <w:trPr>
          <w:trHeight w:val="148"/>
        </w:trPr>
        <w:tc>
          <w:tcPr>
            <w:tcW w:w="380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Securitization notes receivable and certificates in</w:t>
            </w:r>
          </w:p>
        </w:tc>
        <w:tc>
          <w:tcPr>
            <w:tcW w:w="20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380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unconsolidated securitization trusts </w:t>
            </w:r>
            <w:r>
              <w:rPr>
                <w:rFonts w:ascii="Times New Roman" w:cs="Times New Roman" w:eastAsia="Times New Roman" w:hAnsi="Times New Roman"/>
                <w:sz w:val="22"/>
                <w:szCs w:val="22"/>
                <w:color w:val="auto"/>
                <w:vertAlign w:val="superscript"/>
              </w:rPr>
              <w:t>[1]</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55,150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76,943</w:t>
            </w: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Residual interests in structured transactions </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16,199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15,644</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Risk sharing assets </w:t>
            </w:r>
            <w:r>
              <w:rPr>
                <w:rFonts w:ascii="Times New Roman" w:cs="Times New Roman" w:eastAsia="Times New Roman" w:hAnsi="Times New Roman"/>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66,590</w:t>
            </w: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Risk sharing liabilities </w:t>
            </w:r>
            <w:r>
              <w:rPr>
                <w:rFonts w:ascii="Times New Roman" w:cs="Times New Roman" w:eastAsia="Times New Roman" w:hAnsi="Times New Roman"/>
                <w:sz w:val="22"/>
                <w:szCs w:val="22"/>
                <w:color w:val="auto"/>
                <w:vertAlign w:val="superscript"/>
              </w:rPr>
              <w:t>[3]</w:t>
            </w:r>
          </w:p>
        </w:tc>
        <w:tc>
          <w:tcPr>
            <w:tcW w:w="2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24,467</w:t>
            </w:r>
          </w:p>
        </w:tc>
        <w:tc>
          <w:tcPr>
            <w:tcW w:w="0" w:type="dxa"/>
            <w:vAlign w:val="bottom"/>
          </w:tcPr>
          <w:p>
            <w:pPr>
              <w:spacing w:after="0"/>
              <w:rPr>
                <w:sz w:val="1"/>
                <w:szCs w:val="1"/>
                <w:color w:val="auto"/>
              </w:rPr>
            </w:pPr>
          </w:p>
        </w:tc>
      </w:tr>
      <w:tr>
        <w:trPr>
          <w:trHeight w:val="238"/>
        </w:trPr>
        <w:tc>
          <w:tcPr>
            <w:tcW w:w="3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unconsolidated VIEs</w:t>
            </w: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120,842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183,644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0"/>
          <w:szCs w:val="10"/>
          <w:color w:val="auto"/>
        </w:rPr>
        <w:t>(1)</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0"/>
          <w:szCs w:val="10"/>
          <w:color w:val="auto"/>
        </w:rPr>
        <w:t>(2)</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0"/>
          <w:szCs w:val="10"/>
          <w:color w:val="auto"/>
        </w:rPr>
        <w:t>(3)</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Presented within Securities available for sale at fair value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Presented within Other assets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Presented within Accrued expenses and other liabilities</w:t>
      </w:r>
    </w:p>
    <w:p>
      <w:pPr>
        <w:spacing w:after="0" w:line="11" w:lineRule="exact"/>
        <w:rPr>
          <w:sz w:val="20"/>
          <w:szCs w:val="20"/>
          <w:color w:val="auto"/>
        </w:rPr>
      </w:pPr>
    </w:p>
    <w:p>
      <w:pPr>
        <w:sectPr>
          <w:pgSz w:w="11900" w:h="16838" w:orient="portrait"/>
          <w:cols w:equalWidth="0" w:num="2">
            <w:col w:w="440" w:space="180"/>
            <w:col w:w="10620"/>
          </w:cols>
          <w:pgMar w:left="320" w:top="123" w:right="339" w:bottom="1440" w:gutter="0" w:footer="0" w:header="0"/>
          <w:type w:val="continuous"/>
        </w:sectPr>
      </w:pPr>
    </w:p>
    <w:p>
      <w:pPr>
        <w:ind w:left="620" w:right="620" w:hanging="307"/>
        <w:spacing w:after="0" w:line="221" w:lineRule="auto"/>
        <w:tabs>
          <w:tab w:leader="none" w:pos="608"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Maximum exposure to losses represents our exposure through our continuing involvement as servicer, through our retained interests, and legal or contractual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3" w:name="page34"/>
    <w:bookmarkEnd w:id="3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Investments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 and Securities Available for Sale</w:t>
      </w:r>
    </w:p>
    <w:p>
      <w:pPr>
        <w:spacing w:after="0" w:line="250" w:lineRule="exact"/>
        <w:rPr>
          <w:sz w:val="20"/>
          <w:szCs w:val="20"/>
          <w:color w:val="auto"/>
        </w:rPr>
      </w:pPr>
    </w:p>
    <w:p>
      <w:pPr>
        <w:ind w:right="160" w:firstLine="620"/>
        <w:spacing w:after="0" w:line="288" w:lineRule="auto"/>
        <w:rPr>
          <w:sz w:val="20"/>
          <w:szCs w:val="20"/>
          <w:color w:val="auto"/>
        </w:rPr>
      </w:pPr>
      <w:r>
        <w:rPr>
          <w:rFonts w:ascii="Times New Roman" w:cs="Times New Roman" w:eastAsia="Times New Roman" w:hAnsi="Times New Roman"/>
          <w:sz w:val="17"/>
          <w:szCs w:val="17"/>
          <w:color w:val="auto"/>
        </w:rPr>
        <w:t>Cash and cash equivalents and securities available for sale, at fair value, consist of the following as of each date presented within the interim condensed consolidated balance sheets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Pr>
          <w:p>
            <w:pPr>
              <w:spacing w:after="0"/>
              <w:rPr>
                <w:sz w:val="18"/>
                <w:szCs w:val="18"/>
                <w:color w:val="auto"/>
              </w:rPr>
            </w:pPr>
          </w:p>
        </w:tc>
        <w:tc>
          <w:tcPr>
            <w:tcW w:w="1640" w:type="dxa"/>
            <w:vAlign w:val="bottom"/>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0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20"/>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140,681</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70,920</w:t>
            </w:r>
          </w:p>
        </w:tc>
      </w:tr>
      <w:tr>
        <w:trPr>
          <w:trHeight w:val="22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Agency bonds</w:t>
            </w: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3,493</w:t>
            </w:r>
          </w:p>
        </w:tc>
      </w:tr>
      <w:tr>
        <w:trPr>
          <w:trHeight w:val="220"/>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12,564</w:t>
            </w:r>
          </w:p>
        </w:tc>
      </w:tr>
      <w:tr>
        <w:trPr>
          <w:trHeight w:val="22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Government bonds - US</w:t>
            </w: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39,008</w:t>
            </w:r>
          </w:p>
        </w:tc>
      </w:tr>
      <w:tr>
        <w:trPr>
          <w:trHeight w:val="220"/>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Corporate bonds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264,199</w:t>
            </w:r>
          </w:p>
        </w:tc>
      </w:tr>
      <w:tr>
        <w:trPr>
          <w:trHeight w:val="22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126,761</w:t>
            </w:r>
          </w:p>
        </w:tc>
      </w:tr>
      <w:tr>
        <w:trPr>
          <w:trHeight w:val="220"/>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Agency bonds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7,854</w:t>
            </w:r>
          </w:p>
        </w:tc>
      </w:tr>
      <w:tr>
        <w:trPr>
          <w:trHeight w:val="22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Municipal bonds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6,076</w:t>
            </w:r>
          </w:p>
        </w:tc>
      </w:tr>
      <w:tr>
        <w:trPr>
          <w:trHeight w:val="220"/>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Government bonds</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0"/>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Non-US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5,340</w:t>
            </w:r>
          </w:p>
        </w:tc>
      </w:tr>
      <w:tr>
        <w:trPr>
          <w:trHeight w:val="220"/>
        </w:trPr>
        <w:tc>
          <w:tcPr>
            <w:tcW w:w="7200" w:type="dxa"/>
            <w:vAlign w:val="bottom"/>
          </w:tcPr>
          <w:p>
            <w:pPr>
              <w:ind w:left="220"/>
              <w:spacing w:after="0" w:line="220" w:lineRule="exact"/>
              <w:rPr>
                <w:sz w:val="20"/>
                <w:szCs w:val="20"/>
                <w:color w:val="auto"/>
              </w:rPr>
            </w:pPr>
            <w:r>
              <w:rPr>
                <w:rFonts w:ascii="Times New Roman" w:cs="Times New Roman" w:eastAsia="Times New Roman" w:hAnsi="Times New Roman"/>
                <w:sz w:val="25"/>
                <w:szCs w:val="25"/>
                <w:color w:val="auto"/>
                <w:vertAlign w:val="subscript"/>
              </w:rPr>
              <w:t>US</w:t>
            </w:r>
            <w:r>
              <w:rPr>
                <w:rFonts w:ascii="Times New Roman" w:cs="Times New Roman" w:eastAsia="Times New Roman" w:hAnsi="Times New Roman"/>
                <w:sz w:val="10"/>
                <w:szCs w:val="10"/>
                <w:color w:val="auto"/>
              </w:rPr>
              <w:t xml:space="preserve"> (1)</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300,622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344,434</w:t>
            </w:r>
          </w:p>
        </w:tc>
      </w:tr>
      <w:tr>
        <w:trPr>
          <w:trHeight w:val="220"/>
        </w:trPr>
        <w:tc>
          <w:tcPr>
            <w:tcW w:w="72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Securitization notes receivable and certificates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75,469</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953,123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963,397</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620" w:right="220" w:hanging="307"/>
        <w:spacing w:after="0" w:line="230" w:lineRule="auto"/>
        <w:tabs>
          <w:tab w:leader="none" w:pos="6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2025 and June 30, 2025, these securities include $74.6 million and $75.4 million, respectively, pledged as collateral in connection with our standby letters of credit for office leases and certain commercial agreements.</w:t>
      </w:r>
    </w:p>
    <w:p>
      <w:pPr>
        <w:ind w:left="620" w:right="260" w:hanging="307"/>
        <w:spacing w:after="0" w:line="221" w:lineRule="auto"/>
        <w:tabs>
          <w:tab w:leader="none" w:pos="6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These securities include $23.4 million and $34.5 million as of September 30, 2025 and June 30, 2025, respectively, pledged as collateral in connection with sale and repurchase agreements as discussed within Note 8.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Securities Available for Sale, at Fair Value</w:t>
      </w:r>
    </w:p>
    <w:p>
      <w:pPr>
        <w:spacing w:after="0" w:line="248"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The amortized cost, gross unrealized gains and losses, allowance for credit losses, and fair value of securities available for sale as of September 30, 2025 and June 30, 2025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3"/>
                <w:szCs w:val="13"/>
                <w:color w:val="auto"/>
              </w:rPr>
            </w:pPr>
          </w:p>
        </w:tc>
        <w:tc>
          <w:tcPr>
            <w:tcW w:w="136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6"/>
                <w:szCs w:val="16"/>
                <w:b w:val="1"/>
                <w:bCs w:val="1"/>
                <w:color w:val="auto"/>
                <w:w w:val="96"/>
              </w:rPr>
              <w:t>Gross Unrealized</w:t>
            </w: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6"/>
                <w:szCs w:val="16"/>
                <w:b w:val="1"/>
                <w:bCs w:val="1"/>
                <w:color w:val="auto"/>
                <w:w w:val="96"/>
              </w:rPr>
              <w:t>Gross Unrealized</w:t>
            </w:r>
          </w:p>
        </w:tc>
        <w:tc>
          <w:tcPr>
            <w:tcW w:w="160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6"/>
                <w:szCs w:val="16"/>
                <w:b w:val="1"/>
                <w:bCs w:val="1"/>
                <w:color w:val="auto"/>
                <w:w w:val="97"/>
              </w:rPr>
              <w:t>Allowance for Credit</w:t>
            </w:r>
          </w:p>
        </w:tc>
        <w:tc>
          <w:tcPr>
            <w:tcW w:w="220" w:type="dxa"/>
            <w:vAlign w:val="bottom"/>
          </w:tcPr>
          <w:p>
            <w:pPr>
              <w:spacing w:after="0"/>
              <w:rPr>
                <w:sz w:val="13"/>
                <w:szCs w:val="13"/>
                <w:color w:val="auto"/>
              </w:rPr>
            </w:pPr>
          </w:p>
        </w:tc>
        <w:tc>
          <w:tcPr>
            <w:tcW w:w="116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Gains</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320" w:type="dxa"/>
            <w:vAlign w:val="bottom"/>
          </w:tcPr>
          <w:p>
            <w:pPr>
              <w:spacing w:after="0"/>
              <w:rPr>
                <w:sz w:val="17"/>
                <w:szCs w:val="17"/>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48,807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48,869</w:t>
            </w:r>
          </w:p>
        </w:tc>
        <w:tc>
          <w:tcPr>
            <w:tcW w:w="0" w:type="dxa"/>
            <w:vAlign w:val="bottom"/>
          </w:tcPr>
          <w:p>
            <w:pPr>
              <w:spacing w:after="0"/>
              <w:rPr>
                <w:sz w:val="1"/>
                <w:szCs w:val="1"/>
                <w:color w:val="auto"/>
              </w:rPr>
            </w:pP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260,468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261,399</w:t>
            </w:r>
          </w:p>
        </w:tc>
        <w:tc>
          <w:tcPr>
            <w:tcW w:w="0" w:type="dxa"/>
            <w:vAlign w:val="bottom"/>
          </w:tcPr>
          <w:p>
            <w:pPr>
              <w:spacing w:after="0"/>
              <w:rPr>
                <w:sz w:val="1"/>
                <w:szCs w:val="1"/>
                <w:color w:val="auto"/>
              </w:rPr>
            </w:pPr>
          </w:p>
        </w:tc>
      </w:tr>
      <w:tr>
        <w:trPr>
          <w:trHeight w:val="22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121,998</w:t>
            </w:r>
          </w:p>
        </w:tc>
        <w:tc>
          <w:tcPr>
            <w:tcW w:w="0" w:type="dxa"/>
            <w:vAlign w:val="bottom"/>
          </w:tcPr>
          <w:p>
            <w:pPr>
              <w:spacing w:after="0"/>
              <w:rPr>
                <w:sz w:val="1"/>
                <w:szCs w:val="1"/>
                <w:color w:val="auto"/>
              </w:rPr>
            </w:pP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4,998</w:t>
            </w:r>
          </w:p>
        </w:tc>
        <w:tc>
          <w:tcPr>
            <w:tcW w:w="0" w:type="dxa"/>
            <w:vAlign w:val="bottom"/>
          </w:tcPr>
          <w:p>
            <w:pPr>
              <w:spacing w:after="0"/>
              <w:rPr>
                <w:sz w:val="1"/>
                <w:szCs w:val="1"/>
                <w:color w:val="auto"/>
              </w:rPr>
            </w:pPr>
          </w:p>
        </w:tc>
      </w:tr>
      <w:tr>
        <w:trPr>
          <w:trHeight w:val="22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Municipal bonds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9,054</w:t>
            </w:r>
          </w:p>
        </w:tc>
        <w:tc>
          <w:tcPr>
            <w:tcW w:w="0" w:type="dxa"/>
            <w:vAlign w:val="bottom"/>
          </w:tcPr>
          <w:p>
            <w:pPr>
              <w:spacing w:after="0"/>
              <w:rPr>
                <w:sz w:val="1"/>
                <w:szCs w:val="1"/>
                <w:color w:val="auto"/>
              </w:rPr>
            </w:pP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 bonds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Non-US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0" w:type="dxa"/>
            <w:vAlign w:val="bottom"/>
          </w:tcPr>
          <w:p>
            <w:pPr>
              <w:spacing w:after="0"/>
              <w:rPr>
                <w:sz w:val="1"/>
                <w:szCs w:val="1"/>
                <w:color w:val="auto"/>
              </w:rPr>
            </w:pPr>
          </w:p>
        </w:tc>
      </w:tr>
      <w:tr>
        <w:trPr>
          <w:trHeight w:val="220"/>
        </w:trPr>
        <w:tc>
          <w:tcPr>
            <w:tcW w:w="3740" w:type="dxa"/>
            <w:vAlign w:val="bottom"/>
          </w:tcPr>
          <w:p>
            <w:pPr>
              <w:ind w:left="240"/>
              <w:spacing w:after="0" w:line="220" w:lineRule="exact"/>
              <w:rPr>
                <w:sz w:val="20"/>
                <w:szCs w:val="20"/>
                <w:color w:val="auto"/>
              </w:rPr>
            </w:pPr>
            <w:r>
              <w:rPr>
                <w:rFonts w:ascii="Times New Roman" w:cs="Times New Roman" w:eastAsia="Times New Roman" w:hAnsi="Times New Roman"/>
                <w:sz w:val="25"/>
                <w:szCs w:val="25"/>
                <w:color w:val="auto"/>
                <w:vertAlign w:val="subscript"/>
              </w:rPr>
              <w:t>US</w:t>
            </w:r>
            <w:r>
              <w:rPr>
                <w:rFonts w:ascii="Times New Roman" w:cs="Times New Roman" w:eastAsia="Times New Roman" w:hAnsi="Times New Roman"/>
                <w:sz w:val="10"/>
                <w:szCs w:val="10"/>
                <w:color w:val="auto"/>
              </w:rPr>
              <w:t xml:space="preserve"> (2)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300,622</w:t>
            </w:r>
          </w:p>
        </w:tc>
        <w:tc>
          <w:tcPr>
            <w:tcW w:w="0" w:type="dxa"/>
            <w:vAlign w:val="bottom"/>
          </w:tcPr>
          <w:p>
            <w:pPr>
              <w:spacing w:after="0"/>
              <w:rPr>
                <w:sz w:val="1"/>
                <w:szCs w:val="1"/>
                <w:color w:val="auto"/>
              </w:rPr>
            </w:pPr>
          </w:p>
        </w:tc>
      </w:tr>
      <w:tr>
        <w:trPr>
          <w:trHeight w:val="220"/>
        </w:trPr>
        <w:tc>
          <w:tcPr>
            <w:tcW w:w="37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Securitization notes receivable and certificates </w:t>
            </w:r>
            <w:r>
              <w:rPr>
                <w:rFonts w:ascii="Times New Roman" w:cs="Times New Roman" w:eastAsia="Times New Roman" w:hAnsi="Times New Roman"/>
                <w:sz w:val="22"/>
                <w:szCs w:val="22"/>
                <w:color w:val="auto"/>
                <w:vertAlign w:val="superscript"/>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(753)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54,263</w:t>
            </w:r>
          </w:p>
        </w:tc>
        <w:tc>
          <w:tcPr>
            <w:tcW w:w="0" w:type="dxa"/>
            <w:vAlign w:val="bottom"/>
          </w:tcPr>
          <w:p>
            <w:pPr>
              <w:spacing w:after="0"/>
              <w:rPr>
                <w:sz w:val="1"/>
                <w:szCs w:val="1"/>
                <w:color w:val="auto"/>
              </w:rPr>
            </w:pP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w:t>
            </w:r>
          </w:p>
        </w:tc>
        <w:tc>
          <w:tcPr>
            <w:tcW w:w="0" w:type="dxa"/>
            <w:vAlign w:val="bottom"/>
          </w:tcPr>
          <w:p>
            <w:pPr>
              <w:spacing w:after="0"/>
              <w:rPr>
                <w:sz w:val="1"/>
                <w:szCs w:val="1"/>
                <w:color w:val="auto"/>
              </w:rPr>
            </w:pPr>
          </w:p>
        </w:tc>
      </w:tr>
      <w:tr>
        <w:trPr>
          <w:trHeight w:val="22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5,019</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securities available for sale</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811,133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(753)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812,442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3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00" w:type="dxa"/>
            <w:vAlign w:val="bottom"/>
          </w:tcPr>
          <w:p>
            <w:pPr>
              <w:spacing w:after="0"/>
              <w:rPr>
                <w:sz w:val="13"/>
                <w:szCs w:val="13"/>
                <w:color w:val="auto"/>
              </w:rPr>
            </w:pPr>
          </w:p>
        </w:tc>
        <w:tc>
          <w:tcPr>
            <w:tcW w:w="136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6"/>
                <w:szCs w:val="16"/>
                <w:b w:val="1"/>
                <w:bCs w:val="1"/>
                <w:color w:val="auto"/>
                <w:w w:val="96"/>
              </w:rPr>
              <w:t>Gross Unrealized</w:t>
            </w: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6"/>
                <w:szCs w:val="16"/>
                <w:b w:val="1"/>
                <w:bCs w:val="1"/>
                <w:color w:val="auto"/>
                <w:w w:val="96"/>
              </w:rPr>
              <w:t>Gross Unrealized</w:t>
            </w:r>
          </w:p>
        </w:tc>
        <w:tc>
          <w:tcPr>
            <w:tcW w:w="1600" w:type="dxa"/>
            <w:vAlign w:val="bottom"/>
            <w:gridSpan w:val="3"/>
          </w:tcPr>
          <w:p>
            <w:pPr>
              <w:jc w:val="center"/>
              <w:ind w:right="120"/>
              <w:spacing w:after="0" w:line="151" w:lineRule="exact"/>
              <w:rPr>
                <w:sz w:val="20"/>
                <w:szCs w:val="20"/>
                <w:color w:val="auto"/>
              </w:rPr>
            </w:pPr>
            <w:r>
              <w:rPr>
                <w:rFonts w:ascii="Times New Roman" w:cs="Times New Roman" w:eastAsia="Times New Roman" w:hAnsi="Times New Roman"/>
                <w:sz w:val="16"/>
                <w:szCs w:val="16"/>
                <w:b w:val="1"/>
                <w:bCs w:val="1"/>
                <w:color w:val="auto"/>
                <w:w w:val="97"/>
              </w:rPr>
              <w:t>Allowance for Credit</w:t>
            </w:r>
          </w:p>
        </w:tc>
        <w:tc>
          <w:tcPr>
            <w:tcW w:w="220" w:type="dxa"/>
            <w:vAlign w:val="bottom"/>
          </w:tcPr>
          <w:p>
            <w:pPr>
              <w:spacing w:after="0"/>
              <w:rPr>
                <w:sz w:val="13"/>
                <w:szCs w:val="13"/>
                <w:color w:val="auto"/>
              </w:rPr>
            </w:pPr>
          </w:p>
        </w:tc>
        <w:tc>
          <w:tcPr>
            <w:tcW w:w="116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5"/>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Gains</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320" w:type="dxa"/>
            <w:vAlign w:val="bottom"/>
          </w:tcPr>
          <w:p>
            <w:pPr>
              <w:spacing w:after="0"/>
              <w:rPr>
                <w:sz w:val="17"/>
                <w:szCs w:val="17"/>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38,990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39,008</w:t>
            </w:r>
          </w:p>
        </w:tc>
        <w:tc>
          <w:tcPr>
            <w:tcW w:w="0" w:type="dxa"/>
            <w:vAlign w:val="bottom"/>
          </w:tcPr>
          <w:p>
            <w:pPr>
              <w:spacing w:after="0"/>
              <w:rPr>
                <w:sz w:val="1"/>
                <w:szCs w:val="1"/>
                <w:color w:val="auto"/>
              </w:rPr>
            </w:pP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263,495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264,199</w:t>
            </w:r>
          </w:p>
        </w:tc>
        <w:tc>
          <w:tcPr>
            <w:tcW w:w="0" w:type="dxa"/>
            <w:vAlign w:val="bottom"/>
          </w:tcPr>
          <w:p>
            <w:pPr>
              <w:spacing w:after="0"/>
              <w:rPr>
                <w:sz w:val="1"/>
                <w:szCs w:val="1"/>
                <w:color w:val="auto"/>
              </w:rPr>
            </w:pPr>
          </w:p>
        </w:tc>
      </w:tr>
      <w:tr>
        <w:trPr>
          <w:trHeight w:val="220"/>
        </w:trPr>
        <w:tc>
          <w:tcPr>
            <w:tcW w:w="37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Commercial paper </w:t>
            </w:r>
            <w:r>
              <w:rPr>
                <w:rFonts w:ascii="Times New Roman" w:cs="Times New Roman" w:eastAsia="Times New Roman" w:hAnsi="Times New Roman"/>
                <w:sz w:val="22"/>
                <w:szCs w:val="22"/>
                <w:color w:val="auto"/>
                <w:vertAlign w:val="superscript"/>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139,325</w:t>
            </w:r>
          </w:p>
        </w:tc>
        <w:tc>
          <w:tcPr>
            <w:tcW w:w="0" w:type="dxa"/>
            <w:vAlign w:val="bottom"/>
          </w:tcPr>
          <w:p>
            <w:pPr>
              <w:spacing w:after="0"/>
              <w:rPr>
                <w:sz w:val="1"/>
                <w:szCs w:val="1"/>
                <w:color w:val="auto"/>
              </w:rPr>
            </w:pPr>
          </w:p>
        </w:tc>
      </w:tr>
      <w:tr>
        <w:trPr>
          <w:trHeight w:val="220"/>
        </w:trPr>
        <w:tc>
          <w:tcPr>
            <w:tcW w:w="374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Agency bonds </w:t>
            </w:r>
            <w:r>
              <w:rPr>
                <w:rFonts w:ascii="Times New Roman" w:cs="Times New Roman" w:eastAsia="Times New Roman" w:hAnsi="Times New Roman"/>
                <w:sz w:val="22"/>
                <w:szCs w:val="22"/>
                <w:color w:val="auto"/>
                <w:vertAlign w:val="superscript"/>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11,347</w:t>
            </w:r>
          </w:p>
        </w:tc>
        <w:tc>
          <w:tcPr>
            <w:tcW w:w="0" w:type="dxa"/>
            <w:vAlign w:val="bottom"/>
          </w:tcPr>
          <w:p>
            <w:pPr>
              <w:spacing w:after="0"/>
              <w:rPr>
                <w:sz w:val="1"/>
                <w:szCs w:val="1"/>
                <w:color w:val="auto"/>
              </w:rPr>
            </w:pPr>
          </w:p>
        </w:tc>
      </w:tr>
      <w:tr>
        <w:trPr>
          <w:trHeight w:val="22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Municipal bonds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6,076</w:t>
            </w:r>
          </w:p>
        </w:tc>
        <w:tc>
          <w:tcPr>
            <w:tcW w:w="0" w:type="dxa"/>
            <w:vAlign w:val="bottom"/>
          </w:tcPr>
          <w:p>
            <w:pPr>
              <w:spacing w:after="0"/>
              <w:rPr>
                <w:sz w:val="1"/>
                <w:szCs w:val="1"/>
                <w:color w:val="auto"/>
              </w:rPr>
            </w:pP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 bonds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Non-US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5,340</w:t>
            </w:r>
          </w:p>
        </w:tc>
        <w:tc>
          <w:tcPr>
            <w:tcW w:w="0" w:type="dxa"/>
            <w:vAlign w:val="bottom"/>
          </w:tcPr>
          <w:p>
            <w:pPr>
              <w:spacing w:after="0"/>
              <w:rPr>
                <w:sz w:val="1"/>
                <w:szCs w:val="1"/>
                <w:color w:val="auto"/>
              </w:rPr>
            </w:pPr>
          </w:p>
        </w:tc>
      </w:tr>
      <w:tr>
        <w:trPr>
          <w:trHeight w:val="220"/>
        </w:trPr>
        <w:tc>
          <w:tcPr>
            <w:tcW w:w="3740" w:type="dxa"/>
            <w:vAlign w:val="bottom"/>
          </w:tcPr>
          <w:p>
            <w:pPr>
              <w:ind w:left="240"/>
              <w:spacing w:after="0" w:line="220" w:lineRule="exact"/>
              <w:rPr>
                <w:sz w:val="20"/>
                <w:szCs w:val="20"/>
                <w:color w:val="auto"/>
              </w:rPr>
            </w:pPr>
            <w:r>
              <w:rPr>
                <w:rFonts w:ascii="Times New Roman" w:cs="Times New Roman" w:eastAsia="Times New Roman" w:hAnsi="Times New Roman"/>
                <w:sz w:val="25"/>
                <w:szCs w:val="25"/>
                <w:color w:val="auto"/>
                <w:vertAlign w:val="subscript"/>
              </w:rPr>
              <w:t>US</w:t>
            </w:r>
            <w:r>
              <w:rPr>
                <w:rFonts w:ascii="Times New Roman" w:cs="Times New Roman" w:eastAsia="Times New Roman" w:hAnsi="Times New Roman"/>
                <w:sz w:val="10"/>
                <w:szCs w:val="10"/>
                <w:color w:val="auto"/>
              </w:rPr>
              <w:t xml:space="preserve"> (2)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349,149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349,429</w:t>
            </w:r>
          </w:p>
        </w:tc>
        <w:tc>
          <w:tcPr>
            <w:tcW w:w="0" w:type="dxa"/>
            <w:vAlign w:val="bottom"/>
          </w:tcPr>
          <w:p>
            <w:pPr>
              <w:spacing w:after="0"/>
              <w:rPr>
                <w:sz w:val="1"/>
                <w:szCs w:val="1"/>
                <w:color w:val="auto"/>
              </w:rPr>
            </w:pPr>
          </w:p>
        </w:tc>
      </w:tr>
      <w:tr>
        <w:trPr>
          <w:trHeight w:val="220"/>
        </w:trPr>
        <w:tc>
          <w:tcPr>
            <w:tcW w:w="37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Securitization notes receivable and certificates </w:t>
            </w:r>
            <w:r>
              <w:rPr>
                <w:rFonts w:ascii="Times New Roman" w:cs="Times New Roman" w:eastAsia="Times New Roman" w:hAnsi="Times New Roman"/>
                <w:sz w:val="22"/>
                <w:szCs w:val="22"/>
                <w:color w:val="auto"/>
                <w:vertAlign w:val="superscript"/>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(941)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75,469</w:t>
            </w:r>
          </w:p>
        </w:tc>
        <w:tc>
          <w:tcPr>
            <w:tcW w:w="0" w:type="dxa"/>
            <w:vAlign w:val="bottom"/>
          </w:tcPr>
          <w:p>
            <w:pPr>
              <w:spacing w:after="0"/>
              <w:rPr>
                <w:sz w:val="1"/>
                <w:szCs w:val="1"/>
                <w:color w:val="auto"/>
              </w:rPr>
            </w:pPr>
          </w:p>
        </w:tc>
      </w:tr>
      <w:tr>
        <w:trPr>
          <w:trHeight w:val="220"/>
        </w:trPr>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0" w:type="dxa"/>
            <w:vAlign w:val="bottom"/>
          </w:tcPr>
          <w:p>
            <w:pPr>
              <w:spacing w:after="0"/>
              <w:rPr>
                <w:sz w:val="1"/>
                <w:szCs w:val="1"/>
                <w:color w:val="auto"/>
              </w:rPr>
            </w:pPr>
          </w:p>
        </w:tc>
      </w:tr>
      <w:tr>
        <w:trPr>
          <w:trHeight w:val="23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securities available for sale</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892,168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(941)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892,477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620" w:right="100" w:hanging="307"/>
        <w:spacing w:after="0" w:line="230" w:lineRule="auto"/>
        <w:tabs>
          <w:tab w:leader="none" w:pos="6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June 30, 2025, Agency bonds, Commercial Paper, and US government bonds included $21.1 million classified as cash and cash equivalents within the interim condensed consolidated balance sheets.</w:t>
      </w:r>
    </w:p>
    <w:p>
      <w:pPr>
        <w:ind w:left="620" w:right="220" w:hanging="307"/>
        <w:spacing w:after="0" w:line="221" w:lineRule="auto"/>
        <w:tabs>
          <w:tab w:leader="none" w:pos="6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2025 and June 30, 2025, these securities include $74.6 million and $75.4 million, respectively, pledged as collateral in connection with our standby letters of credit for office leases and certain commercial agreements.</w:t>
      </w:r>
    </w:p>
    <w:p>
      <w:pPr>
        <w:ind w:left="620" w:right="520" w:hanging="307"/>
        <w:spacing w:after="0" w:line="221" w:lineRule="auto"/>
        <w:tabs>
          <w:tab w:leader="none" w:pos="60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Approximately $23.4 million and $34.5 million as of September 30, 2025 and June 30, 2025, respectively, of these securities have been pledged as collateral in connection with sale and repurchase agreements discussed within Note 8.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firstLine="620"/>
        <w:spacing w:after="0" w:line="288" w:lineRule="auto"/>
        <w:rPr>
          <w:sz w:val="20"/>
          <w:szCs w:val="20"/>
          <w:color w:val="auto"/>
        </w:rPr>
      </w:pPr>
      <w:r>
        <w:rPr>
          <w:rFonts w:ascii="Times New Roman" w:cs="Times New Roman" w:eastAsia="Times New Roman" w:hAnsi="Times New Roman"/>
          <w:sz w:val="17"/>
          <w:szCs w:val="17"/>
          <w:color w:val="auto"/>
        </w:rPr>
        <w:t>As of September 30, 2025 and June 30, 2025, there were no material reversals of prior period allowance for credit losses recognized for available for sale securities.</w:t>
      </w:r>
    </w:p>
    <w:p>
      <w:pPr>
        <w:spacing w:after="0" w:line="177" w:lineRule="exact"/>
        <w:rPr>
          <w:sz w:val="20"/>
          <w:szCs w:val="20"/>
          <w:color w:val="auto"/>
        </w:rPr>
      </w:pPr>
    </w:p>
    <w:p>
      <w:pPr>
        <w:ind w:right="240" w:firstLine="620"/>
        <w:spacing w:after="0" w:line="278" w:lineRule="auto"/>
        <w:rPr>
          <w:sz w:val="20"/>
          <w:szCs w:val="20"/>
          <w:color w:val="auto"/>
        </w:rPr>
      </w:pPr>
      <w:r>
        <w:rPr>
          <w:rFonts w:ascii="Times New Roman" w:cs="Times New Roman" w:eastAsia="Times New Roman" w:hAnsi="Times New Roman"/>
          <w:sz w:val="17"/>
          <w:szCs w:val="17"/>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September 30, 2025 and June 30, 2025,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140" w:type="dxa"/>
            <w:vAlign w:val="bottom"/>
          </w:tcPr>
          <w:p>
            <w:pPr>
              <w:spacing w:after="0"/>
              <w:rPr>
                <w:sz w:val="17"/>
                <w:szCs w:val="17"/>
                <w:color w:val="auto"/>
              </w:rPr>
            </w:pPr>
          </w:p>
        </w:tc>
        <w:tc>
          <w:tcPr>
            <w:tcW w:w="232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180" w:type="dxa"/>
            <w:vAlign w:val="bottom"/>
          </w:tcPr>
          <w:p>
            <w:pPr>
              <w:spacing w:after="0"/>
              <w:rPr>
                <w:sz w:val="17"/>
                <w:szCs w:val="17"/>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56"/>
              <w:spacing w:after="0" w:line="149"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76"/>
              <w:spacing w:after="0" w:line="149"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95"/>
              <w:spacing w:after="0" w:line="149"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14"/>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20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12,069</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12,069</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bonds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Securitization notes receivable and certificates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Total securities available for sale </w:t>
            </w:r>
            <w:r>
              <w:rPr>
                <w:rFonts w:ascii="Times New Roman" w:cs="Times New Roman" w:eastAsia="Times New Roman" w:hAnsi="Times New Roman"/>
                <w:sz w:val="22"/>
                <w:szCs w:val="22"/>
                <w:color w:val="auto"/>
                <w:vertAlign w:val="superscript"/>
              </w:rPr>
              <w:t>(1)</w:t>
            </w:r>
          </w:p>
        </w:tc>
        <w:tc>
          <w:tcPr>
            <w:tcW w:w="200" w:type="dxa"/>
            <w:vAlign w:val="bottom"/>
            <w:tcBorders>
              <w:top w:val="single" w:sz="8" w:color="auto"/>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30,384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7,633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140" w:type="dxa"/>
            <w:vAlign w:val="bottom"/>
          </w:tcPr>
          <w:p>
            <w:pPr>
              <w:spacing w:after="0"/>
              <w:rPr>
                <w:sz w:val="17"/>
                <w:szCs w:val="17"/>
                <w:color w:val="auto"/>
              </w:rPr>
            </w:pPr>
          </w:p>
        </w:tc>
        <w:tc>
          <w:tcPr>
            <w:tcW w:w="232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180" w:type="dxa"/>
            <w:vAlign w:val="bottom"/>
          </w:tcPr>
          <w:p>
            <w:pPr>
              <w:spacing w:after="0"/>
              <w:rPr>
                <w:sz w:val="17"/>
                <w:szCs w:val="17"/>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96"/>
              <w:spacing w:after="0" w:line="149"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76"/>
              <w:spacing w:after="0" w:line="149" w:lineRule="exact"/>
              <w:rPr>
                <w:sz w:val="20"/>
                <w:szCs w:val="20"/>
                <w:color w:val="auto"/>
              </w:rPr>
            </w:pPr>
            <w:r>
              <w:rPr>
                <w:rFonts w:ascii="Times New Roman" w:cs="Times New Roman" w:eastAsia="Times New Roman" w:hAnsi="Times New Roman"/>
                <w:sz w:val="16"/>
                <w:szCs w:val="16"/>
                <w:b w:val="1"/>
                <w:bCs w:val="1"/>
                <w:color w:val="auto"/>
                <w:w w:val="96"/>
              </w:rPr>
              <w:t>Unrealized</w:t>
            </w: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Unrealized Losses</w:t>
            </w: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14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Losses</w:t>
            </w:r>
          </w:p>
        </w:tc>
        <w:tc>
          <w:tcPr>
            <w:tcW w:w="1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0"/>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bonds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Non-US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189,295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189,295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13"/>
        </w:trPr>
        <w:tc>
          <w:tcPr>
            <w:tcW w:w="366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Total securities available for sale </w:t>
            </w:r>
            <w:r>
              <w:rPr>
                <w:rFonts w:ascii="Times New Roman" w:cs="Times New Roman" w:eastAsia="Times New Roman" w:hAnsi="Times New Roman"/>
                <w:sz w:val="22"/>
                <w:szCs w:val="22"/>
                <w:color w:val="auto"/>
                <w:vertAlign w:val="superscript"/>
              </w:rPr>
              <w:t>(1)</w:t>
            </w: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338,059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16,978</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355,037</w:t>
            </w:r>
          </w:p>
        </w:tc>
        <w:tc>
          <w:tcPr>
            <w:tcW w:w="1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620" w:right="60" w:hanging="307"/>
        <w:spacing w:after="0" w:line="230" w:lineRule="auto"/>
        <w:tabs>
          <w:tab w:leader="none" w:pos="608"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number of securities with unrealized losses for which an allowance for credit losses has not been recorded totaled 8 and 67 as of September 30, 2025 and June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length of time to contractual maturities of securities available for sale as of September 30, 2025 and June 30, 2025 were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September 30, 2025</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80" w:type="dxa"/>
            <w:vAlign w:val="bottom"/>
            <w:gridSpan w:val="8"/>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8"/>
          </w:tcPr>
          <w:p>
            <w:pPr>
              <w:jc w:val="center"/>
              <w:ind w:right="280"/>
              <w:spacing w:after="0" w:line="151" w:lineRule="exact"/>
              <w:rPr>
                <w:sz w:val="20"/>
                <w:szCs w:val="20"/>
                <w:color w:val="auto"/>
              </w:rPr>
            </w:pPr>
            <w:r>
              <w:rPr>
                <w:rFonts w:ascii="Times New Roman" w:cs="Times New Roman" w:eastAsia="Times New Roman" w:hAnsi="Times New Roman"/>
                <w:sz w:val="16"/>
                <w:szCs w:val="16"/>
                <w:b w:val="1"/>
                <w:bCs w:val="1"/>
                <w:color w:val="auto"/>
                <w:w w:val="96"/>
              </w:rPr>
              <w:t>Greater than 1 year, less than or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5"/>
            <w:vMerge w:val="restart"/>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gridSpan w:val="8"/>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equal to 5 years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5"/>
            <w:vMerge w:val="continue"/>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360" w:type="dxa"/>
            <w:vAlign w:val="bottom"/>
            <w:tcBorders>
              <w:top w:val="single" w:sz="8" w:color="auto"/>
            </w:tcBorders>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48,807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48,869</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48,807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167,469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260,468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121,914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Agency bonds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Municipal bonds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 bonds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Non-US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264,844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265,209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35,413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300,082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300,622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3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Securitization notes receivable and</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34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7"/>
                <w:szCs w:val="17"/>
                <w:color w:val="auto"/>
              </w:rPr>
              <w:t xml:space="preserve">certificates </w:t>
            </w:r>
            <w:r>
              <w:rPr>
                <w:rFonts w:ascii="Times New Roman" w:cs="Times New Roman" w:eastAsia="Times New Roman" w:hAnsi="Times New Roman"/>
                <w:sz w:val="22"/>
                <w:szCs w:val="22"/>
                <w:color w:val="auto"/>
                <w:vertAlign w:val="superscript"/>
              </w:rPr>
              <w:t>(2)</w:t>
            </w: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54,263</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54,892</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securities available for sale</w:t>
            </w:r>
          </w:p>
        </w:tc>
        <w:tc>
          <w:tcPr>
            <w:tcW w:w="360" w:type="dxa"/>
            <w:vAlign w:val="bottom"/>
            <w:tcBorders>
              <w:bottom w:val="single" w:sz="8" w:color="auto"/>
            </w:tcBorders>
            <w:gridSpan w:val="2"/>
          </w:tcPr>
          <w:p>
            <w:pPr>
              <w:jc w:val="right"/>
              <w:ind w:right="178"/>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611,941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612,804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199,192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199,638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bottom w:val="single" w:sz="8" w:color="auto"/>
            </w:tcBorders>
            <w:gridSpan w:val="2"/>
          </w:tcPr>
          <w:p>
            <w:pPr>
              <w:jc w:val="right"/>
              <w:ind w:right="198"/>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811,133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80" w:type="dxa"/>
            <w:vAlign w:val="bottom"/>
            <w:gridSpan w:val="8"/>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8"/>
          </w:tcPr>
          <w:p>
            <w:pPr>
              <w:jc w:val="center"/>
              <w:ind w:right="160"/>
              <w:spacing w:after="0" w:line="151" w:lineRule="exact"/>
              <w:rPr>
                <w:sz w:val="20"/>
                <w:szCs w:val="20"/>
                <w:color w:val="auto"/>
              </w:rPr>
            </w:pPr>
            <w:r>
              <w:rPr>
                <w:rFonts w:ascii="Times New Roman" w:cs="Times New Roman" w:eastAsia="Times New Roman" w:hAnsi="Times New Roman"/>
                <w:sz w:val="16"/>
                <w:szCs w:val="16"/>
                <w:b w:val="1"/>
                <w:bCs w:val="1"/>
                <w:color w:val="auto"/>
                <w:w w:val="96"/>
              </w:rPr>
              <w:t>Greater than 1 year, less than or</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gridSpan w:val="8"/>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8"/>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equal to 5 years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5"/>
            <w:vMerge w:val="continue"/>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Certificates of deposit</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38,990</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39,008</w:t>
            </w: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38,990</w:t>
            </w: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39,008</w:t>
            </w: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bonds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149,675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263,495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264,199</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Commercial paper </w:t>
            </w:r>
            <w:r>
              <w:rPr>
                <w:rFonts w:ascii="Times New Roman" w:cs="Times New Roman" w:eastAsia="Times New Roman" w:hAnsi="Times New Roman"/>
                <w:sz w:val="22"/>
                <w:szCs w:val="22"/>
                <w:color w:val="auto"/>
                <w:vertAlign w:val="superscript"/>
              </w:rPr>
              <w:t>(1)</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139,336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139,336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139,325</w:t>
            </w: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Agency bonds </w:t>
            </w:r>
            <w:r>
              <w:rPr>
                <w:rFonts w:ascii="Times New Roman" w:cs="Times New Roman" w:eastAsia="Times New Roman" w:hAnsi="Times New Roman"/>
                <w:sz w:val="22"/>
                <w:szCs w:val="22"/>
                <w:color w:val="auto"/>
                <w:vertAlign w:val="superscript"/>
              </w:rPr>
              <w:t>(1)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11,347</w:t>
            </w: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Municipal bonds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6,076</w:t>
            </w: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 bonds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Non-US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5,340</w:t>
            </w:r>
          </w:p>
        </w:tc>
        <w:tc>
          <w:tcPr>
            <w:tcW w:w="0" w:type="dxa"/>
            <w:vAlign w:val="bottom"/>
          </w:tcPr>
          <w:p>
            <w:pPr>
              <w:spacing w:after="0"/>
              <w:rPr>
                <w:sz w:val="1"/>
                <w:szCs w:val="1"/>
                <w:color w:val="auto"/>
              </w:rPr>
            </w:pPr>
          </w:p>
        </w:tc>
      </w:tr>
      <w:tr>
        <w:trPr>
          <w:trHeight w:val="220"/>
        </w:trPr>
        <w:tc>
          <w:tcPr>
            <w:tcW w:w="3340" w:type="dxa"/>
            <w:vAlign w:val="bottom"/>
          </w:tcPr>
          <w:p>
            <w:pPr>
              <w:ind w:left="120"/>
              <w:spacing w:after="0" w:line="220" w:lineRule="exact"/>
              <w:rPr>
                <w:sz w:val="20"/>
                <w:szCs w:val="20"/>
                <w:color w:val="auto"/>
              </w:rPr>
            </w:pPr>
            <w:r>
              <w:rPr>
                <w:rFonts w:ascii="Times New Roman" w:cs="Times New Roman" w:eastAsia="Times New Roman" w:hAnsi="Times New Roman"/>
                <w:sz w:val="25"/>
                <w:szCs w:val="25"/>
                <w:color w:val="auto"/>
                <w:vertAlign w:val="subscript"/>
              </w:rPr>
              <w:t>US</w:t>
            </w:r>
            <w:r>
              <w:rPr>
                <w:rFonts w:ascii="Times New Roman" w:cs="Times New Roman" w:eastAsia="Times New Roman" w:hAnsi="Times New Roman"/>
                <w:sz w:val="10"/>
                <w:szCs w:val="10"/>
                <w:color w:val="auto"/>
              </w:rPr>
              <w:t xml:space="preserve"> (1)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326,884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327,076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22,353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349,149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349,429</w:t>
            </w:r>
          </w:p>
        </w:tc>
        <w:tc>
          <w:tcPr>
            <w:tcW w:w="0" w:type="dxa"/>
            <w:vAlign w:val="bottom"/>
          </w:tcPr>
          <w:p>
            <w:pPr>
              <w:spacing w:after="0"/>
              <w:rPr>
                <w:sz w:val="1"/>
                <w:szCs w:val="1"/>
                <w:color w:val="auto"/>
              </w:rPr>
            </w:pPr>
          </w:p>
        </w:tc>
      </w:tr>
      <w:tr>
        <w:trPr>
          <w:trHeight w:val="168"/>
        </w:trPr>
        <w:tc>
          <w:tcPr>
            <w:tcW w:w="33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Securitization notes receivable and certificates</w:t>
            </w: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40" w:type="dxa"/>
            <w:vAlign w:val="bottom"/>
            <w:tcBorders>
              <w:bottom w:val="single" w:sz="8" w:color="CCEEFF"/>
            </w:tcBorders>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(2)</w:t>
            </w:r>
          </w:p>
        </w:tc>
        <w:tc>
          <w:tcPr>
            <w:tcW w:w="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gridSpan w:val="3"/>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gridSpan w:val="3"/>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7"/>
                <w:szCs w:val="17"/>
                <w:color w:val="auto"/>
              </w:rPr>
              <w:t>76,279</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7"/>
                <w:szCs w:val="17"/>
                <w:color w:val="auto"/>
              </w:rPr>
              <w:t>75,469</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7"/>
                <w:szCs w:val="17"/>
                <w:color w:val="auto"/>
              </w:rPr>
              <w:t>76,279</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ind w:right="60"/>
              <w:spacing w:after="0" w:line="148" w:lineRule="exact"/>
              <w:rPr>
                <w:sz w:val="20"/>
                <w:szCs w:val="20"/>
                <w:color w:val="auto"/>
              </w:rPr>
            </w:pPr>
            <w:r>
              <w:rPr>
                <w:rFonts w:ascii="Times New Roman" w:cs="Times New Roman" w:eastAsia="Times New Roman" w:hAnsi="Times New Roman"/>
                <w:sz w:val="17"/>
                <w:szCs w:val="17"/>
                <w:color w:val="auto"/>
              </w:rPr>
              <w:t>75,469</w:t>
            </w:r>
          </w:p>
        </w:tc>
        <w:tc>
          <w:tcPr>
            <w:tcW w:w="0" w:type="dxa"/>
            <w:vAlign w:val="bottom"/>
          </w:tcPr>
          <w:p>
            <w:pPr>
              <w:spacing w:after="0"/>
              <w:rPr>
                <w:sz w:val="1"/>
                <w:szCs w:val="1"/>
                <w:color w:val="auto"/>
              </w:rPr>
            </w:pPr>
          </w:p>
        </w:tc>
      </w:tr>
      <w:tr>
        <w:trPr>
          <w:trHeight w:val="220"/>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2,284</w:t>
            </w:r>
          </w:p>
        </w:tc>
        <w:tc>
          <w:tcPr>
            <w:tcW w:w="0" w:type="dxa"/>
            <w:vAlign w:val="bottom"/>
          </w:tcPr>
          <w:p>
            <w:pPr>
              <w:spacing w:after="0"/>
              <w:rPr>
                <w:sz w:val="1"/>
                <w:szCs w:val="1"/>
                <w:color w:val="auto"/>
              </w:rPr>
            </w:pPr>
          </w:p>
        </w:tc>
      </w:tr>
      <w:tr>
        <w:trPr>
          <w:trHeight w:val="23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securities available for sale</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673,109</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673,543</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219,059</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218,934</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892,168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892,477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620" w:right="100" w:hanging="307"/>
        <w:spacing w:after="0" w:line="230" w:lineRule="auto"/>
        <w:tabs>
          <w:tab w:leader="none" w:pos="608"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June 30, 2025, Agency bonds, Commercial paper, and US government bonds included $21.1 million classified as cash and cash equivalents within the interim condensed consolidated balance sheets.</w:t>
      </w:r>
    </w:p>
    <w:p>
      <w:pPr>
        <w:ind w:left="620" w:hanging="307"/>
        <w:spacing w:after="0" w:line="196" w:lineRule="auto"/>
        <w:tabs>
          <w:tab w:leader="none" w:pos="62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Based on weighted average life of expected cash flows as of September 30, 2025 and June 30, 2025.</w:t>
      </w:r>
    </w:p>
    <w:p>
      <w:pPr>
        <w:spacing w:after="0" w:line="216" w:lineRule="exact"/>
        <w:rPr>
          <w:sz w:val="20"/>
          <w:szCs w:val="20"/>
          <w:color w:val="auto"/>
        </w:rPr>
      </w:pPr>
    </w:p>
    <w:p>
      <w:pPr>
        <w:ind w:right="160" w:firstLine="620"/>
        <w:spacing w:after="0" w:line="288" w:lineRule="auto"/>
        <w:rPr>
          <w:sz w:val="20"/>
          <w:szCs w:val="20"/>
          <w:color w:val="auto"/>
        </w:rPr>
      </w:pPr>
      <w:r>
        <w:rPr>
          <w:rFonts w:ascii="Times New Roman" w:cs="Times New Roman" w:eastAsia="Times New Roman" w:hAnsi="Times New Roman"/>
          <w:sz w:val="17"/>
          <w:szCs w:val="17"/>
          <w:color w:val="auto"/>
        </w:rPr>
        <w:t>Gross proceeds from matured or redeemed securities were $230.5 million and $303.4 million for the three months ended September 30, 2025 and 2024, respectively.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available for sale securities, no gains and losses were realized for the three months ended September 30, 2025 and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Securities Held at Cost</w:t>
      </w:r>
    </w:p>
    <w:p>
      <w:pPr>
        <w:spacing w:after="0" w:line="250" w:lineRule="exact"/>
        <w:rPr>
          <w:sz w:val="20"/>
          <w:szCs w:val="20"/>
          <w:color w:val="auto"/>
        </w:rPr>
      </w:pPr>
    </w:p>
    <w:p>
      <w:pPr>
        <w:ind w:right="320" w:firstLine="620"/>
        <w:spacing w:after="0" w:line="288" w:lineRule="auto"/>
        <w:rPr>
          <w:sz w:val="20"/>
          <w:szCs w:val="20"/>
          <w:color w:val="auto"/>
        </w:rPr>
      </w:pPr>
      <w:r>
        <w:rPr>
          <w:rFonts w:ascii="Times New Roman" w:cs="Times New Roman" w:eastAsia="Times New Roman" w:hAnsi="Times New Roman"/>
          <w:sz w:val="17"/>
          <w:szCs w:val="17"/>
          <w:color w:val="auto"/>
        </w:rPr>
        <w:t>Equity security investments without a readily determinable fair value held at cost were $40.4 million and $40.3 million as of September 30, 2025 and June 30, 2025, respectively, and are included in other assets within the interim condensed consolidated balance sheets.</w:t>
      </w:r>
    </w:p>
    <w:p>
      <w:pPr>
        <w:spacing w:after="0" w:line="177" w:lineRule="exact"/>
        <w:rPr>
          <w:sz w:val="20"/>
          <w:szCs w:val="20"/>
          <w:color w:val="auto"/>
        </w:rPr>
      </w:pPr>
    </w:p>
    <w:p>
      <w:pPr>
        <w:jc w:val="both"/>
        <w:ind w:right="40" w:firstLine="620"/>
        <w:spacing w:after="0" w:line="270" w:lineRule="auto"/>
        <w:rPr>
          <w:sz w:val="20"/>
          <w:szCs w:val="20"/>
          <w:color w:val="auto"/>
        </w:rPr>
      </w:pPr>
      <w:r>
        <w:rPr>
          <w:rFonts w:ascii="Times New Roman" w:cs="Times New Roman" w:eastAsia="Times New Roman" w:hAnsi="Times New Roman"/>
          <w:sz w:val="17"/>
          <w:szCs w:val="17"/>
          <w:color w:val="auto"/>
        </w:rPr>
        <w:t>We did not record any impairment during the three months ended September 30, 2025. We recognized an impairment of $3.0 million for the three months ended September 30, 2024 within other income, net in the interim consolidated statements of operations and comprehensive income (loss) in connection with one of our non-marketable equity security investments.</w:t>
      </w:r>
    </w:p>
    <w:p>
      <w:pPr>
        <w:spacing w:after="0" w:line="193" w:lineRule="exact"/>
        <w:rPr>
          <w:sz w:val="20"/>
          <w:szCs w:val="20"/>
          <w:color w:val="auto"/>
        </w:rPr>
      </w:pPr>
    </w:p>
    <w:p>
      <w:pPr>
        <w:ind w:right="640" w:firstLine="620"/>
        <w:spacing w:after="0" w:line="288" w:lineRule="auto"/>
        <w:rPr>
          <w:sz w:val="20"/>
          <w:szCs w:val="20"/>
          <w:color w:val="auto"/>
        </w:rPr>
      </w:pPr>
      <w:r>
        <w:rPr>
          <w:rFonts w:ascii="Times New Roman" w:cs="Times New Roman" w:eastAsia="Times New Roman" w:hAnsi="Times New Roman"/>
          <w:sz w:val="17"/>
          <w:szCs w:val="17"/>
          <w:color w:val="auto"/>
        </w:rPr>
        <w:t>For the three months ended September 30, 2025 and 2024, there were no upward or downward adjustments due to observable changes in orderly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Derivative Financial Instruments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total fair value, including interest accruals, and outstanding notional amounts of derivative instruments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2025 and June 30, 2025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161"/>
        </w:trPr>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234"/>
              <w:spacing w:after="0" w:line="161" w:lineRule="exact"/>
              <w:rPr>
                <w:sz w:val="20"/>
                <w:szCs w:val="20"/>
                <w:color w:val="auto"/>
              </w:rPr>
            </w:pPr>
            <w:r>
              <w:rPr>
                <w:rFonts w:ascii="Times New Roman" w:cs="Times New Roman" w:eastAsia="Times New Roman" w:hAnsi="Times New Roman"/>
                <w:sz w:val="17"/>
                <w:szCs w:val="17"/>
                <w:b w:val="1"/>
                <w:bCs w:val="1"/>
                <w:color w:val="auto"/>
              </w:rPr>
              <w:t>Notional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7"/>
                <w:szCs w:val="17"/>
                <w:b w:val="1"/>
                <w:bCs w:val="1"/>
                <w:color w:val="auto"/>
              </w:rPr>
              <w:t>Derivative</w:t>
            </w:r>
          </w:p>
        </w:tc>
        <w:tc>
          <w:tcPr>
            <w:tcW w:w="180" w:type="dxa"/>
            <w:vAlign w:val="bottom"/>
          </w:tcPr>
          <w:p>
            <w:pPr>
              <w:spacing w:after="0"/>
              <w:rPr>
                <w:sz w:val="13"/>
                <w:szCs w:val="13"/>
                <w:color w:val="auto"/>
              </w:rPr>
            </w:pPr>
          </w:p>
        </w:tc>
        <w:tc>
          <w:tcPr>
            <w:tcW w:w="1100" w:type="dxa"/>
            <w:vAlign w:val="bottom"/>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Derivative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7"/>
                <w:szCs w:val="17"/>
                <w:b w:val="1"/>
                <w:bCs w:val="1"/>
                <w:color w:val="auto"/>
              </w:rPr>
              <w:t>Notional</w:t>
            </w:r>
          </w:p>
        </w:tc>
        <w:tc>
          <w:tcPr>
            <w:tcW w:w="120" w:type="dxa"/>
            <w:vAlign w:val="bottom"/>
          </w:tcPr>
          <w:p>
            <w:pPr>
              <w:spacing w:after="0"/>
              <w:rPr>
                <w:sz w:val="13"/>
                <w:szCs w:val="13"/>
                <w:color w:val="auto"/>
              </w:rPr>
            </w:pPr>
          </w:p>
        </w:tc>
        <w:tc>
          <w:tcPr>
            <w:tcW w:w="1240" w:type="dxa"/>
            <w:vAlign w:val="bottom"/>
            <w:gridSpan w:val="2"/>
          </w:tcPr>
          <w:p>
            <w:pPr>
              <w:jc w:val="center"/>
              <w:ind w:right="200"/>
              <w:spacing w:after="0" w:line="161" w:lineRule="exact"/>
              <w:rPr>
                <w:sz w:val="20"/>
                <w:szCs w:val="20"/>
                <w:color w:val="auto"/>
              </w:rPr>
            </w:pPr>
            <w:r>
              <w:rPr>
                <w:rFonts w:ascii="Times New Roman" w:cs="Times New Roman" w:eastAsia="Times New Roman" w:hAnsi="Times New Roman"/>
                <w:sz w:val="17"/>
                <w:szCs w:val="17"/>
                <w:b w:val="1"/>
                <w:bCs w:val="1"/>
                <w:color w:val="auto"/>
              </w:rPr>
              <w:t>Derivative</w:t>
            </w:r>
          </w:p>
        </w:tc>
        <w:tc>
          <w:tcPr>
            <w:tcW w:w="180" w:type="dxa"/>
            <w:vAlign w:val="bottom"/>
          </w:tcPr>
          <w:p>
            <w:pPr>
              <w:spacing w:after="0"/>
              <w:rPr>
                <w:sz w:val="13"/>
                <w:szCs w:val="13"/>
                <w:color w:val="auto"/>
              </w:rPr>
            </w:pPr>
          </w:p>
        </w:tc>
        <w:tc>
          <w:tcPr>
            <w:tcW w:w="1080" w:type="dxa"/>
            <w:vAlign w:val="bottom"/>
          </w:tcPr>
          <w:p>
            <w:pPr>
              <w:jc w:val="right"/>
              <w:ind w:right="154"/>
              <w:spacing w:after="0" w:line="161" w:lineRule="exact"/>
              <w:rPr>
                <w:sz w:val="20"/>
                <w:szCs w:val="20"/>
                <w:color w:val="auto"/>
              </w:rPr>
            </w:pPr>
            <w:r>
              <w:rPr>
                <w:rFonts w:ascii="Times New Roman" w:cs="Times New Roman" w:eastAsia="Times New Roman" w:hAnsi="Times New Roman"/>
                <w:sz w:val="17"/>
                <w:szCs w:val="17"/>
                <w:b w:val="1"/>
                <w:bCs w:val="1"/>
                <w:color w:val="auto"/>
              </w:rPr>
              <w:t>Derivative</w:t>
            </w:r>
          </w:p>
        </w:tc>
      </w:tr>
      <w:tr>
        <w:trPr>
          <w:trHeight w:val="230"/>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tcPr>
          <w:p>
            <w:pPr>
              <w:spacing w:after="0"/>
              <w:rPr>
                <w:sz w:val="20"/>
                <w:szCs w:val="20"/>
                <w:color w:val="auto"/>
              </w:rPr>
            </w:pPr>
          </w:p>
        </w:tc>
        <w:tc>
          <w:tcPr>
            <w:tcW w:w="108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Liabilities</w:t>
            </w:r>
          </w:p>
        </w:tc>
      </w:tr>
      <w:tr>
        <w:trPr>
          <w:trHeight w:val="202"/>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designated as cash flow hedges</w:t>
            </w: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 - cash flow hedges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not designated as hedges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405,074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 sharing assets/liabilities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9,289,767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8,561,709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gross derivative assets/liabilities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9,989,767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43,333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9,066,783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45,823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0"/>
        </w:trPr>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impact of the cash flow hedges on Accumulated Other Comprehensive Income (“AOCI”) (in thousands):</w:t>
      </w:r>
    </w:p>
    <w:p>
      <w:pPr>
        <w:spacing w:after="0" w:line="27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0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26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w:t>
            </w:r>
          </w:p>
        </w:tc>
      </w:tr>
      <w:tr>
        <w:trPr>
          <w:trHeight w:val="220"/>
        </w:trPr>
        <w:tc>
          <w:tcPr>
            <w:tcW w:w="73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Amounts reclassified into earnings </w:t>
            </w:r>
            <w:r>
              <w:rPr>
                <w:rFonts w:ascii="Times New Roman" w:cs="Times New Roman" w:eastAsia="Times New Roman" w:hAnsi="Times New Roman"/>
                <w:sz w:val="22"/>
                <w:szCs w:val="22"/>
                <w:color w:val="auto"/>
                <w:vertAlign w:val="superscript"/>
              </w:rPr>
              <w:t>(1)</w:t>
            </w:r>
          </w:p>
        </w:tc>
        <w:tc>
          <w:tcPr>
            <w:tcW w:w="1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13"/>
        </w:trPr>
        <w:tc>
          <w:tcPr>
            <w:tcW w:w="730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Balance at end of period </w:t>
            </w:r>
            <w:r>
              <w:rPr>
                <w:rFonts w:ascii="Times New Roman" w:cs="Times New Roman" w:eastAsia="Times New Roman" w:hAnsi="Times New Roman"/>
                <w:sz w:val="22"/>
                <w:szCs w:val="22"/>
                <w:color w:val="auto"/>
                <w:vertAlign w:val="superscript"/>
              </w:rPr>
              <w:t>(2)</w:t>
            </w:r>
          </w:p>
        </w:tc>
        <w:tc>
          <w:tcPr>
            <w:tcW w:w="1260" w:type="dxa"/>
            <w:vAlign w:val="bottom"/>
            <w:tcBorders>
              <w:bottom w:val="single" w:sz="8" w:color="auto"/>
            </w:tcBorders>
          </w:tcPr>
          <w:p>
            <w:pPr>
              <w:jc w:val="right"/>
              <w:ind w:right="107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0"/>
        </w:trPr>
        <w:tc>
          <w:tcPr>
            <w:tcW w:w="7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ind w:left="620" w:right="280" w:hanging="307"/>
        <w:spacing w:after="0" w:line="230" w:lineRule="auto"/>
        <w:tabs>
          <w:tab w:leader="none" w:pos="60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amounts reclassified into earnings are presented in the interim condensed consolidated statements of operations and comprehensive income (loss) within funding costs.</w:t>
      </w:r>
    </w:p>
    <w:p>
      <w:pPr>
        <w:ind w:left="620" w:right="200" w:hanging="307"/>
        <w:spacing w:after="0" w:line="221" w:lineRule="auto"/>
        <w:tabs>
          <w:tab w:leader="none" w:pos="608"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2025, we estimated that $0.6 million of net derivative losses included in AOCI are expected to be reclassified into earnings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80" w:firstLine="620"/>
        <w:spacing w:after="0" w:line="275" w:lineRule="auto"/>
        <w:rPr>
          <w:sz w:val="20"/>
          <w:szCs w:val="20"/>
          <w:color w:val="auto"/>
        </w:rPr>
      </w:pPr>
      <w:r>
        <w:rPr>
          <w:rFonts w:ascii="Times New Roman" w:cs="Times New Roman" w:eastAsia="Times New Roman" w:hAnsi="Times New Roman"/>
          <w:sz w:val="17"/>
          <w:szCs w:val="17"/>
          <w:color w:val="auto"/>
        </w:rPr>
        <w:t>The following table summarizes the impact of the derivative instruments on income and indicates where within the interim consolidated statements of operations and comprehensive income (loss) such impact is reported (in thousands):</w:t>
      </w:r>
    </w:p>
    <w:p>
      <w:pPr>
        <w:ind w:left="79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00" w:type="dxa"/>
            <w:vAlign w:val="bottom"/>
            <w:tcBorders>
              <w:bottom w:val="single" w:sz="8" w:color="CCEEFF"/>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Location of gains (losses) where the effects of derivatives are recorded</w:t>
            </w: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The effects of cash flow hedging</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Funding costs</w:t>
            </w:r>
          </w:p>
        </w:tc>
        <w:tc>
          <w:tcPr>
            <w:tcW w:w="1260" w:type="dxa"/>
            <w:vAlign w:val="bottom"/>
            <w:shd w:val="clear" w:color="auto" w:fill="CCEEFF"/>
          </w:tcPr>
          <w:p>
            <w:pPr>
              <w:jc w:val="right"/>
              <w:ind w:right="107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The effects of derivatives not designated in hedging relationships</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income, net</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(3,953)</w:t>
            </w:r>
          </w:p>
        </w:tc>
      </w:tr>
    </w:tbl>
    <w:p>
      <w:pPr>
        <w:spacing w:after="0" w:line="307" w:lineRule="exact"/>
        <w:rPr>
          <w:sz w:val="20"/>
          <w:szCs w:val="20"/>
          <w:color w:val="auto"/>
        </w:rPr>
      </w:pPr>
    </w:p>
    <w:p>
      <w:pPr>
        <w:ind w:right="580" w:firstLine="620"/>
        <w:spacing w:after="0" w:line="288" w:lineRule="auto"/>
        <w:rPr>
          <w:sz w:val="20"/>
          <w:szCs w:val="20"/>
          <w:color w:val="auto"/>
        </w:rPr>
      </w:pPr>
      <w:r>
        <w:rPr>
          <w:rFonts w:ascii="Times New Roman" w:cs="Times New Roman" w:eastAsia="Times New Roman" w:hAnsi="Times New Roman"/>
          <w:sz w:val="17"/>
          <w:szCs w:val="17"/>
          <w:color w:val="auto"/>
        </w:rPr>
        <w:t>Refer to Note 2. Summary of Significant Accounting Policies of our most recently filed Annual Report on Form 10-K and Note 12. Fair Value of Financial Assets and Liabilities for additional information on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Fair Value of Financial Assets and Liabilities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Assets and Liabilities Recorded at Fair Value</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information about our assets and liabilities that are measured at fair value on a recurring basis as of September 30, 2025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2025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7"/>
                <w:szCs w:val="17"/>
                <w:color w:val="auto"/>
              </w:rPr>
            </w:pPr>
          </w:p>
        </w:tc>
        <w:tc>
          <w:tcPr>
            <w:tcW w:w="96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1"/>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140,681</w:t>
            </w:r>
          </w:p>
        </w:tc>
        <w:tc>
          <w:tcPr>
            <w:tcW w:w="0" w:type="dxa"/>
            <w:vAlign w:val="bottom"/>
          </w:tcPr>
          <w:p>
            <w:pPr>
              <w:spacing w:after="0"/>
              <w:rPr>
                <w:sz w:val="1"/>
                <w:szCs w:val="1"/>
                <w:color w:val="auto"/>
              </w:rPr>
            </w:pPr>
          </w:p>
        </w:tc>
      </w:tr>
      <w:tr>
        <w:trPr>
          <w:trHeight w:val="220"/>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48,869</w:t>
            </w:r>
          </w:p>
        </w:tc>
        <w:tc>
          <w:tcPr>
            <w:tcW w:w="0" w:type="dxa"/>
            <w:vAlign w:val="bottom"/>
          </w:tcPr>
          <w:p>
            <w:pPr>
              <w:spacing w:after="0"/>
              <w:rPr>
                <w:sz w:val="1"/>
                <w:szCs w:val="1"/>
                <w:color w:val="auto"/>
              </w:rPr>
            </w:pPr>
          </w:p>
        </w:tc>
      </w:tr>
      <w:tr>
        <w:trPr>
          <w:trHeight w:val="220"/>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bonds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261,399</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121,998</w:t>
            </w:r>
          </w:p>
        </w:tc>
        <w:tc>
          <w:tcPr>
            <w:tcW w:w="0" w:type="dxa"/>
            <w:vAlign w:val="bottom"/>
          </w:tcPr>
          <w:p>
            <w:pPr>
              <w:spacing w:after="0"/>
              <w:rPr>
                <w:sz w:val="1"/>
                <w:szCs w:val="1"/>
                <w:color w:val="auto"/>
              </w:rPr>
            </w:pPr>
          </w:p>
        </w:tc>
      </w:tr>
      <w:tr>
        <w:trPr>
          <w:trHeight w:val="220"/>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Agency bonds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4,998</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Municipal bonds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9,054</w:t>
            </w:r>
          </w:p>
        </w:tc>
        <w:tc>
          <w:tcPr>
            <w:tcW w:w="0" w:type="dxa"/>
            <w:vAlign w:val="bottom"/>
          </w:tcPr>
          <w:p>
            <w:pPr>
              <w:spacing w:after="0"/>
              <w:rPr>
                <w:sz w:val="1"/>
                <w:szCs w:val="1"/>
                <w:color w:val="auto"/>
              </w:rPr>
            </w:pPr>
          </w:p>
        </w:tc>
      </w:tr>
      <w:tr>
        <w:trPr>
          <w:trHeight w:val="220"/>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Government bonds: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Non-US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2,203</w:t>
            </w:r>
          </w:p>
        </w:tc>
        <w:tc>
          <w:tcPr>
            <w:tcW w:w="0" w:type="dxa"/>
            <w:vAlign w:val="bottom"/>
          </w:tcPr>
          <w:p>
            <w:pPr>
              <w:spacing w:after="0"/>
              <w:rPr>
                <w:sz w:val="1"/>
                <w:szCs w:val="1"/>
                <w:color w:val="auto"/>
              </w:rPr>
            </w:pPr>
          </w:p>
        </w:tc>
      </w:tr>
      <w:tr>
        <w:trPr>
          <w:trHeight w:val="220"/>
        </w:trPr>
        <w:tc>
          <w:tcPr>
            <w:tcW w:w="59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300,622</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Securitization notes receivable and residual trust certificates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54,263</w:t>
            </w:r>
          </w:p>
        </w:tc>
        <w:tc>
          <w:tcPr>
            <w:tcW w:w="0" w:type="dxa"/>
            <w:vAlign w:val="bottom"/>
          </w:tcPr>
          <w:p>
            <w:pPr>
              <w:spacing w:after="0"/>
              <w:rPr>
                <w:sz w:val="1"/>
                <w:szCs w:val="1"/>
                <w:color w:val="auto"/>
              </w:rPr>
            </w:pPr>
          </w:p>
        </w:tc>
      </w:tr>
      <w:tr>
        <w:trPr>
          <w:trHeight w:val="220"/>
        </w:trPr>
        <w:tc>
          <w:tcPr>
            <w:tcW w:w="5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5,019</w:t>
            </w:r>
          </w:p>
        </w:tc>
        <w:tc>
          <w:tcPr>
            <w:tcW w:w="0" w:type="dxa"/>
            <w:vAlign w:val="bottom"/>
          </w:tcPr>
          <w:p>
            <w:pPr>
              <w:spacing w:after="0"/>
              <w:rPr>
                <w:sz w:val="1"/>
                <w:szCs w:val="1"/>
                <w:color w:val="auto"/>
              </w:rPr>
            </w:pPr>
          </w:p>
        </w:tc>
      </w:tr>
      <w:tr>
        <w:trPr>
          <w:trHeight w:val="220"/>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assets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derivatives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0" w:type="dxa"/>
            <w:vAlign w:val="bottom"/>
          </w:tcPr>
          <w:p>
            <w:pPr>
              <w:spacing w:after="0"/>
              <w:rPr>
                <w:sz w:val="1"/>
                <w:szCs w:val="1"/>
                <w:color w:val="auto"/>
              </w:rPr>
            </w:pPr>
          </w:p>
        </w:tc>
      </w:tr>
      <w:tr>
        <w:trPr>
          <w:trHeight w:val="220"/>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Risk sharing asset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41,565</w:t>
            </w:r>
          </w:p>
        </w:tc>
        <w:tc>
          <w:tcPr>
            <w:tcW w:w="0" w:type="dxa"/>
            <w:vAlign w:val="bottom"/>
          </w:tcPr>
          <w:p>
            <w:pPr>
              <w:spacing w:after="0"/>
              <w:rPr>
                <w:sz w:val="1"/>
                <w:szCs w:val="1"/>
                <w:color w:val="auto"/>
              </w:rPr>
            </w:pPr>
          </w:p>
        </w:tc>
      </w:tr>
      <w:tr>
        <w:trPr>
          <w:trHeight w:val="23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750,911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997,123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liabilities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0"/>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Performance fee liability</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Profit share liability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7,592</w:t>
            </w:r>
          </w:p>
        </w:tc>
        <w:tc>
          <w:tcPr>
            <w:tcW w:w="0" w:type="dxa"/>
            <w:vAlign w:val="bottom"/>
          </w:tcPr>
          <w:p>
            <w:pPr>
              <w:spacing w:after="0"/>
              <w:rPr>
                <w:sz w:val="1"/>
                <w:szCs w:val="1"/>
                <w:color w:val="auto"/>
              </w:rPr>
            </w:pPr>
          </w:p>
        </w:tc>
      </w:tr>
      <w:tr>
        <w:trPr>
          <w:trHeight w:val="220"/>
        </w:trPr>
        <w:tc>
          <w:tcPr>
            <w:tcW w:w="5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derivatives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38"/>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7"/>
                <w:szCs w:val="17"/>
                <w:color w:val="auto"/>
              </w:rPr>
            </w:pP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70,920</w:t>
            </w: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Agency Bonds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3,493</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12,564</w:t>
            </w: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Government bonds- 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Certificates of deposit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39,008</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264,199</w:t>
            </w: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Commercial paper</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126,761</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Agency bonds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7,854</w:t>
            </w: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Municipal bonds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6,076</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Government bonds: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9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Non-US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5,340</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344,434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344,434</w:t>
            </w:r>
          </w:p>
        </w:tc>
        <w:tc>
          <w:tcPr>
            <w:tcW w:w="0" w:type="dxa"/>
            <w:vAlign w:val="bottom"/>
          </w:tcPr>
          <w:p>
            <w:pPr>
              <w:spacing w:after="0"/>
              <w:rPr>
                <w:sz w:val="1"/>
                <w:szCs w:val="1"/>
                <w:color w:val="auto"/>
              </w:rPr>
            </w:pPr>
          </w:p>
        </w:tc>
      </w:tr>
      <w:tr>
        <w:trPr>
          <w:trHeight w:val="220"/>
        </w:trPr>
        <w:tc>
          <w:tcPr>
            <w:tcW w:w="5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Securitization notes receivable and residual trust certificates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75,469</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Residual interests in structured transactions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0" w:type="dxa"/>
            <w:vAlign w:val="bottom"/>
          </w:tcPr>
          <w:p>
            <w:pPr>
              <w:spacing w:after="0"/>
              <w:rPr>
                <w:sz w:val="1"/>
                <w:szCs w:val="1"/>
                <w:color w:val="auto"/>
              </w:rPr>
            </w:pPr>
          </w:p>
        </w:tc>
      </w:tr>
      <w:tr>
        <w:trPr>
          <w:trHeight w:val="220"/>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Servicing assets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derivatives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0" w:type="dxa"/>
            <w:vAlign w:val="bottom"/>
          </w:tcPr>
          <w:p>
            <w:pPr>
              <w:spacing w:after="0"/>
              <w:rPr>
                <w:sz w:val="1"/>
                <w:szCs w:val="1"/>
                <w:color w:val="auto"/>
              </w:rPr>
            </w:pPr>
          </w:p>
        </w:tc>
      </w:tr>
      <w:tr>
        <w:trPr>
          <w:trHeight w:val="220"/>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Risk sharing asset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43,179</w:t>
            </w:r>
          </w:p>
        </w:tc>
        <w:tc>
          <w:tcPr>
            <w:tcW w:w="0" w:type="dxa"/>
            <w:vAlign w:val="bottom"/>
          </w:tcPr>
          <w:p>
            <w:pPr>
              <w:spacing w:after="0"/>
              <w:rPr>
                <w:sz w:val="1"/>
                <w:szCs w:val="1"/>
                <w:color w:val="auto"/>
              </w:rPr>
            </w:pPr>
          </w:p>
        </w:tc>
      </w:tr>
      <w:tr>
        <w:trPr>
          <w:trHeight w:val="23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817,368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1,010,126</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Servicing liabilities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Performance fee liability</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Profit share liability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9,323</w:t>
            </w:r>
          </w:p>
        </w:tc>
        <w:tc>
          <w:tcPr>
            <w:tcW w:w="0" w:type="dxa"/>
            <w:vAlign w:val="bottom"/>
          </w:tcPr>
          <w:p>
            <w:pPr>
              <w:spacing w:after="0"/>
              <w:rPr>
                <w:sz w:val="1"/>
                <w:szCs w:val="1"/>
                <w:color w:val="auto"/>
              </w:rPr>
            </w:pPr>
          </w:p>
        </w:tc>
      </w:tr>
      <w:tr>
        <w:trPr>
          <w:trHeight w:val="220"/>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Risk sharing liability</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derivatives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3"/>
        </w:trPr>
        <w:tc>
          <w:tcPr>
            <w:tcW w:w="5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11,339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September 30, 2025 and June 30, 2025, there were no transfers between levels.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 (Level 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Cash and Cash Equivalents and Securities Available for Sale</w:t>
      </w:r>
    </w:p>
    <w:p>
      <w:pPr>
        <w:spacing w:after="0" w:line="248"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As of September 30, 2025, we held level 2 debt securities classified as cash and cash equivalents and securities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1" w:name="page42"/>
    <w:bookmarkEnd w:id="4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Derivative Instruments</w:t>
      </w:r>
    </w:p>
    <w:p>
      <w:pPr>
        <w:spacing w:after="0" w:line="248"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As of September 30, 2025 and June 30, 2025, we used a combination of interest rate cap agreements and interest rate swaps to manage interest costs and the risks associated with variable interest rates. These derivative instruments are classified as Level 2 within the fair value hierarchy, and the fair value is estimated by using third-party pricing models, which contain certain assumptions based on readily observable market-based inputs. We validate the valuation output on a monthly basis. Refer to Note 11. Derivative Financial Instruments in the notes to the interim condensed consolidated financial statements for further details on our derivative instruments.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 using Significant Unobservable Inputs (Level 3)</w:t>
      </w:r>
    </w:p>
    <w:p>
      <w:pPr>
        <w:spacing w:after="0" w:line="237" w:lineRule="exact"/>
        <w:rPr>
          <w:sz w:val="20"/>
          <w:szCs w:val="20"/>
          <w:color w:val="auto"/>
        </w:rPr>
      </w:pPr>
    </w:p>
    <w:p>
      <w:pPr>
        <w:ind w:right="120" w:firstLine="620"/>
        <w:spacing w:after="0" w:line="262" w:lineRule="auto"/>
        <w:rPr>
          <w:sz w:val="20"/>
          <w:szCs w:val="20"/>
          <w:color w:val="auto"/>
        </w:rPr>
      </w:pPr>
      <w:r>
        <w:rPr>
          <w:rFonts w:ascii="Times New Roman" w:cs="Times New Roman" w:eastAsia="Times New Roman" w:hAnsi="Times New Roman"/>
          <w:sz w:val="17"/>
          <w:szCs w:val="17"/>
          <w:color w:val="auto"/>
        </w:rPr>
        <w:t>We evaluate our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residual interests in structured transactions, profit share liability, and risk sharing arrangements do not trade in an active market with readily observable prices, we use significant unobservable inputs to measure fair value and have classified as level 3 within the fair value hierarchy. This determination requires significant judgments to be made.</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significant unobservable inputs, as applicable, were used in the fair value measurement of the Company’s Level 3 assets and liabilities:</w:t>
      </w:r>
    </w:p>
    <w:p>
      <w:pPr>
        <w:spacing w:after="0" w:line="244" w:lineRule="exact"/>
        <w:rPr>
          <w:sz w:val="20"/>
          <w:szCs w:val="20"/>
          <w:color w:val="auto"/>
        </w:rPr>
      </w:pPr>
    </w:p>
    <w:p>
      <w:pPr>
        <w:ind w:left="620" w:right="32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Adequate Compensation - The compensation rate is expressed as a percentage of the outstanding loan balance that a willing market participant would require for servicing loans with similar characteristics.</w:t>
      </w:r>
    </w:p>
    <w:p>
      <w:pPr>
        <w:spacing w:after="0" w:line="47" w:lineRule="exact"/>
        <w:rPr>
          <w:rFonts w:ascii="Times New Roman" w:cs="Times New Roman" w:eastAsia="Times New Roman" w:hAnsi="Times New Roman"/>
          <w:sz w:val="17"/>
          <w:szCs w:val="17"/>
          <w:color w:val="auto"/>
        </w:rPr>
      </w:pPr>
    </w:p>
    <w:p>
      <w:pPr>
        <w:ind w:left="620" w:right="50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 Rate - The rate used to discount estimated future cash flows to present value in determining fair value. It reflects the rate of return market participants would require to compensate for time value of money plus a premium based on relative risk, liquidity and other market based factors.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Rate - The estimated annualized rate of charge-offs affecting the projected unpaid principal balance and expected term of the loan portfolio.</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Rate - The estimated lifetime rate of loan charge-offs as a percentage of the initial settled principal balance.</w:t>
      </w:r>
    </w:p>
    <w:p>
      <w:pPr>
        <w:spacing w:after="0" w:line="114" w:lineRule="exact"/>
        <w:rPr>
          <w:rFonts w:ascii="Times New Roman" w:cs="Times New Roman" w:eastAsia="Times New Roman" w:hAnsi="Times New Roman"/>
          <w:sz w:val="17"/>
          <w:szCs w:val="17"/>
          <w:color w:val="auto"/>
        </w:rPr>
      </w:pPr>
    </w:p>
    <w:p>
      <w:pPr>
        <w:ind w:left="620" w:right="22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Prepayment Rate - The estimated annualized excess loan payment received in a given month as a percentage of the outstanding principal balance at the beginning of the month minus the scheduled principal payment.</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Refund Rate - The rate of refunded transactions as a percentage of the outstanding loan balance over the remaining life of the loan portfolio.</w:t>
      </w:r>
    </w:p>
    <w:p>
      <w:pPr>
        <w:spacing w:after="0" w:line="114"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Program Profitability - The estimated future profit to be shared with enterprise partners as a percentage of total loans outstanding, based on the terms of the respective commercial agreements.</w:t>
      </w:r>
    </w:p>
    <w:p>
      <w:pPr>
        <w:spacing w:after="0" w:line="4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increases or decreases in any of the inputs in isolation could result in a significantly lower or higher fair value measurement.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Servicing Assets and Liabilities</w:t>
      </w:r>
    </w:p>
    <w:p>
      <w:pPr>
        <w:spacing w:after="0" w:line="248"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We sold loans with an unpaid principal balance of $4.9 billion and $2.8 billion for the three months ended September 30, 2025 and 2024, respectively, for which we retained servicing rights.</w:t>
      </w:r>
    </w:p>
    <w:p>
      <w:pPr>
        <w:spacing w:after="0" w:line="177"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As of September 30, 2025 and June 30, 2025, we serviced loans which we sold with a remaining unpaid principal balance of $8.5 billion and $7.8 billion, respectively. We earned $39.7 million and $26.0 million of servicing income for the three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60" w:firstLine="620"/>
        <w:spacing w:after="0" w:line="265" w:lineRule="auto"/>
        <w:rPr>
          <w:sz w:val="20"/>
          <w:szCs w:val="20"/>
          <w:color w:val="auto"/>
        </w:rPr>
      </w:pPr>
      <w:r>
        <w:rPr>
          <w:rFonts w:ascii="Times New Roman" w:cs="Times New Roman" w:eastAsia="Times New Roman" w:hAnsi="Times New Roman"/>
          <w:sz w:val="17"/>
          <w:szCs w:val="17"/>
          <w:color w:val="auto"/>
        </w:rPr>
        <w:t>We use discounted cash flow models to arrive at an estimate of fair value. As of September 30, 2025 and June 30, 2025, the aggregate fair value of the servicing assets was measured at $0.7 million and $0.9 million and presented within other assets in the interim condensed consolidated balance sheets. As of September 30, 2025 and June 30, 2025, the aggregate fair value of the servicing liabilities was measured at $0.01 million and $0.04 million, respectively, and presented within accrued expenses and other liabilities in the interim condensed consolidated balance sheets.</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aggregate fair value of our servicing assets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80" w:type="dxa"/>
            <w:vAlign w:val="bottom"/>
            <w:tcBorders>
              <w:bottom w:val="single" w:sz="8" w:color="auto"/>
            </w:tcBorders>
          </w:tcPr>
          <w:p>
            <w:pPr>
              <w:spacing w:after="0"/>
              <w:rPr>
                <w:sz w:val="18"/>
                <w:szCs w:val="18"/>
                <w:color w:val="auto"/>
              </w:rPr>
            </w:pPr>
          </w:p>
        </w:tc>
      </w:tr>
      <w:tr>
        <w:trPr>
          <w:trHeight w:val="201"/>
        </w:trPr>
        <w:tc>
          <w:tcPr>
            <w:tcW w:w="73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period</w:t>
            </w:r>
          </w:p>
        </w:tc>
        <w:tc>
          <w:tcPr>
            <w:tcW w:w="1320" w:type="dxa"/>
            <w:vAlign w:val="bottom"/>
            <w:shd w:val="clear" w:color="auto" w:fill="CCEEFF"/>
          </w:tcPr>
          <w:p>
            <w:pPr>
              <w:jc w:val="right"/>
              <w:ind w:right="113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r>
      <w:tr>
        <w:trPr>
          <w:trHeight w:val="220"/>
        </w:trPr>
        <w:tc>
          <w:tcPr>
            <w:tcW w:w="7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Initial transfers of financial assets</w:t>
            </w:r>
          </w:p>
        </w:tc>
        <w:tc>
          <w:tcPr>
            <w:tcW w:w="13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Subsequent changes in fair value</w:t>
            </w:r>
          </w:p>
        </w:tc>
        <w:tc>
          <w:tcPr>
            <w:tcW w:w="1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at end of period</w:t>
            </w:r>
          </w:p>
        </w:tc>
        <w:tc>
          <w:tcPr>
            <w:tcW w:w="1320" w:type="dxa"/>
            <w:vAlign w:val="bottom"/>
            <w:tcBorders>
              <w:bottom w:val="single" w:sz="8" w:color="auto"/>
            </w:tcBorders>
          </w:tcPr>
          <w:p>
            <w:pPr>
              <w:jc w:val="right"/>
              <w:ind w:right="113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15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20"/>
        </w:trPr>
        <w:tc>
          <w:tcPr>
            <w:tcW w:w="7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aggregate fair value of our servicing liabilities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80" w:type="dxa"/>
            <w:vAlign w:val="bottom"/>
            <w:tcBorders>
              <w:bottom w:val="single" w:sz="8" w:color="auto"/>
            </w:tcBorders>
          </w:tcPr>
          <w:p>
            <w:pPr>
              <w:spacing w:after="0"/>
              <w:rPr>
                <w:sz w:val="18"/>
                <w:szCs w:val="18"/>
                <w:color w:val="auto"/>
              </w:rPr>
            </w:pPr>
          </w:p>
        </w:tc>
      </w:tr>
      <w:tr>
        <w:trPr>
          <w:trHeight w:val="201"/>
        </w:trPr>
        <w:tc>
          <w:tcPr>
            <w:tcW w:w="73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period</w:t>
            </w:r>
          </w:p>
        </w:tc>
        <w:tc>
          <w:tcPr>
            <w:tcW w:w="136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center"/>
              <w:ind w:left="17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r>
      <w:tr>
        <w:trPr>
          <w:trHeight w:val="220"/>
        </w:trPr>
        <w:tc>
          <w:tcPr>
            <w:tcW w:w="7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Initial transfers of financial liabilities</w:t>
            </w:r>
          </w:p>
        </w:tc>
        <w:tc>
          <w:tcPr>
            <w:tcW w:w="1360" w:type="dxa"/>
            <w:vAlign w:val="bottom"/>
          </w:tcPr>
          <w:p>
            <w:pPr>
              <w:spacing w:after="0"/>
              <w:rPr>
                <w:sz w:val="19"/>
                <w:szCs w:val="19"/>
                <w:color w:val="auto"/>
              </w:rPr>
            </w:pPr>
          </w:p>
        </w:tc>
        <w:tc>
          <w:tcPr>
            <w:tcW w:w="66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Subsequent changes in fair value</w:t>
            </w:r>
          </w:p>
        </w:tc>
        <w:tc>
          <w:tcPr>
            <w:tcW w:w="1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w w:val="98"/>
              </w:rPr>
              <w:t>(28)</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at end of period</w:t>
            </w:r>
          </w:p>
        </w:tc>
        <w:tc>
          <w:tcPr>
            <w:tcW w:w="1360" w:type="dxa"/>
            <w:vAlign w:val="bottom"/>
            <w:tcBorders>
              <w:bottom w:val="single" w:sz="8" w:color="auto"/>
            </w:tcBorders>
          </w:tcPr>
          <w:p>
            <w:pPr>
              <w:jc w:val="right"/>
              <w:ind w:right="11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1157"/>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w:t>
            </w:r>
          </w:p>
        </w:tc>
      </w:tr>
      <w:tr>
        <w:trPr>
          <w:trHeight w:val="20"/>
        </w:trPr>
        <w:tc>
          <w:tcPr>
            <w:tcW w:w="7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10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quantitative information about the significant unobservable inputs used for our Level 3 fair value measurement of servicing assets and liabilities as of September 30, 2025 and June 30,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September 30, 2025</w:t>
            </w:r>
          </w:p>
        </w:tc>
        <w:tc>
          <w:tcPr>
            <w:tcW w:w="1760" w:type="dxa"/>
            <w:vAlign w:val="bottom"/>
            <w:tcBorders>
              <w:bottom w:val="single" w:sz="8" w:color="auto"/>
            </w:tcBorders>
          </w:tcPr>
          <w:p>
            <w:pPr>
              <w:spacing w:after="0"/>
              <w:rPr>
                <w:sz w:val="18"/>
                <w:szCs w:val="18"/>
                <w:color w:val="auto"/>
              </w:rPr>
            </w:pPr>
          </w:p>
        </w:tc>
      </w:tr>
      <w:tr>
        <w:trPr>
          <w:trHeight w:val="215"/>
        </w:trPr>
        <w:tc>
          <w:tcPr>
            <w:tcW w:w="2940" w:type="dxa"/>
            <w:vAlign w:val="bottom"/>
          </w:tcPr>
          <w:p>
            <w:pPr>
              <w:spacing w:after="0"/>
              <w:rPr>
                <w:sz w:val="18"/>
                <w:szCs w:val="18"/>
                <w:color w:val="auto"/>
              </w:rPr>
            </w:pPr>
          </w:p>
        </w:tc>
        <w:tc>
          <w:tcPr>
            <w:tcW w:w="2840" w:type="dxa"/>
            <w:vAlign w:val="bottom"/>
            <w:gridSpan w:val="2"/>
          </w:tcPr>
          <w:p>
            <w:pPr>
              <w:ind w:left="640"/>
              <w:spacing w:after="0"/>
              <w:rPr>
                <w:sz w:val="20"/>
                <w:szCs w:val="20"/>
                <w:color w:val="auto"/>
              </w:rPr>
            </w:pPr>
            <w:r>
              <w:rPr>
                <w:rFonts w:ascii="Times New Roman" w:cs="Times New Roman" w:eastAsia="Times New Roman" w:hAnsi="Times New Roman"/>
                <w:sz w:val="17"/>
                <w:szCs w:val="17"/>
                <w:b w:val="1"/>
                <w:bCs w:val="1"/>
                <w:color w:val="auto"/>
              </w:rPr>
              <w:t>Unobservable Input</w:t>
            </w:r>
          </w:p>
        </w:tc>
        <w:tc>
          <w:tcPr>
            <w:tcW w:w="184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760" w:type="dxa"/>
            <w:vAlign w:val="bottom"/>
          </w:tcPr>
          <w:p>
            <w:pPr>
              <w:jc w:val="right"/>
              <w:ind w:right="34"/>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Weighted Average </w:t>
            </w:r>
            <w:r>
              <w:rPr>
                <w:rFonts w:ascii="Times New Roman" w:cs="Times New Roman" w:eastAsia="Times New Roman" w:hAnsi="Times New Roman"/>
                <w:sz w:val="22"/>
                <w:szCs w:val="22"/>
                <w:b w:val="1"/>
                <w:bCs w:val="1"/>
                <w:color w:val="auto"/>
                <w:vertAlign w:val="superscript"/>
              </w:rPr>
              <w:t>(1)</w:t>
            </w:r>
          </w:p>
        </w:tc>
      </w:tr>
      <w:tr>
        <w:trPr>
          <w:trHeight w:val="21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30.00 %</w:t>
            </w: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30.00 %</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30.00 %</w:t>
            </w:r>
          </w:p>
        </w:tc>
      </w:tr>
      <w:tr>
        <w:trPr>
          <w:trHeight w:val="220"/>
        </w:trPr>
        <w:tc>
          <w:tcPr>
            <w:tcW w:w="294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Adequate Compensation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2.00 %</w:t>
            </w:r>
          </w:p>
        </w:tc>
      </w:tr>
      <w:tr>
        <w:trPr>
          <w:trHeight w:val="22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Default Rate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14.52 %</w:t>
            </w: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Servicing liabilities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30.00 %</w:t>
            </w:r>
          </w:p>
        </w:tc>
      </w:tr>
      <w:tr>
        <w:trPr>
          <w:trHeight w:val="22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Adequate Compensation</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2.00 %</w:t>
            </w:r>
          </w:p>
        </w:tc>
      </w:tr>
      <w:tr>
        <w:trPr>
          <w:trHeight w:val="223"/>
        </w:trPr>
        <w:tc>
          <w:tcPr>
            <w:tcW w:w="294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Default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6.55 %</w:t>
            </w:r>
          </w:p>
        </w:tc>
      </w:tr>
      <w:tr>
        <w:trPr>
          <w:trHeight w:val="407"/>
        </w:trPr>
        <w:tc>
          <w:tcPr>
            <w:tcW w:w="294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1760" w:type="dxa"/>
            <w:vAlign w:val="bottom"/>
            <w:tcBorders>
              <w:bottom w:val="single" w:sz="8" w:color="auto"/>
            </w:tcBorders>
          </w:tcPr>
          <w:p>
            <w:pPr>
              <w:spacing w:after="0"/>
              <w:rPr>
                <w:sz w:val="24"/>
                <w:szCs w:val="24"/>
                <w:color w:val="auto"/>
              </w:rPr>
            </w:pPr>
          </w:p>
        </w:tc>
      </w:tr>
      <w:tr>
        <w:trPr>
          <w:trHeight w:val="215"/>
        </w:trPr>
        <w:tc>
          <w:tcPr>
            <w:tcW w:w="2940" w:type="dxa"/>
            <w:vAlign w:val="bottom"/>
          </w:tcPr>
          <w:p>
            <w:pPr>
              <w:spacing w:after="0"/>
              <w:rPr>
                <w:sz w:val="18"/>
                <w:szCs w:val="18"/>
                <w:color w:val="auto"/>
              </w:rPr>
            </w:pPr>
          </w:p>
        </w:tc>
        <w:tc>
          <w:tcPr>
            <w:tcW w:w="2840" w:type="dxa"/>
            <w:vAlign w:val="bottom"/>
            <w:gridSpan w:val="2"/>
          </w:tcPr>
          <w:p>
            <w:pPr>
              <w:ind w:left="640"/>
              <w:spacing w:after="0"/>
              <w:rPr>
                <w:sz w:val="20"/>
                <w:szCs w:val="20"/>
                <w:color w:val="auto"/>
              </w:rPr>
            </w:pPr>
            <w:r>
              <w:rPr>
                <w:rFonts w:ascii="Times New Roman" w:cs="Times New Roman" w:eastAsia="Times New Roman" w:hAnsi="Times New Roman"/>
                <w:sz w:val="17"/>
                <w:szCs w:val="17"/>
                <w:b w:val="1"/>
                <w:bCs w:val="1"/>
                <w:color w:val="auto"/>
              </w:rPr>
              <w:t>Unobservable Input</w:t>
            </w:r>
          </w:p>
        </w:tc>
        <w:tc>
          <w:tcPr>
            <w:tcW w:w="1840" w:type="dxa"/>
            <w:vAlign w:val="bottom"/>
            <w:gridSpan w:val="2"/>
          </w:tcPr>
          <w:p>
            <w:pPr>
              <w:ind w:left="500"/>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760" w:type="dxa"/>
            <w:vAlign w:val="bottom"/>
          </w:tcPr>
          <w:p>
            <w:pPr>
              <w:jc w:val="right"/>
              <w:ind w:right="34"/>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Weighted Average </w:t>
            </w:r>
            <w:r>
              <w:rPr>
                <w:rFonts w:ascii="Times New Roman" w:cs="Times New Roman" w:eastAsia="Times New Roman" w:hAnsi="Times New Roman"/>
                <w:sz w:val="22"/>
                <w:szCs w:val="22"/>
                <w:b w:val="1"/>
                <w:bCs w:val="1"/>
                <w:color w:val="auto"/>
                <w:vertAlign w:val="superscript"/>
              </w:rPr>
              <w:t>(1)</w:t>
            </w:r>
          </w:p>
        </w:tc>
      </w:tr>
      <w:tr>
        <w:trPr>
          <w:trHeight w:val="21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30.00 %</w:t>
            </w: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30.00 %</w:t>
            </w:r>
          </w:p>
        </w:tc>
        <w:tc>
          <w:tcPr>
            <w:tcW w:w="8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30.00 %</w:t>
            </w:r>
          </w:p>
        </w:tc>
      </w:tr>
      <w:tr>
        <w:trPr>
          <w:trHeight w:val="220"/>
        </w:trPr>
        <w:tc>
          <w:tcPr>
            <w:tcW w:w="294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Adequate Compensation</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2.00 %</w:t>
            </w:r>
          </w:p>
        </w:tc>
      </w:tr>
      <w:tr>
        <w:trPr>
          <w:trHeight w:val="22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Default Rate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15.68 %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12.04 %</w:t>
            </w: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Servicing liabilities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30.00 %</w:t>
            </w:r>
          </w:p>
        </w:tc>
      </w:tr>
      <w:tr>
        <w:trPr>
          <w:trHeight w:val="22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Adequate Compensation</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2.00 %</w:t>
            </w:r>
          </w:p>
        </w:tc>
      </w:tr>
      <w:tr>
        <w:trPr>
          <w:trHeight w:val="223"/>
        </w:trPr>
        <w:tc>
          <w:tcPr>
            <w:tcW w:w="294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Default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14109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189"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Pr>
          <w:p>
            <w:pPr>
              <w:spacing w:after="0"/>
              <w:rPr>
                <w:sz w:val="18"/>
                <w:szCs w:val="18"/>
                <w:color w:val="auto"/>
              </w:rPr>
            </w:pPr>
          </w:p>
        </w:tc>
        <w:tc>
          <w:tcPr>
            <w:tcW w:w="166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02"/>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Servicing assets</w:t>
            </w:r>
          </w:p>
        </w:tc>
        <w:tc>
          <w:tcPr>
            <w:tcW w:w="2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20"/>
        </w:trPr>
        <w:tc>
          <w:tcPr>
            <w:tcW w:w="7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Default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Default Rate increase of 25%</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7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Default Rate increase of 50%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Adequate Compensation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0"/>
        </w:trPr>
        <w:tc>
          <w:tcPr>
            <w:tcW w:w="7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Adequate Compensation increase of 10%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w:t>
            </w:r>
          </w:p>
        </w:tc>
      </w:tr>
      <w:tr>
        <w:trPr>
          <w:trHeight w:val="22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Adequate Compensation increase of 20%</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(2,879)</w:t>
            </w:r>
          </w:p>
        </w:tc>
      </w:tr>
      <w:tr>
        <w:trPr>
          <w:trHeight w:val="220"/>
        </w:trPr>
        <w:tc>
          <w:tcPr>
            <w:tcW w:w="7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Discount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Discount Rate increase of 25%</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0"/>
        </w:trPr>
        <w:tc>
          <w:tcPr>
            <w:tcW w:w="7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Discount Rate increase of 50%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Servicing liabilities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0"/>
        </w:trPr>
        <w:tc>
          <w:tcPr>
            <w:tcW w:w="7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Default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Default Rate increase of 25%</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Default Rate increase of 50%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Adequate Compensation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0"/>
        </w:trPr>
        <w:tc>
          <w:tcPr>
            <w:tcW w:w="7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Adequate Compensation increase of 10%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5,405</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4,593</w:t>
            </w:r>
          </w:p>
        </w:tc>
      </w:tr>
      <w:tr>
        <w:trPr>
          <w:trHeight w:val="22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Adequate Compensation increase of 20%</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9,186</w:t>
            </w:r>
          </w:p>
        </w:tc>
      </w:tr>
      <w:tr>
        <w:trPr>
          <w:trHeight w:val="220"/>
        </w:trPr>
        <w:tc>
          <w:tcPr>
            <w:tcW w:w="7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Discount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0"/>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Discount Rate increase of 25%</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3"/>
        </w:trPr>
        <w:tc>
          <w:tcPr>
            <w:tcW w:w="7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Discount Rate increase of 50%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Performance Fee Liability</w:t>
      </w:r>
    </w:p>
    <w:p>
      <w:pPr>
        <w:spacing w:after="0" w:line="248" w:lineRule="exact"/>
        <w:rPr>
          <w:sz w:val="20"/>
          <w:szCs w:val="20"/>
          <w:color w:val="auto"/>
        </w:rPr>
      </w:pPr>
    </w:p>
    <w:p>
      <w:pPr>
        <w:ind w:right="200" w:firstLine="620"/>
        <w:spacing w:after="0" w:line="262" w:lineRule="auto"/>
        <w:rPr>
          <w:sz w:val="20"/>
          <w:szCs w:val="20"/>
          <w:color w:val="auto"/>
        </w:rPr>
      </w:pPr>
      <w:r>
        <w:rPr>
          <w:rFonts w:ascii="Times New Roman" w:cs="Times New Roman" w:eastAsia="Times New Roman" w:hAnsi="Times New Roman"/>
          <w:sz w:val="17"/>
          <w:szCs w:val="17"/>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in the interim condensed consolidated balance sheets. Any changes in the fair value of the liability are reflected in other income, net, in the interim condensed consolidated statements of operations and comprehensive income (loss).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fair value of the performance fee liability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3340" w:type="dxa"/>
            <w:vAlign w:val="bottom"/>
            <w:tcBorders>
              <w:bottom w:val="single" w:sz="8" w:color="auto"/>
            </w:tcBorders>
            <w:gridSpan w:val="4"/>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00" w:type="dxa"/>
            <w:vAlign w:val="bottom"/>
            <w:tcBorders>
              <w:bottom w:val="single" w:sz="8" w:color="auto"/>
            </w:tcBorders>
          </w:tcPr>
          <w:p>
            <w:pPr>
              <w:spacing w:after="0"/>
              <w:rPr>
                <w:sz w:val="18"/>
                <w:szCs w:val="18"/>
                <w:color w:val="auto"/>
              </w:rPr>
            </w:pPr>
          </w:p>
        </w:tc>
      </w:tr>
      <w:tr>
        <w:trPr>
          <w:trHeight w:val="201"/>
        </w:trPr>
        <w:tc>
          <w:tcPr>
            <w:tcW w:w="73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period</w:t>
            </w:r>
          </w:p>
        </w:tc>
        <w:tc>
          <w:tcPr>
            <w:tcW w:w="1300" w:type="dxa"/>
            <w:vAlign w:val="bottom"/>
            <w:shd w:val="clear" w:color="auto" w:fill="CCEEFF"/>
          </w:tcPr>
          <w:p>
            <w:pPr>
              <w:jc w:val="right"/>
              <w:ind w:right="111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w:t>
            </w:r>
          </w:p>
        </w:tc>
      </w:tr>
      <w:tr>
        <w:trPr>
          <w:trHeight w:val="220"/>
        </w:trPr>
        <w:tc>
          <w:tcPr>
            <w:tcW w:w="7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Purchases of loans</w:t>
            </w:r>
          </w:p>
        </w:tc>
        <w:tc>
          <w:tcPr>
            <w:tcW w:w="1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r>
      <w:tr>
        <w:trPr>
          <w:trHeight w:val="220"/>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Settlements paid</w:t>
            </w: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r>
      <w:tr>
        <w:trPr>
          <w:trHeight w:val="220"/>
        </w:trPr>
        <w:tc>
          <w:tcPr>
            <w:tcW w:w="7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Subsequent changes in fair value</w:t>
            </w:r>
          </w:p>
        </w:tc>
        <w:tc>
          <w:tcPr>
            <w:tcW w:w="1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3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end of period</w:t>
            </w:r>
          </w:p>
        </w:tc>
        <w:tc>
          <w:tcPr>
            <w:tcW w:w="1300" w:type="dxa"/>
            <w:vAlign w:val="bottom"/>
            <w:tcBorders>
              <w:bottom w:val="single" w:sz="8" w:color="auto"/>
            </w:tcBorders>
            <w:shd w:val="clear" w:color="auto" w:fill="CCEEFF"/>
          </w:tcPr>
          <w:p>
            <w:pPr>
              <w:jc w:val="right"/>
              <w:ind w:right="111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quantitative information about the significant unobservable inputs used for our Level 3 fair value measurement of the performance fee liability as of September 30, 2025 and June 30, 2025:</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672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September 30, 2025</w:t>
            </w:r>
          </w:p>
        </w:tc>
        <w:tc>
          <w:tcPr>
            <w:tcW w:w="1500" w:type="dxa"/>
            <w:vAlign w:val="bottom"/>
            <w:tcBorders>
              <w:bottom w:val="single" w:sz="8" w:color="auto"/>
            </w:tcBorders>
          </w:tcPr>
          <w:p>
            <w:pPr>
              <w:spacing w:after="0"/>
              <w:rPr>
                <w:sz w:val="17"/>
                <w:szCs w:val="17"/>
                <w:color w:val="auto"/>
              </w:rPr>
            </w:pPr>
          </w:p>
        </w:tc>
      </w:tr>
      <w:tr>
        <w:trPr>
          <w:trHeight w:val="205"/>
        </w:trPr>
        <w:tc>
          <w:tcPr>
            <w:tcW w:w="6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3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6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5"/>
              </w:rPr>
              <w:t>Maximum</w:t>
            </w:r>
          </w:p>
        </w:tc>
        <w:tc>
          <w:tcPr>
            <w:tcW w:w="1500" w:type="dxa"/>
            <w:vAlign w:val="bottom"/>
          </w:tcPr>
          <w:p>
            <w:pPr>
              <w:ind w:left="120"/>
              <w:spacing w:after="0" w:line="206" w:lineRule="exact"/>
              <w:rPr>
                <w:sz w:val="20"/>
                <w:szCs w:val="20"/>
                <w:color w:val="auto"/>
              </w:rPr>
            </w:pPr>
            <w:r>
              <w:rPr>
                <w:rFonts w:ascii="Times New Roman" w:cs="Times New Roman" w:eastAsia="Times New Roman" w:hAnsi="Times New Roman"/>
                <w:sz w:val="16"/>
                <w:szCs w:val="16"/>
                <w:b w:val="1"/>
                <w:bCs w:val="1"/>
                <w:color w:val="auto"/>
                <w:w w:val="92"/>
              </w:rPr>
              <w:t xml:space="preserve">Weighted Average </w:t>
            </w:r>
            <w:r>
              <w:rPr>
                <w:rFonts w:ascii="Times New Roman" w:cs="Times New Roman" w:eastAsia="Times New Roman" w:hAnsi="Times New Roman"/>
                <w:sz w:val="20"/>
                <w:szCs w:val="20"/>
                <w:b w:val="1"/>
                <w:bCs w:val="1"/>
                <w:color w:val="auto"/>
                <w:w w:val="92"/>
                <w:vertAlign w:val="superscript"/>
              </w:rPr>
              <w:t>(2)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7.13%</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10.00%</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9.06%</w:t>
            </w:r>
          </w:p>
        </w:tc>
      </w:tr>
      <w:tr>
        <w:trPr>
          <w:trHeight w:val="220"/>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Refund 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r>
      <w:tr>
        <w:trPr>
          <w:trHeight w:val="220"/>
        </w:trPr>
        <w:tc>
          <w:tcPr>
            <w:tcW w:w="6740" w:type="dxa"/>
            <w:vAlign w:val="bottom"/>
            <w:gridSpan w:val="4"/>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Loss Rate</w:t>
            </w:r>
            <w:r>
              <w:rPr>
                <w:rFonts w:ascii="Times New Roman" w:cs="Times New Roman" w:eastAsia="Times New Roman" w:hAnsi="Times New Roman"/>
                <w:sz w:val="22"/>
                <w:szCs w:val="22"/>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3.11%</w:t>
            </w:r>
          </w:p>
        </w:tc>
      </w:tr>
      <w:tr>
        <w:trPr>
          <w:trHeight w:val="395"/>
        </w:trPr>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1420" w:type="dxa"/>
            <w:vAlign w:val="bottom"/>
            <w:tcBorders>
              <w:bottom w:val="single" w:sz="8" w:color="auto"/>
            </w:tcBorders>
          </w:tcPr>
          <w:p>
            <w:pPr>
              <w:spacing w:after="0"/>
              <w:rPr>
                <w:sz w:val="24"/>
                <w:szCs w:val="24"/>
                <w:color w:val="auto"/>
              </w:rPr>
            </w:pPr>
          </w:p>
        </w:tc>
      </w:tr>
      <w:tr>
        <w:trPr>
          <w:trHeight w:val="205"/>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Maximum</w:t>
            </w:r>
          </w:p>
        </w:tc>
        <w:tc>
          <w:tcPr>
            <w:tcW w:w="1420" w:type="dxa"/>
            <w:vAlign w:val="bottom"/>
          </w:tcPr>
          <w:p>
            <w:pPr>
              <w:jc w:val="center"/>
              <w:spacing w:after="0" w:line="206" w:lineRule="exact"/>
              <w:rPr>
                <w:sz w:val="20"/>
                <w:szCs w:val="20"/>
                <w:color w:val="auto"/>
              </w:rPr>
            </w:pPr>
            <w:r>
              <w:rPr>
                <w:rFonts w:ascii="Times New Roman" w:cs="Times New Roman" w:eastAsia="Times New Roman" w:hAnsi="Times New Roman"/>
                <w:sz w:val="16"/>
                <w:szCs w:val="16"/>
                <w:b w:val="1"/>
                <w:bCs w:val="1"/>
                <w:color w:val="auto"/>
                <w:w w:val="92"/>
              </w:rPr>
              <w:t xml:space="preserve">Weighted Average </w:t>
            </w:r>
            <w:r>
              <w:rPr>
                <w:rFonts w:ascii="Times New Roman" w:cs="Times New Roman" w:eastAsia="Times New Roman" w:hAnsi="Times New Roman"/>
                <w:sz w:val="20"/>
                <w:szCs w:val="20"/>
                <w:b w:val="1"/>
                <w:bCs w:val="1"/>
                <w:color w:val="auto"/>
                <w:w w:val="92"/>
                <w:vertAlign w:val="superscript"/>
              </w:rPr>
              <w:t>(2)</w:t>
            </w:r>
          </w:p>
        </w:tc>
      </w:tr>
      <w:tr>
        <w:trPr>
          <w:trHeight w:val="213"/>
        </w:trPr>
        <w:tc>
          <w:tcPr>
            <w:tcW w:w="66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7.25%</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10.00%</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9.23%</w:t>
            </w:r>
          </w:p>
        </w:tc>
      </w:tr>
      <w:tr>
        <w:trPr>
          <w:trHeight w:val="220"/>
        </w:trPr>
        <w:tc>
          <w:tcPr>
            <w:tcW w:w="6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Refund 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w:t>
            </w:r>
          </w:p>
        </w:tc>
      </w:tr>
      <w:tr>
        <w:trPr>
          <w:trHeight w:val="220"/>
        </w:trPr>
        <w:tc>
          <w:tcPr>
            <w:tcW w:w="6740" w:type="dxa"/>
            <w:vAlign w:val="bottom"/>
            <w:gridSpan w:val="4"/>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Loss Rate</w:t>
            </w:r>
            <w:r>
              <w:rPr>
                <w:rFonts w:ascii="Times New Roman" w:cs="Times New Roman" w:eastAsia="Times New Roman" w:hAnsi="Times New Roman"/>
                <w:sz w:val="22"/>
                <w:szCs w:val="22"/>
                <w:color w:val="auto"/>
                <w:vertAlign w:val="superscript"/>
              </w:rPr>
              <w:t>(1)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0.87%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3.07%</w:t>
            </w:r>
          </w:p>
        </w:tc>
      </w:tr>
      <w:tr>
        <w:trPr>
          <w:trHeight w:val="258"/>
        </w:trPr>
        <w:tc>
          <w:tcPr>
            <w:tcW w:w="5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4520" w:type="dxa"/>
            <w:vAlign w:val="bottom"/>
            <w:gridSpan w:val="2"/>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1"/>
        </w:trPr>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(1)</w:t>
            </w:r>
          </w:p>
        </w:tc>
        <w:tc>
          <w:tcPr>
            <w:tcW w:w="62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The Loss Rate is net of recoveries</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3"/>
        </w:trPr>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(2)</w:t>
            </w:r>
          </w:p>
        </w:tc>
        <w:tc>
          <w:tcPr>
            <w:tcW w:w="622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Unobservable inputs were weighted by remaining principal balances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Securitization Notes Receivable and Residual Trust Certificates</w:t>
      </w:r>
    </w:p>
    <w:p>
      <w:pPr>
        <w:spacing w:after="0" w:line="261" w:lineRule="exact"/>
        <w:rPr>
          <w:sz w:val="20"/>
          <w:szCs w:val="20"/>
          <w:color w:val="auto"/>
        </w:rPr>
      </w:pPr>
    </w:p>
    <w:p>
      <w:pPr>
        <w:ind w:right="560" w:firstLine="620"/>
        <w:spacing w:after="0" w:line="288" w:lineRule="auto"/>
        <w:rPr>
          <w:sz w:val="20"/>
          <w:szCs w:val="20"/>
          <w:color w:val="auto"/>
        </w:rPr>
      </w:pPr>
      <w:r>
        <w:rPr>
          <w:rFonts w:ascii="Times New Roman" w:cs="Times New Roman" w:eastAsia="Times New Roman" w:hAnsi="Times New Roman"/>
          <w:sz w:val="17"/>
          <w:szCs w:val="17"/>
          <w:color w:val="auto"/>
        </w:rPr>
        <w:t>As of September 30, 2025, we held notes receivable and residual trust certificates with an aggregate fair value of $54.3 million in connection with unconsolidated securitizations. The balances correspond to the 5% economic risk retention we are required to maintain as the securitization sponsor.</w:t>
      </w:r>
    </w:p>
    <w:p>
      <w:pPr>
        <w:spacing w:after="0" w:line="177" w:lineRule="exact"/>
        <w:rPr>
          <w:sz w:val="20"/>
          <w:szCs w:val="20"/>
          <w:color w:val="auto"/>
        </w:rPr>
      </w:pPr>
    </w:p>
    <w:p>
      <w:pPr>
        <w:jc w:val="both"/>
        <w:ind w:right="140" w:firstLine="620"/>
        <w:spacing w:after="0" w:line="275" w:lineRule="auto"/>
        <w:rPr>
          <w:sz w:val="20"/>
          <w:szCs w:val="20"/>
          <w:color w:val="auto"/>
        </w:rPr>
      </w:pPr>
      <w:r>
        <w:rPr>
          <w:rFonts w:ascii="Times New Roman" w:cs="Times New Roman" w:eastAsia="Times New Roman" w:hAnsi="Times New Roman"/>
          <w:sz w:val="17"/>
          <w:szCs w:val="17"/>
          <w:color w:val="auto"/>
        </w:rPr>
        <w:t>These assets are measured at fair value using a discounted cash flow model, and presented within securities available for sale at fair value in the interim condensed consolidated balance sheets. Changes in the fair value, other than declines in fair value due to credit recognized as an allowance, are reflected in other comprehensive income in the interim condensed consolidated statements of operations and comprehensive income (loss). Declines in fair value due to credit are reflected in other income, net in the interim condensed consolidated statements of operations and comprehensive income (loss).</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fair value of the notes receivable and residual trust certificates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8"/>
                <w:szCs w:val="18"/>
                <w:color w:val="auto"/>
              </w:rPr>
            </w:pPr>
          </w:p>
        </w:tc>
        <w:tc>
          <w:tcPr>
            <w:tcW w:w="3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r>
      <w:tr>
        <w:trPr>
          <w:trHeight w:val="201"/>
        </w:trPr>
        <w:tc>
          <w:tcPr>
            <w:tcW w:w="72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7"/>
                <w:szCs w:val="17"/>
                <w:color w:val="auto"/>
              </w:rPr>
            </w:pPr>
          </w:p>
        </w:tc>
      </w:tr>
      <w:tr>
        <w:trPr>
          <w:trHeight w:val="21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period</w:t>
            </w:r>
          </w:p>
        </w:tc>
        <w:tc>
          <w:tcPr>
            <w:tcW w:w="1200" w:type="dxa"/>
            <w:vAlign w:val="bottom"/>
            <w:shd w:val="clear" w:color="auto" w:fill="CCEEFF"/>
          </w:tcPr>
          <w:p>
            <w:pPr>
              <w:jc w:val="right"/>
              <w:ind w:right="101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75,469</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51,670</w:t>
            </w:r>
          </w:p>
        </w:tc>
      </w:tr>
      <w:tr>
        <w:trPr>
          <w:trHeight w:val="220"/>
        </w:trPr>
        <w:tc>
          <w:tcPr>
            <w:tcW w:w="7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received (due to payments)</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(22,567)</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(14,383)</w:t>
            </w:r>
          </w:p>
        </w:tc>
      </w:tr>
      <w:tr>
        <w:trPr>
          <w:trHeight w:val="220"/>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unrealized gain (loss)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7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Accrued interest</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2,045</w:t>
            </w:r>
          </w:p>
        </w:tc>
      </w:tr>
      <w:tr>
        <w:trPr>
          <w:trHeight w:val="220"/>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Reversal of (impairment on) securities available for sale</w:t>
            </w:r>
          </w:p>
        </w:tc>
        <w:tc>
          <w:tcPr>
            <w:tcW w:w="1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8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r>
      <w:tr>
        <w:trPr>
          <w:trHeight w:val="213"/>
        </w:trPr>
        <w:tc>
          <w:tcPr>
            <w:tcW w:w="7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at end of period</w:t>
            </w:r>
          </w:p>
        </w:tc>
        <w:tc>
          <w:tcPr>
            <w:tcW w:w="1200" w:type="dxa"/>
            <w:vAlign w:val="bottom"/>
            <w:tcBorders>
              <w:bottom w:val="single" w:sz="8" w:color="auto"/>
            </w:tcBorders>
          </w:tcPr>
          <w:p>
            <w:pPr>
              <w:jc w:val="right"/>
              <w:ind w:right="101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54,263</w:t>
            </w: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ind w:right="103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38,926</w:t>
            </w:r>
          </w:p>
        </w:tc>
      </w:tr>
      <w:tr>
        <w:trPr>
          <w:trHeight w:val="20"/>
        </w:trPr>
        <w:tc>
          <w:tcPr>
            <w:tcW w:w="7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quantitative information about the significant unobservable inputs used for our Level 3 fair value measurement of the notes receivable and residual trust certificates as of September 30, 2025 and June 30, 2025:</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672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September 30, 2025</w:t>
            </w:r>
          </w:p>
        </w:tc>
        <w:tc>
          <w:tcPr>
            <w:tcW w:w="1500" w:type="dxa"/>
            <w:vAlign w:val="bottom"/>
            <w:tcBorders>
              <w:bottom w:val="single" w:sz="8" w:color="auto"/>
            </w:tcBorders>
          </w:tcPr>
          <w:p>
            <w:pPr>
              <w:spacing w:after="0"/>
              <w:rPr>
                <w:sz w:val="17"/>
                <w:szCs w:val="17"/>
                <w:color w:val="auto"/>
              </w:rPr>
            </w:pPr>
          </w:p>
        </w:tc>
      </w:tr>
      <w:tr>
        <w:trPr>
          <w:trHeight w:val="205"/>
        </w:trPr>
        <w:tc>
          <w:tcPr>
            <w:tcW w:w="6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3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6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5"/>
              </w:rPr>
              <w:t>Maximum</w:t>
            </w:r>
          </w:p>
        </w:tc>
        <w:tc>
          <w:tcPr>
            <w:tcW w:w="1500" w:type="dxa"/>
            <w:vAlign w:val="bottom"/>
          </w:tcPr>
          <w:p>
            <w:pPr>
              <w:ind w:left="120"/>
              <w:spacing w:after="0" w:line="206" w:lineRule="exact"/>
              <w:rPr>
                <w:sz w:val="20"/>
                <w:szCs w:val="20"/>
                <w:color w:val="auto"/>
              </w:rPr>
            </w:pPr>
            <w:r>
              <w:rPr>
                <w:rFonts w:ascii="Times New Roman" w:cs="Times New Roman" w:eastAsia="Times New Roman" w:hAnsi="Times New Roman"/>
                <w:sz w:val="16"/>
                <w:szCs w:val="16"/>
                <w:b w:val="1"/>
                <w:bCs w:val="1"/>
                <w:color w:val="auto"/>
                <w:w w:val="92"/>
              </w:rPr>
              <w:t xml:space="preserve">Weighted Average </w:t>
            </w:r>
            <w:r>
              <w:rPr>
                <w:rFonts w:ascii="Times New Roman" w:cs="Times New Roman" w:eastAsia="Times New Roman" w:hAnsi="Times New Roman"/>
                <w:sz w:val="20"/>
                <w:szCs w:val="20"/>
                <w:b w:val="1"/>
                <w:bCs w:val="1"/>
                <w:color w:val="auto"/>
                <w:w w:val="92"/>
                <w:vertAlign w:val="superscript"/>
              </w:rPr>
              <w:t>(2)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2.85%</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32.97%</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6.52%</w:t>
            </w:r>
          </w:p>
        </w:tc>
        <w:tc>
          <w:tcPr>
            <w:tcW w:w="0" w:type="dxa"/>
            <w:vAlign w:val="bottom"/>
          </w:tcPr>
          <w:p>
            <w:pPr>
              <w:spacing w:after="0"/>
              <w:rPr>
                <w:sz w:val="1"/>
                <w:szCs w:val="1"/>
                <w:color w:val="auto"/>
              </w:rPr>
            </w:pPr>
          </w:p>
        </w:tc>
      </w:tr>
      <w:tr>
        <w:trPr>
          <w:trHeight w:val="220"/>
        </w:trPr>
        <w:tc>
          <w:tcPr>
            <w:tcW w:w="67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7"/>
                <w:szCs w:val="17"/>
                <w:color w:val="auto"/>
              </w:rPr>
              <w:t>Default Rate</w:t>
            </w:r>
            <w:r>
              <w:rPr>
                <w:rFonts w:ascii="Times New Roman" w:cs="Times New Roman" w:eastAsia="Times New Roman" w:hAnsi="Times New Roman"/>
                <w:sz w:val="22"/>
                <w:szCs w:val="22"/>
                <w:color w:val="auto"/>
                <w:vertAlign w:val="superscript"/>
              </w:rPr>
              <w:t>(1)</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0.90%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8.94%</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8.47%</w:t>
            </w:r>
          </w:p>
        </w:tc>
        <w:tc>
          <w:tcPr>
            <w:tcW w:w="0" w:type="dxa"/>
            <w:vAlign w:val="bottom"/>
          </w:tcPr>
          <w:p>
            <w:pPr>
              <w:spacing w:after="0"/>
              <w:rPr>
                <w:sz w:val="1"/>
                <w:szCs w:val="1"/>
                <w:color w:val="auto"/>
              </w:rPr>
            </w:pPr>
          </w:p>
        </w:tc>
      </w:tr>
      <w:tr>
        <w:trPr>
          <w:trHeight w:val="22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 Rate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16.19%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23.00%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21.53%</w:t>
            </w:r>
          </w:p>
        </w:tc>
        <w:tc>
          <w:tcPr>
            <w:tcW w:w="0" w:type="dxa"/>
            <w:vAlign w:val="bottom"/>
          </w:tcPr>
          <w:p>
            <w:pPr>
              <w:spacing w:after="0"/>
              <w:rPr>
                <w:sz w:val="1"/>
                <w:szCs w:val="1"/>
                <w:color w:val="auto"/>
              </w:rPr>
            </w:pPr>
          </w:p>
        </w:tc>
      </w:tr>
      <w:tr>
        <w:trPr>
          <w:trHeight w:val="307"/>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420" w:type="dxa"/>
            <w:vAlign w:val="bottom"/>
          </w:tcPr>
          <w:p>
            <w:pPr>
              <w:ind w:left="40"/>
              <w:spacing w:after="0" w:line="164" w:lineRule="exact"/>
              <w:rPr>
                <w:sz w:val="20"/>
                <w:szCs w:val="20"/>
                <w:color w:val="auto"/>
              </w:rPr>
            </w:pPr>
            <w:r>
              <w:rPr>
                <w:rFonts w:ascii="Times New Roman" w:cs="Times New Roman" w:eastAsia="Times New Roman" w:hAnsi="Times New Roman"/>
                <w:sz w:val="17"/>
                <w:szCs w:val="17"/>
                <w:b w:val="1"/>
                <w:bCs w:val="1"/>
                <w:color w:val="auto"/>
              </w:rPr>
              <w:t>Weighted Average</w:t>
            </w:r>
          </w:p>
        </w:tc>
        <w:tc>
          <w:tcPr>
            <w:tcW w:w="0" w:type="dxa"/>
            <w:vAlign w:val="bottom"/>
          </w:tcPr>
          <w:p>
            <w:pPr>
              <w:spacing w:after="0"/>
              <w:rPr>
                <w:sz w:val="1"/>
                <w:szCs w:val="1"/>
                <w:color w:val="auto"/>
              </w:rPr>
            </w:pPr>
          </w:p>
        </w:tc>
      </w:tr>
      <w:tr>
        <w:trPr>
          <w:trHeight w:val="168"/>
        </w:trPr>
        <w:tc>
          <w:tcPr>
            <w:tcW w:w="674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213"/>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2.86%</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30.29%</w:t>
            </w: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6.89%</w:t>
            </w:r>
          </w:p>
        </w:tc>
        <w:tc>
          <w:tcPr>
            <w:tcW w:w="0" w:type="dxa"/>
            <w:vAlign w:val="bottom"/>
          </w:tcPr>
          <w:p>
            <w:pPr>
              <w:spacing w:after="0"/>
              <w:rPr>
                <w:sz w:val="1"/>
                <w:szCs w:val="1"/>
                <w:color w:val="auto"/>
              </w:rPr>
            </w:pPr>
          </w:p>
        </w:tc>
      </w:tr>
      <w:tr>
        <w:trPr>
          <w:trHeight w:val="22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Default 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0.94%</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8.40%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7.65%</w:t>
            </w:r>
          </w:p>
        </w:tc>
        <w:tc>
          <w:tcPr>
            <w:tcW w:w="0" w:type="dxa"/>
            <w:vAlign w:val="bottom"/>
          </w:tcPr>
          <w:p>
            <w:pPr>
              <w:spacing w:after="0"/>
              <w:rPr>
                <w:sz w:val="1"/>
                <w:szCs w:val="1"/>
                <w:color w:val="auto"/>
              </w:rPr>
            </w:pPr>
          </w:p>
        </w:tc>
      </w:tr>
      <w:tr>
        <w:trPr>
          <w:trHeight w:val="22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 Rate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21.46%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24.85%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14109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83"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cumulative loss relative to the outstanding balance as of September 30, 2025</w:t>
      </w:r>
    </w:p>
    <w:p>
      <w:pPr>
        <w:spacing w:after="0" w:line="1" w:lineRule="exact"/>
        <w:rPr>
          <w:rFonts w:ascii="Times New Roman" w:cs="Times New Roman" w:eastAsia="Times New Roman" w:hAnsi="Times New Roman"/>
          <w:sz w:val="22"/>
          <w:szCs w:val="22"/>
          <w:color w:val="auto"/>
          <w:vertAlign w:val="superscript"/>
        </w:rPr>
      </w:pPr>
    </w:p>
    <w:p>
      <w:pPr>
        <w:ind w:left="700" w:hanging="352"/>
        <w:spacing w:after="0" w:line="194" w:lineRule="auto"/>
        <w:tabs>
          <w:tab w:leader="none" w:pos="700" w:val="left"/>
        </w:tabs>
        <w:numPr>
          <w:ilvl w:val="1"/>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Unobservable inputs were weighted by relative fair value</w:t>
      </w:r>
    </w:p>
    <w:p>
      <w:pPr>
        <w:spacing w:after="0" w:line="217" w:lineRule="exact"/>
        <w:rPr>
          <w:sz w:val="20"/>
          <w:szCs w:val="20"/>
          <w:color w:val="auto"/>
        </w:rPr>
      </w:pPr>
    </w:p>
    <w:p>
      <w:pPr>
        <w:ind w:right="540" w:firstLine="620"/>
        <w:spacing w:after="0" w:line="304" w:lineRule="auto"/>
        <w:rPr>
          <w:sz w:val="20"/>
          <w:szCs w:val="20"/>
          <w:color w:val="auto"/>
        </w:rPr>
      </w:pPr>
      <w:r>
        <w:rPr>
          <w:rFonts w:ascii="Times New Roman" w:cs="Times New Roman" w:eastAsia="Times New Roman" w:hAnsi="Times New Roman"/>
          <w:sz w:val="17"/>
          <w:szCs w:val="17"/>
          <w:color w:val="auto"/>
        </w:rPr>
        <w:t>The following table summarizes the effect that adverse changes in estimates would have on the fair value of the notes receivable and residual trust certificates given hypothetical changes in significant unobservable inputs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Pr>
          <w:p>
            <w:pPr>
              <w:spacing w:after="0"/>
              <w:rPr>
                <w:sz w:val="18"/>
                <w:szCs w:val="18"/>
                <w:color w:val="auto"/>
              </w:rPr>
            </w:pPr>
          </w:p>
        </w:tc>
        <w:tc>
          <w:tcPr>
            <w:tcW w:w="16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02"/>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 Assumption:</w:t>
            </w:r>
          </w:p>
        </w:tc>
        <w:tc>
          <w:tcPr>
            <w:tcW w:w="2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20"/>
        </w:trPr>
        <w:tc>
          <w:tcPr>
            <w:tcW w:w="7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Discount Rate increase of 25%</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w:t>
            </w:r>
          </w:p>
        </w:tc>
      </w:tr>
      <w:tr>
        <w:trPr>
          <w:trHeight w:val="22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Discount Rate increase of 50%</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w:t>
            </w:r>
          </w:p>
        </w:tc>
      </w:tr>
      <w:tr>
        <w:trPr>
          <w:trHeight w:val="220"/>
        </w:trPr>
        <w:tc>
          <w:tcPr>
            <w:tcW w:w="7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Default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Default Rate increase of 25%</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(2,688)</w:t>
            </w:r>
          </w:p>
        </w:tc>
      </w:tr>
      <w:tr>
        <w:trPr>
          <w:trHeight w:val="220"/>
        </w:trPr>
        <w:tc>
          <w:tcPr>
            <w:tcW w:w="7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Default Rate increase of 50%</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(3,026)</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(3,698)</w:t>
            </w:r>
          </w:p>
        </w:tc>
      </w:tr>
      <w:tr>
        <w:trPr>
          <w:trHeight w:val="22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0"/>
        </w:trPr>
        <w:tc>
          <w:tcPr>
            <w:tcW w:w="7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Prepayment Rate change of 25%</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2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Prepayment Rate change of 50%</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w:t>
            </w: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Residual Interests in Structured Transactions</w:t>
      </w:r>
    </w:p>
    <w:p>
      <w:pPr>
        <w:spacing w:after="0" w:line="248" w:lineRule="exact"/>
        <w:rPr>
          <w:sz w:val="20"/>
          <w:szCs w:val="20"/>
          <w:color w:val="auto"/>
        </w:rPr>
      </w:pPr>
    </w:p>
    <w:p>
      <w:pPr>
        <w:ind w:right="340" w:firstLine="620"/>
        <w:spacing w:after="0" w:line="288" w:lineRule="auto"/>
        <w:rPr>
          <w:sz w:val="20"/>
          <w:szCs w:val="20"/>
          <w:color w:val="auto"/>
        </w:rPr>
      </w:pPr>
      <w:r>
        <w:rPr>
          <w:rFonts w:ascii="Times New Roman" w:cs="Times New Roman" w:eastAsia="Times New Roman" w:hAnsi="Times New Roman"/>
          <w:sz w:val="17"/>
          <w:szCs w:val="17"/>
          <w:color w:val="auto"/>
        </w:rPr>
        <w:t>As of September 30, 2025, we held residual interests in structured transactions with an aggregate fair value of $4.0 million in connection with certain forward flow loan sale transactions.</w:t>
      </w:r>
    </w:p>
    <w:p>
      <w:pPr>
        <w:spacing w:after="0" w:line="177" w:lineRule="exact"/>
        <w:rPr>
          <w:sz w:val="20"/>
          <w:szCs w:val="20"/>
          <w:color w:val="auto"/>
        </w:rPr>
      </w:pPr>
    </w:p>
    <w:p>
      <w:pPr>
        <w:ind w:right="160" w:firstLine="620"/>
        <w:spacing w:after="0" w:line="270" w:lineRule="auto"/>
        <w:rPr>
          <w:sz w:val="20"/>
          <w:szCs w:val="20"/>
          <w:color w:val="auto"/>
        </w:rPr>
      </w:pPr>
      <w:r>
        <w:rPr>
          <w:rFonts w:ascii="Times New Roman" w:cs="Times New Roman" w:eastAsia="Times New Roman" w:hAnsi="Times New Roman"/>
          <w:sz w:val="17"/>
          <w:szCs w:val="17"/>
          <w:color w:val="auto"/>
        </w:rPr>
        <w:t>These assets are measured at fair value using a discounted cash flow model, and presented within securities available for sale at fair value in the interim condensed consolidated balance sheets. Changes in the fair value, except for credit impairments, are reflected in other comprehensive income in the interim condensed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fair value of the assets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r>
      <w:tr>
        <w:trPr>
          <w:trHeight w:val="21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period</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r>
      <w:tr>
        <w:trPr>
          <w:trHeight w:val="220"/>
        </w:trPr>
        <w:tc>
          <w:tcPr>
            <w:tcW w:w="7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Capital contribution</w:t>
            </w:r>
          </w:p>
        </w:tc>
        <w:tc>
          <w:tcPr>
            <w:tcW w:w="340" w:type="dxa"/>
            <w:vAlign w:val="bottom"/>
          </w:tcPr>
          <w:p>
            <w:pPr>
              <w:spacing w:after="0"/>
              <w:rPr>
                <w:sz w:val="19"/>
                <w:szCs w:val="19"/>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w:t>
            </w:r>
          </w:p>
        </w:tc>
      </w:tr>
      <w:tr>
        <w:trPr>
          <w:trHeight w:val="220"/>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Subsequent changes in fair value</w:t>
            </w:r>
          </w:p>
        </w:tc>
        <w:tc>
          <w:tcPr>
            <w:tcW w:w="340" w:type="dxa"/>
            <w:vAlign w:val="bottom"/>
            <w:tcBorders>
              <w:bottom w:val="single" w:sz="8" w:color="auto"/>
            </w:tcBorders>
            <w:shd w:val="clear" w:color="auto" w:fill="CCEEFF"/>
          </w:tcPr>
          <w:p>
            <w:pPr>
              <w:spacing w:after="0"/>
              <w:rPr>
                <w:sz w:val="19"/>
                <w:szCs w:val="19"/>
                <w:color w:val="auto"/>
              </w:rPr>
            </w:pPr>
          </w:p>
        </w:tc>
        <w:tc>
          <w:tcPr>
            <w:tcW w:w="3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at the end of period</w:t>
            </w:r>
          </w:p>
        </w:tc>
        <w:tc>
          <w:tcPr>
            <w:tcW w:w="34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4,017</w:t>
            </w:r>
          </w:p>
        </w:tc>
      </w:tr>
      <w:tr>
        <w:trPr>
          <w:trHeight w:val="20"/>
        </w:trPr>
        <w:tc>
          <w:tcPr>
            <w:tcW w:w="7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Significant unobservable inputs used for our Level 3 fair value measurement of the residual interests are the discount rate, loss rate, and prepayment rate.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increases or decreases in any of the inputs in isolation could result in a significantly lower or higher fair value measurement.</w:t>
      </w:r>
    </w:p>
    <w:p>
      <w:pPr>
        <w:spacing w:after="0" w:line="227" w:lineRule="exact"/>
        <w:rPr>
          <w:sz w:val="20"/>
          <w:szCs w:val="20"/>
          <w:color w:val="auto"/>
        </w:rPr>
      </w:pPr>
    </w:p>
    <w:p>
      <w:pPr>
        <w:ind w:right="5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quantitative information about the significant unobservable inputs used for our Level 3 fair value measurement of the residual interests in structured transactions as of September 30, 2025 and June 30, 2025:</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Unobservable Input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38035" cy="147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Discount Rate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Default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Prepayment Rate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Unobservable Input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38035" cy="147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Discount Rate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Default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Prepayment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179070</wp:posOffset>
            </wp:positionV>
            <wp:extent cx="14109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07"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Unobservable inputs were weighted by relative fair value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September 30, 2025</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ind w:left="40"/>
              <w:spacing w:after="0" w:line="167" w:lineRule="exact"/>
              <w:rPr>
                <w:sz w:val="20"/>
                <w:szCs w:val="20"/>
                <w:color w:val="auto"/>
              </w:rPr>
            </w:pPr>
            <w:r>
              <w:rPr>
                <w:rFonts w:ascii="Times New Roman" w:cs="Times New Roman" w:eastAsia="Times New Roman" w:hAnsi="Times New Roman"/>
                <w:sz w:val="17"/>
                <w:szCs w:val="17"/>
                <w:b w:val="1"/>
                <w:bCs w:val="1"/>
                <w:color w:val="auto"/>
              </w:rPr>
              <w:t>Weighted Average</w:t>
            </w:r>
          </w:p>
        </w:tc>
        <w:tc>
          <w:tcPr>
            <w:tcW w:w="0" w:type="dxa"/>
            <w:vAlign w:val="bottom"/>
          </w:tcPr>
          <w:p>
            <w:pPr>
              <w:spacing w:after="0"/>
              <w:rPr>
                <w:sz w:val="1"/>
                <w:szCs w:val="1"/>
                <w:color w:val="auto"/>
              </w:rPr>
            </w:pPr>
          </w:p>
        </w:tc>
      </w:tr>
      <w:tr>
        <w:trPr>
          <w:trHeight w:val="116"/>
        </w:trPr>
        <w:tc>
          <w:tcPr>
            <w:tcW w:w="1540" w:type="dxa"/>
            <w:vAlign w:val="bottom"/>
            <w:gridSpan w:val="2"/>
            <w:vMerge w:val="restart"/>
          </w:tcPr>
          <w:p>
            <w:pPr>
              <w:ind w:left="360"/>
              <w:spacing w:after="0" w:line="168" w:lineRule="exact"/>
              <w:rPr>
                <w:sz w:val="20"/>
                <w:szCs w:val="20"/>
                <w:color w:val="auto"/>
              </w:rPr>
            </w:pPr>
            <w:r>
              <w:rPr>
                <w:rFonts w:ascii="Times New Roman" w:cs="Times New Roman" w:eastAsia="Times New Roman" w:hAnsi="Times New Roman"/>
                <w:sz w:val="17"/>
                <w:szCs w:val="17"/>
                <w:b w:val="1"/>
                <w:bCs w:val="1"/>
                <w:color w:val="auto"/>
              </w:rPr>
              <w:t>Minimum</w:t>
            </w:r>
          </w:p>
        </w:tc>
        <w:tc>
          <w:tcPr>
            <w:tcW w:w="1540" w:type="dxa"/>
            <w:vAlign w:val="bottom"/>
            <w:gridSpan w:val="2"/>
            <w:vMerge w:val="restart"/>
          </w:tcPr>
          <w:p>
            <w:pPr>
              <w:jc w:val="center"/>
              <w:ind w:right="100"/>
              <w:spacing w:after="0" w:line="168" w:lineRule="exact"/>
              <w:rPr>
                <w:sz w:val="20"/>
                <w:szCs w:val="20"/>
                <w:color w:val="auto"/>
              </w:rPr>
            </w:pPr>
            <w:r>
              <w:rPr>
                <w:rFonts w:ascii="Times New Roman" w:cs="Times New Roman" w:eastAsia="Times New Roman" w:hAnsi="Times New Roman"/>
                <w:sz w:val="17"/>
                <w:szCs w:val="17"/>
                <w:b w:val="1"/>
                <w:bCs w:val="1"/>
                <w:color w:val="auto"/>
              </w:rPr>
              <w:t>Maximum</w:t>
            </w:r>
          </w:p>
        </w:tc>
        <w:tc>
          <w:tcPr>
            <w:tcW w:w="14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52"/>
        </w:trPr>
        <w:tc>
          <w:tcPr>
            <w:tcW w:w="154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20.00%</w:t>
            </w:r>
          </w:p>
        </w:tc>
        <w:tc>
          <w:tcPr>
            <w:tcW w:w="12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20.00%</w:t>
            </w:r>
          </w:p>
        </w:tc>
        <w:tc>
          <w:tcPr>
            <w:tcW w:w="12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220"/>
        </w:trPr>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9.38%</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9.38%</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9.38%</w:t>
            </w:r>
          </w:p>
        </w:tc>
        <w:tc>
          <w:tcPr>
            <w:tcW w:w="0" w:type="dxa"/>
            <w:vAlign w:val="bottom"/>
          </w:tcPr>
          <w:p>
            <w:pPr>
              <w:spacing w:after="0"/>
              <w:rPr>
                <w:sz w:val="1"/>
                <w:szCs w:val="1"/>
                <w:color w:val="auto"/>
              </w:rPr>
            </w:pPr>
          </w:p>
        </w:tc>
      </w:tr>
      <w:tr>
        <w:trPr>
          <w:trHeight w:val="223"/>
        </w:trPr>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47.91%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47.91%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47.91%</w:t>
            </w:r>
          </w:p>
        </w:tc>
        <w:tc>
          <w:tcPr>
            <w:tcW w:w="0" w:type="dxa"/>
            <w:vAlign w:val="bottom"/>
          </w:tcPr>
          <w:p>
            <w:pPr>
              <w:spacing w:after="0"/>
              <w:rPr>
                <w:sz w:val="1"/>
                <w:szCs w:val="1"/>
                <w:color w:val="auto"/>
              </w:rPr>
            </w:pPr>
          </w:p>
        </w:tc>
      </w:tr>
      <w:tr>
        <w:trPr>
          <w:trHeight w:val="540"/>
        </w:trPr>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5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420" w:type="dxa"/>
            <w:vAlign w:val="bottom"/>
          </w:tcPr>
          <w:p>
            <w:pPr>
              <w:ind w:left="40"/>
              <w:spacing w:after="0" w:line="164" w:lineRule="exact"/>
              <w:rPr>
                <w:sz w:val="20"/>
                <w:szCs w:val="20"/>
                <w:color w:val="auto"/>
              </w:rPr>
            </w:pPr>
            <w:r>
              <w:rPr>
                <w:rFonts w:ascii="Times New Roman" w:cs="Times New Roman" w:eastAsia="Times New Roman" w:hAnsi="Times New Roman"/>
                <w:sz w:val="17"/>
                <w:szCs w:val="17"/>
                <w:b w:val="1"/>
                <w:bCs w:val="1"/>
                <w:color w:val="auto"/>
              </w:rPr>
              <w:t>Weighted Average</w:t>
            </w:r>
          </w:p>
        </w:tc>
        <w:tc>
          <w:tcPr>
            <w:tcW w:w="0" w:type="dxa"/>
            <w:vAlign w:val="bottom"/>
          </w:tcPr>
          <w:p>
            <w:pPr>
              <w:spacing w:after="0"/>
              <w:rPr>
                <w:sz w:val="1"/>
                <w:szCs w:val="1"/>
                <w:color w:val="auto"/>
              </w:rPr>
            </w:pPr>
          </w:p>
        </w:tc>
      </w:tr>
      <w:tr>
        <w:trPr>
          <w:trHeight w:val="168"/>
        </w:trPr>
        <w:tc>
          <w:tcPr>
            <w:tcW w:w="154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209"/>
        </w:trPr>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20.00%</w:t>
            </w:r>
          </w:p>
        </w:tc>
        <w:tc>
          <w:tcPr>
            <w:tcW w:w="12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20.00%</w:t>
            </w:r>
          </w:p>
        </w:tc>
        <w:tc>
          <w:tcPr>
            <w:tcW w:w="12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20.00%</w:t>
            </w:r>
          </w:p>
        </w:tc>
        <w:tc>
          <w:tcPr>
            <w:tcW w:w="0" w:type="dxa"/>
            <w:vAlign w:val="bottom"/>
          </w:tcPr>
          <w:p>
            <w:pPr>
              <w:spacing w:after="0"/>
              <w:rPr>
                <w:sz w:val="1"/>
                <w:szCs w:val="1"/>
                <w:color w:val="auto"/>
              </w:rPr>
            </w:pPr>
          </w:p>
        </w:tc>
      </w:tr>
      <w:tr>
        <w:trPr>
          <w:trHeight w:val="220"/>
        </w:trPr>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8.88%</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8.88%</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8.88%</w:t>
            </w:r>
          </w:p>
        </w:tc>
        <w:tc>
          <w:tcPr>
            <w:tcW w:w="0" w:type="dxa"/>
            <w:vAlign w:val="bottom"/>
          </w:tcPr>
          <w:p>
            <w:pPr>
              <w:spacing w:after="0"/>
              <w:rPr>
                <w:sz w:val="1"/>
                <w:szCs w:val="1"/>
                <w:color w:val="auto"/>
              </w:rPr>
            </w:pPr>
          </w:p>
        </w:tc>
      </w:tr>
      <w:tr>
        <w:trPr>
          <w:trHeight w:val="223"/>
        </w:trPr>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48.85%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48.85%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48.85%</w:t>
            </w:r>
          </w:p>
        </w:tc>
        <w:tc>
          <w:tcPr>
            <w:tcW w:w="0" w:type="dxa"/>
            <w:vAlign w:val="bottom"/>
          </w:tcPr>
          <w:p>
            <w:pPr>
              <w:spacing w:after="0"/>
              <w:rPr>
                <w:sz w:val="1"/>
                <w:szCs w:val="1"/>
                <w:color w:val="auto"/>
              </w:rPr>
            </w:pPr>
          </w:p>
        </w:tc>
      </w:tr>
    </w:tbl>
    <w:p>
      <w:pPr>
        <w:spacing w:after="0" w:line="755" w:lineRule="exact"/>
        <w:rPr>
          <w:sz w:val="20"/>
          <w:szCs w:val="20"/>
          <w:color w:val="auto"/>
        </w:rPr>
      </w:pPr>
    </w:p>
    <w:p>
      <w:pPr>
        <w:sectPr>
          <w:pgSz w:w="11900" w:h="16838" w:orient="portrait"/>
          <w:cols w:equalWidth="0" w:num="2">
            <w:col w:w="6020" w:space="720"/>
            <w:col w:w="4500"/>
          </w:cols>
          <w:pgMar w:left="320" w:top="123" w:right="339" w:bottom="1440" w:gutter="0" w:footer="0" w:header="0"/>
          <w:type w:val="continuous"/>
        </w:sectPr>
      </w:pPr>
    </w:p>
    <w:p>
      <w:pPr>
        <w:spacing w:after="0" w:line="16" w:lineRule="exact"/>
        <w:rPr>
          <w:sz w:val="20"/>
          <w:szCs w:val="20"/>
          <w:color w:val="auto"/>
        </w:rPr>
      </w:pPr>
    </w:p>
    <w:p>
      <w:pPr>
        <w:ind w:right="8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effect that adverse changes in estimates would have on the fair value of the residual interests in structured transactions given hypothetical changes in significant unobservable inputs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Pr>
          <w:p>
            <w:pPr>
              <w:spacing w:after="0"/>
              <w:rPr>
                <w:sz w:val="18"/>
                <w:szCs w:val="18"/>
                <w:color w:val="auto"/>
              </w:rPr>
            </w:pPr>
          </w:p>
        </w:tc>
        <w:tc>
          <w:tcPr>
            <w:tcW w:w="16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02"/>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 assumption:</w:t>
            </w: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20"/>
        </w:trPr>
        <w:tc>
          <w:tcPr>
            <w:tcW w:w="6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Discount Rate increase of 20%</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20"/>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Discount Rate increase of 40%</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20"/>
        </w:trPr>
        <w:tc>
          <w:tcPr>
            <w:tcW w:w="6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Default Rate assumption:</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0"/>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Default Rate increase of 20%</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6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Default Rate increase of 40%</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 Rate assumption:</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0"/>
        </w:trPr>
        <w:tc>
          <w:tcPr>
            <w:tcW w:w="6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Prepayment Rate increase of 20%</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0"/>
        </w:trPr>
        <w:tc>
          <w:tcPr>
            <w:tcW w:w="6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Prepayment Rate increase of 40%</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47" w:name="page48"/>
    <w:bookmarkEnd w:id="4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Profit Share Liability</w:t>
      </w:r>
    </w:p>
    <w:p>
      <w:pPr>
        <w:spacing w:after="0" w:line="248"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We have commercial agreements with certain enterprise partners, in which we are obligated to share in the profitability of transactions facilitated by our platform. Upon capture of a loan under these programs, we record a liability associated with the estimated future profit to be shared over the life of the loan based on estimated profitability levels of each program. The liability is measured using a discounted cash flow model and recorded at fair value and presented within accrued expenses and other liabilities in the interim condensed consolidated balance sheets.</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fair value of the profit share liability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3300" w:type="dxa"/>
            <w:vAlign w:val="bottom"/>
            <w:tcBorders>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40" w:type="dxa"/>
            <w:vAlign w:val="bottom"/>
            <w:tcBorders>
              <w:bottom w:val="single" w:sz="8" w:color="auto"/>
            </w:tcBorders>
          </w:tcPr>
          <w:p>
            <w:pPr>
              <w:spacing w:after="0"/>
              <w:rPr>
                <w:sz w:val="18"/>
                <w:szCs w:val="18"/>
                <w:color w:val="auto"/>
              </w:rPr>
            </w:pPr>
          </w:p>
        </w:tc>
      </w:tr>
      <w:tr>
        <w:trPr>
          <w:trHeight w:val="201"/>
        </w:trPr>
        <w:tc>
          <w:tcPr>
            <w:tcW w:w="73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7"/>
                <w:szCs w:val="17"/>
                <w:color w:val="auto"/>
              </w:rPr>
            </w:pP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period</w:t>
            </w:r>
          </w:p>
        </w:tc>
        <w:tc>
          <w:tcPr>
            <w:tcW w:w="1260" w:type="dxa"/>
            <w:vAlign w:val="bottom"/>
            <w:shd w:val="clear" w:color="auto" w:fill="CCEEFF"/>
          </w:tcPr>
          <w:p>
            <w:pPr>
              <w:jc w:val="right"/>
              <w:ind w:right="107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1,974</w:t>
            </w:r>
          </w:p>
        </w:tc>
      </w:tr>
      <w:tr>
        <w:trPr>
          <w:trHeight w:val="220"/>
        </w:trPr>
        <w:tc>
          <w:tcPr>
            <w:tcW w:w="7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Facilitation of loans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3,147</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1,227</w:t>
            </w:r>
          </w:p>
        </w:tc>
      </w:tr>
      <w:tr>
        <w:trPr>
          <w:trHeight w:val="220"/>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Actual performance</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(3,028)</w:t>
            </w:r>
          </w:p>
        </w:tc>
      </w:tr>
      <w:tr>
        <w:trPr>
          <w:trHeight w:val="220"/>
        </w:trPr>
        <w:tc>
          <w:tcPr>
            <w:tcW w:w="7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Subsequent changes in fair value</w:t>
            </w:r>
          </w:p>
        </w:tc>
        <w:tc>
          <w:tcPr>
            <w:tcW w:w="1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7"/>
                <w:szCs w:val="17"/>
                <w:color w:val="auto"/>
              </w:rPr>
              <w:t>1,842</w:t>
            </w:r>
          </w:p>
        </w:tc>
      </w:tr>
      <w:tr>
        <w:trPr>
          <w:trHeight w:val="23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end of period</w:t>
            </w:r>
          </w:p>
        </w:tc>
        <w:tc>
          <w:tcPr>
            <w:tcW w:w="1260" w:type="dxa"/>
            <w:vAlign w:val="bottom"/>
            <w:tcBorders>
              <w:bottom w:val="single" w:sz="8" w:color="auto"/>
            </w:tcBorders>
            <w:shd w:val="clear" w:color="auto" w:fill="CCEEFF"/>
          </w:tcPr>
          <w:p>
            <w:pPr>
              <w:jc w:val="right"/>
              <w:ind w:right="107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7,592</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97"/>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center"/>
              <w:ind w:left="34"/>
              <w:spacing w:after="0"/>
              <w:rPr>
                <w:sz w:val="20"/>
                <w:szCs w:val="20"/>
                <w:color w:val="auto"/>
              </w:rPr>
            </w:pPr>
            <w:r>
              <w:rPr>
                <w:rFonts w:ascii="Times New Roman" w:cs="Times New Roman" w:eastAsia="Times New Roman" w:hAnsi="Times New Roman"/>
                <w:sz w:val="17"/>
                <w:szCs w:val="17"/>
                <w:color w:val="auto"/>
              </w:rPr>
              <w:t>2,015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10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quantitative information about the significant unobservable inputs used for our Level 3 fair value measurement of the profit sharing liability as of September 30, 2025 and June 30,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7"/>
              </w:rPr>
              <w:t>September 30, 2025</w:t>
            </w:r>
          </w:p>
        </w:tc>
        <w:tc>
          <w:tcPr>
            <w:tcW w:w="1680" w:type="dxa"/>
            <w:vAlign w:val="bottom"/>
            <w:tcBorders>
              <w:bottom w:val="single" w:sz="8" w:color="auto"/>
            </w:tcBorders>
          </w:tcPr>
          <w:p>
            <w:pPr>
              <w:spacing w:after="0"/>
              <w:rPr>
                <w:sz w:val="18"/>
                <w:szCs w:val="18"/>
                <w:color w:val="auto"/>
              </w:rPr>
            </w:pPr>
          </w:p>
        </w:tc>
      </w:tr>
      <w:tr>
        <w:trPr>
          <w:trHeight w:val="202"/>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7"/>
                <w:szCs w:val="17"/>
                <w:color w:val="auto"/>
              </w:rPr>
            </w:pPr>
          </w:p>
        </w:tc>
        <w:tc>
          <w:tcPr>
            <w:tcW w:w="15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88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680" w:type="dxa"/>
            <w:vAlign w:val="bottom"/>
          </w:tcPr>
          <w:p>
            <w:pPr>
              <w:ind w:left="200"/>
              <w:spacing w:after="0" w:line="203" w:lineRule="exact"/>
              <w:rPr>
                <w:sz w:val="20"/>
                <w:szCs w:val="20"/>
                <w:color w:val="auto"/>
              </w:rPr>
            </w:pPr>
            <w:r>
              <w:rPr>
                <w:rFonts w:ascii="Times New Roman" w:cs="Times New Roman" w:eastAsia="Times New Roman" w:hAnsi="Times New Roman"/>
                <w:sz w:val="16"/>
                <w:szCs w:val="16"/>
                <w:b w:val="1"/>
                <w:bCs w:val="1"/>
                <w:color w:val="auto"/>
                <w:w w:val="99"/>
              </w:rPr>
              <w:t xml:space="preserve">Weighted Average </w:t>
            </w:r>
            <w:r>
              <w:rPr>
                <w:rFonts w:ascii="Times New Roman" w:cs="Times New Roman" w:eastAsia="Times New Roman" w:hAnsi="Times New Roman"/>
                <w:sz w:val="20"/>
                <w:szCs w:val="20"/>
                <w:b w:val="1"/>
                <w:bCs w:val="1"/>
                <w:color w:val="auto"/>
                <w:w w:val="99"/>
                <w:vertAlign w:val="superscript"/>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30.00%</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30.00%</w:t>
            </w:r>
          </w:p>
        </w:tc>
      </w:tr>
      <w:tr>
        <w:trPr>
          <w:trHeight w:val="22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2.84%</w:t>
            </w:r>
          </w:p>
        </w:tc>
      </w:tr>
      <w:tr>
        <w:trPr>
          <w:trHeight w:val="303"/>
        </w:trPr>
        <w:tc>
          <w:tcPr>
            <w:tcW w:w="6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1620" w:type="dxa"/>
            <w:vAlign w:val="bottom"/>
            <w:tcBorders>
              <w:bottom w:val="single" w:sz="8" w:color="auto"/>
            </w:tcBorders>
          </w:tcPr>
          <w:p>
            <w:pPr>
              <w:spacing w:after="0"/>
              <w:rPr>
                <w:sz w:val="24"/>
                <w:szCs w:val="24"/>
                <w:color w:val="auto"/>
              </w:rPr>
            </w:pPr>
          </w:p>
        </w:tc>
      </w:tr>
      <w:tr>
        <w:trPr>
          <w:trHeight w:val="202"/>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ind w:left="140"/>
              <w:spacing w:after="0" w:line="203" w:lineRule="exact"/>
              <w:rPr>
                <w:sz w:val="20"/>
                <w:szCs w:val="20"/>
                <w:color w:val="auto"/>
              </w:rPr>
            </w:pPr>
            <w:r>
              <w:rPr>
                <w:rFonts w:ascii="Times New Roman" w:cs="Times New Roman" w:eastAsia="Times New Roman" w:hAnsi="Times New Roman"/>
                <w:sz w:val="16"/>
                <w:szCs w:val="16"/>
                <w:b w:val="1"/>
                <w:bCs w:val="1"/>
                <w:color w:val="auto"/>
                <w:w w:val="99"/>
              </w:rPr>
              <w:t xml:space="preserve">Weighted Average </w:t>
            </w:r>
            <w:r>
              <w:rPr>
                <w:rFonts w:ascii="Times New Roman" w:cs="Times New Roman" w:eastAsia="Times New Roman" w:hAnsi="Times New Roman"/>
                <w:sz w:val="20"/>
                <w:szCs w:val="20"/>
                <w:b w:val="1"/>
                <w:bCs w:val="1"/>
                <w:color w:val="auto"/>
                <w:w w:val="99"/>
                <w:vertAlign w:val="superscript"/>
              </w:rPr>
              <w:t>(1)</w:t>
            </w:r>
          </w:p>
        </w:tc>
      </w:tr>
      <w:tr>
        <w:trPr>
          <w:trHeight w:val="213"/>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30.00%</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30.00%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30.00%</w:t>
            </w:r>
          </w:p>
        </w:tc>
      </w:tr>
      <w:tr>
        <w:trPr>
          <w:trHeight w:val="223"/>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 Profitability</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0.23%</w:t>
            </w: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14109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79"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7"/>
          <w:szCs w:val="17"/>
          <w:color w:val="auto"/>
        </w:rPr>
        <w:t>Unobservable inputs were weighted by relative fair value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Risk Sharing Arrangements</w:t>
      </w:r>
    </w:p>
    <w:p>
      <w:pPr>
        <w:spacing w:after="0" w:line="248"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In connection with certain capital funding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 Loan performance is evaluated at a cohort level based on the month loans were sold.</w:t>
      </w:r>
    </w:p>
    <w:p>
      <w:pPr>
        <w:spacing w:after="0" w:line="196" w:lineRule="exact"/>
        <w:rPr>
          <w:sz w:val="20"/>
          <w:szCs w:val="20"/>
          <w:color w:val="auto"/>
        </w:rPr>
      </w:pPr>
    </w:p>
    <w:p>
      <w:pPr>
        <w:ind w:right="40" w:firstLine="620"/>
        <w:spacing w:after="0" w:line="265" w:lineRule="auto"/>
        <w:rPr>
          <w:sz w:val="20"/>
          <w:szCs w:val="20"/>
          <w:color w:val="auto"/>
        </w:rPr>
      </w:pPr>
      <w:r>
        <w:rPr>
          <w:rFonts w:ascii="Times New Roman" w:cs="Times New Roman" w:eastAsia="Times New Roman" w:hAnsi="Times New Roman"/>
          <w:sz w:val="17"/>
          <w:szCs w:val="17"/>
          <w:color w:val="auto"/>
        </w:rPr>
        <w:t>We account for these arrangements as derivatives measured at fair value with gains and losses recognized in gain on sales of loans in our interim condensed consolidated statements of operations and comprehensive income (loss). For each counterparty, we have recognized a net asset or net liability based on the estimated fair value of future payments we expect to receive from or make to the counterparty. As of September 30, 2025, we estimated the fair value of future settlements using a discounted cash flow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fair value of the risk sharing assets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3280" w:type="dxa"/>
            <w:vAlign w:val="bottom"/>
            <w:tcBorders>
              <w:bottom w:val="single" w:sz="8" w:color="auto"/>
            </w:tcBorders>
            <w:gridSpan w:val="4"/>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60" w:type="dxa"/>
            <w:vAlign w:val="bottom"/>
            <w:tcBorders>
              <w:bottom w:val="single" w:sz="8" w:color="auto"/>
            </w:tcBorders>
          </w:tcPr>
          <w:p>
            <w:pPr>
              <w:spacing w:after="0"/>
              <w:rPr>
                <w:sz w:val="18"/>
                <w:szCs w:val="18"/>
                <w:color w:val="auto"/>
              </w:rPr>
            </w:pPr>
          </w:p>
        </w:tc>
      </w:tr>
      <w:tr>
        <w:trPr>
          <w:trHeight w:val="201"/>
        </w:trPr>
        <w:tc>
          <w:tcPr>
            <w:tcW w:w="73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period</w:t>
            </w:r>
          </w:p>
        </w:tc>
        <w:tc>
          <w:tcPr>
            <w:tcW w:w="1260" w:type="dxa"/>
            <w:vAlign w:val="bottom"/>
            <w:shd w:val="clear" w:color="auto" w:fill="CCEEFF"/>
          </w:tcPr>
          <w:p>
            <w:pPr>
              <w:jc w:val="right"/>
              <w:ind w:right="107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43,179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33,884</w:t>
            </w:r>
          </w:p>
        </w:tc>
      </w:tr>
      <w:tr>
        <w:trPr>
          <w:trHeight w:val="220"/>
        </w:trPr>
        <w:tc>
          <w:tcPr>
            <w:tcW w:w="7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Initial transfers of financial assets</w:t>
            </w: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6,508</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10,377</w:t>
            </w:r>
          </w:p>
        </w:tc>
      </w:tr>
      <w:tr>
        <w:trPr>
          <w:trHeight w:val="220"/>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settlements</w:t>
            </w: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Subsequent changes in fair value</w:t>
            </w:r>
          </w:p>
        </w:tc>
        <w:tc>
          <w:tcPr>
            <w:tcW w:w="1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1,069</w:t>
            </w:r>
          </w:p>
        </w:tc>
      </w:tr>
      <w:tr>
        <w:trPr>
          <w:trHeight w:val="23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end of period</w:t>
            </w:r>
          </w:p>
        </w:tc>
        <w:tc>
          <w:tcPr>
            <w:tcW w:w="1260" w:type="dxa"/>
            <w:vAlign w:val="bottom"/>
            <w:tcBorders>
              <w:bottom w:val="single" w:sz="8" w:color="auto"/>
            </w:tcBorders>
            <w:shd w:val="clear" w:color="auto" w:fill="CCEEFF"/>
          </w:tcPr>
          <w:p>
            <w:pPr>
              <w:jc w:val="right"/>
              <w:ind w:right="107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41,565</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45,330</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the fair value of the risk sharing liabilities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3340" w:type="dxa"/>
            <w:vAlign w:val="bottom"/>
            <w:tcBorders>
              <w:bottom w:val="single" w:sz="8" w:color="auto"/>
            </w:tcBorders>
            <w:gridSpan w:val="4"/>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00" w:type="dxa"/>
            <w:vAlign w:val="bottom"/>
            <w:tcBorders>
              <w:bottom w:val="single" w:sz="8" w:color="auto"/>
            </w:tcBorders>
          </w:tcPr>
          <w:p>
            <w:pPr>
              <w:spacing w:after="0"/>
              <w:rPr>
                <w:sz w:val="18"/>
                <w:szCs w:val="18"/>
                <w:color w:val="auto"/>
              </w:rPr>
            </w:pPr>
          </w:p>
        </w:tc>
      </w:tr>
      <w:tr>
        <w:trPr>
          <w:trHeight w:val="201"/>
        </w:trPr>
        <w:tc>
          <w:tcPr>
            <w:tcW w:w="73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at beginning of period</w:t>
            </w:r>
          </w:p>
        </w:tc>
        <w:tc>
          <w:tcPr>
            <w:tcW w:w="136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center"/>
              <w:ind w:left="174"/>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r>
      <w:tr>
        <w:trPr>
          <w:trHeight w:val="220"/>
        </w:trPr>
        <w:tc>
          <w:tcPr>
            <w:tcW w:w="7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Cash settlements</w:t>
            </w:r>
          </w:p>
        </w:tc>
        <w:tc>
          <w:tcPr>
            <w:tcW w:w="1360" w:type="dxa"/>
            <w:vAlign w:val="bottom"/>
          </w:tcPr>
          <w:p>
            <w:pPr>
              <w:spacing w:after="0"/>
              <w:rPr>
                <w:sz w:val="19"/>
                <w:szCs w:val="19"/>
                <w:color w:val="auto"/>
              </w:rPr>
            </w:pPr>
          </w:p>
        </w:tc>
        <w:tc>
          <w:tcPr>
            <w:tcW w:w="56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w w:val="98"/>
              </w:rPr>
              <w:t>(90)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Subsequent changes in fair value</w:t>
            </w:r>
          </w:p>
        </w:tc>
        <w:tc>
          <w:tcPr>
            <w:tcW w:w="1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w:t>
            </w: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at end of period</w:t>
            </w:r>
          </w:p>
        </w:tc>
        <w:tc>
          <w:tcPr>
            <w:tcW w:w="1360" w:type="dxa"/>
            <w:vAlign w:val="bottom"/>
            <w:tcBorders>
              <w:bottom w:val="single" w:sz="8" w:color="auto"/>
            </w:tcBorders>
          </w:tcPr>
          <w:p>
            <w:pPr>
              <w:jc w:val="right"/>
              <w:ind w:right="117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center"/>
              <w:ind w:left="1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3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1,801</w:t>
            </w:r>
          </w:p>
        </w:tc>
      </w:tr>
      <w:tr>
        <w:trPr>
          <w:trHeight w:val="20"/>
        </w:trPr>
        <w:tc>
          <w:tcPr>
            <w:tcW w:w="7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2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present quantitative information about the significant unobservable inputs used for our Level 3 fair value measurement of the risk sharing arrangements as of September 30, 2025 and June 30,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September 30, 2025</w:t>
            </w:r>
          </w:p>
        </w:tc>
        <w:tc>
          <w:tcPr>
            <w:tcW w:w="1680" w:type="dxa"/>
            <w:vAlign w:val="bottom"/>
            <w:tcBorders>
              <w:bottom w:val="single" w:sz="8" w:color="auto"/>
            </w:tcBorders>
          </w:tcPr>
          <w:p>
            <w:pPr>
              <w:spacing w:after="0"/>
              <w:rPr>
                <w:sz w:val="18"/>
                <w:szCs w:val="18"/>
                <w:color w:val="auto"/>
              </w:rPr>
            </w:pPr>
          </w:p>
        </w:tc>
      </w:tr>
      <w:tr>
        <w:trPr>
          <w:trHeight w:val="202"/>
        </w:trPr>
        <w:tc>
          <w:tcPr>
            <w:tcW w:w="3100" w:type="dxa"/>
            <w:vAlign w:val="bottom"/>
          </w:tcPr>
          <w:p>
            <w:pPr>
              <w:spacing w:after="0"/>
              <w:rPr>
                <w:sz w:val="17"/>
                <w:szCs w:val="17"/>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7"/>
                <w:szCs w:val="17"/>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Maximum</w:t>
            </w:r>
          </w:p>
        </w:tc>
        <w:tc>
          <w:tcPr>
            <w:tcW w:w="1680" w:type="dxa"/>
            <w:vAlign w:val="bottom"/>
          </w:tcPr>
          <w:p>
            <w:pPr>
              <w:ind w:left="160"/>
              <w:spacing w:after="0" w:line="20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0"/>
                <w:szCs w:val="20"/>
                <w:b w:val="1"/>
                <w:bCs w:val="1"/>
                <w:color w:val="auto"/>
                <w:vertAlign w:val="superscript"/>
              </w:rPr>
              <w:t>(1)</w:t>
            </w:r>
          </w:p>
        </w:tc>
      </w:tr>
      <w:tr>
        <w:trPr>
          <w:trHeight w:val="21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 sharing assets</w:t>
            </w: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7.13%</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20.00%</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18.08%</w:t>
            </w:r>
          </w:p>
        </w:tc>
      </w:tr>
      <w:tr>
        <w:trPr>
          <w:trHeight w:val="220"/>
        </w:trPr>
        <w:tc>
          <w:tcPr>
            <w:tcW w:w="3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3.33%</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4.94%</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4.14%</w:t>
            </w:r>
          </w:p>
        </w:tc>
      </w:tr>
      <w:tr>
        <w:trPr>
          <w:trHeight w:val="22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19.39%</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21.46%</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20.30%</w:t>
            </w: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 sharing liabilities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20.00%</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20.00%</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20.00%</w:t>
            </w:r>
          </w:p>
        </w:tc>
      </w:tr>
      <w:tr>
        <w:trPr>
          <w:trHeight w:val="22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5.24%</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4.41%</w:t>
            </w:r>
          </w:p>
        </w:tc>
      </w:tr>
      <w:tr>
        <w:trPr>
          <w:trHeight w:val="553"/>
        </w:trPr>
        <w:tc>
          <w:tcPr>
            <w:tcW w:w="310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June 30, 2025</w:t>
            </w:r>
          </w:p>
        </w:tc>
        <w:tc>
          <w:tcPr>
            <w:tcW w:w="1680" w:type="dxa"/>
            <w:vAlign w:val="bottom"/>
            <w:tcBorders>
              <w:bottom w:val="single" w:sz="8" w:color="auto"/>
            </w:tcBorders>
          </w:tcPr>
          <w:p>
            <w:pPr>
              <w:spacing w:after="0"/>
              <w:rPr>
                <w:sz w:val="24"/>
                <w:szCs w:val="24"/>
                <w:color w:val="auto"/>
              </w:rPr>
            </w:pPr>
          </w:p>
        </w:tc>
      </w:tr>
      <w:tr>
        <w:trPr>
          <w:trHeight w:val="202"/>
        </w:trPr>
        <w:tc>
          <w:tcPr>
            <w:tcW w:w="3100" w:type="dxa"/>
            <w:vAlign w:val="bottom"/>
          </w:tcPr>
          <w:p>
            <w:pPr>
              <w:spacing w:after="0"/>
              <w:rPr>
                <w:sz w:val="17"/>
                <w:szCs w:val="17"/>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00" w:type="dxa"/>
            <w:vAlign w:val="bottom"/>
          </w:tcPr>
          <w:p>
            <w:pPr>
              <w:spacing w:after="0"/>
              <w:rPr>
                <w:sz w:val="17"/>
                <w:szCs w:val="17"/>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Maximum</w:t>
            </w:r>
          </w:p>
        </w:tc>
        <w:tc>
          <w:tcPr>
            <w:tcW w:w="1680" w:type="dxa"/>
            <w:vAlign w:val="bottom"/>
          </w:tcPr>
          <w:p>
            <w:pPr>
              <w:ind w:left="160"/>
              <w:spacing w:after="0" w:line="203" w:lineRule="exact"/>
              <w:rPr>
                <w:sz w:val="20"/>
                <w:szCs w:val="20"/>
                <w:color w:val="auto"/>
              </w:rPr>
            </w:pPr>
            <w:r>
              <w:rPr>
                <w:rFonts w:ascii="Times New Roman" w:cs="Times New Roman" w:eastAsia="Times New Roman" w:hAnsi="Times New Roman"/>
                <w:sz w:val="16"/>
                <w:szCs w:val="16"/>
                <w:b w:val="1"/>
                <w:bCs w:val="1"/>
                <w:color w:val="auto"/>
              </w:rPr>
              <w:t xml:space="preserve">Weighted Average </w:t>
            </w:r>
            <w:r>
              <w:rPr>
                <w:rFonts w:ascii="Times New Roman" w:cs="Times New Roman" w:eastAsia="Times New Roman" w:hAnsi="Times New Roman"/>
                <w:sz w:val="20"/>
                <w:szCs w:val="20"/>
                <w:b w:val="1"/>
                <w:bCs w:val="1"/>
                <w:color w:val="auto"/>
                <w:vertAlign w:val="superscript"/>
              </w:rPr>
              <w:t>(1)</w:t>
            </w:r>
          </w:p>
        </w:tc>
      </w:tr>
      <w:tr>
        <w:trPr>
          <w:trHeight w:val="213"/>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 sharing assets</w:t>
            </w:r>
          </w:p>
        </w:tc>
        <w:tc>
          <w:tcPr>
            <w:tcW w:w="2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20.00%</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20.00%</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20.00%</w:t>
            </w:r>
          </w:p>
        </w:tc>
      </w:tr>
      <w:tr>
        <w:trPr>
          <w:trHeight w:val="220"/>
        </w:trPr>
        <w:tc>
          <w:tcPr>
            <w:tcW w:w="3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3.32%</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4.91%</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4.13%</w:t>
            </w:r>
          </w:p>
        </w:tc>
      </w:tr>
      <w:tr>
        <w:trPr>
          <w:trHeight w:val="22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19.84%</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22.89%</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21.34%</w:t>
            </w:r>
          </w:p>
        </w:tc>
      </w:tr>
      <w:tr>
        <w:trPr>
          <w:trHeight w:val="220"/>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 sharing liabilities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20.00%</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20.00%</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20.00%</w:t>
            </w:r>
          </w:p>
        </w:tc>
      </w:tr>
      <w:tr>
        <w:trPr>
          <w:trHeight w:val="22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Rate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3.47%</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83"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Unobservable inputs were weighted by principal balance of loans sold under each cohort</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49"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4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effect that adverse changes in estimates would have on the fair value of the risk sharing assets and liabilities given hypothetical changes in significant unobservable inputs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Pr>
          <w:p>
            <w:pPr>
              <w:spacing w:after="0"/>
              <w:rPr>
                <w:sz w:val="18"/>
                <w:szCs w:val="18"/>
                <w:color w:val="auto"/>
              </w:rPr>
            </w:pPr>
          </w:p>
        </w:tc>
        <w:tc>
          <w:tcPr>
            <w:tcW w:w="16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02"/>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Risk sharing assets</w:t>
            </w:r>
          </w:p>
        </w:tc>
        <w:tc>
          <w:tcPr>
            <w:tcW w:w="22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220"/>
        </w:trPr>
        <w:tc>
          <w:tcPr>
            <w:tcW w:w="7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Prepayment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Prepayment Rate decrease of 25%</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(1,896)</w:t>
            </w:r>
          </w:p>
        </w:tc>
      </w:tr>
      <w:tr>
        <w:trPr>
          <w:trHeight w:val="220"/>
        </w:trPr>
        <w:tc>
          <w:tcPr>
            <w:tcW w:w="7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Prepayment Rate decrease of 50%</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w:t>
            </w:r>
          </w:p>
        </w:tc>
      </w:tr>
      <w:tr>
        <w:trPr>
          <w:trHeight w:val="220"/>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0"/>
        </w:trPr>
        <w:tc>
          <w:tcPr>
            <w:tcW w:w="7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Rate increase of 25%</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(14,633)</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(15,150)</w:t>
            </w:r>
          </w:p>
        </w:tc>
      </w:tr>
      <w:tr>
        <w:trPr>
          <w:trHeight w:val="22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Rate increase of 50%</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(30,277)</w:t>
            </w:r>
          </w:p>
        </w:tc>
      </w:tr>
      <w:tr>
        <w:trPr>
          <w:trHeight w:val="220"/>
        </w:trPr>
        <w:tc>
          <w:tcPr>
            <w:tcW w:w="7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Discount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Discount Rate increase of 25%</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w:t>
            </w:r>
          </w:p>
        </w:tc>
      </w:tr>
      <w:tr>
        <w:trPr>
          <w:trHeight w:val="220"/>
        </w:trPr>
        <w:tc>
          <w:tcPr>
            <w:tcW w:w="7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Discount Rate increase of 50%</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(1,789)</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(1,745)</w:t>
            </w:r>
          </w:p>
        </w:tc>
      </w:tr>
      <w:tr>
        <w:trPr>
          <w:trHeight w:val="22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Risk sharing liabilities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0"/>
        </w:trPr>
        <w:tc>
          <w:tcPr>
            <w:tcW w:w="72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Loss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Rate increase of 25%</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16,946</w:t>
            </w:r>
          </w:p>
        </w:tc>
      </w:tr>
      <w:tr>
        <w:trPr>
          <w:trHeight w:val="220"/>
        </w:trPr>
        <w:tc>
          <w:tcPr>
            <w:tcW w:w="7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Rate increase of 50%</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17,403</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24,676</w:t>
            </w:r>
          </w:p>
        </w:tc>
      </w:tr>
      <w:tr>
        <w:trPr>
          <w:trHeight w:val="220"/>
        </w:trPr>
        <w:tc>
          <w:tcPr>
            <w:tcW w:w="7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Discount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0"/>
        </w:trPr>
        <w:tc>
          <w:tcPr>
            <w:tcW w:w="7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Discount Rate increase of 25%</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Discount Rate increase of 50%</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Assets and Liabilities Not Recorded at Fair Value</w:t>
      </w:r>
    </w:p>
    <w:p>
      <w:pPr>
        <w:spacing w:after="0" w:line="250" w:lineRule="exact"/>
        <w:rPr>
          <w:sz w:val="20"/>
          <w:szCs w:val="20"/>
          <w:color w:val="auto"/>
        </w:rPr>
      </w:pPr>
    </w:p>
    <w:p>
      <w:pPr>
        <w:jc w:val="both"/>
        <w:ind w:right="40" w:firstLine="620"/>
        <w:spacing w:after="0" w:line="277" w:lineRule="auto"/>
        <w:rPr>
          <w:sz w:val="20"/>
          <w:szCs w:val="20"/>
          <w:color w:val="auto"/>
        </w:rPr>
      </w:pPr>
      <w:r>
        <w:rPr>
          <w:rFonts w:ascii="Times New Roman" w:cs="Times New Roman" w:eastAsia="Times New Roman" w:hAnsi="Times New Roman"/>
          <w:sz w:val="17"/>
          <w:szCs w:val="17"/>
          <w:color w:val="auto"/>
        </w:rPr>
        <w:t>The following table presents the fair value and our assessment of the classification of this measurement within the fair value hierarchy for financial assets and liabilities held at amortized cost as of September 30, 2025 and June 30, 2025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September 30, 2025</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860" w:type="dxa"/>
            <w:vAlign w:val="bottom"/>
          </w:tcPr>
          <w:p>
            <w:pPr>
              <w:spacing w:after="0"/>
              <w:rPr>
                <w:sz w:val="13"/>
                <w:szCs w:val="13"/>
                <w:color w:val="auto"/>
              </w:rPr>
            </w:pPr>
          </w:p>
        </w:tc>
        <w:tc>
          <w:tcPr>
            <w:tcW w:w="1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3"/>
                <w:szCs w:val="13"/>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3"/>
                <w:szCs w:val="13"/>
                <w:color w:val="auto"/>
              </w:rPr>
            </w:pP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Level 2</w:t>
            </w:r>
          </w:p>
        </w:tc>
        <w:tc>
          <w:tcPr>
            <w:tcW w:w="280" w:type="dxa"/>
            <w:vAlign w:val="bottom"/>
          </w:tcPr>
          <w:p>
            <w:pPr>
              <w:spacing w:after="0"/>
              <w:rPr>
                <w:sz w:val="13"/>
                <w:szCs w:val="13"/>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right"/>
              <w:ind w:right="116"/>
              <w:spacing w:after="0" w:line="151" w:lineRule="exact"/>
              <w:rPr>
                <w:sz w:val="20"/>
                <w:szCs w:val="20"/>
                <w:color w:val="auto"/>
              </w:rPr>
            </w:pPr>
            <w:r>
              <w:rPr>
                <w:rFonts w:ascii="Times New Roman" w:cs="Times New Roman" w:eastAsia="Times New Roman" w:hAnsi="Times New Roman"/>
                <w:sz w:val="16"/>
                <w:szCs w:val="16"/>
                <w:b w:val="1"/>
                <w:bCs w:val="1"/>
                <w:color w:val="auto"/>
                <w:w w:val="99"/>
              </w:rPr>
              <w:t>Balance at Fair</w:t>
            </w:r>
          </w:p>
        </w:tc>
        <w:tc>
          <w:tcPr>
            <w:tcW w:w="0" w:type="dxa"/>
            <w:vAlign w:val="bottom"/>
          </w:tcPr>
          <w:p>
            <w:pPr>
              <w:spacing w:after="0"/>
              <w:rPr>
                <w:sz w:val="1"/>
                <w:szCs w:val="1"/>
                <w:color w:val="auto"/>
              </w:rPr>
            </w:pPr>
          </w:p>
        </w:tc>
      </w:tr>
      <w:tr>
        <w:trPr>
          <w:trHeight w:val="205"/>
        </w:trPr>
        <w:tc>
          <w:tcPr>
            <w:tcW w:w="3860" w:type="dxa"/>
            <w:vAlign w:val="bottom"/>
          </w:tcPr>
          <w:p>
            <w:pPr>
              <w:spacing w:after="0"/>
              <w:rPr>
                <w:sz w:val="17"/>
                <w:szCs w:val="17"/>
                <w:color w:val="auto"/>
              </w:rPr>
            </w:pPr>
          </w:p>
        </w:tc>
        <w:tc>
          <w:tcPr>
            <w:tcW w:w="15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Loans held for investment, net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6,809,376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7,291,039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7,291,039</w:t>
            </w:r>
          </w:p>
        </w:tc>
        <w:tc>
          <w:tcPr>
            <w:tcW w:w="0" w:type="dxa"/>
            <w:vAlign w:val="bottom"/>
          </w:tcPr>
          <w:p>
            <w:pPr>
              <w:spacing w:after="0"/>
              <w:rPr>
                <w:sz w:val="1"/>
                <w:szCs w:val="1"/>
                <w:color w:val="auto"/>
              </w:rPr>
            </w:pPr>
          </w:p>
        </w:tc>
      </w:tr>
      <w:tr>
        <w:trPr>
          <w:trHeight w:val="213"/>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assets</w:t>
            </w: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6,809,388</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7,291,039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7,291,051</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Liabilities:</w:t>
            </w: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Convertible senior notes, net </w:t>
            </w:r>
            <w:r>
              <w:rPr>
                <w:rFonts w:ascii="Times New Roman" w:cs="Times New Roman" w:eastAsia="Times New Roman" w:hAnsi="Times New Roman"/>
                <w:sz w:val="22"/>
                <w:szCs w:val="22"/>
                <w:color w:val="auto"/>
                <w:vertAlign w:val="superscript"/>
              </w:rPr>
              <w:t>(1)</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1,127,668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1,207,239</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1,207,239</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issued by securitization trusts</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4,830,819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4,867,800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4,867,800</w:t>
            </w:r>
          </w:p>
        </w:tc>
        <w:tc>
          <w:tcPr>
            <w:tcW w:w="0" w:type="dxa"/>
            <w:vAlign w:val="bottom"/>
          </w:tcPr>
          <w:p>
            <w:pPr>
              <w:spacing w:after="0"/>
              <w:rPr>
                <w:sz w:val="1"/>
                <w:szCs w:val="1"/>
                <w:color w:val="auto"/>
              </w:rPr>
            </w:pPr>
          </w:p>
        </w:tc>
      </w:tr>
      <w:tr>
        <w:trPr>
          <w:trHeight w:val="220"/>
        </w:trPr>
        <w:tc>
          <w:tcPr>
            <w:tcW w:w="386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Funding debt </w:t>
            </w:r>
            <w:r>
              <w:rPr>
                <w:rFonts w:ascii="Times New Roman" w:cs="Times New Roman" w:eastAsia="Times New Roman" w:hAnsi="Times New Roman"/>
                <w:sz w:val="22"/>
                <w:szCs w:val="22"/>
                <w:color w:val="auto"/>
                <w:vertAlign w:val="superscript"/>
              </w:rPr>
              <w:t>(2)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1,796,438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1,796,438</w:t>
            </w:r>
          </w:p>
        </w:tc>
        <w:tc>
          <w:tcPr>
            <w:tcW w:w="0" w:type="dxa"/>
            <w:vAlign w:val="bottom"/>
          </w:tcPr>
          <w:p>
            <w:pPr>
              <w:spacing w:after="0"/>
              <w:rPr>
                <w:sz w:val="1"/>
                <w:szCs w:val="1"/>
                <w:color w:val="auto"/>
              </w:rPr>
            </w:pPr>
          </w:p>
        </w:tc>
      </w:tr>
      <w:tr>
        <w:trPr>
          <w:trHeight w:val="238"/>
        </w:trPr>
        <w:tc>
          <w:tcPr>
            <w:tcW w:w="38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liabilities</w:t>
            </w:r>
          </w:p>
        </w:tc>
        <w:tc>
          <w:tcPr>
            <w:tcW w:w="38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7,754,664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1,207,239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6,664,238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7,871,477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Assets: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Loans held for investment, net</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Total assets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Liabilities:</w:t>
      </w:r>
    </w:p>
    <w:p>
      <w:pPr>
        <w:spacing w:after="0" w:line="24" w:lineRule="exact"/>
        <w:rPr>
          <w:sz w:val="20"/>
          <w:szCs w:val="20"/>
          <w:color w:val="auto"/>
        </w:rPr>
      </w:pPr>
    </w:p>
    <w:p>
      <w:pPr>
        <w:ind w:left="20" w:right="560"/>
        <w:spacing w:after="0" w:line="235" w:lineRule="auto"/>
        <w:rPr>
          <w:sz w:val="20"/>
          <w:szCs w:val="20"/>
          <w:color w:val="auto"/>
        </w:rPr>
      </w:pPr>
      <w:r>
        <w:rPr>
          <w:rFonts w:ascii="Times New Roman" w:cs="Times New Roman" w:eastAsia="Times New Roman" w:hAnsi="Times New Roman"/>
          <w:sz w:val="17"/>
          <w:szCs w:val="17"/>
          <w:color w:val="auto"/>
        </w:rPr>
        <w:t xml:space="preserve">Convertible senior notes, net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Notes issued by securitization trusts</w:t>
      </w:r>
    </w:p>
    <w:p>
      <w:pPr>
        <w:jc w:val="right"/>
        <w:ind w:right="1960"/>
        <w:spacing w:after="0"/>
        <w:rPr>
          <w:sz w:val="20"/>
          <w:szCs w:val="20"/>
          <w:color w:val="auto"/>
        </w:rPr>
      </w:pPr>
      <w:r>
        <w:rPr>
          <w:rFonts w:ascii="Times New Roman" w:cs="Times New Roman" w:eastAsia="Times New Roman" w:hAnsi="Times New Roman"/>
          <w:sz w:val="16"/>
          <w:szCs w:val="16"/>
          <w:color w:val="auto"/>
        </w:rPr>
        <w:t xml:space="preserve">Funding debt </w:t>
      </w:r>
      <w:r>
        <w:rPr>
          <w:rFonts w:ascii="Times New Roman" w:cs="Times New Roman" w:eastAsia="Times New Roman" w:hAnsi="Times New Roman"/>
          <w:sz w:val="21"/>
          <w:szCs w:val="21"/>
          <w:color w:val="auto"/>
          <w:vertAlign w:val="superscript"/>
        </w:rPr>
        <w:t>(2)</w:t>
      </w:r>
    </w:p>
    <w:p>
      <w:pPr>
        <w:spacing w:after="0" w:line="31"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7"/>
          <w:szCs w:val="17"/>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178435</wp:posOffset>
            </wp:positionV>
            <wp:extent cx="14109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5"/>
              </w:rPr>
              <w:t>Carrying Amount</w:t>
            </w:r>
          </w:p>
        </w:tc>
        <w:tc>
          <w:tcPr>
            <w:tcW w:w="80" w:type="dxa"/>
            <w:vAlign w:val="bottom"/>
            <w:tcBorders>
              <w:top w:val="single" w:sz="8" w:color="auto"/>
            </w:tcBorders>
            <w:vMerge w:val="restart"/>
          </w:tcPr>
          <w:p>
            <w:pPr>
              <w:spacing w:after="0"/>
              <w:rPr>
                <w:sz w:val="13"/>
                <w:szCs w:val="13"/>
                <w:color w:val="auto"/>
              </w:rPr>
            </w:pPr>
          </w:p>
        </w:tc>
        <w:tc>
          <w:tcPr>
            <w:tcW w:w="106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top w:val="single" w:sz="8" w:color="auto"/>
            </w:tcBorders>
            <w:vMerge w:val="restart"/>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80" w:type="dxa"/>
            <w:vAlign w:val="bottom"/>
            <w:tcBorders>
              <w:top w:val="single" w:sz="8" w:color="auto"/>
            </w:tcBorders>
            <w:vMerge w:val="restart"/>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16"/>
              <w:spacing w:after="0" w:line="154" w:lineRule="exact"/>
              <w:rPr>
                <w:sz w:val="20"/>
                <w:szCs w:val="20"/>
                <w:color w:val="auto"/>
              </w:rPr>
            </w:pPr>
            <w:r>
              <w:rPr>
                <w:rFonts w:ascii="Times New Roman" w:cs="Times New Roman" w:eastAsia="Times New Roman" w:hAnsi="Times New Roman"/>
                <w:sz w:val="16"/>
                <w:szCs w:val="16"/>
                <w:b w:val="1"/>
                <w:bCs w:val="1"/>
                <w:color w:val="auto"/>
                <w:w w:val="99"/>
              </w:rPr>
              <w:t>Balance at Fair</w:t>
            </w:r>
          </w:p>
        </w:tc>
        <w:tc>
          <w:tcPr>
            <w:tcW w:w="0" w:type="dxa"/>
            <w:vAlign w:val="bottom"/>
          </w:tcPr>
          <w:p>
            <w:pPr>
              <w:spacing w:after="0"/>
              <w:rPr>
                <w:sz w:val="1"/>
                <w:szCs w:val="1"/>
                <w:color w:val="auto"/>
              </w:rPr>
            </w:pPr>
          </w:p>
        </w:tc>
      </w:tr>
      <w:tr>
        <w:trPr>
          <w:trHeight w:val="205"/>
        </w:trPr>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421"/>
        </w:trPr>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6,628,606</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7,085,840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7,085,840</w:t>
            </w:r>
          </w:p>
        </w:tc>
        <w:tc>
          <w:tcPr>
            <w:tcW w:w="0" w:type="dxa"/>
            <w:vAlign w:val="bottom"/>
          </w:tcPr>
          <w:p>
            <w:pPr>
              <w:spacing w:after="0"/>
              <w:rPr>
                <w:sz w:val="1"/>
                <w:szCs w:val="1"/>
                <w:color w:val="auto"/>
              </w:rPr>
            </w:pPr>
          </w:p>
        </w:tc>
      </w:tr>
      <w:tr>
        <w:trPr>
          <w:trHeight w:val="21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6,628,606</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7,085,840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7,085,840</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1,153,000</w:t>
            </w:r>
          </w:p>
        </w:tc>
        <w:tc>
          <w:tcPr>
            <w:tcW w:w="80" w:type="dxa"/>
            <w:vAlign w:val="bottom"/>
          </w:tcPr>
          <w:p>
            <w:pPr>
              <w:spacing w:after="0"/>
              <w:rPr>
                <w:sz w:val="24"/>
                <w:szCs w:val="24"/>
                <w:color w:val="auto"/>
              </w:rPr>
            </w:pP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1,205,287</w:t>
            </w:r>
          </w:p>
        </w:tc>
        <w:tc>
          <w:tcPr>
            <w:tcW w:w="100" w:type="dxa"/>
            <w:vAlign w:val="bottom"/>
          </w:tcPr>
          <w:p>
            <w:pPr>
              <w:spacing w:after="0"/>
              <w:rPr>
                <w:sz w:val="24"/>
                <w:szCs w:val="24"/>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1,205,287</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4,833,855</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4,868,980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4,868,980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1,640,514</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1,640,765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1,640,765</w:t>
            </w:r>
          </w:p>
        </w:tc>
        <w:tc>
          <w:tcPr>
            <w:tcW w:w="0" w:type="dxa"/>
            <w:vAlign w:val="bottom"/>
          </w:tcPr>
          <w:p>
            <w:pPr>
              <w:spacing w:after="0"/>
              <w:rPr>
                <w:sz w:val="1"/>
                <w:szCs w:val="1"/>
                <w:color w:val="auto"/>
              </w:rPr>
            </w:pPr>
          </w:p>
        </w:tc>
      </w:tr>
      <w:tr>
        <w:trPr>
          <w:trHeight w:val="213"/>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7,627,369</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1,205,287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6,509,745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7,715,032</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-1181100</wp:posOffset>
            </wp:positionV>
            <wp:extent cx="7138035" cy="139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-901700</wp:posOffset>
            </wp:positionV>
            <wp:extent cx="7138035" cy="163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035" cy="16383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-598170</wp:posOffset>
            </wp:positionV>
            <wp:extent cx="7138035" cy="139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-319405</wp:posOffset>
            </wp:positionV>
            <wp:extent cx="7138035" cy="139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123" w:right="339" w:bottom="1440" w:gutter="0" w:footer="0" w:header="0"/>
        </w:sectPr>
      </w:pPr>
    </w:p>
    <w:p>
      <w:pPr>
        <w:spacing w:after="0" w:line="132" w:lineRule="exact"/>
        <w:rPr>
          <w:sz w:val="20"/>
          <w:szCs w:val="20"/>
          <w:color w:val="auto"/>
        </w:rPr>
      </w:pPr>
    </w:p>
    <w:p>
      <w:pPr>
        <w:ind w:left="620" w:right="160" w:hanging="307"/>
        <w:spacing w:after="0" w:line="245" w:lineRule="auto"/>
        <w:tabs>
          <w:tab w:leader="none" w:pos="608" w:val="left"/>
        </w:tabs>
        <w:numPr>
          <w:ilvl w:val="1"/>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2025, includes convertible senior notes due 2026 with a carrying amount and fair value of $221.7 million and $210.9 million, respectively, and convertible senior notes due 2029 with a carrying amount and fair value of $906.0 million and $996.3 million, respectively. As of June 30, 2025, includes convertible senior notes due 2026 with a carrying amount and fair value of $247.9 million and $232.7 million, respectively, and convertible senior notes due 2029 with a carrying amount and fair value of $905.1 million and $972.6 million, respectively. The estimated fair value of the convertible senior notes is determined based on a market approach, using the estimated or actual bids and offers of the notes in an over-the-counter market on the last business day of the period.</w:t>
      </w:r>
    </w:p>
    <w:p>
      <w:pPr>
        <w:spacing w:after="0" w:line="1" w:lineRule="exact"/>
        <w:rPr>
          <w:rFonts w:ascii="Times New Roman" w:cs="Times New Roman" w:eastAsia="Times New Roman" w:hAnsi="Times New Roman"/>
          <w:sz w:val="22"/>
          <w:szCs w:val="22"/>
          <w:color w:val="auto"/>
          <w:vertAlign w:val="superscript"/>
        </w:rPr>
      </w:pPr>
    </w:p>
    <w:p>
      <w:pPr>
        <w:ind w:left="620" w:right="340" w:hanging="307"/>
        <w:spacing w:after="0" w:line="221" w:lineRule="auto"/>
        <w:tabs>
          <w:tab w:leader="none" w:pos="608" w:val="left"/>
        </w:tabs>
        <w:numPr>
          <w:ilvl w:val="1"/>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September 30, 2025 and June 30, 2025, debt issuance costs in the amount of $18.3 million and $17.7 million, respectively, was included within funding debt.</w:t>
      </w:r>
    </w:p>
    <w:p>
      <w:pPr>
        <w:spacing w:after="0" w:line="212" w:lineRule="exact"/>
        <w:rPr>
          <w:rFonts w:ascii="Times New Roman" w:cs="Times New Roman" w:eastAsia="Times New Roman" w:hAnsi="Times New Roman"/>
          <w:sz w:val="22"/>
          <w:szCs w:val="22"/>
          <w:color w:val="auto"/>
          <w:vertAlign w:val="superscript"/>
        </w:rPr>
      </w:pPr>
    </w:p>
    <w:p>
      <w:pPr>
        <w:ind w:left="340" w:hanging="337"/>
        <w:spacing w:after="0"/>
        <w:tabs>
          <w:tab w:leader="none" w:pos="34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had shares of common stock reserved for issuance as follows:</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080" w:type="dxa"/>
            <w:vAlign w:val="bottom"/>
          </w:tcPr>
          <w:p>
            <w:pPr>
              <w:spacing w:after="0"/>
              <w:rPr>
                <w:sz w:val="18"/>
                <w:szCs w:val="18"/>
                <w:color w:val="auto"/>
              </w:rPr>
            </w:pPr>
          </w:p>
        </w:tc>
        <w:tc>
          <w:tcPr>
            <w:tcW w:w="208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980" w:type="dxa"/>
            <w:vAlign w:val="bottom"/>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5"/>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 outstanding under equity compensation plans</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38,330,379</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39,122,013</w:t>
            </w:r>
          </w:p>
        </w:tc>
      </w:tr>
      <w:tr>
        <w:trPr>
          <w:trHeight w:val="22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Available for future grant under equity compensation plans</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65,963,471</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53,851,610</w:t>
            </w:r>
          </w:p>
        </w:tc>
      </w:tr>
      <w:tr>
        <w:trPr>
          <w:trHeight w:val="23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104,293,850</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92,973,623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Warrants</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Common stock warrants are included as a component of additional paid in capital within the interim condensed consolidated balance sheets.</w:t>
      </w:r>
    </w:p>
    <w:p>
      <w:pPr>
        <w:spacing w:after="0" w:line="244" w:lineRule="exact"/>
        <w:rPr>
          <w:sz w:val="20"/>
          <w:szCs w:val="20"/>
          <w:color w:val="auto"/>
        </w:rPr>
      </w:pPr>
    </w:p>
    <w:p>
      <w:pPr>
        <w:ind w:right="180" w:firstLine="620"/>
        <w:spacing w:after="0" w:line="288" w:lineRule="auto"/>
        <w:rPr>
          <w:sz w:val="20"/>
          <w:szCs w:val="20"/>
          <w:color w:val="auto"/>
        </w:rPr>
      </w:pPr>
      <w:r>
        <w:rPr>
          <w:rFonts w:ascii="Times New Roman" w:cs="Times New Roman" w:eastAsia="Times New Roman" w:hAnsi="Times New Roman"/>
          <w:sz w:val="17"/>
          <w:szCs w:val="17"/>
          <w:color w:val="auto"/>
        </w:rPr>
        <w:t>In November 2021, we granted warrants to purchase 22,000,000 shares of common stock in connection with our commercial agreements with Amazon. 7,000,000 of the warrant shares have an exercise price of $0.01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51" w:name="page52"/>
    <w:bookmarkEnd w:id="5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share and originally had a term of 3.5 years. A portion of these warrants were fully vested at the grant date and the remainder were fully vested as of December 31, 2024. As of September 30, 2025, 3,500,000 of these warrants have been exercised. In February 2025, the term for the remaining unexercised warrant shares were extended for an additional 4.0 years. The remaining 15,000,000 warrant shares have an exercise price of $100 per share and a term of 7.5 years. We valued the warrants at the grant date using the Black-Scholes-Merton option pricing model. Refer to Note 5. Balance Sheet Components for more information on the asset and related amortization during the period. The remaining grant-date fair value of the warrants will be recognized within our interim condensed consolidated statements of operations and comprehensive income (loss) as a component of sales and marketing expense as the warrants vest, based upon Amazon’s satisfaction of the vesting conditions.</w:t>
      </w:r>
    </w:p>
    <w:p>
      <w:pPr>
        <w:spacing w:after="0" w:line="203" w:lineRule="exact"/>
        <w:rPr>
          <w:sz w:val="20"/>
          <w:szCs w:val="20"/>
          <w:color w:val="auto"/>
        </w:rPr>
      </w:pPr>
    </w:p>
    <w:p>
      <w:pPr>
        <w:ind w:right="260" w:firstLine="620"/>
        <w:spacing w:after="0" w:line="270" w:lineRule="auto"/>
        <w:rPr>
          <w:sz w:val="20"/>
          <w:szCs w:val="20"/>
          <w:color w:val="auto"/>
        </w:rPr>
      </w:pPr>
      <w:r>
        <w:rPr>
          <w:rFonts w:ascii="Times New Roman" w:cs="Times New Roman" w:eastAsia="Times New Roman" w:hAnsi="Times New Roman"/>
          <w:sz w:val="17"/>
          <w:szCs w:val="17"/>
          <w:color w:val="auto"/>
        </w:rPr>
        <w:t>During the three months ended September 30, 2025 and 2024, a total of $46.2 million and $112.5 million, respectively, was recognized within sales and marketing expense, which included $5.2 million for both periods in amortization expense of the commercial agreement asset and $41.0 million and $107.3 million, respectively, in expense based upon the grant-date fair value of the warrant shares that vested.</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warrants activity during the three months ended September 30, 2025:</w:t>
      </w:r>
    </w:p>
    <w:p>
      <w:pPr>
        <w:spacing w:after="0" w:line="115"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96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Weighted Average Exercise</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w:t>
            </w:r>
          </w:p>
        </w:tc>
        <w:tc>
          <w:tcPr>
            <w:tcW w:w="0" w:type="dxa"/>
            <w:vAlign w:val="bottom"/>
          </w:tcPr>
          <w:p>
            <w:pPr>
              <w:spacing w:after="0"/>
              <w:rPr>
                <w:sz w:val="1"/>
                <w:szCs w:val="1"/>
                <w:color w:val="auto"/>
              </w:rPr>
            </w:pPr>
          </w:p>
        </w:tc>
      </w:tr>
      <w:tr>
        <w:trPr>
          <w:trHeight w:val="205"/>
        </w:trPr>
        <w:tc>
          <w:tcPr>
            <w:tcW w:w="5120" w:type="dxa"/>
            <w:vAlign w:val="bottom"/>
          </w:tcPr>
          <w:p>
            <w:pPr>
              <w:spacing w:after="0"/>
              <w:rPr>
                <w:sz w:val="17"/>
                <w:szCs w:val="17"/>
                <w:color w:val="auto"/>
              </w:rPr>
            </w:pPr>
          </w:p>
        </w:tc>
        <w:tc>
          <w:tcPr>
            <w:tcW w:w="1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Price ($)</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Remaining Life (ye</w:t>
            </w:r>
          </w:p>
        </w:tc>
        <w:tc>
          <w:tcPr>
            <w:tcW w:w="0" w:type="dxa"/>
            <w:vAlign w:val="bottom"/>
          </w:tcPr>
          <w:p>
            <w:pPr>
              <w:spacing w:after="0"/>
              <w:rPr>
                <w:sz w:val="1"/>
                <w:szCs w:val="1"/>
                <w:color w:val="auto"/>
              </w:rPr>
            </w:pPr>
          </w:p>
        </w:tc>
      </w:tr>
      <w:tr>
        <w:trPr>
          <w:trHeight w:val="214"/>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outstanding, June 30, 2025</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18,500,000</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$81.08</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3.90</w:t>
            </w: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Cancelled</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21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outstanding, September 30, 2025</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18,500,000</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$81.08</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rPr>
              <w:t>3.60</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 and exercisable, September 30, 2025</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11,340,727</w:t>
            </w:r>
          </w:p>
        </w:tc>
        <w:tc>
          <w:tcPr>
            <w:tcW w:w="20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$69.14</w:t>
            </w:r>
          </w:p>
        </w:tc>
        <w:tc>
          <w:tcPr>
            <w:tcW w:w="120" w:type="dxa"/>
            <w:vAlign w:val="bottom"/>
          </w:tcPr>
          <w:p>
            <w:pPr>
              <w:spacing w:after="0"/>
              <w:rPr>
                <w:sz w:val="18"/>
                <w:szCs w:val="18"/>
                <w:color w:val="auto"/>
              </w:rPr>
            </w:pPr>
          </w:p>
        </w:tc>
        <w:tc>
          <w:tcPr>
            <w:tcW w:w="14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3.60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800" w:firstLine="620"/>
        <w:spacing w:after="0" w:line="288" w:lineRule="auto"/>
        <w:rPr>
          <w:sz w:val="20"/>
          <w:szCs w:val="20"/>
          <w:color w:val="auto"/>
        </w:rPr>
      </w:pPr>
      <w:r>
        <w:rPr>
          <w:rFonts w:ascii="Times New Roman" w:cs="Times New Roman" w:eastAsia="Times New Roman" w:hAnsi="Times New Roman"/>
          <w:sz w:val="17"/>
          <w:szCs w:val="17"/>
          <w:color w:val="auto"/>
        </w:rPr>
        <w:t>On September 30, 2025, the weighted-average grant date fair values for outstanding warrants and exercisable warrants were $86.76 and $93.65,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Repurchases</w:t>
      </w:r>
    </w:p>
    <w:p>
      <w:pPr>
        <w:spacing w:after="0" w:line="250" w:lineRule="exact"/>
        <w:rPr>
          <w:sz w:val="20"/>
          <w:szCs w:val="20"/>
          <w:color w:val="auto"/>
        </w:rPr>
      </w:pPr>
    </w:p>
    <w:p>
      <w:pPr>
        <w:ind w:right="120" w:firstLine="620"/>
        <w:spacing w:after="0" w:line="270" w:lineRule="auto"/>
        <w:rPr>
          <w:sz w:val="20"/>
          <w:szCs w:val="20"/>
          <w:color w:val="auto"/>
        </w:rPr>
      </w:pPr>
      <w:r>
        <w:rPr>
          <w:rFonts w:ascii="Times New Roman" w:cs="Times New Roman" w:eastAsia="Times New Roman" w:hAnsi="Times New Roman"/>
          <w:sz w:val="17"/>
          <w:szCs w:val="17"/>
          <w:color w:val="auto"/>
        </w:rPr>
        <w:t>We record share repurchases on the settlement date. Repurchased shares are subsequently retired and returned to the status of authorized but unissued. Our policy for share retirements is to deduct the par value from common stock and to reflect any excess of cost over par value as a deduction from additional paid-in capital.</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share repurchases during the three month periods ended September 30, 2025 and 2024.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Equity Incentive Plans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2012 Stock Plan</w:t>
      </w:r>
    </w:p>
    <w:p>
      <w:pPr>
        <w:spacing w:after="0" w:line="250"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Under our Amended and Restated 2012 Stock Plan (the “Plan”), we may grant incentive and nonqualified stock options, restricted stock, restricted stock units (“RSUs”), and performance stock units (“PSUs”) to employees, officers, directors, and consultants. As of September 30, 2025, the maximum number of shares of common stock which may be issued under the Plan is 192,859,800 Class A shares and there were 65,963,471 shares of Class A common stock available for future grants under the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50"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Stock option awards generally vest over a period of four years, with some awards vesting 25% on the 12 month anniversary of the vesting commencement date and the remaining 75% vesting ratably over the next three years. The contractual term is 10 years from the date of grant, or three months after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52" w:name="page53"/>
    <w:bookmarkEnd w:id="5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stock option activity for the three months ended September 30,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20" w:type="dxa"/>
            <w:vAlign w:val="bottom"/>
          </w:tcPr>
          <w:p>
            <w:pPr>
              <w:spacing w:after="0"/>
              <w:rPr>
                <w:sz w:val="16"/>
                <w:szCs w:val="16"/>
                <w:color w:val="auto"/>
              </w:rPr>
            </w:pPr>
          </w:p>
        </w:tc>
        <w:tc>
          <w:tcPr>
            <w:tcW w:w="154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1680" w:type="dxa"/>
            <w:vAlign w:val="bottom"/>
            <w:vMerge w:val="restart"/>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78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 Contractual</w:t>
            </w:r>
          </w:p>
        </w:tc>
        <w:tc>
          <w:tcPr>
            <w:tcW w:w="12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2"/>
              </w:rPr>
              <w:t>Term (Years)</w:t>
            </w:r>
          </w:p>
        </w:tc>
        <w:tc>
          <w:tcPr>
            <w:tcW w:w="120" w:type="dxa"/>
            <w:vAlign w:val="bottom"/>
          </w:tcPr>
          <w:p>
            <w:pPr>
              <w:spacing w:after="0"/>
              <w:rPr>
                <w:sz w:val="17"/>
                <w:szCs w:val="17"/>
                <w:color w:val="auto"/>
              </w:rPr>
            </w:pPr>
          </w:p>
        </w:tc>
        <w:tc>
          <w:tcPr>
            <w:tcW w:w="154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6"/>
              </w:rPr>
              <w:t>Value (in thousands)</w:t>
            </w:r>
          </w:p>
        </w:tc>
        <w:tc>
          <w:tcPr>
            <w:tcW w:w="0" w:type="dxa"/>
            <w:vAlign w:val="bottom"/>
          </w:tcPr>
          <w:p>
            <w:pPr>
              <w:spacing w:after="0"/>
              <w:rPr>
                <w:sz w:val="1"/>
                <w:szCs w:val="1"/>
                <w:color w:val="auto"/>
              </w:rPr>
            </w:pPr>
          </w:p>
        </w:tc>
      </w:tr>
      <w:tr>
        <w:trPr>
          <w:trHeight w:val="214"/>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2025</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12,955,978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(1,686,317)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17.65</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 expired or canceled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2025</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11,238,044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19.29</w:t>
            </w:r>
          </w:p>
        </w:tc>
        <w:tc>
          <w:tcPr>
            <w:tcW w:w="1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exercisable, September 30, 2025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9,392,988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522,816</w:t>
            </w:r>
          </w:p>
        </w:tc>
        <w:tc>
          <w:tcPr>
            <w:tcW w:w="0" w:type="dxa"/>
            <w:vAlign w:val="bottom"/>
          </w:tcPr>
          <w:p>
            <w:pPr>
              <w:spacing w:after="0"/>
              <w:rPr>
                <w:sz w:val="1"/>
                <w:szCs w:val="1"/>
                <w:color w:val="auto"/>
              </w:rPr>
            </w:pPr>
          </w:p>
        </w:tc>
      </w:tr>
      <w:tr>
        <w:trPr>
          <w:trHeight w:val="168"/>
        </w:trPr>
        <w:tc>
          <w:tcPr>
            <w:tcW w:w="4220" w:type="dxa"/>
            <w:vAlign w:val="bottom"/>
          </w:tcPr>
          <w:p>
            <w:pPr>
              <w:ind w:left="20"/>
              <w:spacing w:after="0" w:line="168" w:lineRule="exact"/>
              <w:rPr>
                <w:sz w:val="20"/>
                <w:szCs w:val="20"/>
                <w:color w:val="auto"/>
              </w:rPr>
            </w:pPr>
            <w:r>
              <w:rPr>
                <w:rFonts w:ascii="Times New Roman" w:cs="Times New Roman" w:eastAsia="Times New Roman" w:hAnsi="Times New Roman"/>
                <w:sz w:val="15"/>
                <w:szCs w:val="15"/>
                <w:color w:val="auto"/>
              </w:rPr>
              <w:t>Vested and exercisable, and expected to vest thereafter</w:t>
            </w:r>
            <w:r>
              <w:rPr>
                <w:rFonts w:ascii="Times New Roman" w:cs="Times New Roman" w:eastAsia="Times New Roman" w:hAnsi="Times New Roman"/>
                <w:sz w:val="19"/>
                <w:szCs w:val="19"/>
                <w:color w:val="auto"/>
                <w:vertAlign w:val="superscript"/>
              </w:rPr>
              <w:t>(1)</w:t>
            </w: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30, 2025</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11,236,193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1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605,384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4109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283"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Options expected to vest reflect the application of an estimated forfeiture rate.</w:t>
      </w:r>
    </w:p>
    <w:p>
      <w:pPr>
        <w:spacing w:after="0" w:line="216" w:lineRule="exact"/>
        <w:rPr>
          <w:sz w:val="20"/>
          <w:szCs w:val="20"/>
          <w:color w:val="auto"/>
        </w:rPr>
      </w:pPr>
    </w:p>
    <w:p>
      <w:pPr>
        <w:ind w:right="300" w:firstLine="620"/>
        <w:spacing w:after="0" w:line="288" w:lineRule="auto"/>
        <w:rPr>
          <w:sz w:val="20"/>
          <w:szCs w:val="20"/>
          <w:color w:val="auto"/>
        </w:rPr>
      </w:pPr>
      <w:r>
        <w:rPr>
          <w:rFonts w:ascii="Times New Roman" w:cs="Times New Roman" w:eastAsia="Times New Roman" w:hAnsi="Times New Roman"/>
          <w:sz w:val="17"/>
          <w:szCs w:val="17"/>
          <w:color w:val="auto"/>
        </w:rPr>
        <w:t>There were no options granted during the three months ended September 30, 2025. As of September 30, 2025, unrecognized compensation expense related to unvested stock options was approximately $34.0 million, which is expected to be recognized over a remaining weighted-average period of 2.0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Value Creation Award</w:t>
      </w:r>
    </w:p>
    <w:p>
      <w:pPr>
        <w:spacing w:after="0" w:line="250"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In November 2020, the Company</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s Board of Directors approved a long-term, multi-year performance-based stock option grant providing Mr. Levchin with the opportunity to earn the right to purchase up to 12,500,000 shares of the Company</w:t>
      </w:r>
      <w:r>
        <w:rPr>
          <w:rFonts w:ascii="Times New Roman" w:cs="Times New Roman" w:eastAsia="Times New Roman" w:hAnsi="Times New Roman"/>
          <w:sz w:val="15"/>
          <w:szCs w:val="15"/>
          <w:color w:val="auto"/>
        </w:rPr>
        <w:t>’</w:t>
      </w:r>
      <w:r>
        <w:rPr>
          <w:rFonts w:ascii="Times New Roman" w:cs="Times New Roman" w:eastAsia="Times New Roman" w:hAnsi="Times New Roman"/>
          <w:sz w:val="17"/>
          <w:szCs w:val="17"/>
          <w:color w:val="auto"/>
        </w:rPr>
        <w:t>s Class A common stock (the “Value Creation Award”). We recognize stock-based compensation on these awards based on the grant date fair value using an accelerated attribution method over the requisite service period, and only if performance-based conditions are considered probable of being satisfied. We incurred stock-based compensation expense of $5.5 million and $12.4 million during the three months ended September 30, 2025 and 2024, respectively, associated with the Value Creation Award as a component of general and administrative expense within the interim condensed consolidated statements of operations and comprehensive income (loss).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Value Creation Award activity for the three months ended September 30,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Weighted Average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Weighted Average</w:t>
            </w:r>
          </w:p>
        </w:tc>
        <w:tc>
          <w:tcPr>
            <w:tcW w:w="120" w:type="dxa"/>
            <w:vAlign w:val="bottom"/>
          </w:tcPr>
          <w:p>
            <w:pPr>
              <w:spacing w:after="0"/>
              <w:rPr>
                <w:sz w:val="16"/>
                <w:szCs w:val="16"/>
                <w:color w:val="auto"/>
              </w:rPr>
            </w:pPr>
          </w:p>
        </w:tc>
        <w:tc>
          <w:tcPr>
            <w:tcW w:w="1540" w:type="dxa"/>
            <w:vAlign w:val="bottom"/>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Aggregate Intrinsic</w:t>
            </w: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1680" w:type="dxa"/>
            <w:vAlign w:val="bottom"/>
            <w:vMerge w:val="restart"/>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780" w:type="dxa"/>
            <w:vAlign w:val="bottom"/>
            <w:gridSpan w:val="2"/>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 Contractual</w:t>
            </w:r>
          </w:p>
        </w:tc>
        <w:tc>
          <w:tcPr>
            <w:tcW w:w="12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22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Exercise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2"/>
              </w:rPr>
              <w:t>Term (Years)</w:t>
            </w:r>
          </w:p>
        </w:tc>
        <w:tc>
          <w:tcPr>
            <w:tcW w:w="120" w:type="dxa"/>
            <w:vAlign w:val="bottom"/>
          </w:tcPr>
          <w:p>
            <w:pPr>
              <w:spacing w:after="0"/>
              <w:rPr>
                <w:sz w:val="17"/>
                <w:szCs w:val="17"/>
                <w:color w:val="auto"/>
              </w:rPr>
            </w:pPr>
          </w:p>
        </w:tc>
        <w:tc>
          <w:tcPr>
            <w:tcW w:w="154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Value (in thousands)</w:t>
            </w:r>
          </w:p>
        </w:tc>
        <w:tc>
          <w:tcPr>
            <w:tcW w:w="0" w:type="dxa"/>
            <w:vAlign w:val="bottom"/>
          </w:tcPr>
          <w:p>
            <w:pPr>
              <w:spacing w:after="0"/>
              <w:rPr>
                <w:sz w:val="1"/>
                <w:szCs w:val="1"/>
                <w:color w:val="auto"/>
              </w:rPr>
            </w:pPr>
          </w:p>
        </w:tc>
      </w:tr>
      <w:tr>
        <w:trPr>
          <w:trHeight w:val="214"/>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2025</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(1,333,332)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September 30,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11,166,668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and exercisable, September 30, 2025</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49.00</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5.29</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64,213</w:t>
            </w:r>
          </w:p>
        </w:tc>
        <w:tc>
          <w:tcPr>
            <w:tcW w:w="0" w:type="dxa"/>
            <w:vAlign w:val="bottom"/>
          </w:tcPr>
          <w:p>
            <w:pPr>
              <w:spacing w:after="0" w:line="20" w:lineRule="exact"/>
              <w:rPr>
                <w:sz w:val="1"/>
                <w:szCs w:val="1"/>
                <w:color w:val="auto"/>
              </w:rPr>
            </w:pPr>
          </w:p>
        </w:tc>
      </w:tr>
      <w:tr>
        <w:trPr>
          <w:trHeight w:val="195"/>
        </w:trPr>
        <w:tc>
          <w:tcPr>
            <w:tcW w:w="4220" w:type="dxa"/>
            <w:vAlign w:val="bottom"/>
            <w:vMerge w:val="continue"/>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2,666,668</w:t>
            </w:r>
          </w:p>
        </w:tc>
        <w:tc>
          <w:tcPr>
            <w:tcW w:w="28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140" w:firstLine="620"/>
        <w:spacing w:after="0" w:line="288" w:lineRule="auto"/>
        <w:rPr>
          <w:sz w:val="20"/>
          <w:szCs w:val="20"/>
          <w:color w:val="auto"/>
        </w:rPr>
      </w:pPr>
      <w:r>
        <w:rPr>
          <w:rFonts w:ascii="Times New Roman" w:cs="Times New Roman" w:eastAsia="Times New Roman" w:hAnsi="Times New Roman"/>
          <w:sz w:val="17"/>
          <w:szCs w:val="17"/>
          <w:color w:val="auto"/>
        </w:rPr>
        <w:t>As of September 30, 2025, unrecognized compensation expense related to the Value Creation Award was approximately $6.3 million, which is expected to be recognized over a remaining weighted-average period of 0.3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250"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RSUs are subject to a service-based vesting condition. We record stock-based compensation expense for service-based RSUs on a straight-line basis over the requisite service period, which is generally one to three years.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RSU activity during the three months ended September 30, 2025:</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20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6"/>
                <w:szCs w:val="16"/>
                <w:color w:val="auto"/>
              </w:rPr>
            </w:pPr>
          </w:p>
        </w:tc>
        <w:tc>
          <w:tcPr>
            <w:tcW w:w="182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5"/>
              </w:rPr>
              <w:t>Weighted Average Grant</w:t>
            </w:r>
          </w:p>
        </w:tc>
        <w:tc>
          <w:tcPr>
            <w:tcW w:w="0" w:type="dxa"/>
            <w:vAlign w:val="bottom"/>
          </w:tcPr>
          <w:p>
            <w:pPr>
              <w:spacing w:after="0"/>
              <w:rPr>
                <w:sz w:val="1"/>
                <w:szCs w:val="1"/>
                <w:color w:val="auto"/>
              </w:rPr>
            </w:pPr>
          </w:p>
        </w:tc>
      </w:tr>
      <w:tr>
        <w:trPr>
          <w:trHeight w:val="205"/>
        </w:trPr>
        <w:tc>
          <w:tcPr>
            <w:tcW w:w="7120" w:type="dxa"/>
            <w:vAlign w:val="bottom"/>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14"/>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June 30, 2025</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13,666,035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30.98</w:t>
            </w:r>
          </w:p>
        </w:tc>
        <w:tc>
          <w:tcPr>
            <w:tcW w:w="0" w:type="dxa"/>
            <w:vAlign w:val="bottom"/>
          </w:tcPr>
          <w:p>
            <w:pPr>
              <w:spacing w:after="0"/>
              <w:rPr>
                <w:sz w:val="1"/>
                <w:szCs w:val="1"/>
                <w:color w:val="auto"/>
              </w:rPr>
            </w:pPr>
          </w:p>
        </w:tc>
      </w:tr>
      <w:tr>
        <w:trPr>
          <w:trHeight w:val="220"/>
        </w:trPr>
        <w:tc>
          <w:tcPr>
            <w:tcW w:w="7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5,662,211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67.50</w:t>
            </w:r>
          </w:p>
        </w:tc>
        <w:tc>
          <w:tcPr>
            <w:tcW w:w="0" w:type="dxa"/>
            <w:vAlign w:val="bottom"/>
          </w:tcPr>
          <w:p>
            <w:pPr>
              <w:spacing w:after="0"/>
              <w:rPr>
                <w:sz w:val="1"/>
                <w:szCs w:val="1"/>
                <w:color w:val="auto"/>
              </w:rPr>
            </w:pPr>
          </w:p>
        </w:tc>
      </w:tr>
      <w:tr>
        <w:trPr>
          <w:trHeight w:val="22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(3,231,575)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36.76</w:t>
            </w:r>
          </w:p>
        </w:tc>
        <w:tc>
          <w:tcPr>
            <w:tcW w:w="0" w:type="dxa"/>
            <w:vAlign w:val="bottom"/>
          </w:tcPr>
          <w:p>
            <w:pPr>
              <w:spacing w:after="0"/>
              <w:rPr>
                <w:sz w:val="1"/>
                <w:szCs w:val="1"/>
                <w:color w:val="auto"/>
              </w:rPr>
            </w:pPr>
          </w:p>
        </w:tc>
      </w:tr>
      <w:tr>
        <w:trPr>
          <w:trHeight w:val="22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 expired or canceled</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(433,760)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0" w:type="dxa"/>
            <w:vAlign w:val="bottom"/>
          </w:tcPr>
          <w:p>
            <w:pPr>
              <w:spacing w:after="0"/>
              <w:rPr>
                <w:sz w:val="1"/>
                <w:szCs w:val="1"/>
                <w:color w:val="auto"/>
              </w:rPr>
            </w:pPr>
          </w:p>
        </w:tc>
      </w:tr>
      <w:tr>
        <w:trPr>
          <w:trHeight w:val="23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September 30, 2025</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15,662,911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42.86</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right="260" w:firstLine="620"/>
        <w:spacing w:after="0" w:line="288" w:lineRule="auto"/>
        <w:rPr>
          <w:sz w:val="20"/>
          <w:szCs w:val="20"/>
          <w:color w:val="auto"/>
        </w:rPr>
      </w:pPr>
      <w:r>
        <w:rPr>
          <w:rFonts w:ascii="Times New Roman" w:cs="Times New Roman" w:eastAsia="Times New Roman" w:hAnsi="Times New Roman"/>
          <w:sz w:val="17"/>
          <w:szCs w:val="17"/>
          <w:color w:val="auto"/>
        </w:rPr>
        <w:t>As of September 30, 2025, unrecognized compensation expense related to unvested RSUs was approximately $633.7 million, which is expected to be recognized over a remaining weighted-average period of 1.6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Stock Units</w:t>
      </w:r>
    </w:p>
    <w:p>
      <w:pPr>
        <w:spacing w:after="0" w:line="250" w:lineRule="exact"/>
        <w:rPr>
          <w:sz w:val="20"/>
          <w:szCs w:val="20"/>
          <w:color w:val="auto"/>
        </w:rPr>
      </w:pPr>
    </w:p>
    <w:p>
      <w:pPr>
        <w:ind w:right="220" w:firstLine="620"/>
        <w:spacing w:after="0" w:line="260" w:lineRule="auto"/>
        <w:rPr>
          <w:sz w:val="20"/>
          <w:szCs w:val="20"/>
          <w:color w:val="auto"/>
        </w:rPr>
      </w:pPr>
      <w:r>
        <w:rPr>
          <w:rFonts w:ascii="Times New Roman" w:cs="Times New Roman" w:eastAsia="Times New Roman" w:hAnsi="Times New Roman"/>
          <w:sz w:val="17"/>
          <w:szCs w:val="17"/>
          <w:color w:val="auto"/>
        </w:rPr>
        <w:t>In September 2025, we granted PSUs to select executives and employees. Vesting is contingent upon completion of a continuous three-year service period and the achievement of company financial performance goals, including target growth rates for revenue less transaction costs and adjusted operating income. The number of shares that vest at the end of the performance period will range between 0% and 200% of the target shares based on actual performance against the applicable targets, which will be measured at the end of each fiscal year and averaged at the end of the three-year period. We record stock-based compensation expense for the number of PSUs that are probable of vesting based on the estimated achievement of the performance conditions. If the minimum conditions are not met, any recognized compensation cost will be reversed. The expense is recognized on a straight-line basis over the three-year period.</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PSU activity during the three months ended September 30,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20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6"/>
                <w:szCs w:val="16"/>
                <w:color w:val="auto"/>
              </w:rPr>
            </w:pPr>
          </w:p>
        </w:tc>
        <w:tc>
          <w:tcPr>
            <w:tcW w:w="182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w w:val="96"/>
              </w:rPr>
              <w:t>Weighted Average Grant</w:t>
            </w:r>
          </w:p>
        </w:tc>
        <w:tc>
          <w:tcPr>
            <w:tcW w:w="0" w:type="dxa"/>
            <w:vAlign w:val="bottom"/>
          </w:tcPr>
          <w:p>
            <w:pPr>
              <w:spacing w:after="0"/>
              <w:rPr>
                <w:sz w:val="1"/>
                <w:szCs w:val="1"/>
                <w:color w:val="auto"/>
              </w:rPr>
            </w:pPr>
          </w:p>
        </w:tc>
      </w:tr>
      <w:tr>
        <w:trPr>
          <w:trHeight w:val="205"/>
        </w:trPr>
        <w:tc>
          <w:tcPr>
            <w:tcW w:w="7120" w:type="dxa"/>
            <w:vAlign w:val="bottom"/>
          </w:tcPr>
          <w:p>
            <w:pPr>
              <w:spacing w:after="0"/>
              <w:rPr>
                <w:sz w:val="17"/>
                <w:szCs w:val="17"/>
                <w:color w:val="auto"/>
              </w:rPr>
            </w:pPr>
          </w:p>
        </w:tc>
        <w:tc>
          <w:tcPr>
            <w:tcW w:w="2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14"/>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June 30, 2025</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262,756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89.91</w:t>
            </w:r>
          </w:p>
        </w:tc>
        <w:tc>
          <w:tcPr>
            <w:tcW w:w="0" w:type="dxa"/>
            <w:vAlign w:val="bottom"/>
          </w:tcPr>
          <w:p>
            <w:pPr>
              <w:spacing w:after="0"/>
              <w:rPr>
                <w:sz w:val="1"/>
                <w:szCs w:val="1"/>
                <w:color w:val="auto"/>
              </w:rPr>
            </w:pPr>
          </w:p>
        </w:tc>
      </w:tr>
      <w:tr>
        <w:trPr>
          <w:trHeight w:val="23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September 30, 2025</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262,756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89.91</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right="380" w:firstLine="620"/>
        <w:spacing w:after="0" w:line="288" w:lineRule="auto"/>
        <w:rPr>
          <w:sz w:val="20"/>
          <w:szCs w:val="20"/>
          <w:color w:val="auto"/>
        </w:rPr>
      </w:pPr>
      <w:r>
        <w:rPr>
          <w:rFonts w:ascii="Times New Roman" w:cs="Times New Roman" w:eastAsia="Times New Roman" w:hAnsi="Times New Roman"/>
          <w:sz w:val="17"/>
          <w:szCs w:val="17"/>
          <w:color w:val="auto"/>
        </w:rPr>
        <w:t>As of September 30, 2025, unrecognized compensation expense related to unvested PSUs was approximately $23.3 million, which is expected to be recognized over a remaining weighted-average period of 2.8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2020 Employee Stock Purchase Plan</w:t>
      </w:r>
    </w:p>
    <w:p>
      <w:pPr>
        <w:spacing w:after="0" w:line="250" w:lineRule="exact"/>
        <w:rPr>
          <w:sz w:val="20"/>
          <w:szCs w:val="20"/>
          <w:color w:val="auto"/>
        </w:rPr>
      </w:pPr>
    </w:p>
    <w:p>
      <w:pPr>
        <w:ind w:right="40" w:firstLine="620"/>
        <w:spacing w:after="0" w:line="262" w:lineRule="auto"/>
        <w:rPr>
          <w:sz w:val="20"/>
          <w:szCs w:val="20"/>
          <w:color w:val="auto"/>
        </w:rPr>
      </w:pPr>
      <w:r>
        <w:rPr>
          <w:rFonts w:ascii="Times New Roman" w:cs="Times New Roman" w:eastAsia="Times New Roman" w:hAnsi="Times New Roman"/>
          <w:sz w:val="17"/>
          <w:szCs w:val="17"/>
          <w:color w:val="auto"/>
        </w:rPr>
        <w:t>On November 18, 2020, our Board of Directors adopted and approved the 2020 Employee Stock Purchase Plan (“ESPP”). The purpose of the ESPP is to secure the services of new employees, to retain the services of existing employees and to provide incentives for such individuals to exert maximum effort towards the success of the Company and that of its affiliates. A total of 19.2 million shares of Class A common stock are reserved and available for issuance under the ESPP and 2.1 million shares have been issued as of September 30, 2025. The ESPP provides for six-month offering periods beginning December 1 and June 1 of each year. At the end of each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4" w:name="page55"/>
    <w:bookmarkEnd w:id="5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and classification of stock-based compensation (in thousands):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280" w:type="dxa"/>
            <w:vAlign w:val="bottom"/>
          </w:tcPr>
          <w:p>
            <w:pPr>
              <w:spacing w:after="0"/>
              <w:rPr>
                <w:sz w:val="18"/>
                <w:szCs w:val="18"/>
                <w:color w:val="auto"/>
              </w:rPr>
            </w:pPr>
          </w:p>
        </w:tc>
        <w:tc>
          <w:tcPr>
            <w:tcW w:w="3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r>
      <w:tr>
        <w:trPr>
          <w:trHeight w:val="201"/>
        </w:trPr>
        <w:tc>
          <w:tcPr>
            <w:tcW w:w="72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7"/>
                <w:szCs w:val="17"/>
                <w:color w:val="auto"/>
              </w:rPr>
            </w:pPr>
          </w:p>
        </w:tc>
      </w:tr>
      <w:tr>
        <w:trPr>
          <w:trHeight w:val="214"/>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0" w:type="dxa"/>
            <w:vAlign w:val="bottom"/>
            <w:shd w:val="clear" w:color="auto" w:fill="CCEEFF"/>
          </w:tcPr>
          <w:p>
            <w:pPr>
              <w:jc w:val="right"/>
              <w:ind w:right="101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62,804</w:t>
            </w:r>
          </w:p>
        </w:tc>
      </w:tr>
      <w:tr>
        <w:trPr>
          <w:trHeight w:val="220"/>
        </w:trPr>
        <w:tc>
          <w:tcPr>
            <w:tcW w:w="7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Technology and data analytics</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24,764</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25,972</w:t>
            </w:r>
          </w:p>
        </w:tc>
      </w:tr>
      <w:tr>
        <w:trPr>
          <w:trHeight w:val="22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5,195</w:t>
            </w:r>
          </w:p>
        </w:tc>
      </w:tr>
      <w:tr>
        <w:trPr>
          <w:trHeight w:val="22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Processing and servicing</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1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in operating expenses</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85,853</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94,233</w:t>
            </w:r>
          </w:p>
        </w:tc>
      </w:tr>
      <w:tr>
        <w:trPr>
          <w:trHeight w:val="22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Capitalized into property, equipment and software, net</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52,885</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49,478</w:t>
            </w:r>
          </w:p>
        </w:tc>
      </w:tr>
      <w:tr>
        <w:trPr>
          <w:trHeight w:val="23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200" w:type="dxa"/>
            <w:vAlign w:val="bottom"/>
            <w:tcBorders>
              <w:bottom w:val="single" w:sz="8" w:color="auto"/>
            </w:tcBorders>
            <w:shd w:val="clear" w:color="auto" w:fill="CCEEFF"/>
          </w:tcPr>
          <w:p>
            <w:pPr>
              <w:jc w:val="right"/>
              <w:ind w:right="101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138,738</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143,711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Income Taxes</w:t>
      </w:r>
    </w:p>
    <w:p>
      <w:pPr>
        <w:spacing w:after="0" w:line="248" w:lineRule="exact"/>
        <w:rPr>
          <w:sz w:val="20"/>
          <w:szCs w:val="20"/>
          <w:color w:val="auto"/>
        </w:rPr>
      </w:pPr>
    </w:p>
    <w:p>
      <w:pPr>
        <w:ind w:right="360" w:firstLine="620"/>
        <w:spacing w:after="0" w:line="270" w:lineRule="auto"/>
        <w:rPr>
          <w:sz w:val="20"/>
          <w:szCs w:val="20"/>
          <w:color w:val="auto"/>
        </w:rPr>
      </w:pPr>
      <w:r>
        <w:rPr>
          <w:rFonts w:ascii="Times New Roman" w:cs="Times New Roman" w:eastAsia="Times New Roman" w:hAnsi="Times New Roman"/>
          <w:sz w:val="17"/>
          <w:szCs w:val="17"/>
          <w:color w:val="auto"/>
        </w:rPr>
        <w:t>The quarterly provision for income taxes is based on the current estimate of the annual effective income tax rate and the tax effect of discrete items occurring during the quarter. Our quarterly provision and the estimate of the annual effective tax rate are subject to significant variation due to several factors, including variability in the pre-tax jurisdictional mix of earnings and the impact of discrete items.</w:t>
      </w:r>
    </w:p>
    <w:p>
      <w:pPr>
        <w:spacing w:after="0" w:line="193"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For the three months ended September 30, 2025, we recorded income tax expense (benefit) of $2.3 million which was primarily attributable to various foreign income taxes. For the three months ended September 30, 2024, we recorded income tax expense (benefit) of $1.9 million which was primarily attributable to various U.S state and foreign income taxes.</w:t>
      </w:r>
    </w:p>
    <w:p>
      <w:pPr>
        <w:spacing w:after="0" w:line="193" w:lineRule="exact"/>
        <w:rPr>
          <w:sz w:val="20"/>
          <w:szCs w:val="20"/>
          <w:color w:val="auto"/>
        </w:rPr>
      </w:pPr>
    </w:p>
    <w:p>
      <w:pPr>
        <w:ind w:right="20" w:firstLine="620"/>
        <w:spacing w:after="0" w:line="270" w:lineRule="auto"/>
        <w:rPr>
          <w:sz w:val="20"/>
          <w:szCs w:val="20"/>
          <w:color w:val="auto"/>
        </w:rPr>
      </w:pPr>
      <w:r>
        <w:rPr>
          <w:rFonts w:ascii="Times New Roman" w:cs="Times New Roman" w:eastAsia="Times New Roman" w:hAnsi="Times New Roman"/>
          <w:sz w:val="17"/>
          <w:szCs w:val="17"/>
          <w:color w:val="auto"/>
        </w:rPr>
        <w:t>As of September 30, 2025, we continue to recognize a full valuation allowance against our U.S. federal and state and certain foreign net deferred tax assets. This determination was based on the assessment of the available positive and negative evidence to estimate whether sufficient future taxable income will be generated to utilize the existing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Net Income (Loss) per Share Attributable to Common Stockholders</w:t>
      </w:r>
    </w:p>
    <w:p>
      <w:pPr>
        <w:spacing w:after="0" w:line="248"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presents basic and diluted net income (loss) per share attributable to common stockholders for Class A and Class B common stock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00" w:type="dxa"/>
            <w:vAlign w:val="bottom"/>
          </w:tcPr>
          <w:p>
            <w:pPr>
              <w:spacing w:after="0"/>
              <w:rPr>
                <w:sz w:val="17"/>
                <w:szCs w:val="17"/>
                <w:color w:val="auto"/>
              </w:rPr>
            </w:pPr>
          </w:p>
        </w:tc>
        <w:tc>
          <w:tcPr>
            <w:tcW w:w="136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340" w:type="dxa"/>
            <w:vAlign w:val="bottom"/>
          </w:tcPr>
          <w:p>
            <w:pPr>
              <w:spacing w:after="0"/>
              <w:rPr>
                <w:sz w:val="17"/>
                <w:szCs w:val="17"/>
                <w:color w:val="auto"/>
              </w:rPr>
            </w:pPr>
          </w:p>
        </w:tc>
        <w:tc>
          <w:tcPr>
            <w:tcW w:w="132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0" w:type="dxa"/>
            <w:vAlign w:val="bottom"/>
          </w:tcPr>
          <w:p>
            <w:pPr>
              <w:spacing w:after="0"/>
              <w:rPr>
                <w:sz w:val="1"/>
                <w:szCs w:val="1"/>
                <w:color w:val="auto"/>
              </w:rPr>
            </w:pPr>
          </w:p>
        </w:tc>
      </w:tr>
      <w:tr>
        <w:trPr>
          <w:trHeight w:val="201"/>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260" w:type="dxa"/>
            <w:vAlign w:val="bottom"/>
          </w:tcPr>
          <w:p>
            <w:pPr>
              <w:ind w:left="120"/>
              <w:spacing w:after="0" w:line="168" w:lineRule="exact"/>
              <w:rPr>
                <w:sz w:val="20"/>
                <w:szCs w:val="20"/>
                <w:color w:val="auto"/>
              </w:rPr>
            </w:pPr>
            <w:r>
              <w:rPr>
                <w:rFonts w:ascii="Times New Roman" w:cs="Times New Roman" w:eastAsia="Times New Roman" w:hAnsi="Times New Roman"/>
                <w:sz w:val="17"/>
                <w:szCs w:val="17"/>
                <w:color w:val="auto"/>
              </w:rPr>
              <w:t>Net income (loss) attributable to common stockholders -</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70,741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(86,570)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(13,652)</w:t>
            </w: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7"/>
                <w:szCs w:val="17"/>
                <w:color w:val="auto"/>
              </w:rPr>
              <w:t>Net income (loss) attributable to common stockholders -</w:t>
            </w:r>
          </w:p>
        </w:tc>
        <w:tc>
          <w:tcPr>
            <w:tcW w:w="3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71,257</w:t>
            </w:r>
          </w:p>
        </w:tc>
        <w:tc>
          <w:tcPr>
            <w:tcW w:w="1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9,437</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(86,570)</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(13,652)</w:t>
            </w:r>
          </w:p>
        </w:tc>
        <w:tc>
          <w:tcPr>
            <w:tcW w:w="0" w:type="dxa"/>
            <w:vAlign w:val="bottom"/>
          </w:tcPr>
          <w:p>
            <w:pPr>
              <w:spacing w:after="0"/>
              <w:rPr>
                <w:sz w:val="1"/>
                <w:szCs w:val="1"/>
                <w:color w:val="auto"/>
              </w:rPr>
            </w:pPr>
          </w:p>
        </w:tc>
      </w:tr>
      <w:tr>
        <w:trPr>
          <w:trHeight w:val="227"/>
        </w:trPr>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 average shares of common stock - basic</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289,507,745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40,730,460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274,886,393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43,348,162</w:t>
            </w:r>
          </w:p>
        </w:tc>
        <w:tc>
          <w:tcPr>
            <w:tcW w:w="0" w:type="dxa"/>
            <w:vAlign w:val="bottom"/>
          </w:tcPr>
          <w:p>
            <w:pPr>
              <w:spacing w:after="0"/>
              <w:rPr>
                <w:sz w:val="1"/>
                <w:szCs w:val="1"/>
                <w:color w:val="auto"/>
              </w:rPr>
            </w:pPr>
          </w:p>
        </w:tc>
      </w:tr>
      <w:tr>
        <w:trPr>
          <w:trHeight w:val="220"/>
        </w:trPr>
        <w:tc>
          <w:tcPr>
            <w:tcW w:w="4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Dilutive effect of stock equivalents: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Restricted stock units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8,022,382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options, including early exercise of options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8,664,133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Value creation award vested shares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1,312,716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4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Employee stock purchase plan shares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42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Weighted average shares of common stock - diluted</w:t>
            </w: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307,547,943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40,730,460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274,886,393</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43,348,162</w:t>
            </w:r>
          </w:p>
        </w:tc>
        <w:tc>
          <w:tcPr>
            <w:tcW w:w="0" w:type="dxa"/>
            <w:vAlign w:val="bottom"/>
          </w:tcPr>
          <w:p>
            <w:pPr>
              <w:spacing w:after="0"/>
              <w:rPr>
                <w:sz w:val="1"/>
                <w:szCs w:val="1"/>
                <w:color w:val="auto"/>
              </w:rPr>
            </w:pPr>
          </w:p>
        </w:tc>
      </w:tr>
      <w:tr>
        <w:trPr>
          <w:trHeight w:val="220"/>
        </w:trPr>
        <w:tc>
          <w:tcPr>
            <w:tcW w:w="4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per share:</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0" w:type="dxa"/>
            <w:vAlign w:val="bottom"/>
          </w:tcPr>
          <w:p>
            <w:pPr>
              <w:spacing w:after="0"/>
              <w:rPr>
                <w:sz w:val="1"/>
                <w:szCs w:val="1"/>
                <w:color w:val="auto"/>
              </w:rPr>
            </w:pPr>
          </w:p>
        </w:tc>
      </w:tr>
      <w:tr>
        <w:trPr>
          <w:trHeight w:val="223"/>
        </w:trPr>
        <w:tc>
          <w:tcPr>
            <w:tcW w:w="42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(0.31)</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120" w:firstLine="620"/>
        <w:spacing w:after="0" w:line="288" w:lineRule="auto"/>
        <w:rPr>
          <w:sz w:val="20"/>
          <w:szCs w:val="20"/>
          <w:color w:val="auto"/>
        </w:rPr>
      </w:pPr>
      <w:r>
        <w:rPr>
          <w:rFonts w:ascii="Times New Roman" w:cs="Times New Roman" w:eastAsia="Times New Roman" w:hAnsi="Times New Roman"/>
          <w:sz w:val="17"/>
          <w:szCs w:val="17"/>
          <w:color w:val="auto"/>
        </w:rPr>
        <w:t>The following common stock equivalents were excluded from the calculation of diluted net income (loss) per share attributable to common stockholders because their inclusion would have been anti-dilutive: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394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r>
      <w:tr>
        <w:trPr>
          <w:trHeight w:val="201"/>
        </w:trPr>
        <w:tc>
          <w:tcPr>
            <w:tcW w:w="730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warrants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7,840,727</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5,734,551</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4,962,779</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24,352,160</w:t>
            </w: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including early exercise of options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131,859</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17,011,341</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 shares</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210,893</w:t>
            </w:r>
          </w:p>
        </w:tc>
      </w:tr>
      <w:tr>
        <w:trPr>
          <w:trHeight w:val="238"/>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12,935,365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47,308,945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Segment Information</w:t>
      </w:r>
    </w:p>
    <w:p>
      <w:pPr>
        <w:spacing w:after="0" w:line="248"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The Company is managed on a consolidated basis as a single operating and reportable segment. This reflects the way in which our Chief Operating Decision Maker (“CODM”), the Chief Executive Officer of Affirm Holdings, Inc., regularly reviews internally reported financial information. Net income is the primary measure of segment profit and loss reviewed by the CODM. Net income is used in the budget and forecast process, to assess business performance, and to make decisions on strategy and resource allocation.</w:t>
      </w:r>
    </w:p>
    <w:p>
      <w:pPr>
        <w:spacing w:after="0" w:line="196" w:lineRule="exact"/>
        <w:rPr>
          <w:sz w:val="20"/>
          <w:szCs w:val="20"/>
          <w:color w:val="auto"/>
        </w:rPr>
      </w:pPr>
    </w:p>
    <w:p>
      <w:pPr>
        <w:ind w:right="520" w:firstLine="620"/>
        <w:spacing w:after="0" w:line="288" w:lineRule="auto"/>
        <w:rPr>
          <w:sz w:val="20"/>
          <w:szCs w:val="20"/>
          <w:color w:val="auto"/>
        </w:rPr>
      </w:pPr>
      <w:r>
        <w:rPr>
          <w:rFonts w:ascii="Times New Roman" w:cs="Times New Roman" w:eastAsia="Times New Roman" w:hAnsi="Times New Roman"/>
          <w:sz w:val="17"/>
          <w:szCs w:val="17"/>
          <w:color w:val="auto"/>
        </w:rPr>
        <w:t>The CODM is regularly provided with the consolidated expenses presented within the interim condensed consolidated statement of operations and comprehensive income (loss). Refer to the interim condensed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statement of operations and comprehensive income (loss) for further information related to our revenues, expenses, and net income.</w:t>
      </w:r>
    </w:p>
    <w:p>
      <w:pPr>
        <w:spacing w:after="0" w:line="244" w:lineRule="exact"/>
        <w:rPr>
          <w:sz w:val="20"/>
          <w:szCs w:val="20"/>
          <w:color w:val="auto"/>
        </w:rPr>
      </w:pPr>
    </w:p>
    <w:p>
      <w:pPr>
        <w:ind w:right="240" w:firstLine="620"/>
        <w:spacing w:after="0" w:line="288" w:lineRule="auto"/>
        <w:rPr>
          <w:sz w:val="20"/>
          <w:szCs w:val="20"/>
          <w:color w:val="auto"/>
        </w:rPr>
      </w:pPr>
      <w:r>
        <w:rPr>
          <w:rFonts w:ascii="Times New Roman" w:cs="Times New Roman" w:eastAsia="Times New Roman" w:hAnsi="Times New Roman"/>
          <w:sz w:val="17"/>
          <w:szCs w:val="17"/>
          <w:color w:val="auto"/>
        </w:rPr>
        <w:t>Refer to the interim condensed consolidated statement of cash flows for further information related to significant noncash items including depreciation and amortization expense.</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CODM does not review segment assets at a different level than the amounts presented within the interim condensed consolidated balance sheets.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 to Note 3. Revenue for further information on the types of products and services the Company derives its revenues from.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Subsequent Events</w:t>
      </w:r>
    </w:p>
    <w:p>
      <w:pPr>
        <w:spacing w:after="0" w:line="248" w:lineRule="exact"/>
        <w:rPr>
          <w:sz w:val="20"/>
          <w:szCs w:val="20"/>
          <w:color w:val="auto"/>
        </w:rPr>
      </w:pPr>
    </w:p>
    <w:p>
      <w:pPr>
        <w:ind w:right="340" w:firstLine="620"/>
        <w:spacing w:after="0" w:line="265" w:lineRule="auto"/>
        <w:rPr>
          <w:sz w:val="20"/>
          <w:szCs w:val="20"/>
          <w:color w:val="auto"/>
        </w:rPr>
      </w:pPr>
      <w:r>
        <w:rPr>
          <w:rFonts w:ascii="Times New Roman" w:cs="Times New Roman" w:eastAsia="Times New Roman" w:hAnsi="Times New Roman"/>
          <w:sz w:val="17"/>
          <w:szCs w:val="17"/>
          <w:color w:val="auto"/>
        </w:rPr>
        <w:t>On November 6, 2025, we entered into a second amended and restated Installment Financing Services Agreement (the “Restated Agreement”) with Amazon.com Services LLC (“Amazon Services”) and Amazon Payments, Inc., which will supersede and replace the existing commercial agreement (the “Existing Agreement”) on February 1, 2026 (the “Effective Date”). The Restated Agreement has an initial term of five years and will automatically extend for subsequent one-year periods unless either party provides notice. The Existing Agreement remains in effect until the Effective Date.</w:t>
      </w:r>
    </w:p>
    <w:p>
      <w:pPr>
        <w:spacing w:after="0" w:line="170" w:lineRule="exact"/>
        <w:rPr>
          <w:sz w:val="20"/>
          <w:szCs w:val="20"/>
          <w:color w:val="auto"/>
        </w:rPr>
      </w:pPr>
    </w:p>
    <w:p>
      <w:pPr>
        <w:ind w:firstLine="620"/>
        <w:spacing w:after="0" w:line="259" w:lineRule="auto"/>
        <w:rPr>
          <w:sz w:val="20"/>
          <w:szCs w:val="20"/>
          <w:color w:val="auto"/>
        </w:rPr>
      </w:pPr>
      <w:r>
        <w:rPr>
          <w:rFonts w:ascii="Times New Roman" w:cs="Times New Roman" w:eastAsia="Times New Roman" w:hAnsi="Times New Roman"/>
          <w:sz w:val="17"/>
          <w:szCs w:val="17"/>
          <w:color w:val="auto"/>
        </w:rPr>
        <w:t>In connection with entry into the Restated Agreement, on November 2, 2025, we and Amazon Services entered into a second amendment (the “Second Amendment”) to the amended and restated warrant (as amended) to purchase up to an aggregate of 15,000,000 shares of Class A common stock, $0.00001 par value per share (the “Warrant Shares”), of the Company. The Second Amendment (i) maintains the exercise price of $100.00 per share for Warrant Shares that vest based on the number of new users acquired prior to February 1, 2026 and (ii) sets an exercise price of $63.06 per share for Warrant Shares that vest based on the number of new users acquired on or after February 1, 2026. We expect the Second Amendment to result in incremental sales and marketing expense of $35 to $40 million, which will be recognized as the Warrant Shares vest, based upon satisfaction of the vesting conditions, which we expect to occur during the period from February 2026 through November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57" w:lineRule="exact"/>
        <w:rPr>
          <w:sz w:val="20"/>
          <w:szCs w:val="20"/>
          <w:color w:val="auto"/>
        </w:rPr>
      </w:pPr>
    </w:p>
    <w:p>
      <w:pPr>
        <w:ind w:right="240" w:firstLine="620"/>
        <w:spacing w:after="0" w:line="259"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2025 included in our Annual Report on Form 10-K.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8"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We are building the next generation payment network. We believe that by using modern technology, strong engineering talent, and a mission-driven approach, we can reinvent payments and commerce. Our solutions, which are built on trust and transparency, are designed to make it easier for consumers to spend and save responsibly and with confidence, easier for merchants and commerce platforms to convert sales and grow, and easier for commerce to thrive.</w:t>
      </w:r>
    </w:p>
    <w:p>
      <w:pPr>
        <w:spacing w:after="0" w:line="128" w:lineRule="exact"/>
        <w:rPr>
          <w:sz w:val="20"/>
          <w:szCs w:val="20"/>
          <w:color w:val="auto"/>
        </w:rPr>
      </w:pPr>
    </w:p>
    <w:p>
      <w:pPr>
        <w:ind w:right="100" w:firstLine="620"/>
        <w:spacing w:after="0" w:line="258" w:lineRule="auto"/>
        <w:rPr>
          <w:sz w:val="20"/>
          <w:szCs w:val="20"/>
          <w:color w:val="auto"/>
        </w:rPr>
      </w:pPr>
      <w:r>
        <w:rPr>
          <w:rFonts w:ascii="Times New Roman" w:cs="Times New Roman" w:eastAsia="Times New Roman" w:hAnsi="Times New Roman"/>
          <w:sz w:val="17"/>
          <w:szCs w:val="17"/>
          <w:color w:val="auto"/>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consumer acquisition tools. Our solutions empower merchants to more efficiently promote and sell their products, optimize their consumer acquisition strategies, and drive incremental sales. We also provide valuable product-level data and insights — information that merchants cannot easily get elsewhere — to better inform their strategies. Finally, for consumers, our app unlocks the full suite of Affirm products for a delightful end-to-end consumer experience. Consumers can use our app to apply for installment loans, and upon approval, they can use the Affirm Card digitally online or in-stores to complete a purchase. Additionally, consumers can manage the pre and post purchase split of Affirm Card transactions into a loan, manage payments, open a high-yield savings account, and access a personalized marketplace.</w:t>
      </w:r>
    </w:p>
    <w:p>
      <w:pPr>
        <w:spacing w:after="0" w:line="137" w:lineRule="exact"/>
        <w:rPr>
          <w:sz w:val="20"/>
          <w:szCs w:val="20"/>
          <w:color w:val="auto"/>
        </w:rPr>
      </w:pPr>
    </w:p>
    <w:p>
      <w:pPr>
        <w:ind w:right="40" w:firstLine="620"/>
        <w:spacing w:after="0" w:line="270" w:lineRule="auto"/>
        <w:rPr>
          <w:sz w:val="20"/>
          <w:szCs w:val="20"/>
          <w:color w:val="auto"/>
        </w:rPr>
      </w:pPr>
      <w:r>
        <w:rPr>
          <w:rFonts w:ascii="Times New Roman" w:cs="Times New Roman" w:eastAsia="Times New Roman" w:hAnsi="Times New Roman"/>
          <w:sz w:val="17"/>
          <w:szCs w:val="17"/>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41"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Three Months Ended September 30,</w:t>
            </w:r>
          </w:p>
        </w:tc>
        <w:tc>
          <w:tcPr>
            <w:tcW w:w="1580" w:type="dxa"/>
            <w:vAlign w:val="bottom"/>
            <w:tcBorders>
              <w:bottom w:val="single" w:sz="8" w:color="auto"/>
            </w:tcBorders>
          </w:tcPr>
          <w:p>
            <w:pPr>
              <w:spacing w:after="0"/>
              <w:rPr>
                <w:sz w:val="18"/>
                <w:szCs w:val="18"/>
                <w:color w:val="auto"/>
              </w:rPr>
            </w:pPr>
          </w:p>
        </w:tc>
      </w:tr>
      <w:tr>
        <w:trPr>
          <w:trHeight w:val="201"/>
        </w:trPr>
        <w:tc>
          <w:tcPr>
            <w:tcW w:w="5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0"/>
        </w:trPr>
        <w:tc>
          <w:tcPr>
            <w:tcW w:w="5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(in thousands, except percentages)</w:t>
            </w:r>
          </w:p>
        </w:tc>
        <w:tc>
          <w:tcPr>
            <w:tcW w:w="1580" w:type="dxa"/>
            <w:vAlign w:val="bottom"/>
            <w:tcBorders>
              <w:bottom w:val="single" w:sz="8" w:color="auto"/>
            </w:tcBorders>
          </w:tcPr>
          <w:p>
            <w:pPr>
              <w:spacing w:after="0"/>
              <w:rPr>
                <w:sz w:val="17"/>
                <w:szCs w:val="17"/>
                <w:color w:val="auto"/>
              </w:rPr>
            </w:pPr>
          </w:p>
        </w:tc>
      </w:tr>
      <w:tr>
        <w:trPr>
          <w:trHeight w:val="201"/>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933,337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698,479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234,858</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34 %</w:t>
            </w:r>
          </w:p>
        </w:tc>
      </w:tr>
      <w:tr>
        <w:trPr>
          <w:trHeight w:val="198"/>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869,676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831,102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38,574</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5 %</w:t>
            </w:r>
          </w:p>
        </w:tc>
      </w:tr>
      <w:tr>
        <w:trPr>
          <w:trHeight w:val="201"/>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63,661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(132,623)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196,284</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148 %</w:t>
            </w:r>
          </w:p>
        </w:tc>
      </w:tr>
      <w:tr>
        <w:trPr>
          <w:trHeight w:val="197"/>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19,358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(14,945)</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02"/>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83,019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(98,320)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181,339</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184 %</w:t>
            </w:r>
          </w:p>
        </w:tc>
      </w:tr>
      <w:tr>
        <w:trPr>
          <w:trHeight w:val="197"/>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2,326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27"/>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80,694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(100,222)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180,916</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Financial Model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Model</w:t>
      </w:r>
    </w:p>
    <w:p>
      <w:pPr>
        <w:spacing w:after="0" w:line="185" w:lineRule="exact"/>
        <w:rPr>
          <w:sz w:val="20"/>
          <w:szCs w:val="20"/>
          <w:color w:val="auto"/>
        </w:rPr>
      </w:pPr>
    </w:p>
    <w:p>
      <w:pPr>
        <w:ind w:right="540" w:firstLine="620"/>
        <w:spacing w:after="0" w:line="288" w:lineRule="auto"/>
        <w:rPr>
          <w:sz w:val="20"/>
          <w:szCs w:val="20"/>
          <w:color w:val="auto"/>
        </w:rPr>
      </w:pPr>
      <w:r>
        <w:rPr>
          <w:rFonts w:ascii="Times New Roman" w:cs="Times New Roman" w:eastAsia="Times New Roman" w:hAnsi="Times New Roman"/>
          <w:sz w:val="17"/>
          <w:szCs w:val="17"/>
          <w:color w:val="auto"/>
        </w:rPr>
        <w:t>We have three main loan product offerings: Pay-in-X, 0% annual percentage rate (“APR”) monthly installment loans and interest-bearing monthly installment loans. Pay-in-X primarily consists of short-term payment plans with one to four 0% APR installments.</w:t>
      </w:r>
    </w:p>
    <w:p>
      <w:pPr>
        <w:spacing w:after="0" w:line="125" w:lineRule="exact"/>
        <w:rPr>
          <w:sz w:val="20"/>
          <w:szCs w:val="20"/>
          <w:color w:val="auto"/>
        </w:rPr>
      </w:pPr>
    </w:p>
    <w:p>
      <w:pPr>
        <w:ind w:right="340" w:firstLine="620"/>
        <w:spacing w:after="0" w:line="270" w:lineRule="auto"/>
        <w:rPr>
          <w:sz w:val="20"/>
          <w:szCs w:val="20"/>
          <w:color w:val="auto"/>
        </w:rPr>
      </w:pPr>
      <w:r>
        <w:rPr>
          <w:rFonts w:ascii="Times New Roman" w:cs="Times New Roman" w:eastAsia="Times New Roman" w:hAnsi="Times New Roman"/>
          <w:sz w:val="17"/>
          <w:szCs w:val="17"/>
          <w:color w:val="auto"/>
        </w:rPr>
        <w:t>From merchants, we typically earn a fee when we help them convert a sale and facilitate a transaction. Merchant fees depend on the individual arrangement between us and each merchant and vary based on the terms of the product offering; we generally earn larger merchant fees on 0% APR financing products. For the three months ended September 30, 2025 and 2024, Pay-in-X represented 15% and 14%, respectively, of total GMV facilitated through our platform while 0% APR installment loans represented 13% and 11%, respectively.</w:t>
      </w:r>
    </w:p>
    <w:p>
      <w:pPr>
        <w:spacing w:after="0" w:line="141" w:lineRule="exact"/>
        <w:rPr>
          <w:sz w:val="20"/>
          <w:szCs w:val="20"/>
          <w:color w:val="auto"/>
        </w:rPr>
      </w:pPr>
    </w:p>
    <w:p>
      <w:pPr>
        <w:ind w:right="60" w:firstLine="620"/>
        <w:spacing w:after="0" w:line="260" w:lineRule="auto"/>
        <w:rPr>
          <w:sz w:val="20"/>
          <w:szCs w:val="20"/>
          <w:color w:val="auto"/>
        </w:rPr>
      </w:pPr>
      <w:r>
        <w:rPr>
          <w:rFonts w:ascii="Times New Roman" w:cs="Times New Roman" w:eastAsia="Times New Roman" w:hAnsi="Times New Roman"/>
          <w:sz w:val="17"/>
          <w:szCs w:val="17"/>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our direct origination of a loan. For the three months ended September 30, 2025 and 2024, interest bearing loans represented 72% and 75% of total GMV facilitated through our platform, respectively.</w:t>
      </w:r>
    </w:p>
    <w:p>
      <w:pPr>
        <w:spacing w:after="0" w:line="138"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In order to accelerate our ubiquity, we facilitate the issuance of one-time-use virtual cards directly to consumers through our app, allowing them to shop with merchants that may not yet be fully integrated with Affirm. Similarly, we also facilitate the issuance of the Affirm Card, a card that can be used physically or virtually and which allows consumers to link a bank account to pay in full, or pay later by accessing credit through the Affirm App. When these cards are used over established card networks, we earn a portion of the interchange fee from the transaction.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Loan Origination and Servicing Model</w:t>
      </w:r>
    </w:p>
    <w:p>
      <w:pPr>
        <w:spacing w:after="0" w:line="172" w:lineRule="exact"/>
        <w:rPr>
          <w:sz w:val="20"/>
          <w:szCs w:val="20"/>
          <w:color w:val="auto"/>
        </w:rPr>
      </w:pPr>
    </w:p>
    <w:p>
      <w:pPr>
        <w:ind w:right="360" w:firstLine="620"/>
        <w:spacing w:after="0" w:line="243" w:lineRule="auto"/>
        <w:rPr>
          <w:sz w:val="20"/>
          <w:szCs w:val="20"/>
          <w:color w:val="auto"/>
        </w:rPr>
      </w:pPr>
      <w:r>
        <w:rPr>
          <w:rFonts w:ascii="Times New Roman" w:cs="Times New Roman" w:eastAsia="Times New Roman" w:hAnsi="Times New Roman"/>
          <w:sz w:val="17"/>
          <w:szCs w:val="17"/>
          <w:color w:val="auto"/>
        </w:rPr>
        <w:t>When a consumer applies for a loan through our platform, the loan is underwritten using our proprietary risk model. Once approved for the loan, the consumer then selects their preferred repayment option. A portion of these loans are funded and issued by our originating bank partners, which include Cross River Bank, an FDIC-insured New Jersey state-chartered bank, Celtic Bank, an FDIC-insured Utah state-chartered industrial bank, and Lead Bank, an FDIC-insured Missouri state-chartered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7"/>
          <w:szCs w:val="17"/>
          <w:color w:val="auto"/>
        </w:rPr>
        <w:t>sources and may subsequently offer and sell the loan to us. Pursuant to our agreements with these partners, we are obligated to purchase the loans facilitated through our platform that such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aggregate principal amount of a loan that is paid by a consumer. Refer to Note 12. Fair Value of Financial Assets and Liabilities in the notes to the interim condensed consolidated financial statements for more information on the performance fee liability.</w:t>
      </w:r>
    </w:p>
    <w:p>
      <w:pPr>
        <w:spacing w:after="0" w:line="216" w:lineRule="exact"/>
        <w:rPr>
          <w:sz w:val="20"/>
          <w:szCs w:val="20"/>
          <w:color w:val="auto"/>
        </w:rPr>
      </w:pPr>
    </w:p>
    <w:p>
      <w:pPr>
        <w:ind w:right="260" w:firstLine="620"/>
        <w:spacing w:after="0" w:line="270" w:lineRule="auto"/>
        <w:rPr>
          <w:sz w:val="20"/>
          <w:szCs w:val="20"/>
          <w:color w:val="auto"/>
        </w:rPr>
      </w:pPr>
      <w:r>
        <w:rPr>
          <w:rFonts w:ascii="Times New Roman" w:cs="Times New Roman" w:eastAsia="Times New Roman" w:hAnsi="Times New Roman"/>
          <w:sz w:val="17"/>
          <w:szCs w:val="17"/>
          <w:color w:val="auto"/>
        </w:rPr>
        <w:t>We are also able to originate loans directly under our lending, servicing, and brokering licenses in Canada, the U.K., and across most states in the U.S. through our consolidated subsidiaries. We directly originated approximately $1.9 billion, or 18% and $1.3 billion, or 17%, for the three months ended September 30, 2025 and 2024, respectively.</w:t>
      </w:r>
    </w:p>
    <w:p>
      <w:pPr>
        <w:spacing w:after="0" w:line="128"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We act as the servicer on all loans that we originate directly or purchase from our originating bank partners and earn a servicing fee on loans held by third parties, including bank partners prior to loan purchase and third-party loan buyers if subsequently sold as part of our funding strategy. In the normal course of business, we do not sell the servicing rights on any of the loans. To allow for flexible staffing to support overflow and seasonal traffic, we partner with several sub-servicers to manage consumer care, first priority collections, and third-party collections in accordance with our policies and procedures.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183" w:lineRule="exact"/>
        <w:rPr>
          <w:sz w:val="20"/>
          <w:szCs w:val="20"/>
          <w:color w:val="auto"/>
        </w:rPr>
      </w:pPr>
    </w:p>
    <w:p>
      <w:pPr>
        <w:ind w:right="320" w:firstLine="620"/>
        <w:spacing w:after="0" w:line="270" w:lineRule="auto"/>
        <w:rPr>
          <w:sz w:val="20"/>
          <w:szCs w:val="20"/>
          <w:color w:val="auto"/>
        </w:rPr>
      </w:pPr>
      <w:r>
        <w:rPr>
          <w:rFonts w:ascii="Times New Roman" w:cs="Times New Roman" w:eastAsia="Times New Roman" w:hAnsi="Times New Roman"/>
          <w:sz w:val="17"/>
          <w:szCs w:val="17"/>
          <w:color w:val="auto"/>
        </w:rPr>
        <w:t>Our performance has been and may continue to be affected by many factors, including those identified below, as well as the factors discussed in the section titled “Risk Factors” in this Form 10-Q and in our most recently filed Annual Report on Form 10-K for the fiscal year ended June 30, 2025, as updated from time to time in our filings with the SEC.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Expanding our Network, Diversity, and Mix of Funding Relationships</w:t>
      </w:r>
    </w:p>
    <w:p>
      <w:pPr>
        <w:spacing w:after="0" w:line="185"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variable funding notes, forward flow arrangements, and partnerships with banks. Given the short duration and strong performance of our assets, funding can be recycled quickly, resulting in a high-velocity, capital efficient funding model. As of both September 30, 2025 and June 30, 2025, our equity capital as a percentage of our total platform portfolio was 4%. The mix of on-balance sheet and off-balance sheet funding is a function of how we choose to allocate loan volume, which is determined by the economic arrangements and supply of capital available to us, both of which may also impact our results in any given period.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Mix of Business on Our Platform</w:t>
      </w:r>
    </w:p>
    <w:p>
      <w:pPr>
        <w:spacing w:after="0" w:line="198" w:lineRule="exact"/>
        <w:rPr>
          <w:sz w:val="20"/>
          <w:szCs w:val="20"/>
          <w:color w:val="auto"/>
        </w:rPr>
      </w:pPr>
    </w:p>
    <w:p>
      <w:pPr>
        <w:ind w:right="160" w:firstLine="620"/>
        <w:spacing w:after="0" w:line="288" w:lineRule="auto"/>
        <w:rPr>
          <w:sz w:val="20"/>
          <w:szCs w:val="20"/>
          <w:color w:val="auto"/>
        </w:rPr>
      </w:pPr>
      <w:r>
        <w:rPr>
          <w:rFonts w:ascii="Times New Roman" w:cs="Times New Roman" w:eastAsia="Times New Roman" w:hAnsi="Times New Roman"/>
          <w:sz w:val="17"/>
          <w:szCs w:val="17"/>
          <w:color w:val="auto"/>
        </w:rPr>
        <w:t>The shifts in merchant volumes and products offered in any period affect our operating results. These shifts impact GMV, revenue, our financial results, and our key operating metric performance for that period. Differences in loan product mix result in varying loan terms, APRs, and payment frequencies.</w:t>
      </w:r>
    </w:p>
    <w:p>
      <w:pPr>
        <w:spacing w:after="0" w:line="125" w:lineRule="exact"/>
        <w:rPr>
          <w:sz w:val="20"/>
          <w:szCs w:val="20"/>
          <w:color w:val="auto"/>
        </w:rPr>
      </w:pPr>
    </w:p>
    <w:p>
      <w:pPr>
        <w:ind w:right="160" w:firstLine="620"/>
        <w:spacing w:after="0" w:line="260" w:lineRule="auto"/>
        <w:rPr>
          <w:sz w:val="20"/>
          <w:szCs w:val="20"/>
          <w:color w:val="auto"/>
        </w:rPr>
      </w:pPr>
      <w:r>
        <w:rPr>
          <w:rFonts w:ascii="Times New Roman" w:cs="Times New Roman" w:eastAsia="Times New Roman" w:hAnsi="Times New Roman"/>
          <w:sz w:val="17"/>
          <w:szCs w:val="17"/>
          <w:color w:val="auto"/>
        </w:rPr>
        <w:t>Product and economic terms of commercial agreements vary among our merchants, which may impact our results. For example, our low average order value (“AOV”) products generally benefit from shorter duration, but also have lower revenue as a percentage of GMV when compared to high AOV products. Merchant mix shifts are driven in part by the products offered by the merchant, the economic terms negotiated with the merchant, merchant-side activity relating to the marketing of their products, whether or not the merchant is fully integrated within our network, and general economic conditions affecting consumer demand. Our revenue as a percentage of GMV in any given period varies across products. As such, as we continue to expand our network to include more merchants and product offerings, revenue as a percentage of GMV may vary.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80" w:firstLine="620"/>
        <w:spacing w:after="0" w:line="265" w:lineRule="auto"/>
        <w:rPr>
          <w:sz w:val="20"/>
          <w:szCs w:val="20"/>
          <w:color w:val="auto"/>
        </w:rPr>
      </w:pPr>
      <w:r>
        <w:rPr>
          <w:rFonts w:ascii="Times New Roman" w:cs="Times New Roman" w:eastAsia="Times New Roman" w:hAnsi="Times New Roman"/>
          <w:sz w:val="17"/>
          <w:szCs w:val="17"/>
          <w:color w:val="auto"/>
        </w:rPr>
        <w:t>Additionally, our commercial agreements with our platform partners, the expansion of our consumer eligibility criteria, along with the growing repeat usage of our Affirm Card offerings, are driving an increase in low AOV transactions. As a result, while we expect that transactions per active consumer may increase, revenue as a percentage of GMV may decline in the medium term to the extent that a greater portion of our GMV comes from Affirm Card and other low-AOV offerings.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198" w:lineRule="exact"/>
        <w:rPr>
          <w:sz w:val="20"/>
          <w:szCs w:val="20"/>
          <w:color w:val="auto"/>
        </w:rPr>
      </w:pPr>
    </w:p>
    <w:p>
      <w:pPr>
        <w:ind w:right="40" w:firstLine="620"/>
        <w:spacing w:after="0" w:line="265" w:lineRule="auto"/>
        <w:rPr>
          <w:sz w:val="20"/>
          <w:szCs w:val="20"/>
          <w:color w:val="auto"/>
        </w:rPr>
      </w:pPr>
      <w:r>
        <w:rPr>
          <w:rFonts w:ascii="Times New Roman" w:cs="Times New Roman" w:eastAsia="Times New Roman" w:hAnsi="Times New Roman"/>
          <w:sz w:val="17"/>
          <w:szCs w:val="17"/>
          <w:color w:val="auto"/>
        </w:rPr>
        <w:t>We experience seasonal fluctuations in our business as a result of consumer spending patterns, including Affirm Card, which we expect to mimic the seasonality of our general business in the near term. Historically, our GMV has been the strongest during our fiscal second quarter due to increases in retail commerce during the holiday season and our loan delinquencies are at their lowest during our fiscal third and fourth quarter, as consumer savings benefit from tax refunds. Adverse events that occur during our second fiscal quarter could have a disproportionate effect on our financial results for the fiscal year.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Macroeconomic Environment</w:t>
      </w:r>
    </w:p>
    <w:p>
      <w:pPr>
        <w:spacing w:after="0" w:line="198"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We regularly monitor the direct and indirect impacts of the current macroeconomic conditions on our business, financial condition, and results of operations. Since 2022, the U.S. Federal Reserve has maintained an elevated federal funds interest rate. Despite the Federal Reserve’s decision to begin to decrease the federal funds interest rate in September 2024, uncertainty remains as to whether and to what extent the federal funds interest rate will remain at current levels, increase or decrease in future periods. Simultaneously, economic uncertainty and unpredictability, including the prospect of economic recession and the magnitude, duration and impact of tariffs on global trade, has impacted and may continue to impact consumer spending. These challenges have affected, and may continue to affect, our business and results of operations in the following ways:</w:t>
      </w:r>
    </w:p>
    <w:p>
      <w:pPr>
        <w:spacing w:after="0" w:line="132" w:lineRule="exact"/>
        <w:rPr>
          <w:sz w:val="20"/>
          <w:szCs w:val="20"/>
          <w:color w:val="auto"/>
        </w:rPr>
      </w:pPr>
    </w:p>
    <w:p>
      <w:pPr>
        <w:ind w:left="620" w:right="100" w:hanging="307"/>
        <w:spacing w:after="0" w:line="274"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Shifts in consumer demand: </w:t>
      </w:r>
      <w:r>
        <w:rPr>
          <w:rFonts w:ascii="Times New Roman" w:cs="Times New Roman" w:eastAsia="Times New Roman" w:hAnsi="Times New Roman"/>
          <w:sz w:val="17"/>
          <w:szCs w:val="17"/>
          <w:color w:val="auto"/>
        </w:rPr>
        <w:t>We have experienced, and may continue to experience, fluctuations in consumer demand across different merchandise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categories due to economic uncertainty, inflationary pressures, elevated interest rates, and other macroeconomic factors. If such conditions deteriorate in future periods, consumer demand may be negatively impacted.</w:t>
      </w:r>
    </w:p>
    <w:p>
      <w:pPr>
        <w:spacing w:after="0" w:line="183" w:lineRule="exact"/>
        <w:rPr>
          <w:rFonts w:ascii="Times New Roman" w:cs="Times New Roman" w:eastAsia="Times New Roman" w:hAnsi="Times New Roman"/>
          <w:sz w:val="17"/>
          <w:szCs w:val="17"/>
          <w:color w:val="auto"/>
        </w:rPr>
      </w:pPr>
    </w:p>
    <w:p>
      <w:pPr>
        <w:ind w:left="620" w:right="120" w:hanging="307"/>
        <w:spacing w:after="0" w:line="267"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Elevated borrowing costs: </w:t>
      </w:r>
      <w:r>
        <w:rPr>
          <w:rFonts w:ascii="Times New Roman" w:cs="Times New Roman" w:eastAsia="Times New Roman" w:hAnsi="Times New Roman"/>
          <w:sz w:val="17"/>
          <w:szCs w:val="17"/>
          <w:color w:val="auto"/>
        </w:rPr>
        <w:t>The Federal Reserve began decreasing the federal funds interest rate in late 2024, leading to a decline in our average funding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costs in recent fiscal periods. However, the overall interest rate environment remains elevated compared to historical levels, and there is continued uncertainty as to whether and to what extent the Federal Reserve may decrease the federal funds rate further in the future. To the extent the current elevated interest rate environment persists, our transaction costs may remain elevated when compared to historical fiscal periods.</w:t>
      </w:r>
    </w:p>
    <w:p>
      <w:pPr>
        <w:spacing w:after="0" w:line="189" w:lineRule="exact"/>
        <w:rPr>
          <w:rFonts w:ascii="Times New Roman" w:cs="Times New Roman" w:eastAsia="Times New Roman" w:hAnsi="Times New Roman"/>
          <w:sz w:val="17"/>
          <w:szCs w:val="17"/>
          <w:color w:val="auto"/>
        </w:rPr>
      </w:pPr>
    </w:p>
    <w:p>
      <w:pPr>
        <w:ind w:left="620" w:right="20" w:hanging="307"/>
        <w:spacing w:after="0" w:line="264" w:lineRule="auto"/>
        <w:tabs>
          <w:tab w:leader="none" w:pos="61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Volatile capital markets: </w:t>
      </w:r>
      <w:r>
        <w:rPr>
          <w:rFonts w:ascii="Times New Roman" w:cs="Times New Roman" w:eastAsia="Times New Roman" w:hAnsi="Times New Roman"/>
          <w:sz w:val="17"/>
          <w:szCs w:val="17"/>
          <w:color w:val="auto"/>
        </w:rPr>
        <w:t>Since fiscal 2024, capital markets have shown improvement against recent periods. Strong loan performance has allowed us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add substantial capacity across funding channels. Despite these improvements, uncertainties remain in the macroeconomic environment, especially with regard to inflation, the prospect of recession, the magnitude, duration and impact of tariffs on global trade, and the potential for increased unemployment. To address these uncertainties, we leverage our diverse capital ecosystem consisting of multiple funding channels, a diverse set of counterparties, and varying maturity debt schedule to support resilience across various macroeconomic conditions and economic cycles.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Consumer Credit Optimization and Loan Performance</w:t>
      </w:r>
    </w:p>
    <w:p>
      <w:pPr>
        <w:spacing w:after="0" w:line="237" w:lineRule="exact"/>
        <w:rPr>
          <w:sz w:val="20"/>
          <w:szCs w:val="20"/>
          <w:color w:val="auto"/>
        </w:rPr>
      </w:pPr>
    </w:p>
    <w:p>
      <w:pPr>
        <w:ind w:right="20" w:firstLine="620"/>
        <w:spacing w:after="0" w:line="246" w:lineRule="auto"/>
        <w:rPr>
          <w:sz w:val="20"/>
          <w:szCs w:val="20"/>
          <w:color w:val="auto"/>
        </w:rPr>
      </w:pPr>
      <w:r>
        <w:rPr>
          <w:rFonts w:ascii="Times New Roman" w:cs="Times New Roman" w:eastAsia="Times New Roman" w:hAnsi="Times New Roman"/>
          <w:sz w:val="17"/>
          <w:szCs w:val="17"/>
          <w:color w:val="auto"/>
        </w:rPr>
        <w:t>We continue to optimize our underwriting and take other actions to manage consumer loan repayment, increase collections and minimize losses. For example, we offer loan modifications to borrowers experiencing financial difficulty to provide greater flexibility for consumers to repay their obligations, through payment deferrals or loan re-amortizations. A payment deferral extends the next payment due date, and while a consumer may receive more than one deferral, the total deferral period may not exceed three months. A loan re-amortization lowers the monthly payments by extending the term, which may not exceed twenty-four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1" w:name="page62"/>
    <w:bookmarkEnd w:id="6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firstLine="620"/>
        <w:spacing w:after="0" w:line="244" w:lineRule="auto"/>
        <w:rPr>
          <w:sz w:val="20"/>
          <w:szCs w:val="20"/>
          <w:color w:val="auto"/>
        </w:rPr>
      </w:pPr>
      <w:r>
        <w:rPr>
          <w:rFonts w:ascii="Times New Roman" w:cs="Times New Roman" w:eastAsia="Times New Roman" w:hAnsi="Times New Roman"/>
          <w:sz w:val="17"/>
          <w:szCs w:val="17"/>
          <w:color w:val="auto"/>
        </w:rPr>
        <w:t>These loan modification programs also impact our delinquency rates, and such impact can vary over time. The volume of loan modifications during the fiscal quarter ended September 30, 2025 decreased compared to the same period in 2024. Loans modified within the last three and twelve months represent 0.12% and 0.20%, respectively, of the outstanding principal balance of loans held on our balance sheet as of September 30, 2025. Our reported delinquency and charge off rates include loans which have become past due or have charged off subsequent to modification. An unknown percentage of loans which have been modified and are current as of September 30, 2025 may become delinquent or charge off in the future. We continue to evaluate the effectiveness of these programs and may modify, expand, or contract their usage, which may affect the timing of reported delinquencies and charge offs in future periods.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Developments</w:t>
      </w:r>
    </w:p>
    <w:p>
      <w:pPr>
        <w:spacing w:after="0" w:line="224" w:lineRule="exact"/>
        <w:rPr>
          <w:sz w:val="20"/>
          <w:szCs w:val="20"/>
          <w:color w:val="auto"/>
        </w:rPr>
      </w:pPr>
    </w:p>
    <w:p>
      <w:pPr>
        <w:jc w:val="both"/>
        <w:ind w:right="120" w:firstLine="620"/>
        <w:spacing w:after="0" w:line="255" w:lineRule="auto"/>
        <w:rPr>
          <w:sz w:val="20"/>
          <w:szCs w:val="20"/>
          <w:color w:val="auto"/>
        </w:rPr>
      </w:pPr>
      <w:r>
        <w:rPr>
          <w:rFonts w:ascii="Times New Roman" w:cs="Times New Roman" w:eastAsia="Times New Roman" w:hAnsi="Times New Roman"/>
          <w:sz w:val="17"/>
          <w:szCs w:val="17"/>
          <w:color w:val="auto"/>
        </w:rPr>
        <w:t>We are subject to the regulatory and enforcement authority of the Consumer Financial Protection Bureau (the “CFPB”) as a facilitator, servicer, acquirer or originator of consumer credit. As such, the CFPB has in the past requested reports concerning our organization, business conduct, markets, and activities, and we expect that the CFPB will continue to do so from time to time in the future.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Income Tax Developments</w:t>
      </w:r>
    </w:p>
    <w:p>
      <w:pPr>
        <w:spacing w:after="0" w:line="172" w:lineRule="exact"/>
        <w:rPr>
          <w:sz w:val="20"/>
          <w:szCs w:val="20"/>
          <w:color w:val="auto"/>
        </w:rPr>
      </w:pPr>
    </w:p>
    <w:p>
      <w:pPr>
        <w:ind w:right="100" w:firstLine="620"/>
        <w:spacing w:after="0" w:line="272" w:lineRule="auto"/>
        <w:rPr>
          <w:sz w:val="20"/>
          <w:szCs w:val="20"/>
          <w:color w:val="auto"/>
        </w:rPr>
      </w:pPr>
      <w:r>
        <w:rPr>
          <w:rFonts w:ascii="Times New Roman" w:cs="Times New Roman" w:eastAsia="Times New Roman" w:hAnsi="Times New Roman"/>
          <w:sz w:val="17"/>
          <w:szCs w:val="17"/>
          <w:color w:val="auto"/>
        </w:rPr>
        <w:t>On July 4, 2025, the One Big Beautiful Bill Act (the “Act”) was enacted into law, which included certain modifications to U.S. tax law. The Company is currently evaluating the future impact of these provisions of the Act on our Consolidated Financial Statements.</w:t>
      </w:r>
    </w:p>
    <w:p>
      <w:pPr>
        <w:spacing w:after="0" w:line="113" w:lineRule="exact"/>
        <w:rPr>
          <w:sz w:val="20"/>
          <w:szCs w:val="20"/>
          <w:color w:val="auto"/>
        </w:rPr>
      </w:pPr>
    </w:p>
    <w:p>
      <w:pPr>
        <w:ind w:firstLine="620"/>
        <w:spacing w:after="0" w:line="246" w:lineRule="auto"/>
        <w:rPr>
          <w:sz w:val="20"/>
          <w:szCs w:val="20"/>
          <w:color w:val="auto"/>
        </w:rPr>
      </w:pPr>
      <w:r>
        <w:rPr>
          <w:rFonts w:ascii="Times New Roman" w:cs="Times New Roman" w:eastAsia="Times New Roman" w:hAnsi="Times New Roman"/>
          <w:sz w:val="17"/>
          <w:szCs w:val="17"/>
          <w:color w:val="auto"/>
        </w:rPr>
        <w:t>Additionally, if our recent trend of pretax earnings continues, we believe it is reasonably possible that we may have sufficient positive evidence within the next 12 months to conclude that a significant portion of the domestic valuation allowance is no longer needed. The timing and amount of any valuation allowance release is subject to change based on multiple factors, including our profitability and the extent to which we believe we can sustain it over time. Release of any portion of the valuation allowance would result in the recognition of certain deferred tax assets with a potential corresponding decrease to income tax expense for the period the release is recorded, which would represent a non-cash benefit.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Metrics</w:t>
      </w:r>
    </w:p>
    <w:p>
      <w:pPr>
        <w:spacing w:after="0" w:line="248"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We focus on several key operating metrics to measure the performance of our business and help determine our strategic direction. In addition to revenue, net income (loss), and other results under U.S. GAAP, the following tables set forth key operating metrics we use to evaluate our business.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w w:val="96"/>
              </w:rPr>
              <w:t>Three Months Ended September 30,</w:t>
            </w:r>
          </w:p>
        </w:tc>
        <w:tc>
          <w:tcPr>
            <w:tcW w:w="1460" w:type="dxa"/>
            <w:vAlign w:val="bottom"/>
            <w:tcBorders>
              <w:bottom w:val="single" w:sz="8" w:color="auto"/>
            </w:tcBorders>
          </w:tcPr>
          <w:p>
            <w:pPr>
              <w:spacing w:after="0"/>
              <w:rPr>
                <w:sz w:val="18"/>
                <w:szCs w:val="18"/>
                <w:color w:val="auto"/>
              </w:rPr>
            </w:pPr>
          </w:p>
        </w:tc>
      </w:tr>
      <w:tr>
        <w:trPr>
          <w:trHeight w:val="201"/>
        </w:trPr>
        <w:tc>
          <w:tcPr>
            <w:tcW w:w="5600" w:type="dxa"/>
            <w:vAlign w:val="bottom"/>
          </w:tcPr>
          <w:p>
            <w:pPr>
              <w:spacing w:after="0"/>
              <w:rPr>
                <w:sz w:val="17"/>
                <w:szCs w:val="17"/>
                <w:color w:val="auto"/>
              </w:rPr>
            </w:pPr>
          </w:p>
        </w:tc>
        <w:tc>
          <w:tcPr>
            <w:tcW w:w="1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2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2"/>
        </w:trPr>
        <w:tc>
          <w:tcPr>
            <w:tcW w:w="5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60" w:type="dxa"/>
            <w:vAlign w:val="bottom"/>
          </w:tcPr>
          <w:p>
            <w:pPr>
              <w:jc w:val="center"/>
              <w:ind w:right="682"/>
              <w:spacing w:after="0"/>
              <w:rPr>
                <w:sz w:val="20"/>
                <w:szCs w:val="20"/>
                <w:color w:val="auto"/>
              </w:rPr>
            </w:pPr>
            <w:r>
              <w:rPr>
                <w:rFonts w:ascii="Times New Roman" w:cs="Times New Roman" w:eastAsia="Times New Roman" w:hAnsi="Times New Roman"/>
                <w:sz w:val="14"/>
                <w:szCs w:val="14"/>
                <w:b w:val="1"/>
                <w:bCs w:val="1"/>
                <w:color w:val="auto"/>
                <w:w w:val="99"/>
              </w:rPr>
              <w:t>(in billions)</w:t>
            </w:r>
          </w:p>
        </w:tc>
        <w:tc>
          <w:tcPr>
            <w:tcW w:w="1460" w:type="dxa"/>
            <w:vAlign w:val="bottom"/>
          </w:tcPr>
          <w:p>
            <w:pPr>
              <w:spacing w:after="0"/>
              <w:rPr>
                <w:sz w:val="15"/>
                <w:szCs w:val="15"/>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GMV</w:t>
            </w:r>
          </w:p>
        </w:tc>
        <w:tc>
          <w:tcPr>
            <w:tcW w:w="122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4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7"/>
                <w:szCs w:val="17"/>
                <w:color w:val="auto"/>
              </w:rPr>
              <w:t>7.6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GMV</w:t>
      </w:r>
    </w:p>
    <w:p>
      <w:pPr>
        <w:spacing w:after="0" w:line="121" w:lineRule="exact"/>
        <w:rPr>
          <w:sz w:val="20"/>
          <w:szCs w:val="20"/>
          <w:color w:val="auto"/>
        </w:rPr>
      </w:pPr>
    </w:p>
    <w:p>
      <w:pPr>
        <w:jc w:val="both"/>
        <w:ind w:right="160" w:firstLine="620"/>
        <w:spacing w:after="0" w:line="270" w:lineRule="auto"/>
        <w:rPr>
          <w:sz w:val="20"/>
          <w:szCs w:val="20"/>
          <w:color w:val="auto"/>
        </w:rPr>
      </w:pPr>
      <w:r>
        <w:rPr>
          <w:rFonts w:ascii="Times New Roman" w:cs="Times New Roman" w:eastAsia="Times New Roman" w:hAnsi="Times New Roman"/>
          <w:sz w:val="17"/>
          <w:szCs w:val="17"/>
          <w:color w:val="auto"/>
        </w:rPr>
        <w:t>We measure GMV to assess the volume of transactions that take place on our platform. We define GMV as the total dollar amount of all transactions on the Affirm platform during the applicable period, net of refunds. GMV does not represent revenue earned by us; however, it is an indicator of the success of our merchants and the strength of our platform.</w:t>
      </w:r>
    </w:p>
    <w:p>
      <w:pPr>
        <w:spacing w:after="0" w:line="64" w:lineRule="exact"/>
        <w:rPr>
          <w:sz w:val="20"/>
          <w:szCs w:val="20"/>
          <w:color w:val="auto"/>
        </w:rPr>
      </w:pPr>
    </w:p>
    <w:p>
      <w:pPr>
        <w:ind w:right="60" w:firstLine="620"/>
        <w:spacing w:after="0" w:line="255" w:lineRule="auto"/>
        <w:rPr>
          <w:sz w:val="20"/>
          <w:szCs w:val="20"/>
          <w:color w:val="auto"/>
        </w:rPr>
      </w:pPr>
      <w:r>
        <w:rPr>
          <w:rFonts w:ascii="Times New Roman" w:cs="Times New Roman" w:eastAsia="Times New Roman" w:hAnsi="Times New Roman"/>
          <w:sz w:val="17"/>
          <w:szCs w:val="17"/>
          <w:color w:val="auto"/>
        </w:rPr>
        <w:t>For the three months ended September 30, 2025, GMV was $10.8 billion, which represented an increase of approximately 42%, as compared to the same period in 2024. Overall, the increase in GMV was driven by growth in several key areas including our top five merchants and platform partners, our direct to consumer products, including Affirm Card, and overall increases in our active merchant base, active consumers and average transactions per consumer.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80" w:firstLine="620"/>
        <w:spacing w:after="0" w:line="263" w:lineRule="auto"/>
        <w:rPr>
          <w:sz w:val="20"/>
          <w:szCs w:val="20"/>
          <w:color w:val="auto"/>
        </w:rPr>
      </w:pPr>
      <w:r>
        <w:rPr>
          <w:rFonts w:ascii="Times New Roman" w:cs="Times New Roman" w:eastAsia="Times New Roman" w:hAnsi="Times New Roman"/>
          <w:sz w:val="17"/>
          <w:szCs w:val="17"/>
          <w:color w:val="auto"/>
        </w:rPr>
        <w:t>During the three months ended September 30, 2025, GMV growth was diversified across categories and loan products, primarily driven by our services and travel and ticketing categories, as well as our 0% APR installment loans. For the three months ended September 30, 2025, GMV from 0% APR monthly installment loans was $1.4 billion which represented an increase of approximately 74% from $826.0 million for the three months ended September 30, 2024.</w:t>
      </w:r>
    </w:p>
    <w:p>
      <w:pPr>
        <w:spacing w:after="0" w:line="184" w:lineRule="exact"/>
        <w:rPr>
          <w:sz w:val="20"/>
          <w:szCs w:val="20"/>
          <w:color w:val="auto"/>
        </w:rPr>
      </w:pPr>
    </w:p>
    <w:p>
      <w:pPr>
        <w:jc w:val="both"/>
        <w:ind w:right="20" w:firstLine="620"/>
        <w:spacing w:after="0" w:line="270" w:lineRule="auto"/>
        <w:rPr>
          <w:sz w:val="20"/>
          <w:szCs w:val="20"/>
          <w:color w:val="auto"/>
        </w:rPr>
      </w:pPr>
      <w:r>
        <w:rPr>
          <w:rFonts w:ascii="Times New Roman" w:cs="Times New Roman" w:eastAsia="Times New Roman" w:hAnsi="Times New Roman"/>
          <w:sz w:val="17"/>
          <w:szCs w:val="17"/>
          <w:color w:val="auto"/>
        </w:rPr>
        <w:t>For the three months ended September 30, 2025, the top five merchants and platform partners represented approximately 44% of total GMV, as compared to 47% for the three months ended September 30, 2024. GMV attributable to Amazon during the three months ended September 30, 2025 and September 30, 2024 represented 21% and 23%, respectively, of total GMV.</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22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0" w:type="dxa"/>
            <w:vAlign w:val="bottom"/>
            <w:tcBorders>
              <w:bottom w:val="single" w:sz="8" w:color="auto"/>
            </w:tcBorders>
          </w:tcPr>
          <w:p>
            <w:pPr>
              <w:jc w:val="center"/>
              <w:ind w:right="497"/>
              <w:spacing w:after="0"/>
              <w:rPr>
                <w:sz w:val="20"/>
                <w:szCs w:val="20"/>
                <w:color w:val="auto"/>
              </w:rPr>
            </w:pPr>
            <w:r>
              <w:rPr>
                <w:rFonts w:ascii="Times New Roman" w:cs="Times New Roman" w:eastAsia="Times New Roman" w:hAnsi="Times New Roman"/>
                <w:sz w:val="16"/>
                <w:szCs w:val="16"/>
                <w:b w:val="1"/>
                <w:bCs w:val="1"/>
                <w:color w:val="auto"/>
                <w:w w:val="97"/>
              </w:rPr>
              <w:t>September 30, 2024</w:t>
            </w:r>
          </w:p>
        </w:tc>
        <w:tc>
          <w:tcPr>
            <w:tcW w:w="16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84"/>
        </w:trPr>
        <w:tc>
          <w:tcPr>
            <w:tcW w:w="5020" w:type="dxa"/>
            <w:vAlign w:val="bottom"/>
          </w:tcPr>
          <w:p>
            <w:pPr>
              <w:spacing w:after="0"/>
              <w:rPr>
                <w:sz w:val="16"/>
                <w:szCs w:val="16"/>
                <w:color w:val="auto"/>
              </w:rPr>
            </w:pPr>
          </w:p>
        </w:tc>
        <w:tc>
          <w:tcPr>
            <w:tcW w:w="4600" w:type="dxa"/>
            <w:vAlign w:val="bottom"/>
            <w:gridSpan w:val="2"/>
          </w:tcPr>
          <w:p>
            <w:pPr>
              <w:jc w:val="center"/>
              <w:ind w:left="1540"/>
              <w:spacing w:after="0"/>
              <w:rPr>
                <w:sz w:val="20"/>
                <w:szCs w:val="20"/>
                <w:color w:val="auto"/>
              </w:rPr>
            </w:pPr>
            <w:r>
              <w:rPr>
                <w:rFonts w:ascii="Times New Roman" w:cs="Times New Roman" w:eastAsia="Times New Roman" w:hAnsi="Times New Roman"/>
                <w:sz w:val="14"/>
                <w:szCs w:val="14"/>
                <w:b w:val="1"/>
                <w:bCs w:val="1"/>
                <w:color w:val="auto"/>
                <w:w w:val="98"/>
              </w:rPr>
              <w:t>(in thousands, except per consumer data)</w:t>
            </w:r>
          </w:p>
        </w:tc>
        <w:tc>
          <w:tcPr>
            <w:tcW w:w="1620" w:type="dxa"/>
            <w:vAlign w:val="bottom"/>
          </w:tcPr>
          <w:p>
            <w:pPr>
              <w:spacing w:after="0"/>
              <w:rPr>
                <w:sz w:val="16"/>
                <w:szCs w:val="16"/>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Active consumers</w:t>
            </w:r>
          </w:p>
        </w:tc>
        <w:tc>
          <w:tcPr>
            <w:tcW w:w="22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24,128</w:t>
            </w:r>
          </w:p>
        </w:tc>
        <w:tc>
          <w:tcPr>
            <w:tcW w:w="24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rPr>
              <w:t>19,491</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Transactions per active consumer</w:t>
            </w:r>
          </w:p>
        </w:tc>
        <w:tc>
          <w:tcPr>
            <w:tcW w:w="220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rPr>
              <w:t>6.1</w:t>
            </w:r>
          </w:p>
        </w:tc>
        <w:tc>
          <w:tcPr>
            <w:tcW w:w="240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auto"/>
              </w:rPr>
              <w:t>5.1</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Active Consumers</w:t>
      </w:r>
    </w:p>
    <w:p>
      <w:pPr>
        <w:spacing w:after="0" w:line="121" w:lineRule="exact"/>
        <w:rPr>
          <w:sz w:val="20"/>
          <w:szCs w:val="20"/>
          <w:color w:val="auto"/>
        </w:rPr>
      </w:pPr>
    </w:p>
    <w:p>
      <w:pPr>
        <w:ind w:right="80" w:firstLine="620"/>
        <w:spacing w:after="0" w:line="270" w:lineRule="auto"/>
        <w:rPr>
          <w:sz w:val="20"/>
          <w:szCs w:val="20"/>
          <w:color w:val="auto"/>
        </w:rPr>
      </w:pPr>
      <w:r>
        <w:rPr>
          <w:rFonts w:ascii="Times New Roman" w:cs="Times New Roman" w:eastAsia="Times New Roman" w:hAnsi="Times New Roman"/>
          <w:sz w:val="17"/>
          <w:szCs w:val="17"/>
          <w:color w:val="auto"/>
        </w:rPr>
        <w:t>We assess consumer adoption and engagement by the number of active consumers across our platform. Active consumers are the primary measure of the size of our network. We define an active consumer as a consumer who completes at least one transaction on our platform during the 12 months prior to the measurement date.</w:t>
      </w:r>
    </w:p>
    <w:p>
      <w:pPr>
        <w:spacing w:after="0" w:line="128"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As of September 30, 2025, we had approximately 24.1 million active consumers, which represented an increase of 24% compared to approximately 19.5 million active consumers as of September 30, 2024. The increase was primarily due to a high retention rate of existing consumers and the acquisition of new consumers through an expansion in active merchants and platform partnerships.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Transactions per Active Consumer</w:t>
      </w:r>
    </w:p>
    <w:p>
      <w:pPr>
        <w:spacing w:after="0" w:line="198" w:lineRule="exact"/>
        <w:rPr>
          <w:sz w:val="20"/>
          <w:szCs w:val="20"/>
          <w:color w:val="auto"/>
        </w:rPr>
      </w:pPr>
    </w:p>
    <w:p>
      <w:pPr>
        <w:jc w:val="both"/>
        <w:ind w:right="240" w:firstLine="620"/>
        <w:spacing w:after="0" w:line="270" w:lineRule="auto"/>
        <w:rPr>
          <w:sz w:val="20"/>
          <w:szCs w:val="20"/>
          <w:color w:val="auto"/>
        </w:rPr>
      </w:pPr>
      <w:r>
        <w:rPr>
          <w:rFonts w:ascii="Times New Roman" w:cs="Times New Roman" w:eastAsia="Times New Roman" w:hAnsi="Times New Roman"/>
          <w:sz w:val="17"/>
          <w:szCs w:val="17"/>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w:t>
      </w:r>
    </w:p>
    <w:p>
      <w:pPr>
        <w:spacing w:after="0" w:line="128" w:lineRule="exact"/>
        <w:rPr>
          <w:sz w:val="20"/>
          <w:szCs w:val="20"/>
          <w:color w:val="auto"/>
        </w:rPr>
      </w:pPr>
    </w:p>
    <w:p>
      <w:pPr>
        <w:ind w:right="100" w:firstLine="620"/>
        <w:spacing w:after="0" w:line="270" w:lineRule="auto"/>
        <w:rPr>
          <w:sz w:val="20"/>
          <w:szCs w:val="20"/>
          <w:color w:val="auto"/>
        </w:rPr>
      </w:pPr>
      <w:r>
        <w:rPr>
          <w:rFonts w:ascii="Times New Roman" w:cs="Times New Roman" w:eastAsia="Times New Roman" w:hAnsi="Times New Roman"/>
          <w:sz w:val="17"/>
          <w:szCs w:val="17"/>
          <w:color w:val="auto"/>
        </w:rPr>
        <w:t>As of September 30, 2025, we had approximately 6.1 transactions per active consumer, an increase of 20% compared to September 30, 2024. The increase was primarily due to platform growth, a higher frequency of repeat users driven by consumer engagement, and growth of Affirm Card active consumers. As of September 30, 2025 and September 30, 2024, Affirm Card represented approximately 11% and 9% of the total number of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8" w:lineRule="exact"/>
        <w:rPr>
          <w:sz w:val="20"/>
          <w:szCs w:val="20"/>
          <w:color w:val="auto"/>
        </w:rPr>
      </w:pPr>
    </w:p>
    <w:p>
      <w:pPr>
        <w:ind w:right="3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tables set forth selected interim condensed consolidated statements of operations and comprehensive income (loss) data for each of the periods presented: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Three Months Ended September 30,</w:t>
            </w:r>
          </w:p>
        </w:tc>
        <w:tc>
          <w:tcPr>
            <w:tcW w:w="1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201"/>
        </w:trPr>
        <w:tc>
          <w:tcPr>
            <w:tcW w:w="2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auto"/>
            </w:tcBorders>
          </w:tcPr>
          <w:p>
            <w:pPr>
              <w:spacing w:after="0"/>
              <w:rPr>
                <w:sz w:val="17"/>
                <w:szCs w:val="17"/>
                <w:color w:val="auto"/>
              </w:rPr>
            </w:pPr>
          </w:p>
        </w:tc>
      </w:tr>
      <w:tr>
        <w:trPr>
          <w:trHeight w:val="200"/>
        </w:trPr>
        <w:tc>
          <w:tcPr>
            <w:tcW w:w="22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(in thousands, except percentages)</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8"/>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4"/>
        </w:trPr>
        <w:tc>
          <w:tcPr>
            <w:tcW w:w="5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Merchant network revenue</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251,147</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184,339</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66,808</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Card network revenue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69,330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21,850</w:t>
            </w:r>
          </w:p>
        </w:tc>
        <w:tc>
          <w:tcPr>
            <w:tcW w:w="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1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network revenue</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320,477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88,658</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40" w:type="dxa"/>
            <w:vAlign w:val="bottom"/>
            <w:gridSpan w:val="2"/>
            <w:shd w:val="clear" w:color="auto" w:fill="CCEEFF"/>
          </w:tcPr>
          <w:p>
            <w:pPr>
              <w:ind w:left="140"/>
              <w:spacing w:after="0" w:line="209" w:lineRule="exact"/>
              <w:rPr>
                <w:sz w:val="20"/>
                <w:szCs w:val="20"/>
                <w:color w:val="auto"/>
              </w:rPr>
            </w:pPr>
            <w:r>
              <w:rPr>
                <w:rFonts w:ascii="Times New Roman" w:cs="Times New Roman" w:eastAsia="Times New Roman" w:hAnsi="Times New Roman"/>
                <w:sz w:val="16"/>
                <w:szCs w:val="16"/>
                <w:color w:val="auto"/>
              </w:rPr>
              <w:t xml:space="preserve">Interest income </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454,122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77,058</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140" w:type="dxa"/>
            <w:vAlign w:val="bottom"/>
            <w:gridSpan w:val="2"/>
          </w:tcPr>
          <w:p>
            <w:pPr>
              <w:ind w:left="140"/>
              <w:spacing w:after="0" w:line="207" w:lineRule="exact"/>
              <w:rPr>
                <w:sz w:val="20"/>
                <w:szCs w:val="20"/>
                <w:color w:val="auto"/>
              </w:rPr>
            </w:pPr>
            <w:r>
              <w:rPr>
                <w:rFonts w:ascii="Times New Roman" w:cs="Times New Roman" w:eastAsia="Times New Roman" w:hAnsi="Times New Roman"/>
                <w:sz w:val="16"/>
                <w:szCs w:val="16"/>
                <w:color w:val="auto"/>
              </w:rPr>
              <w:t xml:space="preserve">Gain on sales of loans </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119,049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55,436</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income</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39,689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13,706</w:t>
            </w:r>
          </w:p>
        </w:tc>
        <w:tc>
          <w:tcPr>
            <w:tcW w:w="8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51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933,337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698,479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234,858</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34 %</w:t>
            </w:r>
          </w:p>
        </w:tc>
      </w:tr>
      <w:tr>
        <w:trPr>
          <w:trHeight w:val="188"/>
        </w:trPr>
        <w:tc>
          <w:tcPr>
            <w:tcW w:w="514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6"/>
                <w:szCs w:val="16"/>
                <w:b w:val="1"/>
                <w:bCs w:val="1"/>
                <w:color w:val="auto"/>
              </w:rPr>
              <w:t xml:space="preserve">Operating expenses </w:t>
            </w:r>
            <w:r>
              <w:rPr>
                <w:rFonts w:ascii="Times New Roman" w:cs="Times New Roman" w:eastAsia="Times New Roman" w:hAnsi="Times New Roman"/>
                <w:sz w:val="20"/>
                <w:szCs w:val="20"/>
                <w:b w:val="1"/>
                <w:bCs w:val="1"/>
                <w:color w:val="auto"/>
                <w:vertAlign w:val="superscript"/>
              </w:rPr>
              <w:t>(2)</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4"/>
        </w:trPr>
        <w:tc>
          <w:tcPr>
            <w:tcW w:w="5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Loss on loan purchase commitment</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71,552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17,315</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162,752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Funding costs</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110,027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Processing and servicing</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133,807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38,661</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data analytics</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168,106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33,816</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78,491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(66,742)</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04"/>
        </w:trPr>
        <w:tc>
          <w:tcPr>
            <w:tcW w:w="51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144,941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6,459</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other</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198"/>
        </w:trPr>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869,676</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831,102</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38,574</w:t>
            </w:r>
          </w:p>
        </w:tc>
        <w:tc>
          <w:tcPr>
            <w:tcW w:w="8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5 %</w:t>
            </w:r>
          </w:p>
        </w:tc>
      </w:tr>
      <w:tr>
        <w:trPr>
          <w:trHeight w:val="201"/>
        </w:trPr>
        <w:tc>
          <w:tcPr>
            <w:tcW w:w="5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63,661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(132,623)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196,284</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148 %</w:t>
            </w:r>
          </w:p>
        </w:tc>
      </w:tr>
      <w:tr>
        <w:trPr>
          <w:trHeight w:val="197"/>
        </w:trPr>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19,358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34,303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(14,945)</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02"/>
        </w:trPr>
        <w:tc>
          <w:tcPr>
            <w:tcW w:w="5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83,019</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(98,320)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181,339</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184 %</w:t>
            </w:r>
          </w:p>
        </w:tc>
      </w:tr>
      <w:tr>
        <w:trPr>
          <w:trHeight w:val="197"/>
        </w:trPr>
        <w:tc>
          <w:tcPr>
            <w:tcW w:w="5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2,326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80,694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(100,222)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180,916</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181 %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43"/>
        </w:trPr>
        <w:tc>
          <w:tcPr>
            <w:tcW w:w="2220" w:type="dxa"/>
            <w:vAlign w:val="bottom"/>
            <w:tcBorders>
              <w:bottom w:val="single" w:sz="8" w:color="auto"/>
            </w:tcBorders>
          </w:tcPr>
          <w:p>
            <w:pPr>
              <w:spacing w:after="0"/>
              <w:rPr>
                <w:sz w:val="21"/>
                <w:szCs w:val="21"/>
                <w:color w:val="auto"/>
              </w:rPr>
            </w:pPr>
          </w:p>
        </w:tc>
        <w:tc>
          <w:tcPr>
            <w:tcW w:w="2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164" w:lineRule="exact"/>
        <w:rPr>
          <w:sz w:val="20"/>
          <w:szCs w:val="20"/>
          <w:color w:val="auto"/>
        </w:rPr>
      </w:pPr>
    </w:p>
    <w:p>
      <w:pPr>
        <w:ind w:left="320" w:right="40" w:hanging="317"/>
        <w:spacing w:after="0" w:line="247" w:lineRule="auto"/>
        <w:tabs>
          <w:tab w:leader="none" w:pos="308" w:val="left"/>
        </w:tabs>
        <w:numPr>
          <w:ilvl w:val="0"/>
          <w:numId w:val="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For loans held for sale,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 details activity for the discount, included in loans held for investment,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3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r>
      <w:tr>
        <w:trPr>
          <w:trHeight w:val="201"/>
        </w:trPr>
        <w:tc>
          <w:tcPr>
            <w:tcW w:w="7300" w:type="dxa"/>
            <w:vAlign w:val="bottom"/>
          </w:tcPr>
          <w:p>
            <w:pPr>
              <w:spacing w:after="0"/>
              <w:rPr>
                <w:sz w:val="17"/>
                <w:szCs w:val="17"/>
                <w:color w:val="auto"/>
              </w:rPr>
            </w:pP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7"/>
                <w:szCs w:val="17"/>
                <w:color w:val="auto"/>
              </w:rPr>
            </w:pPr>
          </w:p>
        </w:tc>
      </w:tr>
      <w:tr>
        <w:trPr>
          <w:trHeight w:val="175"/>
        </w:trPr>
        <w:tc>
          <w:tcPr>
            <w:tcW w:w="7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2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the beginning of the period</w:t>
            </w:r>
          </w:p>
        </w:tc>
        <w:tc>
          <w:tcPr>
            <w:tcW w:w="122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102,680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98,527</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from loans purchased or originated, net of refunds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106,089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78,189</w:t>
            </w: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discount</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(71,316)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(56,697)</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discount released on loans sold</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(30,773)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(20,155)</w:t>
            </w:r>
          </w:p>
        </w:tc>
      </w:tr>
      <w:tr>
        <w:trPr>
          <w:trHeight w:val="23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Impact of foreign currency translation</w:t>
            </w:r>
          </w:p>
        </w:tc>
        <w:tc>
          <w:tcPr>
            <w:tcW w:w="1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13"/>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the end of the period</w:t>
            </w:r>
          </w:p>
        </w:tc>
        <w:tc>
          <w:tcPr>
            <w:tcW w:w="122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106,310</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3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100,203</w:t>
            </w:r>
          </w:p>
        </w:tc>
      </w:tr>
      <w:tr>
        <w:trPr>
          <w:trHeight w:val="20"/>
        </w:trPr>
        <w:tc>
          <w:tcPr>
            <w:tcW w:w="7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-466725</wp:posOffset>
            </wp:positionV>
            <wp:extent cx="4578350" cy="147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78350" cy="1479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172085</wp:posOffset>
            </wp:positionV>
            <wp:extent cx="13785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296" w:lineRule="exact"/>
        <w:rPr>
          <w:sz w:val="20"/>
          <w:szCs w:val="20"/>
          <w:color w:val="auto"/>
        </w:rPr>
      </w:pPr>
    </w:p>
    <w:p>
      <w:pPr>
        <w:ind w:left="320" w:hanging="317"/>
        <w:spacing w:after="0"/>
        <w:tabs>
          <w:tab w:leader="none" w:pos="320" w:val="left"/>
        </w:tabs>
        <w:numPr>
          <w:ilvl w:val="0"/>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Amounts include stock-based compensation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3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6"/>
                <w:szCs w:val="16"/>
                <w:color w:val="auto"/>
              </w:rPr>
            </w:pPr>
          </w:p>
        </w:tc>
      </w:tr>
      <w:tr>
        <w:trPr>
          <w:trHeight w:val="198"/>
        </w:trPr>
        <w:tc>
          <w:tcPr>
            <w:tcW w:w="7300" w:type="dxa"/>
            <w:vAlign w:val="bottom"/>
          </w:tcPr>
          <w:p>
            <w:pPr>
              <w:spacing w:after="0"/>
              <w:rPr>
                <w:sz w:val="17"/>
                <w:szCs w:val="17"/>
                <w:color w:val="auto"/>
              </w:rPr>
            </w:pPr>
          </w:p>
        </w:tc>
        <w:tc>
          <w:tcPr>
            <w:tcW w:w="12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7"/>
                <w:szCs w:val="17"/>
                <w:color w:val="auto"/>
              </w:rPr>
            </w:pPr>
          </w:p>
        </w:tc>
      </w:tr>
      <w:tr>
        <w:trPr>
          <w:trHeight w:val="175"/>
        </w:trPr>
        <w:tc>
          <w:tcPr>
            <w:tcW w:w="7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2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2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62,804</w:t>
            </w:r>
          </w:p>
        </w:tc>
      </w:tr>
      <w:tr>
        <w:trPr>
          <w:trHeight w:val="22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Technology and data analytics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24,764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25,972</w:t>
            </w:r>
          </w:p>
        </w:tc>
      </w:tr>
      <w:tr>
        <w:trPr>
          <w:trHeight w:val="22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5,195</w:t>
            </w:r>
          </w:p>
        </w:tc>
      </w:tr>
      <w:tr>
        <w:trPr>
          <w:trHeight w:val="22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Processing and servicing</w:t>
            </w: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1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in operating expenses</w:t>
            </w: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85,853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94,233</w:t>
            </w:r>
          </w:p>
        </w:tc>
      </w:tr>
      <w:tr>
        <w:trPr>
          <w:trHeight w:val="22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Capitalized into property, equipment and software, net</w:t>
            </w: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52,885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49,478</w:t>
            </w:r>
          </w:p>
        </w:tc>
      </w:tr>
      <w:tr>
        <w:trPr>
          <w:trHeight w:val="23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220" w:type="dxa"/>
            <w:vAlign w:val="bottom"/>
            <w:tcBorders>
              <w:bottom w:val="single" w:sz="8" w:color="auto"/>
            </w:tcBorders>
            <w:shd w:val="clear" w:color="auto" w:fill="CCEEFF"/>
          </w:tcPr>
          <w:p>
            <w:pPr>
              <w:jc w:val="right"/>
              <w:ind w:right="1038"/>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138,738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143,711</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September 30, 2025 and 2024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Merchant network revenue</w:t>
      </w:r>
    </w:p>
    <w:p>
      <w:pPr>
        <w:spacing w:after="0" w:line="18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Merchant network revenue is impacted by both GMV and the mix of loans originated on our platform as merchant fees vary based on loan characteristics. In particular, merchant network revenue as a percentage of GMV typically increases with longer-term, non interest-bearing loans with higher AOVs, and decreases with shorter-term, interest-bearing loans with lower AOVs.</w:t>
      </w:r>
    </w:p>
    <w:p>
      <w:pPr>
        <w:spacing w:after="0" w:line="141" w:lineRule="exact"/>
        <w:rPr>
          <w:sz w:val="20"/>
          <w:szCs w:val="20"/>
          <w:color w:val="auto"/>
        </w:rPr>
      </w:pPr>
    </w:p>
    <w:p>
      <w:pPr>
        <w:ind w:right="40" w:firstLine="620"/>
        <w:spacing w:after="0" w:line="265" w:lineRule="auto"/>
        <w:rPr>
          <w:sz w:val="20"/>
          <w:szCs w:val="20"/>
          <w:color w:val="auto"/>
        </w:rPr>
      </w:pPr>
      <w:r>
        <w:rPr>
          <w:rFonts w:ascii="Times New Roman" w:cs="Times New Roman" w:eastAsia="Times New Roman" w:hAnsi="Times New Roman"/>
          <w:sz w:val="17"/>
          <w:szCs w:val="17"/>
          <w:color w:val="auto"/>
        </w:rPr>
        <w:t>Merchant network revenue increased by $66.8 million, or 36%, for the three months ended September 30, 2025, compared to the same period in 2024. The increase is primarily attributed to an increase of $3.2 billion, or 42%, in GMV for the three months ended September 30, 2025, compared to the same period in 2024. GMV from our top five merchants and platform partners for the three months ended September 30, 2025, increased 33% compared to the same period in 2024. Our number of active consumers also grew, reaching 24.1 million, as of September 30, 2025, up from approximately 19.5 million as of September 30, 2024.</w:t>
      </w:r>
    </w:p>
    <w:p>
      <w:pPr>
        <w:spacing w:after="0" w:line="132"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Transactions per active consumer increased from 5.1 as of September 30, 2024 to 6.1 as of September 30, 2025. The increase in active consumers and transactions per active consumer is partially offset by a decrease in AOV. For the three months ended September 30, 2025, AOV was $260, down from $279 for the same period in 2024. The decrease in AOV is driven by the diversification of our merchant base and our ongoing initiative to drive repeat usage of our platform beyond one-time high AOV purchases.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Card network revenue</w:t>
      </w:r>
    </w:p>
    <w:p>
      <w:pPr>
        <w:spacing w:after="0" w:line="196" w:lineRule="exact"/>
        <w:rPr>
          <w:sz w:val="20"/>
          <w:szCs w:val="20"/>
          <w:color w:val="auto"/>
        </w:rPr>
      </w:pPr>
    </w:p>
    <w:p>
      <w:pPr>
        <w:ind w:right="200" w:firstLine="620"/>
        <w:spacing w:after="0" w:line="270" w:lineRule="auto"/>
        <w:rPr>
          <w:sz w:val="20"/>
          <w:szCs w:val="20"/>
          <w:color w:val="auto"/>
        </w:rPr>
      </w:pPr>
      <w:r>
        <w:rPr>
          <w:rFonts w:ascii="Times New Roman" w:cs="Times New Roman" w:eastAsia="Times New Roman" w:hAnsi="Times New Roman"/>
          <w:sz w:val="17"/>
          <w:szCs w:val="17"/>
          <w:color w:val="auto"/>
        </w:rPr>
        <w:t>Card network revenue increased by $21.9 million, or 46%, for the three months ended September 30, 2025, compared to the same period in 2024. Card network revenue growth is correlated with the growth of GMV processed by our issuer processors. As such, the increase is primarily driven by $3.7 billion of GMV processed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7"/>
          <w:szCs w:val="17"/>
          <w:color w:val="auto"/>
        </w:rPr>
        <w:t>through our issuer processors, an increase of approximately 50% for the three months ended September 30, 2025, as compared to the same period in 2024. This was driven by increased card activity primarily through Affirm Card and our one-time-use virtual debit cards, as well as growth in existing and new merchants utilizing our agreement with card-issuing partners as a means of integrating Affirm services. Card network revenue is also impacted by the mix of merchants as different merchants can have different interchange rates depending on their industry or size, among other factors.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96" w:lineRule="exact"/>
        <w:rPr>
          <w:sz w:val="20"/>
          <w:szCs w:val="20"/>
          <w:color w:val="auto"/>
        </w:rPr>
      </w:pPr>
    </w:p>
    <w:p>
      <w:pPr>
        <w:jc w:val="both"/>
        <w:ind w:right="260" w:firstLine="620"/>
        <w:spacing w:after="0" w:line="270" w:lineRule="auto"/>
        <w:rPr>
          <w:sz w:val="20"/>
          <w:szCs w:val="20"/>
          <w:color w:val="auto"/>
        </w:rPr>
      </w:pPr>
      <w:r>
        <w:rPr>
          <w:rFonts w:ascii="Times New Roman" w:cs="Times New Roman" w:eastAsia="Times New Roman" w:hAnsi="Times New Roman"/>
          <w:sz w:val="17"/>
          <w:szCs w:val="17"/>
          <w:color w:val="auto"/>
        </w:rPr>
        <w:t>Interest income increased by $77.1 million, or 20%, for the three months ended September 30, 2025, compared to the same period in 2024. Generally, interest income is correlated with the changes in the average balance of loans held for investment, which increased by 19% to $7.1 billion for the three months ended September 30, 2025, compared to the same period in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on sales of loans</w:t>
      </w:r>
    </w:p>
    <w:p>
      <w:pPr>
        <w:spacing w:after="0" w:line="183" w:lineRule="exact"/>
        <w:rPr>
          <w:sz w:val="20"/>
          <w:szCs w:val="20"/>
          <w:color w:val="auto"/>
        </w:rPr>
      </w:pPr>
    </w:p>
    <w:p>
      <w:pPr>
        <w:jc w:val="both"/>
        <w:ind w:left="100" w:right="20" w:firstLine="620"/>
        <w:spacing w:after="0" w:line="265" w:lineRule="auto"/>
        <w:rPr>
          <w:sz w:val="20"/>
          <w:szCs w:val="20"/>
          <w:color w:val="auto"/>
        </w:rPr>
      </w:pPr>
      <w:r>
        <w:rPr>
          <w:rFonts w:ascii="Times New Roman" w:cs="Times New Roman" w:eastAsia="Times New Roman" w:hAnsi="Times New Roman"/>
          <w:sz w:val="17"/>
          <w:szCs w:val="17"/>
          <w:color w:val="auto"/>
        </w:rPr>
        <w:t>Gain on sales of loans increased by $55.4 million, or 87%, for the three months ended September 30, 2025, compared to the same period in 2024. The increase is driven by higher loan sale volume to third-party loan buyers and favorable transaction economics which are impacted by the composition of our loan portfolio sold and other market factors. We sold loans with an unpaid principal balance of $4.9 billion for the three months ended September 30, 2025, compared to $2.8 billion for the same period in 2024, an increase of 76%.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Servicing income</w:t>
      </w:r>
    </w:p>
    <w:p>
      <w:pPr>
        <w:spacing w:after="0" w:line="183" w:lineRule="exact"/>
        <w:rPr>
          <w:sz w:val="20"/>
          <w:szCs w:val="20"/>
          <w:color w:val="auto"/>
        </w:rPr>
      </w:pPr>
    </w:p>
    <w:p>
      <w:pPr>
        <w:ind w:right="200" w:firstLine="620"/>
        <w:spacing w:after="0" w:line="265" w:lineRule="auto"/>
        <w:rPr>
          <w:sz w:val="20"/>
          <w:szCs w:val="20"/>
          <w:color w:val="auto"/>
        </w:rPr>
      </w:pPr>
      <w:r>
        <w:rPr>
          <w:rFonts w:ascii="Times New Roman" w:cs="Times New Roman" w:eastAsia="Times New Roman" w:hAnsi="Times New Roman"/>
          <w:sz w:val="17"/>
          <w:szCs w:val="17"/>
          <w:color w:val="auto"/>
        </w:rPr>
        <w:t>Servicing income includes net servicing fee revenue and fair value adjustments for servicing assets and liabilities, and is recognized for loan portfolios sold to third-party loan buyers and for loans held within our off-balance sheet securitizations. Servicing fee revenue varies by contractual servicing fee arrangement and is earned as a percentage of the average unpaid principal balance of loans held by each counterparty where we have a servicing agreement. We reduce servicing income for certain fees we are required to pay per our contractual servicing arrangement.</w:t>
      </w:r>
    </w:p>
    <w:p>
      <w:pPr>
        <w:spacing w:after="0" w:line="132"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With respect to fair value adjustments, we remeasure the fair value of servicing assets and liabilities each period and recognize the change in fair value in servicing income. We utilize a discounted cash flow approach to remeasure the fair value of servicing rights. Because we earn servicing income based on the outstanding principal balance of the portfolio, fair value adjustments are impacted by the timing and amount of loan repayments. As such, over the term of each loan portfolio sold, fair value adjustments for servicing assets will decrease servicing income and fair value adjustments for servicing liabilities will increase servicing income. We discuss our valuation methodology and significant Level 3 inputs for servicing assets and liabilities within Note 12. Fair Value of Financial Assets and Liabilities in the notes to the interim condensed consolidated financial statements.</w:t>
      </w:r>
    </w:p>
    <w:p>
      <w:pPr>
        <w:spacing w:after="0" w:line="151" w:lineRule="exact"/>
        <w:rPr>
          <w:sz w:val="20"/>
          <w:szCs w:val="20"/>
          <w:color w:val="auto"/>
        </w:rPr>
      </w:pPr>
    </w:p>
    <w:p>
      <w:pPr>
        <w:ind w:right="340" w:firstLine="620"/>
        <w:spacing w:after="0" w:line="265" w:lineRule="auto"/>
        <w:rPr>
          <w:sz w:val="20"/>
          <w:szCs w:val="20"/>
          <w:color w:val="auto"/>
        </w:rPr>
      </w:pPr>
      <w:r>
        <w:rPr>
          <w:rFonts w:ascii="Times New Roman" w:cs="Times New Roman" w:eastAsia="Times New Roman" w:hAnsi="Times New Roman"/>
          <w:sz w:val="17"/>
          <w:szCs w:val="17"/>
          <w:color w:val="auto"/>
        </w:rPr>
        <w:t>Servicing income increased by $13.7 million, or 53%, for the three months ended September 30, 2025, compared to the same period in 2024. The increase was primarily due to an increase in net servicing fee revenue which is calculated as a percentage of the unpaid principal balance of off-balance sheet loans. The average unpaid principal balance of off-balance sheet loans increased from $5.4 billion during the three months ended September 30, 2024, to $8.4 billion during the same period in 2025, an increase of 57%.</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loan purchase commitment</w:t>
      </w:r>
    </w:p>
    <w:p>
      <w:pPr>
        <w:spacing w:after="0" w:line="119" w:lineRule="exact"/>
        <w:rPr>
          <w:sz w:val="20"/>
          <w:szCs w:val="20"/>
          <w:color w:val="auto"/>
        </w:rPr>
      </w:pPr>
    </w:p>
    <w:p>
      <w:pPr>
        <w:ind w:firstLine="620"/>
        <w:spacing w:after="0" w:line="267" w:lineRule="auto"/>
        <w:rPr>
          <w:sz w:val="20"/>
          <w:szCs w:val="20"/>
          <w:color w:val="auto"/>
        </w:rPr>
      </w:pPr>
      <w:r>
        <w:rPr>
          <w:rFonts w:ascii="Times New Roman" w:cs="Times New Roman" w:eastAsia="Times New Roman" w:hAnsi="Times New Roman"/>
          <w:sz w:val="17"/>
          <w:szCs w:val="17"/>
          <w:color w:val="auto"/>
        </w:rPr>
        <w:t>We purchase certain loans from our originating bank partners that are processed through our platform and put back to us by our originating bank partners. Under the terms of the agreements with our originating bank partners, we are generally required to pay the principal amount plus accrued interest for such loans and fees.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income (loss). These costs are incurred on a per loan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6" w:name="page67"/>
    <w:bookmarkEnd w:id="6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Loss on loan purchase commitment increased by $17.3 million, or 32%, for the three months ended September 30, 2025, compared to the same period in 2024, primarily due to an increase in total volume of loans purchased. During the three months ended September 30, 2025, we purchased $8.7 billion of loans from our originating bank partners, compared to $6.4 billion in the same period in 2024, representing an increase of 36%. Of the total loans purchased, 0% APR installment loans represented $1.3 billion during the three months ended September 30, 2025, and $0.8 billion for the same period in 2024, an increase of $0.5 billion.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Provision for credit losses</w:t>
      </w:r>
    </w:p>
    <w:p>
      <w:pPr>
        <w:spacing w:after="0" w:line="119"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Provision for credit losses generally represents the amount of expense required to maintain the allowance for credit losses within our interim condensed consolidated balance sheet, which represents management’s estimate of future losses on loans and other receivables. In the event that our loans and receivables outperform our expectation and/or we reduce our expectation of credit losses in future periods, we may release reserves and thereby reduce the allowance for credit losses, yielding income in the provision for credit losses. The provision is determined based on our estimate of expected future losses on loans originated during the period and held for investment on our balance sheet, changes in our estimate of future losses on loans outstanding as of the end of the period and the net charge-offs incurred in the period.</w:t>
      </w:r>
    </w:p>
    <w:p>
      <w:pPr>
        <w:spacing w:after="0" w:line="151" w:lineRule="exact"/>
        <w:rPr>
          <w:sz w:val="20"/>
          <w:szCs w:val="20"/>
          <w:color w:val="auto"/>
        </w:rPr>
      </w:pPr>
    </w:p>
    <w:p>
      <w:pPr>
        <w:ind w:right="120" w:firstLine="620"/>
        <w:spacing w:after="0" w:line="259" w:lineRule="auto"/>
        <w:rPr>
          <w:sz w:val="20"/>
          <w:szCs w:val="20"/>
          <w:color w:val="auto"/>
        </w:rPr>
      </w:pPr>
      <w:r>
        <w:rPr>
          <w:rFonts w:ascii="Times New Roman" w:cs="Times New Roman" w:eastAsia="Times New Roman" w:hAnsi="Times New Roman"/>
          <w:sz w:val="17"/>
          <w:szCs w:val="17"/>
          <w:color w:val="auto"/>
        </w:rPr>
        <w:t>Provision for credit losses increased by $2.9 million, or 2%, for the three months ended September 30, 2025, compared to the same period in 2024, primarily driven by an increase in the provision expense for loans held for investment which increased by $1.6 million, or 1%. Higher provision for credit losses for loans held for investment resulted from a $1.1 billion or 19% increase in the average balance of loans held for investment during the three months ended September 30, 2025 compared to the same period in 2024, and a year over year increase in the allowance rate from to 5.6% as of September 30, 2024 to 5.9% as of September 30, 2025. The allowance rate increased as a result of changes in loan mix, including holding a higher percentage of seasoned and longer term loans on our balance sheet as of September 30, 2025. The impact of the increase in average loan balance and a higher allowance rate was offset by an increase in recoveries during the three months ended September 30, 2025 relative to the same period during the prior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Funding costs</w:t>
      </w:r>
    </w:p>
    <w:p>
      <w:pPr>
        <w:spacing w:after="0" w:line="183" w:lineRule="exact"/>
        <w:rPr>
          <w:sz w:val="20"/>
          <w:szCs w:val="20"/>
          <w:color w:val="auto"/>
        </w:rPr>
      </w:pPr>
    </w:p>
    <w:p>
      <w:pPr>
        <w:ind w:right="180" w:firstLine="620"/>
        <w:spacing w:after="0" w:line="262" w:lineRule="auto"/>
        <w:rPr>
          <w:sz w:val="20"/>
          <w:szCs w:val="20"/>
          <w:color w:val="auto"/>
        </w:rPr>
      </w:pPr>
      <w:r>
        <w:rPr>
          <w:rFonts w:ascii="Times New Roman" w:cs="Times New Roman" w:eastAsia="Times New Roman" w:hAnsi="Times New Roman"/>
          <w:sz w:val="17"/>
          <w:szCs w:val="17"/>
          <w:color w:val="auto"/>
        </w:rPr>
        <w:t>Funding costs consist of interest expense and the amortization of fees for certain borrowings collateralized by our loans including warehouse credit facilities and consolidated securitizations, sale and repurchase agreements collateralized by our retained securitization interests, and other costs incurred in connection with funding the purchases and originations of loans. Funding costs for a given period are driven by the average outstanding balance of funding debt and notes issued by securitization trusts as well as our contractual interest rate and distribution of loans across funding facilities, net of the impact of any designated cash flow hedges.</w:t>
      </w:r>
    </w:p>
    <w:p>
      <w:pPr>
        <w:spacing w:after="0" w:line="148"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color w:val="auto"/>
        </w:rPr>
        <w:t>Funding costs increased by $5.9 million, or 6%, for the three months ended September 30, 2025, compared to the same period in 2024. The increase is primarily due to an increase of funding debt and notes issued by securitization trusts during the three months ended September 30, 2025. The average total of funding debt from warehouses and securitizations for the three months ended September 30, 2025 was $6.5 billion, compared to $5.4 billion during the same period in 2024, an increase of $1.1 billion, or 21%. This was partially offset by favorable repricing within our securitizations. The increase was also attributable to a larger volume of on-balance sheet loans being retained during the period. The average on-balance sheet loan balance was $7.1 billion for the three months ended September 30, 2025, an increase of 19% compared to $6.0 billion during the same period in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Processing and servicing</w:t>
      </w:r>
    </w:p>
    <w:p>
      <w:pPr>
        <w:spacing w:after="0" w:line="248" w:lineRule="exact"/>
        <w:rPr>
          <w:sz w:val="20"/>
          <w:szCs w:val="20"/>
          <w:color w:val="auto"/>
        </w:rPr>
      </w:pPr>
    </w:p>
    <w:p>
      <w:pPr>
        <w:ind w:right="520" w:firstLine="620"/>
        <w:spacing w:after="0" w:line="288" w:lineRule="auto"/>
        <w:rPr>
          <w:sz w:val="20"/>
          <w:szCs w:val="20"/>
          <w:color w:val="auto"/>
        </w:rPr>
      </w:pPr>
      <w:r>
        <w:rPr>
          <w:rFonts w:ascii="Times New Roman" w:cs="Times New Roman" w:eastAsia="Times New Roman" w:hAnsi="Times New Roman"/>
          <w:sz w:val="17"/>
          <w:szCs w:val="17"/>
          <w:color w:val="auto"/>
        </w:rPr>
        <w:t>Processing and servicing expense consists primarily of payment processing fees, third-party customer support and collection expense, salaries and personnel-related costs of our customer care team, platform fees, and allocated overhead.</w:t>
      </w:r>
    </w:p>
    <w:p>
      <w:pPr>
        <w:spacing w:after="0" w:line="112" w:lineRule="exact"/>
        <w:rPr>
          <w:sz w:val="20"/>
          <w:szCs w:val="20"/>
          <w:color w:val="auto"/>
        </w:rPr>
      </w:pPr>
    </w:p>
    <w:p>
      <w:pPr>
        <w:ind w:right="200" w:firstLine="620"/>
        <w:spacing w:after="0" w:line="288" w:lineRule="auto"/>
        <w:rPr>
          <w:sz w:val="20"/>
          <w:szCs w:val="20"/>
          <w:color w:val="auto"/>
        </w:rPr>
      </w:pPr>
      <w:r>
        <w:rPr>
          <w:rFonts w:ascii="Times New Roman" w:cs="Times New Roman" w:eastAsia="Times New Roman" w:hAnsi="Times New Roman"/>
          <w:sz w:val="17"/>
          <w:szCs w:val="17"/>
          <w:color w:val="auto"/>
        </w:rPr>
        <w:t>Processing and servicing expense increased by $38.7 million, or 41%, for the three months ended September 30, 2025, compared to the same period in 2024. This increase is driven partially by an increase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7" w:name="page68"/>
    <w:bookmarkEnd w:id="6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payment processing fees of $23.5 million, or 42%, related to an increase of $2.9 billion, or 41%, in payment volume for the three months ended September 30, 2025, compared to the same period in 2024.</w:t>
      </w:r>
    </w:p>
    <w:p>
      <w:pPr>
        <w:spacing w:after="0" w:line="112" w:lineRule="exact"/>
        <w:rPr>
          <w:sz w:val="20"/>
          <w:szCs w:val="20"/>
          <w:color w:val="auto"/>
        </w:rPr>
      </w:pPr>
    </w:p>
    <w:p>
      <w:pPr>
        <w:ind w:right="140" w:firstLine="620"/>
        <w:spacing w:after="0" w:line="262" w:lineRule="auto"/>
        <w:rPr>
          <w:sz w:val="20"/>
          <w:szCs w:val="20"/>
          <w:color w:val="auto"/>
        </w:rPr>
      </w:pPr>
      <w:r>
        <w:rPr>
          <w:rFonts w:ascii="Times New Roman" w:cs="Times New Roman" w:eastAsia="Times New Roman" w:hAnsi="Times New Roman"/>
          <w:sz w:val="17"/>
          <w:szCs w:val="17"/>
          <w:color w:val="auto"/>
        </w:rPr>
        <w:t>During the three months ended September 30, 2025, our platform fees increased by $11.0 million, or 52%, due to an increase in volume with a large enterprise partner. Additionally, our customer service and collection costs increased by $6.4 million, or 43%, for the three months ended September 30, 2025, compared to the same period in 2024. This is driven by growth in our overall loan portfolio, including both loans held for investment and loans serviced for third parties, due to the increase in the number of consumer transactions. The number of consumer transactions increased by 52% during the three months ended September 30, 2025, from continued growth at our merchants and platform partners.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Technology and data analytics</w:t>
      </w:r>
    </w:p>
    <w:p>
      <w:pPr>
        <w:spacing w:after="0" w:line="119" w:lineRule="exact"/>
        <w:rPr>
          <w:sz w:val="20"/>
          <w:szCs w:val="20"/>
          <w:color w:val="auto"/>
        </w:rPr>
      </w:pPr>
    </w:p>
    <w:p>
      <w:pPr>
        <w:ind w:right="140" w:firstLine="620"/>
        <w:spacing w:after="0" w:line="270" w:lineRule="auto"/>
        <w:rPr>
          <w:sz w:val="20"/>
          <w:szCs w:val="20"/>
          <w:color w:val="auto"/>
        </w:rPr>
      </w:pPr>
      <w:r>
        <w:rPr>
          <w:rFonts w:ascii="Times New Roman" w:cs="Times New Roman" w:eastAsia="Times New Roman" w:hAnsi="Times New Roman"/>
          <w:sz w:val="17"/>
          <w:szCs w:val="17"/>
          <w:color w:val="auto"/>
        </w:rPr>
        <w:t>Technology and data analytics expense consists primarily of the salaries, stock-based compensation, and personnel-related costs of our engineering, product, and credit and analytics employees, as well as the amortization of internally-developed software and technology intangible assets, and our infrastructure and hosting costs.</w:t>
      </w:r>
    </w:p>
    <w:p>
      <w:pPr>
        <w:spacing w:after="0" w:line="128"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Technology and data analytics expense increased by $33.8 million, or 25%, for the three months ended September 30, 2025, compared to the same period in 2024. The increase is partially driven by amortization of internally-developed software which increased by $19.3 million, or 43%, for the three months ended September 30, 2025, compared to the same period in 2024, as a result of an increase in the number of capitalized projects. Capitalized projects in service grew by 59% from approximately 1,000 projects as of September 30, 2024 to 1,590 projects as of September 30, 2025. Data infrastructure and hosting costs increased by $8.9 million, or 38%, for the three months ended September 30, 2025, compared to the same period in 2024. The increase in data infrastructure and hosting costs was primarily driven by an increase in the number of consumer transactions. During the three months ended September 30, 2025, the number of consumer transactions increased by 52% from continued growth at our merchants and platform partners. Stock-based compensation and payroll and personnel-related costs increased by $3.3 million, or 6%, for the three months ended September 30, 2025, compared to the same period in 2024, primarily due to an increase in headcount.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196" w:lineRule="exact"/>
        <w:rPr>
          <w:sz w:val="20"/>
          <w:szCs w:val="20"/>
          <w:color w:val="auto"/>
        </w:rPr>
      </w:pPr>
    </w:p>
    <w:p>
      <w:pPr>
        <w:ind w:right="480" w:firstLine="620"/>
        <w:spacing w:after="0" w:line="288" w:lineRule="auto"/>
        <w:rPr>
          <w:sz w:val="20"/>
          <w:szCs w:val="20"/>
          <w:color w:val="auto"/>
        </w:rPr>
      </w:pPr>
      <w:r>
        <w:rPr>
          <w:rFonts w:ascii="Times New Roman" w:cs="Times New Roman" w:eastAsia="Times New Roman" w:hAnsi="Times New Roman"/>
          <w:sz w:val="17"/>
          <w:szCs w:val="17"/>
          <w:color w:val="auto"/>
        </w:rPr>
        <w:t>Sales and marketing costs consist of the expense related to warrants and other share-based payments granted to our enterprise partners, salaries and personnel-related costs, and costs of marketing and promotional activities.</w:t>
      </w:r>
    </w:p>
    <w:p>
      <w:pPr>
        <w:spacing w:after="0" w:line="112" w:lineRule="exact"/>
        <w:rPr>
          <w:sz w:val="20"/>
          <w:szCs w:val="20"/>
          <w:color w:val="auto"/>
        </w:rPr>
      </w:pPr>
    </w:p>
    <w:p>
      <w:pPr>
        <w:jc w:val="both"/>
        <w:ind w:right="260" w:firstLine="620"/>
        <w:spacing w:after="0" w:line="270" w:lineRule="auto"/>
        <w:rPr>
          <w:sz w:val="20"/>
          <w:szCs w:val="20"/>
          <w:color w:val="auto"/>
        </w:rPr>
      </w:pPr>
      <w:r>
        <w:rPr>
          <w:rFonts w:ascii="Times New Roman" w:cs="Times New Roman" w:eastAsia="Times New Roman" w:hAnsi="Times New Roman"/>
          <w:sz w:val="17"/>
          <w:szCs w:val="17"/>
          <w:color w:val="auto"/>
        </w:rPr>
        <w:t>Sales and marketing expense decreased by $66.7 million, or 46%, during the three months ended September 30, 2025, compared to the same period in 2024. The decrease was primarily driven by a $66.3 million, or 62%, decrease in Amazon warrant expense during the three months ended September 30, 2025, compared to the same period in 2024, primarily due to a portion of the warrants becoming fully vested as of December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19" w:lineRule="exact"/>
        <w:rPr>
          <w:sz w:val="20"/>
          <w:szCs w:val="20"/>
          <w:color w:val="auto"/>
        </w:rPr>
      </w:pPr>
    </w:p>
    <w:p>
      <w:pPr>
        <w:ind w:right="380" w:firstLine="620"/>
        <w:spacing w:after="0" w:line="270" w:lineRule="auto"/>
        <w:rPr>
          <w:sz w:val="20"/>
          <w:szCs w:val="20"/>
          <w:color w:val="auto"/>
        </w:rPr>
      </w:pPr>
      <w:r>
        <w:rPr>
          <w:rFonts w:ascii="Times New Roman" w:cs="Times New Roman" w:eastAsia="Times New Roman" w:hAnsi="Times New Roman"/>
          <w:sz w:val="17"/>
          <w:szCs w:val="17"/>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141"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General and administrative expense increased by $6.5 million, or 5%, during the three months ended September 30, 2025, compared to the same period in 2024. The increase is primarily due to increases in professional services, related to consulting and legal fees, as well as, software and subscriptions.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183" w:lineRule="exact"/>
        <w:rPr>
          <w:sz w:val="20"/>
          <w:szCs w:val="20"/>
          <w:color w:val="auto"/>
        </w:rPr>
      </w:pPr>
    </w:p>
    <w:p>
      <w:pPr>
        <w:ind w:right="500" w:firstLine="620"/>
        <w:spacing w:after="0" w:line="288" w:lineRule="auto"/>
        <w:rPr>
          <w:sz w:val="20"/>
          <w:szCs w:val="20"/>
          <w:color w:val="auto"/>
        </w:rPr>
      </w:pPr>
      <w:r>
        <w:rPr>
          <w:rFonts w:ascii="Times New Roman" w:cs="Times New Roman" w:eastAsia="Times New Roman" w:hAnsi="Times New Roman"/>
          <w:sz w:val="17"/>
          <w:szCs w:val="17"/>
          <w:color w:val="auto"/>
        </w:rPr>
        <w:t>Other income, net includes interest earned on our money market funds included in cash and cash equivalents and restricted cash, interest earned on securities available for sale, impairment or other adjustments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cost basis of non-marketable equity securities held as cost, gains and losses on derivative agreements not designated within a hedging relationship, amortization of convertible debt issuance cost as well as gains (losses) on extinguishment, revolving credit facility issuance costs, fair value adjustments related to contingent liabilities, and other income or expense arising from activities that are unrelated to our primary business.</w:t>
      </w:r>
    </w:p>
    <w:p>
      <w:pPr>
        <w:spacing w:after="0" w:line="116" w:lineRule="exact"/>
        <w:rPr>
          <w:sz w:val="20"/>
          <w:szCs w:val="20"/>
          <w:color w:val="auto"/>
        </w:rPr>
      </w:pPr>
    </w:p>
    <w:p>
      <w:pPr>
        <w:ind w:right="240" w:firstLine="620"/>
        <w:spacing w:after="0" w:line="249" w:lineRule="auto"/>
        <w:rPr>
          <w:sz w:val="20"/>
          <w:szCs w:val="20"/>
          <w:color w:val="auto"/>
        </w:rPr>
      </w:pPr>
      <w:r>
        <w:rPr>
          <w:rFonts w:ascii="Times New Roman" w:cs="Times New Roman" w:eastAsia="Times New Roman" w:hAnsi="Times New Roman"/>
          <w:sz w:val="17"/>
          <w:szCs w:val="17"/>
          <w:color w:val="auto"/>
        </w:rPr>
        <w:t>Other income, net, decreased by $14.9 million, or 44%, during the three months ended September 30, 2025, compared to the same period in 2024. The decrease for the three months ended September 30, 2025, was primarily driven by a $18.1 million, or 92%, reduction in gain recognized on the early extinguishment of convertible debt reflecting fewer repurchases, compared to the same period in 2024. This was partially offset by the absence of investment impairments during the three months ended September 30, 2025, compared to a $3.0 million impairment for the same period in 2024.</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Funds</w:t>
      </w:r>
    </w:p>
    <w:p>
      <w:pPr>
        <w:spacing w:after="0" w:line="185" w:lineRule="exact"/>
        <w:rPr>
          <w:sz w:val="20"/>
          <w:szCs w:val="20"/>
          <w:color w:val="auto"/>
        </w:rPr>
      </w:pPr>
    </w:p>
    <w:p>
      <w:pPr>
        <w:ind w:right="100" w:firstLine="620"/>
        <w:spacing w:after="0" w:line="259" w:lineRule="auto"/>
        <w:rPr>
          <w:sz w:val="20"/>
          <w:szCs w:val="20"/>
          <w:color w:val="auto"/>
        </w:rPr>
      </w:pPr>
      <w:r>
        <w:rPr>
          <w:rFonts w:ascii="Times New Roman" w:cs="Times New Roman" w:eastAsia="Times New Roman" w:hAnsi="Times New Roman"/>
          <w:sz w:val="17"/>
          <w:szCs w:val="17"/>
          <w:color w:val="auto"/>
        </w:rPr>
        <w:t>We maintain a capital-efficient model through a diverse set of funding sources. When we originate a loan directly or purchase a loan originated by our originating bank partners, we often utilize warehouse credit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 excess funding capacity and committed and long-term relationships with a diverse group of existing funding partners help provide flexibility as we optimize our funding to support the growth in loan volume.</w:t>
      </w:r>
    </w:p>
    <w:p>
      <w:pPr>
        <w:spacing w:after="0" w:line="151" w:lineRule="exact"/>
        <w:rPr>
          <w:sz w:val="20"/>
          <w:szCs w:val="20"/>
          <w:color w:val="auto"/>
        </w:rPr>
      </w:pPr>
    </w:p>
    <w:p>
      <w:pPr>
        <w:ind w:right="80" w:firstLine="620"/>
        <w:spacing w:after="0" w:line="262" w:lineRule="auto"/>
        <w:rPr>
          <w:sz w:val="20"/>
          <w:szCs w:val="20"/>
          <w:color w:val="auto"/>
        </w:rPr>
      </w:pPr>
      <w:r>
        <w:rPr>
          <w:rFonts w:ascii="Times New Roman" w:cs="Times New Roman" w:eastAsia="Times New Roman" w:hAnsi="Times New Roman"/>
          <w:sz w:val="17"/>
          <w:szCs w:val="17"/>
          <w:color w:val="auto"/>
        </w:rPr>
        <w:t>Our principal sources of liquidity are cash and cash equivalents, available for sale securities, available capacity from warehouse and revolving credit facilities, securitization trusts, forward flow loan sale arrangements, and certain cash flows from our operations. As of September 30, 2025, we had $2.2 billion in cash and cash equivalents and available for sale securities, $5.4 billion in available funding debt capacity, excluding our purchase commitments from third party loan buyers, and $330.0 million in borrowing capacity available under our revolving credit facility. We believe our principal sources of liquidity are sufficient to meet both our existing operating, working capital, and capital expenditure requirements and our currently planned growth for at least the next 12 months.</w:t>
      </w:r>
    </w:p>
    <w:p>
      <w:pPr>
        <w:spacing w:after="0" w:line="1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cash equivalents and investments in debt securities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20" w:type="dxa"/>
            <w:vAlign w:val="bottom"/>
          </w:tcPr>
          <w:p>
            <w:pPr>
              <w:spacing w:after="0"/>
              <w:rPr>
                <w:sz w:val="18"/>
                <w:szCs w:val="18"/>
                <w:color w:val="auto"/>
              </w:rPr>
            </w:pPr>
          </w:p>
        </w:tc>
        <w:tc>
          <w:tcPr>
            <w:tcW w:w="1640" w:type="dxa"/>
            <w:vAlign w:val="bottom"/>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215"/>
        </w:trPr>
        <w:tc>
          <w:tcPr>
            <w:tcW w:w="7200" w:type="dxa"/>
            <w:vAlign w:val="bottom"/>
            <w:tcBorders>
              <w:top w:val="single" w:sz="8" w:color="CCEEFF"/>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Cash and cash equivalents </w:t>
            </w:r>
            <w:r>
              <w:rPr>
                <w:rFonts w:ascii="Times New Roman" w:cs="Times New Roman" w:eastAsia="Times New Roman" w:hAnsi="Times New Roman"/>
                <w:sz w:val="22"/>
                <w:szCs w:val="22"/>
                <w:color w:val="auto"/>
                <w:vertAlign w:val="superscript"/>
              </w:rPr>
              <w:t>(1)</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1,428,848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1,354,455</w:t>
            </w:r>
          </w:p>
        </w:tc>
      </w:tr>
      <w:tr>
        <w:trPr>
          <w:trHeight w:val="220"/>
        </w:trPr>
        <w:tc>
          <w:tcPr>
            <w:tcW w:w="720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Investments in short-term debt securities </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612,804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652,491</w:t>
            </w:r>
          </w:p>
        </w:tc>
      </w:tr>
      <w:tr>
        <w:trPr>
          <w:trHeight w:val="220"/>
        </w:trPr>
        <w:tc>
          <w:tcPr>
            <w:tcW w:w="720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Investments in long-term debt securities </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218,934</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 and investments in debt securities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2,241,290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2,225,880</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14109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10970" cy="8255"/>
                    </a:xfrm>
                    <a:prstGeom prst="rect">
                      <a:avLst/>
                    </a:prstGeom>
                    <a:noFill/>
                  </pic:spPr>
                </pic:pic>
              </a:graphicData>
            </a:graphic>
          </wp:anchor>
        </w:drawing>
      </w:r>
    </w:p>
    <w:p>
      <w:pPr>
        <w:spacing w:after="0" w:line="312" w:lineRule="exact"/>
        <w:rPr>
          <w:sz w:val="20"/>
          <w:szCs w:val="20"/>
          <w:color w:val="auto"/>
        </w:rPr>
      </w:pPr>
    </w:p>
    <w:p>
      <w:pPr>
        <w:jc w:val="both"/>
        <w:ind w:left="620" w:right="120" w:hanging="307"/>
        <w:spacing w:after="0" w:line="237" w:lineRule="auto"/>
        <w:tabs>
          <w:tab w:leader="none" w:pos="608"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Cash and cash equivalents consist of checking, money market and savings accounts held at financial institutions and short-term highly liquid marketable securities, including money market funds, agency bonds, commercial paper, and government bonds purchased with an original maturity of three months or less.</w:t>
      </w:r>
    </w:p>
    <w:p>
      <w:pPr>
        <w:spacing w:after="0" w:line="1" w:lineRule="exact"/>
        <w:rPr>
          <w:rFonts w:ascii="Times New Roman" w:cs="Times New Roman" w:eastAsia="Times New Roman" w:hAnsi="Times New Roman"/>
          <w:sz w:val="22"/>
          <w:szCs w:val="22"/>
          <w:color w:val="auto"/>
          <w:vertAlign w:val="superscript"/>
        </w:rPr>
      </w:pPr>
    </w:p>
    <w:p>
      <w:pPr>
        <w:ind w:left="620" w:right="60" w:hanging="307"/>
        <w:spacing w:after="0" w:line="260" w:lineRule="auto"/>
        <w:tabs>
          <w:tab w:leader="none" w:pos="611"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7"/>
          <w:szCs w:val="17"/>
          <w:color w:val="auto"/>
        </w:rPr>
        <w:t>Securities available for sale at fair value primarily consist of certificates of deposits, corporate bonds, municipal bonds, commercial paper, agency bonds, and government bonds. Short-term securities have maturities less than or equal to one year, and long-term securities range from greater than one year to less than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w:t>
      </w:r>
    </w:p>
    <w:p>
      <w:pPr>
        <w:spacing w:after="0" w:line="185" w:lineRule="exact"/>
        <w:rPr>
          <w:sz w:val="20"/>
          <w:szCs w:val="20"/>
          <w:color w:val="auto"/>
        </w:rPr>
      </w:pPr>
    </w:p>
    <w:p>
      <w:pPr>
        <w:jc w:val="both"/>
        <w:ind w:right="260" w:firstLine="620"/>
        <w:spacing w:after="0" w:line="270" w:lineRule="auto"/>
        <w:rPr>
          <w:sz w:val="20"/>
          <w:szCs w:val="20"/>
          <w:color w:val="auto"/>
        </w:rPr>
      </w:pPr>
      <w:r>
        <w:rPr>
          <w:rFonts w:ascii="Times New Roman" w:cs="Times New Roman" w:eastAsia="Times New Roman" w:hAnsi="Times New Roman"/>
          <w:sz w:val="17"/>
          <w:szCs w:val="17"/>
          <w:color w:val="auto"/>
        </w:rPr>
        <w:t>Debt as of September 30, 2025 primarily includes funding debt, notes issued by securitization trusts, convertible senior notes and our revolving credit facilities. A detailed description of each of our borrowing arrangements is included in Note 8. Debt in the notes to the interim condensed consolidated financial statements.</w:t>
      </w:r>
    </w:p>
    <w:p>
      <w:pPr>
        <w:spacing w:after="0" w:line="141"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summarizes the future maturities of our warehouse credit facilities, variable funding notes, sale and repurchase agreements, and notes issued by securitizations trusts as of September 30,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Fiscal Year</w:t>
            </w: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Borrowing Capacity</w:t>
            </w:r>
          </w:p>
        </w:tc>
        <w:tc>
          <w:tcPr>
            <w:tcW w:w="180" w:type="dxa"/>
            <w:vAlign w:val="bottom"/>
          </w:tcPr>
          <w:p>
            <w:pPr>
              <w:spacing w:after="0"/>
              <w:rPr>
                <w:sz w:val="18"/>
                <w:szCs w:val="18"/>
                <w:color w:val="auto"/>
              </w:rPr>
            </w:pPr>
          </w:p>
        </w:tc>
        <w:tc>
          <w:tcPr>
            <w:tcW w:w="17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w w:val="99"/>
              </w:rPr>
              <w:t>Principal Outstanding</w:t>
            </w:r>
          </w:p>
        </w:tc>
      </w:tr>
      <w:tr>
        <w:trPr>
          <w:trHeight w:val="184"/>
        </w:trPr>
        <w:tc>
          <w:tcPr>
            <w:tcW w:w="7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40" w:type="dxa"/>
            <w:vAlign w:val="bottom"/>
            <w:tcBorders>
              <w:top w:val="single" w:sz="8" w:color="auto"/>
            </w:tcBorders>
            <w:gridSpan w:val="4"/>
          </w:tcPr>
          <w:p>
            <w:pPr>
              <w:jc w:val="right"/>
              <w:ind w:right="151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459,355</w:t>
            </w:r>
          </w:p>
        </w:tc>
      </w:tr>
      <w:tr>
        <w:trPr>
          <w:trHeight w:val="22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1,646,843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901,115</w:t>
            </w:r>
          </w:p>
        </w:tc>
      </w:tr>
      <w:tr>
        <w:trPr>
          <w:trHeight w:val="220"/>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1,269,841</w:t>
            </w:r>
          </w:p>
        </w:tc>
      </w:tr>
      <w:tr>
        <w:trPr>
          <w:trHeight w:val="22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947,623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897,754</w:t>
            </w:r>
          </w:p>
        </w:tc>
      </w:tr>
      <w:tr>
        <w:trPr>
          <w:trHeight w:val="220"/>
        </w:trPr>
        <w:tc>
          <w:tcPr>
            <w:tcW w:w="7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6,300,000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3,118,112</w:t>
            </w:r>
          </w:p>
        </w:tc>
      </w:tr>
      <w:tr>
        <w:trPr>
          <w:trHeight w:val="23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11,994,466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6,646,177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Warehouse Credit Facilities</w:t>
      </w:r>
    </w:p>
    <w:p>
      <w:pPr>
        <w:spacing w:after="0" w:line="183" w:lineRule="exact"/>
        <w:rPr>
          <w:sz w:val="20"/>
          <w:szCs w:val="20"/>
          <w:color w:val="auto"/>
        </w:rPr>
      </w:pPr>
    </w:p>
    <w:p>
      <w:pPr>
        <w:ind w:right="220" w:firstLine="620"/>
        <w:spacing w:after="0" w:line="262" w:lineRule="auto"/>
        <w:rPr>
          <w:sz w:val="20"/>
          <w:szCs w:val="20"/>
          <w:color w:val="auto"/>
        </w:rPr>
      </w:pPr>
      <w:r>
        <w:rPr>
          <w:rFonts w:ascii="Times New Roman" w:cs="Times New Roman" w:eastAsia="Times New Roman" w:hAnsi="Times New Roman"/>
          <w:sz w:val="17"/>
          <w:szCs w:val="17"/>
          <w:color w:val="auto"/>
        </w:rPr>
        <w:t>Our warehouse credit facilities allow us to borrow up to an aggregate of $5.2 billion, and mature between 2027 and 2032. We may continue to pledge new receivables to allow us to borrow up to the commitment amount throughout the revolving period for each facility. The length of the revolving period, the maximum amount we may borrow against pledged collateral balance during the revolving period, and the length of the amortization period prior to the maturity date varies across borrowing facilities depending on negotiated loan terms. As of September 30, 2025, we have drawn an aggregate of $1.2 billion on our warehouse credit facilities. As of September 30, 2025, we were in compliance with all applicable covenants in the agreements.</w:t>
      </w:r>
    </w:p>
    <w:p>
      <w:pPr>
        <w:spacing w:after="0" w:line="148"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We use various credit facilities to finance the origination of loan receivables in Canada. Similar to our U.S. warehouse credit facilities, borrowings under these agreements are referred to as funding debt, and proceeds from the borrowings may only be used for the purposes of facilitating loan funding and origination. These facilities are secured by Canadian loan receivables pledged to the respective facility as collateral, maturing between 2028 and 2030. As of September 30, 2025, the aggregate commitment amount of these facilities was $644.5 million on a revolving basis, of which $460.1 million was drawn.</w:t>
      </w:r>
    </w:p>
    <w:p>
      <w:pPr>
        <w:spacing w:after="0" w:line="141" w:lineRule="exact"/>
        <w:rPr>
          <w:sz w:val="20"/>
          <w:szCs w:val="20"/>
          <w:color w:val="auto"/>
        </w:rPr>
      </w:pPr>
    </w:p>
    <w:p>
      <w:pPr>
        <w:ind w:right="1740" w:firstLine="620"/>
        <w:spacing w:after="0" w:line="467" w:lineRule="auto"/>
        <w:rPr>
          <w:sz w:val="20"/>
          <w:szCs w:val="20"/>
          <w:color w:val="auto"/>
        </w:rPr>
      </w:pPr>
      <w:r>
        <w:rPr>
          <w:rFonts w:ascii="Times New Roman" w:cs="Times New Roman" w:eastAsia="Times New Roman" w:hAnsi="Times New Roman"/>
          <w:sz w:val="17"/>
          <w:szCs w:val="17"/>
          <w:color w:val="auto"/>
        </w:rPr>
        <w:t xml:space="preserve">As we continue to expand in new geographies, we intend to add the necessary funding capacity to support our growth objectives. </w:t>
      </w:r>
      <w:r>
        <w:rPr>
          <w:rFonts w:ascii="Times New Roman" w:cs="Times New Roman" w:eastAsia="Times New Roman" w:hAnsi="Times New Roman"/>
          <w:sz w:val="17"/>
          <w:szCs w:val="17"/>
          <w:i w:val="1"/>
          <w:iCs w:val="1"/>
          <w:color w:val="auto"/>
        </w:rPr>
        <w:t>Variable Funding Note</w:t>
      </w:r>
    </w:p>
    <w:p>
      <w:pPr>
        <w:spacing w:after="0" w:line="2" w:lineRule="exact"/>
        <w:rPr>
          <w:sz w:val="20"/>
          <w:szCs w:val="20"/>
          <w:color w:val="auto"/>
        </w:rPr>
      </w:pPr>
    </w:p>
    <w:p>
      <w:pPr>
        <w:jc w:val="both"/>
        <w:ind w:right="40" w:firstLine="620"/>
        <w:spacing w:after="0" w:line="265" w:lineRule="auto"/>
        <w:rPr>
          <w:sz w:val="20"/>
          <w:szCs w:val="20"/>
          <w:color w:val="auto"/>
        </w:rPr>
      </w:pPr>
      <w:r>
        <w:rPr>
          <w:rFonts w:ascii="Times New Roman" w:cs="Times New Roman" w:eastAsia="Times New Roman" w:hAnsi="Times New Roman"/>
          <w:sz w:val="17"/>
          <w:szCs w:val="17"/>
          <w:color w:val="auto"/>
        </w:rPr>
        <w:t>We have entered into a syndicated revolving loan agreement through a securitization master trust which is utilized to fund the purchase and origination of loans. In connection with the loan agreement, the master trust issued a variable funding note (“VFN”), where borrowings will be secured by loan collateral sold to the master trust. Our VFN allows us to borrow up to an aggregate of $1.4 billion and matures in 2032. As of September 30, 2025, we have drawn an aggregate of $65.2 million on our VFN. As of September 30, 2025, we were in compliance with all applicable covenants in the agreements.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and Repurchase Agreements</w:t>
      </w:r>
    </w:p>
    <w:p>
      <w:pPr>
        <w:spacing w:after="0" w:line="196" w:lineRule="exact"/>
        <w:rPr>
          <w:sz w:val="20"/>
          <w:szCs w:val="20"/>
          <w:color w:val="auto"/>
        </w:rPr>
      </w:pPr>
    </w:p>
    <w:p>
      <w:pPr>
        <w:ind w:right="340" w:firstLine="620"/>
        <w:spacing w:after="0" w:line="288" w:lineRule="auto"/>
        <w:rPr>
          <w:sz w:val="20"/>
          <w:szCs w:val="20"/>
          <w:color w:val="auto"/>
        </w:rPr>
      </w:pPr>
      <w:r>
        <w:rPr>
          <w:rFonts w:ascii="Times New Roman" w:cs="Times New Roman" w:eastAsia="Times New Roman" w:hAnsi="Times New Roman"/>
          <w:sz w:val="17"/>
          <w:szCs w:val="17"/>
          <w:color w:val="auto"/>
        </w:rPr>
        <w:t>We entered into various sale and repurchase agreements pursuant to our retained interests in our off-balance sheet securitizations where we have sold these securities to a counterparty with an obligation to repurchase 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300"/>
        <w:spacing w:after="0" w:line="278" w:lineRule="auto"/>
        <w:rPr>
          <w:sz w:val="20"/>
          <w:szCs w:val="20"/>
          <w:color w:val="auto"/>
        </w:rPr>
      </w:pPr>
      <w:r>
        <w:rPr>
          <w:rFonts w:ascii="Times New Roman" w:cs="Times New Roman" w:eastAsia="Times New Roman" w:hAnsi="Times New Roman"/>
          <w:sz w:val="17"/>
          <w:szCs w:val="17"/>
          <w:color w:val="auto"/>
        </w:rPr>
        <w:t>future date and price. These repurchase agreements have a term equaling the contractual life of the securitization notes pledged. We had $21.3 million in debt outstanding under our sale and repurchase agreements disclosed within funding debt in the interim condensed consolidated balance sheets as of September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Securitizations</w:t>
      </w:r>
    </w:p>
    <w:p>
      <w:pPr>
        <w:spacing w:after="0" w:line="183" w:lineRule="exact"/>
        <w:rPr>
          <w:sz w:val="20"/>
          <w:szCs w:val="20"/>
          <w:color w:val="auto"/>
        </w:rPr>
      </w:pPr>
    </w:p>
    <w:p>
      <w:pPr>
        <w:ind w:right="20" w:firstLine="620"/>
        <w:spacing w:after="0" w:line="267" w:lineRule="auto"/>
        <w:rPr>
          <w:sz w:val="20"/>
          <w:szCs w:val="20"/>
          <w:color w:val="auto"/>
        </w:rPr>
      </w:pPr>
      <w:r>
        <w:rPr>
          <w:rFonts w:ascii="Times New Roman" w:cs="Times New Roman" w:eastAsia="Times New Roman" w:hAnsi="Times New Roman"/>
          <w:sz w:val="17"/>
          <w:szCs w:val="17"/>
          <w:color w:val="auto"/>
        </w:rPr>
        <w:t>We finance the origination and purchase of loans though our asset-backed securitization program using a combination of amortizing, revolving and variable funding structures. In connection with our program, we sponsor and establish trusts (deemed to be VIEs) which issue securities collateralized by the loans we sell to the trust.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 Refer to Note 9. Securitization and Variable Interest Entities in the notes to the interim condensed consolidated financial statements for further details.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Revolving Credit Facility</w:t>
      </w:r>
    </w:p>
    <w:p>
      <w:pPr>
        <w:spacing w:after="0" w:line="183" w:lineRule="exact"/>
        <w:rPr>
          <w:sz w:val="20"/>
          <w:szCs w:val="20"/>
          <w:color w:val="auto"/>
        </w:rPr>
      </w:pPr>
    </w:p>
    <w:p>
      <w:pPr>
        <w:ind w:right="180" w:firstLine="620"/>
        <w:spacing w:after="0" w:line="242" w:lineRule="auto"/>
        <w:rPr>
          <w:sz w:val="20"/>
          <w:szCs w:val="20"/>
          <w:color w:val="auto"/>
        </w:rPr>
      </w:pPr>
      <w:r>
        <w:rPr>
          <w:rFonts w:ascii="Times New Roman" w:cs="Times New Roman" w:eastAsia="Times New Roman" w:hAnsi="Times New Roman"/>
          <w:sz w:val="17"/>
          <w:szCs w:val="17"/>
          <w:color w:val="auto"/>
        </w:rPr>
        <w:t>Our revolving credit facility has an aggregate commitment amount of $330.0 million, with a final maturity date of June 26, 2027. Proceeds from the borrowings under this facility will be used for general corporate purposes in the ordinary course of business. As of September 30, 2025, there are no borrowings outstanding under the facility. The facility contains certain covenants and restrictions, including certain financial maintenance covenants. As of September 30, 2025, we were in compliance with all applicable covenants in the agreements. Refer to Note 8. Debt in the notes to the interim condensed consolidated financial statements for further details on our revolving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Senior Notes</w:t>
      </w:r>
    </w:p>
    <w:p>
      <w:pPr>
        <w:spacing w:after="0" w:line="170" w:lineRule="exact"/>
        <w:rPr>
          <w:sz w:val="20"/>
          <w:szCs w:val="20"/>
          <w:color w:val="auto"/>
        </w:rPr>
      </w:pPr>
    </w:p>
    <w:p>
      <w:pPr>
        <w:ind w:right="120" w:firstLine="620"/>
        <w:spacing w:after="0" w:line="249" w:lineRule="auto"/>
        <w:rPr>
          <w:sz w:val="20"/>
          <w:szCs w:val="20"/>
          <w:color w:val="auto"/>
        </w:rPr>
      </w:pPr>
      <w:r>
        <w:rPr>
          <w:rFonts w:ascii="Times New Roman" w:cs="Times New Roman" w:eastAsia="Times New Roman" w:hAnsi="Times New Roman"/>
          <w:sz w:val="17"/>
          <w:szCs w:val="17"/>
          <w:color w:val="auto"/>
        </w:rPr>
        <w:t>Our convertible senior notes have an aggregate principal balance of $1.1 billion, and bear no interest, in the case of the 2026 Notes, and bear an interest rate of 0.75% per year, in the case of the 2029 Notes, which is payable semiannually. The 2026 Notes mature on November 15, 2026, and the 2029 Notes mature on December 15, 2029, in each case unless earlier converted, redeemed, or repurchased in accordance with their terms. Refer to Note 8. Debt in the notes to the interim condensed consolidated financial statements for further details.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Funding Sources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Forward Flow Loan Sale Arrangements</w:t>
      </w:r>
    </w:p>
    <w:p>
      <w:pPr>
        <w:spacing w:after="0" w:line="170"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We have forward flow loan sale arrangements that facilitate the sale of whole loans across a diverse third-party investor base. Forward flow arrangements are generally fixed term in nature, with term lengths ranging between one to three years, during which we periodically sell loans to each counterparty based on the terms of our negotiated agreement. As part of our capital strategy, we seek to partner with counterparties that can provide long-term, stable funding to support the ongoing growth and diversification of our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1" w:name="page72"/>
    <w:bookmarkEnd w:id="71"/>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 Analysis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summary of cash flow data during the periods indicated:</w:t>
      </w:r>
    </w:p>
    <w:p>
      <w:pPr>
        <w:spacing w:after="0" w:line="15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82"/>
        </w:trPr>
        <w:tc>
          <w:tcPr>
            <w:tcW w:w="7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5"/>
                <w:szCs w:val="15"/>
                <w:color w:val="auto"/>
              </w:rPr>
            </w:pPr>
          </w:p>
        </w:tc>
      </w:tr>
      <w:tr>
        <w:trPr>
          <w:trHeight w:val="225"/>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60" w:type="dxa"/>
            <w:vAlign w:val="bottom"/>
            <w:shd w:val="clear" w:color="auto" w:fill="CCEEFF"/>
          </w:tcPr>
          <w:p>
            <w:pPr>
              <w:jc w:val="center"/>
              <w:ind w:right="538"/>
              <w:spacing w:after="0"/>
              <w:rPr>
                <w:sz w:val="20"/>
                <w:szCs w:val="20"/>
                <w:color w:val="auto"/>
              </w:rPr>
            </w:pPr>
            <w:r>
              <w:rPr>
                <w:rFonts w:ascii="Times New Roman" w:cs="Times New Roman" w:eastAsia="Times New Roman" w:hAnsi="Times New Roman"/>
                <w:sz w:val="17"/>
                <w:szCs w:val="17"/>
                <w:color w:val="auto"/>
              </w:rPr>
              <w:t>374,572</w:t>
            </w:r>
          </w:p>
        </w:tc>
        <w:tc>
          <w:tcPr>
            <w:tcW w:w="136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196,867</w:t>
            </w:r>
          </w:p>
        </w:tc>
      </w:tr>
      <w:tr>
        <w:trPr>
          <w:trHeight w:val="22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60" w:type="dxa"/>
            <w:vAlign w:val="bottom"/>
          </w:tcPr>
          <w:p>
            <w:pPr>
              <w:jc w:val="center"/>
              <w:ind w:right="558"/>
              <w:spacing w:after="0"/>
              <w:rPr>
                <w:sz w:val="20"/>
                <w:szCs w:val="20"/>
                <w:color w:val="auto"/>
              </w:rPr>
            </w:pPr>
            <w:r>
              <w:rPr>
                <w:rFonts w:ascii="Times New Roman" w:cs="Times New Roman" w:eastAsia="Times New Roman" w:hAnsi="Times New Roman"/>
                <w:sz w:val="17"/>
                <w:szCs w:val="17"/>
                <w:color w:val="auto"/>
                <w:w w:val="99"/>
              </w:rPr>
              <w:t>(139,611)</w:t>
            </w:r>
          </w:p>
        </w:tc>
        <w:tc>
          <w:tcPr>
            <w:tcW w:w="1360" w:type="dxa"/>
            <w:vAlign w:val="bottom"/>
          </w:tcPr>
          <w:p>
            <w:pPr>
              <w:jc w:val="center"/>
              <w:ind w:left="556"/>
              <w:spacing w:after="0"/>
              <w:rPr>
                <w:sz w:val="20"/>
                <w:szCs w:val="20"/>
                <w:color w:val="auto"/>
              </w:rPr>
            </w:pPr>
            <w:r>
              <w:rPr>
                <w:rFonts w:ascii="Times New Roman" w:cs="Times New Roman" w:eastAsia="Times New Roman" w:hAnsi="Times New Roman"/>
                <w:sz w:val="17"/>
                <w:szCs w:val="17"/>
                <w:color w:val="auto"/>
              </w:rPr>
              <w:t>(574,999)</w:t>
            </w:r>
          </w:p>
        </w:tc>
      </w:tr>
      <w:tr>
        <w:trPr>
          <w:trHeight w:val="23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200" w:type="dxa"/>
            <w:vAlign w:val="bottom"/>
            <w:shd w:val="clear" w:color="auto" w:fill="CCEEFF"/>
          </w:tcPr>
          <w:p>
            <w:pPr>
              <w:spacing w:after="0"/>
              <w:rPr>
                <w:sz w:val="20"/>
                <w:szCs w:val="20"/>
                <w:color w:val="auto"/>
              </w:rPr>
            </w:pPr>
          </w:p>
        </w:tc>
        <w:tc>
          <w:tcPr>
            <w:tcW w:w="1460" w:type="dxa"/>
            <w:vAlign w:val="bottom"/>
            <w:shd w:val="clear" w:color="auto" w:fill="CCEEFF"/>
          </w:tcPr>
          <w:p>
            <w:pPr>
              <w:jc w:val="center"/>
              <w:ind w:right="538"/>
              <w:spacing w:after="0"/>
              <w:rPr>
                <w:sz w:val="20"/>
                <w:szCs w:val="20"/>
                <w:color w:val="auto"/>
              </w:rPr>
            </w:pPr>
            <w:r>
              <w:rPr>
                <w:rFonts w:ascii="Times New Roman" w:cs="Times New Roman" w:eastAsia="Times New Roman" w:hAnsi="Times New Roman"/>
                <w:sz w:val="17"/>
                <w:szCs w:val="17"/>
                <w:color w:val="auto"/>
              </w:rPr>
              <w:t>110,086</w:t>
            </w:r>
          </w:p>
        </w:tc>
        <w:tc>
          <w:tcPr>
            <w:tcW w:w="136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7"/>
                <w:szCs w:val="17"/>
                <w:color w:val="auto"/>
              </w:rPr>
              <w:t>465,625</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19" w:lineRule="exact"/>
        <w:rPr>
          <w:sz w:val="20"/>
          <w:szCs w:val="20"/>
          <w:color w:val="auto"/>
        </w:rPr>
      </w:pPr>
    </w:p>
    <w:p>
      <w:pPr>
        <w:ind w:right="160" w:firstLine="620"/>
        <w:spacing w:after="0" w:line="270" w:lineRule="auto"/>
        <w:rPr>
          <w:sz w:val="20"/>
          <w:szCs w:val="20"/>
          <w:color w:val="auto"/>
        </w:rPr>
      </w:pPr>
      <w:r>
        <w:rPr>
          <w:rFonts w:ascii="Times New Roman" w:cs="Times New Roman" w:eastAsia="Times New Roman" w:hAnsi="Times New Roman"/>
          <w:sz w:val="17"/>
          <w:szCs w:val="17"/>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16" w:lineRule="exact"/>
        <w:rPr>
          <w:sz w:val="20"/>
          <w:szCs w:val="20"/>
          <w:color w:val="auto"/>
        </w:rPr>
      </w:pPr>
    </w:p>
    <w:p>
      <w:pPr>
        <w:ind w:right="80" w:firstLine="620"/>
        <w:spacing w:after="0" w:line="249" w:lineRule="auto"/>
        <w:rPr>
          <w:sz w:val="20"/>
          <w:szCs w:val="20"/>
          <w:color w:val="auto"/>
        </w:rPr>
      </w:pPr>
      <w:r>
        <w:rPr>
          <w:rFonts w:ascii="Times New Roman" w:cs="Times New Roman" w:eastAsia="Times New Roman" w:hAnsi="Times New Roman"/>
          <w:sz w:val="17"/>
          <w:szCs w:val="17"/>
          <w:color w:val="auto"/>
        </w:rPr>
        <w:t>Net cash provided by operating activities was $374.6 million for the three months ended September 30, 2025, which reflected adjustments for significant non-cash items, including provision for losses, amortization of premiums and discounts on loans, gain on sale of loans, commercial agreement warrant expense, stock-based compensation, depreciation and amortization, and changes in operating assets and liabilities. Total adjustments and changes in operating assets and liabilities collectively resulted in a net increase in operating cash flows of $293.9 million.</w:t>
      </w:r>
    </w:p>
    <w:p>
      <w:pPr>
        <w:spacing w:after="0" w:line="210"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Net cash provided by operating activities was $196.9 million for the three months ended September 30, 2024, which reflected adjustments for significant non-cash items, including provision for credit losses, amortization of premiums and discounts on loans, gain on sale of loans, commercial agreement warrant expense, stock-based compensation, depreciation and amortization, and changes in operating assets and liabilities. Total adjustments and changes in operating assets and liabilities collectively resulted in a net increase in operating cash flows of $297.1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83" w:lineRule="exact"/>
        <w:rPr>
          <w:sz w:val="20"/>
          <w:szCs w:val="20"/>
          <w:color w:val="auto"/>
        </w:rPr>
      </w:pPr>
    </w:p>
    <w:p>
      <w:pPr>
        <w:ind w:right="140" w:firstLine="620"/>
        <w:spacing w:after="0" w:line="265" w:lineRule="auto"/>
        <w:rPr>
          <w:sz w:val="20"/>
          <w:szCs w:val="20"/>
          <w:color w:val="auto"/>
        </w:rPr>
      </w:pPr>
      <w:r>
        <w:rPr>
          <w:rFonts w:ascii="Times New Roman" w:cs="Times New Roman" w:eastAsia="Times New Roman" w:hAnsi="Times New Roman"/>
          <w:sz w:val="17"/>
          <w:szCs w:val="17"/>
          <w:color w:val="auto"/>
        </w:rPr>
        <w:t>Net cash used in investing activities was $139.6 million for the three months ended September 30, 2025. Cash outflows were primarily driven by purchases and origination of loans held for investment of $9.8 billion, purchases of securities available for sale of $146.5 million, and property, equipment and software additions of $54.4 million. Cash inflows included $5.4 billion from principal repayments and other loan servicing activity, $4.3 billion in proceeds from the sale of loans held for investment, and $216.4 million of proceeds from maturities and repayments of securities available for sale.</w:t>
      </w:r>
    </w:p>
    <w:p>
      <w:pPr>
        <w:spacing w:after="0" w:line="144"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Net cash used in investing activities was $575.0 million for the three months ended September 30, 2024, Cash outflows were primarily driven by purchases and origination of loans held for investment of $6.4 billion, purchases of securities available for sale of $136.7 million, and property, equipment and software additions of $44.2 million. Cash inflows included $4.1 billion of principal repayments and other loan servicing activity, $1.6 billion in proceeds from the sale of loans held for investment, and $215.7 million of proceeds from maturities and repayments of securities available for sale.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83" w:lineRule="exact"/>
        <w:rPr>
          <w:sz w:val="20"/>
          <w:szCs w:val="20"/>
          <w:color w:val="auto"/>
        </w:rPr>
      </w:pPr>
    </w:p>
    <w:p>
      <w:pPr>
        <w:jc w:val="both"/>
        <w:ind w:right="40" w:firstLine="620"/>
        <w:spacing w:after="0" w:line="270" w:lineRule="auto"/>
        <w:rPr>
          <w:sz w:val="20"/>
          <w:szCs w:val="20"/>
          <w:color w:val="auto"/>
        </w:rPr>
      </w:pPr>
      <w:r>
        <w:rPr>
          <w:rFonts w:ascii="Times New Roman" w:cs="Times New Roman" w:eastAsia="Times New Roman" w:hAnsi="Times New Roman"/>
          <w:sz w:val="17"/>
          <w:szCs w:val="17"/>
          <w:color w:val="auto"/>
        </w:rPr>
        <w:t>Net cash provided by financing activities was $110.1 million for the three months ended September 30, 2025. Cash inflows were driven by $9.1 billion in proceeds from the issuance of secured debt, including funding debt and securitization notes and certificates, and $94.8 million from the exercise of common stock options and warrants and employee contributions to ESPP. Cash outflows included $8.9 billion related to principal 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secured debt, $24.8 million related to the extinguishment of a portion of our 2026 Notes and $112.3 million for taxes paid on vested equity awards.</w:t>
      </w:r>
    </w:p>
    <w:p>
      <w:pPr>
        <w:spacing w:after="0" w:line="179" w:lineRule="exact"/>
        <w:rPr>
          <w:sz w:val="20"/>
          <w:szCs w:val="20"/>
          <w:color w:val="auto"/>
        </w:rPr>
      </w:pPr>
    </w:p>
    <w:p>
      <w:pPr>
        <w:ind w:right="20" w:firstLine="620"/>
        <w:spacing w:after="0" w:line="265" w:lineRule="auto"/>
        <w:rPr>
          <w:sz w:val="20"/>
          <w:szCs w:val="20"/>
          <w:color w:val="auto"/>
        </w:rPr>
      </w:pPr>
      <w:r>
        <w:rPr>
          <w:rFonts w:ascii="Times New Roman" w:cs="Times New Roman" w:eastAsia="Times New Roman" w:hAnsi="Times New Roman"/>
          <w:sz w:val="17"/>
          <w:szCs w:val="17"/>
          <w:color w:val="auto"/>
        </w:rPr>
        <w:t>Net cash provided by financing activities was $465.6 million for the three months ended September 30, 2024. Cash inflows were primarily driven by $3.9 billion in proceeds from the issuance of secured debt, including funding debt and securitization notes and certificates. Cash outflows included $3.3 billion related to principal repayments on secured debt, $120.1 million related to the extinguishment of a portion of our 2026 Notes, and $63.2 million related to taxes paid on vested equity awards.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48" w:lineRule="exact"/>
        <w:rPr>
          <w:sz w:val="20"/>
          <w:szCs w:val="20"/>
          <w:color w:val="auto"/>
        </w:rPr>
      </w:pPr>
    </w:p>
    <w:p>
      <w:pPr>
        <w:ind w:right="280" w:firstLine="620"/>
        <w:spacing w:after="0" w:line="265" w:lineRule="auto"/>
        <w:rPr>
          <w:sz w:val="20"/>
          <w:szCs w:val="20"/>
          <w:color w:val="auto"/>
        </w:rPr>
      </w:pPr>
      <w:r>
        <w:rPr>
          <w:rFonts w:ascii="Times New Roman" w:cs="Times New Roman" w:eastAsia="Times New Roman" w:hAnsi="Times New Roman"/>
          <w:sz w:val="17"/>
          <w:szCs w:val="17"/>
          <w:color w:val="auto"/>
        </w:rPr>
        <w:t>There were no material changes outside of the ordinary course of business in our commitments and contractual obligations for the three months ended September 30, 2025 from the commitments and contractual obligations disclosed in the section titled “</w:t>
      </w:r>
      <w:r>
        <w:rPr>
          <w:rFonts w:ascii="Times New Roman" w:cs="Times New Roman" w:eastAsia="Times New Roman" w:hAnsi="Times New Roman"/>
          <w:sz w:val="17"/>
          <w:szCs w:val="17"/>
          <w:i w:val="1"/>
          <w:iCs w:val="1"/>
          <w:color w:val="auto"/>
        </w:rPr>
        <w:t>Management’s Discussion and Analysis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Condition and Results of Operations — Contractual Obligations</w:t>
      </w:r>
      <w:r>
        <w:rPr>
          <w:rFonts w:ascii="Times New Roman" w:cs="Times New Roman" w:eastAsia="Times New Roman" w:hAnsi="Times New Roman"/>
          <w:sz w:val="17"/>
          <w:szCs w:val="17"/>
          <w:color w:val="auto"/>
        </w:rPr>
        <w:t>,” set forth in our Annual Report on Form 10-K for the fiscal year ended June 30, 2025,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filed with the SEC on August 28, 2025.</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48" w:lineRule="exact"/>
        <w:rPr>
          <w:sz w:val="20"/>
          <w:szCs w:val="20"/>
          <w:color w:val="auto"/>
        </w:rPr>
      </w:pPr>
    </w:p>
    <w:p>
      <w:pPr>
        <w:ind w:right="420" w:firstLine="620"/>
        <w:spacing w:after="0" w:line="265" w:lineRule="auto"/>
        <w:rPr>
          <w:sz w:val="20"/>
          <w:szCs w:val="20"/>
          <w:color w:val="auto"/>
        </w:rPr>
      </w:pPr>
      <w:r>
        <w:rPr>
          <w:rFonts w:ascii="Times New Roman" w:cs="Times New Roman" w:eastAsia="Times New Roman" w:hAnsi="Times New Roman"/>
          <w:sz w:val="17"/>
          <w:szCs w:val="17"/>
          <w:color w:val="auto"/>
        </w:rPr>
        <w:t>In the ordinary course of business, we engage in activities that are not reflected within our interim condensed consolidated balance sheets, generally referred to as off-balance sheet arrangements. These activities involve transactions with unconsolidated VIEs, including securitization and forward flow transactions. Across these transactions, ongoing involvement typically includes contractual loan servicing arrangements and loan repurchase obligations in connection with breaches in ordinary course of business representations and warranties.</w:t>
      </w:r>
    </w:p>
    <w:p>
      <w:pPr>
        <w:spacing w:after="0" w:line="183" w:lineRule="exact"/>
        <w:rPr>
          <w:sz w:val="20"/>
          <w:szCs w:val="20"/>
          <w:color w:val="auto"/>
        </w:rPr>
      </w:pPr>
    </w:p>
    <w:p>
      <w:pPr>
        <w:ind w:right="120" w:firstLine="620"/>
        <w:spacing w:after="0" w:line="249" w:lineRule="auto"/>
        <w:rPr>
          <w:sz w:val="20"/>
          <w:szCs w:val="20"/>
          <w:color w:val="auto"/>
        </w:rPr>
      </w:pPr>
      <w:r>
        <w:rPr>
          <w:rFonts w:ascii="Times New Roman" w:cs="Times New Roman" w:eastAsia="Times New Roman" w:hAnsi="Times New Roman"/>
          <w:sz w:val="17"/>
          <w:szCs w:val="17"/>
          <w:color w:val="auto"/>
        </w:rPr>
        <w:t>We have entered into unconsolidated securitization transactions where Affirm is the sponsor and risk retention holder, Affirm could experience a loss of up to 5% of both the senior notes and residual trust certificates. In the unlikely event principal payments on the loans backing any off-balance sheet securitization are insufficient to pay holders of senior notes and residual trust certificates, including any retained interests held by Affirm, then any amounts we contributed to the securitization reserve accounts may be depleted.</w:t>
      </w:r>
    </w:p>
    <w:p>
      <w:pPr>
        <w:spacing w:after="0" w:line="197" w:lineRule="exact"/>
        <w:rPr>
          <w:sz w:val="20"/>
          <w:szCs w:val="20"/>
          <w:color w:val="auto"/>
        </w:rPr>
      </w:pPr>
    </w:p>
    <w:p>
      <w:pPr>
        <w:ind w:right="120" w:firstLine="620"/>
        <w:spacing w:after="0" w:line="255" w:lineRule="auto"/>
        <w:rPr>
          <w:sz w:val="20"/>
          <w:szCs w:val="20"/>
          <w:color w:val="auto"/>
        </w:rPr>
      </w:pPr>
      <w:r>
        <w:rPr>
          <w:rFonts w:ascii="Times New Roman" w:cs="Times New Roman" w:eastAsia="Times New Roman" w:hAnsi="Times New Roman"/>
          <w:sz w:val="17"/>
          <w:szCs w:val="17"/>
          <w:color w:val="auto"/>
        </w:rPr>
        <w:t>Under certain other forward flow loan sale arrangements with third-party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w:t>
      </w:r>
    </w:p>
    <w:p>
      <w:pPr>
        <w:spacing w:after="0" w:line="204" w:lineRule="exact"/>
        <w:rPr>
          <w:sz w:val="20"/>
          <w:szCs w:val="20"/>
          <w:color w:val="auto"/>
        </w:rPr>
      </w:pPr>
    </w:p>
    <w:p>
      <w:pPr>
        <w:jc w:val="both"/>
        <w:ind w:right="60" w:firstLine="620"/>
        <w:spacing w:after="0" w:line="270" w:lineRule="auto"/>
        <w:rPr>
          <w:sz w:val="20"/>
          <w:szCs w:val="20"/>
          <w:color w:val="auto"/>
        </w:rPr>
      </w:pPr>
      <w:r>
        <w:rPr>
          <w:rFonts w:ascii="Times New Roman" w:cs="Times New Roman" w:eastAsia="Times New Roman" w:hAnsi="Times New Roman"/>
          <w:sz w:val="17"/>
          <w:szCs w:val="17"/>
          <w:color w:val="auto"/>
        </w:rPr>
        <w:t>In addition to risk sharing arrangements, we may hold beneficial interests in certain off-balance sheet VIEs that have been established by third-party loan buyers in connection with structured transactions. These beneficial interests represent our right to receive a portion of the residual cash flows from the underlying loans sold in connection with these transactions.</w:t>
      </w:r>
    </w:p>
    <w:p>
      <w:pPr>
        <w:spacing w:after="0" w:line="193"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Risk sharing arrangements and beneficial interests are considered variable interests in the unconsolidated VIEs holding the loan assets transferred, as their value is exposed to the performance of those loans. For off-balance sheet VIEs where we hold variable interest, we have determined that our exposure to transaction economics is insignificant relative to the expected losses or residual returns.</w:t>
      </w:r>
    </w:p>
    <w:p>
      <w:pPr>
        <w:spacing w:after="0" w:line="193" w:lineRule="exact"/>
        <w:rPr>
          <w:sz w:val="20"/>
          <w:szCs w:val="20"/>
          <w:color w:val="auto"/>
        </w:rPr>
      </w:pPr>
    </w:p>
    <w:p>
      <w:pPr>
        <w:jc w:val="both"/>
        <w:ind w:right="60" w:firstLine="620"/>
        <w:spacing w:after="0" w:line="270" w:lineRule="auto"/>
        <w:rPr>
          <w:sz w:val="20"/>
          <w:szCs w:val="20"/>
          <w:color w:val="auto"/>
        </w:rPr>
      </w:pPr>
      <w:r>
        <w:rPr>
          <w:rFonts w:ascii="Times New Roman" w:cs="Times New Roman" w:eastAsia="Times New Roman" w:hAnsi="Times New Roman"/>
          <w:sz w:val="17"/>
          <w:szCs w:val="17"/>
          <w:color w:val="auto"/>
        </w:rPr>
        <w:t>As of September 30, 2025, the aggregate outstanding balance of loans held by third-party investors and off-balance sheet securitizations was $8.5 billion. Refer to Note 9. Securitization and Variable Interest Entities and Note 12. Fair Value of Financial Assets and Liabilities of the accompanying notes to our interim condensed consolidated financial statements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8" w:lineRule="exact"/>
        <w:rPr>
          <w:sz w:val="20"/>
          <w:szCs w:val="20"/>
          <w:color w:val="auto"/>
        </w:rPr>
      </w:pPr>
    </w:p>
    <w:p>
      <w:pPr>
        <w:ind w:right="60" w:firstLine="620"/>
        <w:spacing w:after="0" w:line="260"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consolidated financial statements, which have been prepared in accordance with U.S. GAAP and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may be affected.</w:t>
      </w:r>
    </w:p>
    <w:p>
      <w:pPr>
        <w:spacing w:after="0" w:line="138"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We evaluate our critical accounting policies and estimates on an ongoing basis and update them as necessary based on changes in market conditions or factors specific to us. There have been no material changes in our significant accounting policies or critical accounting estimates during the three months ended September 30, 2025.</w:t>
      </w:r>
    </w:p>
    <w:p>
      <w:pPr>
        <w:spacing w:after="0" w:line="141" w:lineRule="exact"/>
        <w:rPr>
          <w:sz w:val="20"/>
          <w:szCs w:val="20"/>
          <w:color w:val="auto"/>
        </w:rPr>
      </w:pPr>
    </w:p>
    <w:p>
      <w:pPr>
        <w:ind w:firstLine="620"/>
        <w:spacing w:after="0" w:line="270" w:lineRule="auto"/>
        <w:rPr>
          <w:sz w:val="20"/>
          <w:szCs w:val="20"/>
          <w:color w:val="auto"/>
        </w:rPr>
      </w:pPr>
      <w:r>
        <w:rPr>
          <w:rFonts w:ascii="Times New Roman" w:cs="Times New Roman" w:eastAsia="Times New Roman" w:hAnsi="Times New Roman"/>
          <w:sz w:val="17"/>
          <w:szCs w:val="17"/>
          <w:color w:val="auto"/>
        </w:rPr>
        <w:t>For a complete discussion of our significant accounting policies and critical accounting estimates, refer to our Annual Report on Form 10-K for the year ended June 30, 2025 within Note 2 to the Notes to Consolidated Financial Statements and “</w:t>
      </w:r>
      <w:r>
        <w:rPr>
          <w:rFonts w:ascii="Times New Roman" w:cs="Times New Roman" w:eastAsia="Times New Roman" w:hAnsi="Times New Roman"/>
          <w:sz w:val="17"/>
          <w:szCs w:val="17"/>
          <w:i w:val="1"/>
          <w:iCs w:val="1"/>
          <w:color w:val="auto"/>
        </w:rPr>
        <w:t>Management’s Discussion and Analysis of Financial Condition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Results of Operations— Critical Accounting Policies and Estimates.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320" w:top="123" w:right="479" w:bottom="1440" w:gutter="0" w:footer="0" w:header="0"/>
        </w:sectPr>
      </w:pPr>
    </w:p>
    <w:bookmarkStart w:id="74" w:name="page75"/>
    <w:bookmarkEnd w:id="74"/>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83" w:lineRule="exact"/>
        <w:rPr>
          <w:sz w:val="20"/>
          <w:szCs w:val="20"/>
          <w:color w:val="auto"/>
        </w:rPr>
      </w:pPr>
    </w:p>
    <w:p>
      <w:pPr>
        <w:ind w:right="180" w:firstLine="620"/>
        <w:spacing w:after="0" w:line="265" w:lineRule="auto"/>
        <w:rPr>
          <w:sz w:val="20"/>
          <w:szCs w:val="20"/>
          <w:color w:val="auto"/>
        </w:rPr>
      </w:pPr>
      <w:r>
        <w:rPr>
          <w:rFonts w:ascii="Times New Roman" w:cs="Times New Roman" w:eastAsia="Times New Roman" w:hAnsi="Times New Roman"/>
          <w:sz w:val="17"/>
          <w:szCs w:val="17"/>
          <w:color w:val="auto"/>
        </w:rPr>
        <w:t>We have operations within the United States, Canada and U.K.,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our current operations are primarily in the U.S.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85" w:lineRule="exact"/>
        <w:rPr>
          <w:sz w:val="20"/>
          <w:szCs w:val="20"/>
          <w:color w:val="auto"/>
        </w:rPr>
      </w:pPr>
    </w:p>
    <w:p>
      <w:pPr>
        <w:ind w:right="60" w:firstLine="620"/>
        <w:spacing w:after="0" w:line="262" w:lineRule="auto"/>
        <w:rPr>
          <w:sz w:val="20"/>
          <w:szCs w:val="20"/>
          <w:color w:val="auto"/>
        </w:rPr>
      </w:pPr>
      <w:r>
        <w:rPr>
          <w:rFonts w:ascii="Times New Roman" w:cs="Times New Roman" w:eastAsia="Times New Roman" w:hAnsi="Times New Roman"/>
          <w:sz w:val="17"/>
          <w:szCs w:val="17"/>
          <w:color w:val="auto"/>
        </w:rPr>
        <w:t>Our securities available for sale at fair value as of September 30, 2025, included $807.4 million of marketable debt securities with maturities greater than three months. An increase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w:t>
      </w:r>
    </w:p>
    <w:p>
      <w:pPr>
        <w:spacing w:after="0" w:line="135" w:lineRule="exact"/>
        <w:rPr>
          <w:sz w:val="20"/>
          <w:szCs w:val="20"/>
          <w:color w:val="auto"/>
        </w:rPr>
      </w:pPr>
    </w:p>
    <w:p>
      <w:pPr>
        <w:ind w:right="140" w:firstLine="620"/>
        <w:spacing w:after="0" w:line="265" w:lineRule="auto"/>
        <w:rPr>
          <w:sz w:val="20"/>
          <w:szCs w:val="20"/>
          <w:color w:val="auto"/>
        </w:rPr>
      </w:pPr>
      <w:r>
        <w:rPr>
          <w:rFonts w:ascii="Times New Roman" w:cs="Times New Roman" w:eastAsia="Times New Roman" w:hAnsi="Times New Roman"/>
          <w:sz w:val="17"/>
          <w:szCs w:val="17"/>
          <w:color w:val="auto"/>
        </w:rPr>
        <w:t>Continued volatility in interest rates and inflation, which may persist longer than previously expected, may adversely impact our consumers’ spending levels, and ability and willingness to pay outstanding amounts owed to us. Elevated interest rates may lead to higher payment obligations on our future credit products but also for consumers’ other financial commitments, including their mortgages, credit cards, and other types of loans. Therefore, elevated interest rates may lead to increased delinquencies, charge-offs, and allowances for loans and interest receivable, which could have an adverse effect on our operating results.</w:t>
      </w:r>
    </w:p>
    <w:p>
      <w:pPr>
        <w:spacing w:after="0" w:line="144" w:lineRule="exact"/>
        <w:rPr>
          <w:sz w:val="20"/>
          <w:szCs w:val="20"/>
          <w:color w:val="auto"/>
        </w:rPr>
      </w:pPr>
    </w:p>
    <w:p>
      <w:pPr>
        <w:ind w:right="20" w:firstLine="620"/>
        <w:spacing w:after="0" w:line="259" w:lineRule="auto"/>
        <w:rPr>
          <w:sz w:val="20"/>
          <w:szCs w:val="20"/>
          <w:color w:val="auto"/>
        </w:rPr>
      </w:pPr>
      <w:r>
        <w:rPr>
          <w:rFonts w:ascii="Times New Roman" w:cs="Times New Roman" w:eastAsia="Times New Roman" w:hAnsi="Times New Roman"/>
          <w:sz w:val="17"/>
          <w:szCs w:val="17"/>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For future securitization issuances, higher interest rates could have several outcomes. For consolidated securitizations, higher interest rates may result in higher coupons paid and therefore higher funding costs. For transactions that are not consolidated, higher interest rates may impact overall deal economics which are a function of numerous transaction terms.</w:t>
      </w:r>
    </w:p>
    <w:p>
      <w:pPr>
        <w:spacing w:after="0" w:line="138" w:lineRule="exact"/>
        <w:rPr>
          <w:sz w:val="20"/>
          <w:szCs w:val="20"/>
          <w:color w:val="auto"/>
        </w:rPr>
      </w:pPr>
    </w:p>
    <w:p>
      <w:pPr>
        <w:ind w:firstLine="620"/>
        <w:spacing w:after="0" w:line="258" w:lineRule="auto"/>
        <w:rPr>
          <w:sz w:val="20"/>
          <w:szCs w:val="20"/>
          <w:color w:val="auto"/>
        </w:rPr>
      </w:pPr>
      <w:r>
        <w:rPr>
          <w:rFonts w:ascii="Times New Roman" w:cs="Times New Roman" w:eastAsia="Times New Roman" w:hAnsi="Times New Roman"/>
          <w:sz w:val="17"/>
          <w:szCs w:val="17"/>
          <w:color w:val="auto"/>
        </w:rPr>
        <w:t>We maintain an interest rate risk management program which measures and manages the potential volatility of earnings that may arise from changes in interest rates. We use interest rate derivatives to mitigate the effects of changes in interest rates on our variable rate debt which eliminates some, but not all, of the interest rate risk. Some of these contracts are designated as cash flow hedges for accounting purposes. For those contracts designated as cash flow hedges, the effective portion of the gain or loss on the derivatives is recorded in other comprehensive income (loss) and is reclassified into funding costs in the same period the hedged transaction affects earnings. Factoring in the interest rate risk management program and the repricing of investment securities, as of September 30, 2025, we estimate that a hypothetical instantaneous 100 basis point upward parallel shock to interest rates would have a less than $70.0 million adverse impact on our cash flows associated with our market risk sensitive instruments over the next 12 months. This measure projects the changes in cash flows associated with all assets and liabilities, including derivatives, based on contractual market rate-based repricing conditions over a twelve-month time horizon. It considers forecasted business growth and anticipated future funding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185"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proprietary underwriting models to make lending decisions, score, and price loans in a manner that we believe is reflective of the credit risk. Other credit levers, such as user limits and/or down payment requirements, are used to determine the likelihood of a consumer being able to pay.</w:t>
      </w:r>
    </w:p>
    <w:p>
      <w:pPr>
        <w:spacing w:after="0" w:line="199"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To monitor portfolio performance, we utilize a wide range of internal and external metrics to review user and loan populations. Each week, management reviews performance for each consumer segment, typically split by ITACs model score at the time of origination, financial product originated, age of loan, and delinquency status. Internal performance trendlines are measured against external factors such as unemployment, CPI, and consumer sentiment to determine what changes, if any, in risk strategy is warranted.</w:t>
      </w:r>
    </w:p>
    <w:p>
      <w:pPr>
        <w:spacing w:after="0" w:line="196"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As of September 30, 2025 and June 30, 2025, we were exposed to credit risk on $7.2 billion and $7.0 billion, respectively, of loans held within our interim condensed consolidated balance sheet. Loan receivables are diversified geographically. As of both September 30, 2025 and June 30, 2025, approximately 11% of loan receivables related to customers residing in the state of California. Approximately 10% of loan receivables related to customers residing in the state of Texas as of both September 30, 2025 and June 30, 2025. No other states or provinces represent 10% or more of total loan receivables.</w:t>
      </w:r>
    </w:p>
    <w:p>
      <w:pPr>
        <w:spacing w:after="0" w:line="196"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color w:val="auto"/>
        </w:rPr>
        <w:t>In addition, we have credit risk exposure in relation to certain off-balance sheet loans sold to third parties where we have entered into risk sharing arrangements, retained interests in unconsolidated securitization trusts and our residual interests in structured transactions. As of September 30, 2025 and June 30, 2025, we have sold $9.3 billion and $8.6 billion, respectively, in unpaid principal balance loans which are subject to risk sharing arrangements, of which our maximum exposure to losses was $85.8 million and $91.1 million, respectively. The fair value of notes receivable and residual trust certificate retained interests in unconsolidated securitization trusts was $54.3 million and $38.9 million as of September 30, 2025 and September 30, 2024, respectively. The fair value of residual interests in structured transactions was $4.0 million as of September 30, 2025, of which our maximum exposure to losses was $16.2 million.</w:t>
      </w:r>
    </w:p>
    <w:p>
      <w:pPr>
        <w:spacing w:after="0" w:line="202"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well-established financial institutions, diversifying our counterparties and having guidelines regarding credit rating and investment maturities to safeguard liquidity. Although, we are not substantially dependent on a single financing source and have not historically experienced any credit losses related to these financial institutions, if multiple financing sources were to be unable to fulfill their funding obligations to us, it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48" w:lineRule="exact"/>
        <w:rPr>
          <w:sz w:val="20"/>
          <w:szCs w:val="20"/>
          <w:color w:val="auto"/>
        </w:rPr>
      </w:pPr>
    </w:p>
    <w:p>
      <w:pPr>
        <w:ind w:right="60" w:firstLine="620"/>
        <w:spacing w:after="0" w:line="258"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(“CEO”) and our Chief Financial Officer (“CFO”), has evaluated the effectiveness of our disclosure controls and procedures (as defined in Rules 13a-15(e) and 15d-15(e) under the Exchange Act). Based on that evaluation, our CEO and CFO concluded that such disclosure controls and procedures were effective as of the end of the period covered by this Quarterly Report on Form 10-Q and designed to ensure that information required to be disclosed in our reports filed or submitted under the Exchange Act is recorded, processed, summarized and reported within the requisite time periods specified in the applicable rules and forms and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8" w:lineRule="exact"/>
        <w:rPr>
          <w:sz w:val="20"/>
          <w:szCs w:val="20"/>
          <w:color w:val="auto"/>
        </w:rPr>
      </w:pPr>
    </w:p>
    <w:p>
      <w:pPr>
        <w:ind w:firstLine="620"/>
        <w:spacing w:after="0" w:line="281"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that occurred during the quarter ended September 30, 2025 that have materially affected, or are reasonably likely to materially affect, our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 on the Effectiveness of Internal Control</w:t>
      </w:r>
    </w:p>
    <w:p>
      <w:pPr>
        <w:spacing w:after="0" w:line="248" w:lineRule="exact"/>
        <w:rPr>
          <w:sz w:val="20"/>
          <w:szCs w:val="20"/>
          <w:color w:val="auto"/>
        </w:rPr>
      </w:pPr>
    </w:p>
    <w:p>
      <w:pPr>
        <w:ind w:right="40" w:firstLine="620"/>
        <w:spacing w:after="0" w:line="260" w:lineRule="auto"/>
        <w:rPr>
          <w:sz w:val="20"/>
          <w:szCs w:val="20"/>
          <w:color w:val="auto"/>
        </w:rPr>
      </w:pPr>
      <w:r>
        <w:rPr>
          <w:rFonts w:ascii="Times New Roman" w:cs="Times New Roman" w:eastAsia="Times New Roman" w:hAnsi="Times New Roman"/>
          <w:sz w:val="17"/>
          <w:szCs w:val="17"/>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Please refer to Note 7. Commitments and Contingencies of the accompanying notes to our interim condensed consolidated financial statements.</w:t>
      </w:r>
    </w:p>
    <w:p>
      <w:pPr>
        <w:spacing w:after="0" w:line="244" w:lineRule="exact"/>
        <w:rPr>
          <w:sz w:val="20"/>
          <w:szCs w:val="20"/>
          <w:color w:val="auto"/>
        </w:rPr>
      </w:pPr>
    </w:p>
    <w:p>
      <w:pPr>
        <w:ind w:right="140" w:firstLine="620"/>
        <w:spacing w:after="0" w:line="265" w:lineRule="auto"/>
        <w:rPr>
          <w:sz w:val="20"/>
          <w:szCs w:val="20"/>
          <w:color w:val="auto"/>
        </w:rPr>
      </w:pPr>
      <w:r>
        <w:rPr>
          <w:rFonts w:ascii="Times New Roman" w:cs="Times New Roman" w:eastAsia="Times New Roman" w:hAnsi="Times New Roman"/>
          <w:sz w:val="17"/>
          <w:szCs w:val="17"/>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8" w:lineRule="exact"/>
        <w:rPr>
          <w:sz w:val="20"/>
          <w:szCs w:val="20"/>
          <w:color w:val="auto"/>
        </w:rPr>
      </w:pPr>
    </w:p>
    <w:p>
      <w:pPr>
        <w:ind w:firstLine="620"/>
        <w:spacing w:after="0" w:line="254" w:lineRule="auto"/>
        <w:rPr>
          <w:sz w:val="20"/>
          <w:szCs w:val="20"/>
          <w:color w:val="auto"/>
        </w:rPr>
      </w:pPr>
      <w:r>
        <w:rPr>
          <w:rFonts w:ascii="Times New Roman" w:cs="Times New Roman" w:eastAsia="Times New Roman" w:hAnsi="Times New Roman"/>
          <w:sz w:val="17"/>
          <w:szCs w:val="17"/>
          <w:color w:val="auto"/>
        </w:rPr>
        <w:t>The risks described under the heading “Risk Factors” in our Annual Report on Form 10-K for the fiscal year ended June 30, 2025 could materially and adversely affect our business, financial condition, results of operations, cash flows, future prospects, and the trading price of our Class A common stock. The risks and uncertainties described therein are not the only ones we face. Additional risks and uncertainties that we are unaware of or that we currently deem immaterial may also become important factors that adversely affect our business.</w:t>
      </w:r>
    </w:p>
    <w:p>
      <w:pPr>
        <w:spacing w:after="0" w:line="193" w:lineRule="exact"/>
        <w:rPr>
          <w:sz w:val="20"/>
          <w:szCs w:val="20"/>
          <w:color w:val="auto"/>
        </w:rPr>
      </w:pPr>
    </w:p>
    <w:p>
      <w:pPr>
        <w:ind w:firstLine="620"/>
        <w:spacing w:after="0" w:line="244" w:lineRule="auto"/>
        <w:rPr>
          <w:sz w:val="20"/>
          <w:szCs w:val="20"/>
          <w:color w:val="auto"/>
        </w:rPr>
      </w:pPr>
      <w:r>
        <w:rPr>
          <w:rFonts w:ascii="Times New Roman" w:cs="Times New Roman" w:eastAsia="Times New Roman" w:hAnsi="Times New Roman"/>
          <w:sz w:val="17"/>
          <w:szCs w:val="17"/>
          <w:color w:val="auto"/>
        </w:rPr>
        <w:t>You should carefully read and consider such risks, together with all of the other information in our Annual Report on Form 10-K for the fiscal year ended June 30, 2025, in this Quarterly Report on Form 10-Q (including the disclosures in the section titled “Management’s Discussion and Analysis of Financial Condition and Results of Operations” and in our interim condensed consolidated financial statements and related notes), and in the other documents that we file with the SEC.</w:t>
      </w:r>
    </w:p>
    <w:p>
      <w:pPr>
        <w:spacing w:after="0" w:line="213"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There have been no material changes from the risk factors previously disclosed under the heading “Risk Factors” in our Annual Report on Form 10-K for the fiscal year ended June 30,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78" w:name="page79"/>
    <w:bookmarkEnd w:id="78"/>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42" w:lineRule="exact"/>
        <w:rPr>
          <w:sz w:val="20"/>
          <w:szCs w:val="20"/>
          <w:color w:val="auto"/>
        </w:rPr>
      </w:pPr>
    </w:p>
    <w:p>
      <w:pPr>
        <w:ind w:left="400" w:hanging="397"/>
        <w:spacing w:after="0"/>
        <w:tabs>
          <w:tab w:leader="none" w:pos="4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Rule 10b5-1 Trading Plans</w:t>
      </w:r>
    </w:p>
    <w:p>
      <w:pPr>
        <w:spacing w:after="0" w:line="250" w:lineRule="exact"/>
        <w:rPr>
          <w:sz w:val="20"/>
          <w:szCs w:val="20"/>
          <w:color w:val="auto"/>
        </w:rPr>
      </w:pPr>
    </w:p>
    <w:p>
      <w:pPr>
        <w:ind w:right="200" w:firstLine="620"/>
        <w:spacing w:after="0" w:line="288" w:lineRule="auto"/>
        <w:rPr>
          <w:sz w:val="20"/>
          <w:szCs w:val="20"/>
          <w:color w:val="auto"/>
        </w:rPr>
      </w:pPr>
      <w:r>
        <w:rPr>
          <w:rFonts w:ascii="Times New Roman" w:cs="Times New Roman" w:eastAsia="Times New Roman" w:hAnsi="Times New Roman"/>
          <w:sz w:val="17"/>
          <w:szCs w:val="17"/>
          <w:color w:val="auto"/>
        </w:rPr>
        <w:t>During the three months ended September 30, 2025, the following directors and officers of the Company adopted or terminated a “Rule 10b5-1 trading arrangement” or “non-Rule 10b5-1 trading arrangement,” as each term is defined in Item 408(a) of Regulation S-K, as follows:</w:t>
      </w:r>
    </w:p>
    <w:p>
      <w:pPr>
        <w:spacing w:after="0" w:line="177"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On September 12, 2025, Katherine Adkins, our Chief Legal Officer and Chief Compliance Officer, adopted a Rule 10b5-1 trading arrangement providing for the sale of the Company's Class A common stock (a “Rule 10b5-1 Trading Plan”) that is intended to satisfy the affirmative defense conditions of Exchange Act Rule 10b5-1(c). Ms. Adkins’ Rule 10b5-1 Trading Plan provides for the exercise of up to 119,037 employee stock options and the sale of the underlying shares of our Class A common stock pursuant to one or more limit orders on or after December 12, 2025 until June 30, 2026, or earlier if all transactions under the trading arrangement are completed.</w:t>
      </w:r>
    </w:p>
    <w:p>
      <w:pPr>
        <w:spacing w:after="0" w:line="199" w:lineRule="exact"/>
        <w:rPr>
          <w:sz w:val="20"/>
          <w:szCs w:val="20"/>
          <w:color w:val="auto"/>
        </w:rPr>
      </w:pPr>
    </w:p>
    <w:p>
      <w:pPr>
        <w:ind w:right="60" w:firstLine="620"/>
        <w:spacing w:after="0" w:line="270" w:lineRule="auto"/>
        <w:rPr>
          <w:sz w:val="20"/>
          <w:szCs w:val="20"/>
          <w:color w:val="auto"/>
        </w:rPr>
      </w:pPr>
      <w:r>
        <w:rPr>
          <w:rFonts w:ascii="Times New Roman" w:cs="Times New Roman" w:eastAsia="Times New Roman" w:hAnsi="Times New Roman"/>
          <w:sz w:val="17"/>
          <w:szCs w:val="17"/>
          <w:color w:val="auto"/>
        </w:rPr>
        <w:t>On September 15, 2025, Siphelele Jiyane, our Chief Accounting Officer, adopted a Rule 10b5-1 Trading Plan. Ms. Jiyane’s Rule 10b5-1 Trading Plan provides for the sale of up to 72,086 shares of our Class A common stock pursuant to one or more limit orders on or after December 15, 2025 until June 30, 2026, or earlier if all transactions under the trading arrangement are completed.</w:t>
      </w:r>
    </w:p>
    <w:p>
      <w:pPr>
        <w:spacing w:after="0" w:line="193" w:lineRule="exact"/>
        <w:rPr>
          <w:sz w:val="20"/>
          <w:szCs w:val="20"/>
          <w:color w:val="auto"/>
        </w:rPr>
      </w:pPr>
    </w:p>
    <w:p>
      <w:pPr>
        <w:ind w:right="20" w:firstLine="620"/>
        <w:spacing w:after="0" w:line="288" w:lineRule="auto"/>
        <w:rPr>
          <w:sz w:val="20"/>
          <w:szCs w:val="20"/>
          <w:color w:val="auto"/>
        </w:rPr>
      </w:pPr>
      <w:r>
        <w:rPr>
          <w:rFonts w:ascii="Times New Roman" w:cs="Times New Roman" w:eastAsia="Times New Roman" w:hAnsi="Times New Roman"/>
          <w:sz w:val="17"/>
          <w:szCs w:val="17"/>
          <w:color w:val="auto"/>
        </w:rPr>
        <w:t>No other directors or officers, as defined in Rule 16a-1(f), adopted and/or terminated a “Rule 10b5-1 trading arrangement” or a “non-Rule 10b5-1 trading arrangement,” as defined in Regulation S-K Item 408, during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9" w:name="page80"/>
    <w:bookmarkEnd w:id="79"/>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p>
      <w:pPr>
        <w:spacing w:after="0" w:line="298" w:lineRule="exact"/>
        <w:rPr>
          <w:sz w:val="20"/>
          <w:szCs w:val="20"/>
          <w:color w:val="auto"/>
        </w:rPr>
      </w:pPr>
    </w:p>
    <w:tbl>
      <w:tblPr>
        <w:tblLayout w:type="fixed"/>
        <w:tblInd w:w="160" w:type="dxa"/>
        <w:tblCellMar>
          <w:top w:w="0" w:type="dxa"/>
          <w:left w:w="0" w:type="dxa"/>
          <w:bottom w:w="0" w:type="dxa"/>
          <w:right w:w="0" w:type="dxa"/>
        </w:tblCellMar>
      </w:tblPr>
      <w:tr>
        <w:trPr>
          <w:trHeight w:val="183"/>
        </w:trPr>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6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w w:val="99"/>
              </w:rPr>
              <w:t>Incorporated by Reference</w:t>
            </w:r>
          </w:p>
        </w:tc>
        <w:tc>
          <w:tcPr>
            <w:tcW w:w="940" w:type="dxa"/>
            <w:vAlign w:val="bottom"/>
          </w:tcPr>
          <w:p>
            <w:pPr>
              <w:spacing w:after="0"/>
              <w:rPr>
                <w:sz w:val="15"/>
                <w:szCs w:val="15"/>
                <w:color w:val="auto"/>
              </w:rPr>
            </w:pPr>
          </w:p>
        </w:tc>
      </w:tr>
      <w:tr>
        <w:trPr>
          <w:trHeight w:val="179"/>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6"/>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gridSpan w:val="9"/>
          </w:tcPr>
          <w:p>
            <w:pPr>
              <w:jc w:val="right"/>
              <w:ind w:right="2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122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178"/>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8"/>
              </w:rPr>
              <w:t>10.1+</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Form of RSU Agreement pursuant to the Affirm Holdings, Inc. Amended and</w:t>
            </w: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35"/>
        </w:trPr>
        <w:tc>
          <w:tcPr>
            <w:tcW w:w="800" w:type="dxa"/>
            <w:vAlign w:val="bottom"/>
          </w:tcPr>
          <w:p>
            <w:pPr>
              <w:spacing w:after="0"/>
              <w:rPr>
                <w:sz w:val="11"/>
                <w:szCs w:val="11"/>
                <w:color w:val="auto"/>
              </w:rPr>
            </w:pPr>
          </w:p>
        </w:tc>
        <w:tc>
          <w:tcPr>
            <w:tcW w:w="4280" w:type="dxa"/>
            <w:vAlign w:val="bottom"/>
            <w:tcBorders>
              <w:top w:val="single" w:sz="8" w:color="0000FF"/>
            </w:tcBorders>
            <w:gridSpan w:val="7"/>
          </w:tcPr>
          <w:p>
            <w:pPr>
              <w:spacing w:after="0" w:line="135" w:lineRule="exact"/>
              <w:rPr>
                <w:sz w:val="20"/>
                <w:szCs w:val="20"/>
                <w:color w:val="auto"/>
              </w:rPr>
            </w:pPr>
            <w:r>
              <w:rPr>
                <w:rFonts w:ascii="Times New Roman" w:cs="Times New Roman" w:eastAsia="Times New Roman" w:hAnsi="Times New Roman"/>
                <w:sz w:val="14"/>
                <w:szCs w:val="14"/>
                <w:color w:val="0000FF"/>
              </w:rPr>
              <w:t>Restated 2012 Stock Plan</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0"/>
        </w:trPr>
        <w:tc>
          <w:tcPr>
            <w:tcW w:w="8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0"/>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8"/>
              </w:rPr>
              <w:t>10.2+</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Form of PSU Agreement pursuant to the Affirm Holdings, Inc. Amended and</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35"/>
        </w:trPr>
        <w:tc>
          <w:tcPr>
            <w:tcW w:w="800" w:type="dxa"/>
            <w:vAlign w:val="bottom"/>
          </w:tcPr>
          <w:p>
            <w:pPr>
              <w:spacing w:after="0"/>
              <w:rPr>
                <w:sz w:val="11"/>
                <w:szCs w:val="11"/>
                <w:color w:val="auto"/>
              </w:rPr>
            </w:pPr>
          </w:p>
        </w:tc>
        <w:tc>
          <w:tcPr>
            <w:tcW w:w="4260" w:type="dxa"/>
            <w:vAlign w:val="bottom"/>
            <w:tcBorders>
              <w:top w:val="single" w:sz="8" w:color="0000FF"/>
            </w:tcBorders>
            <w:gridSpan w:val="6"/>
          </w:tcPr>
          <w:p>
            <w:pPr>
              <w:spacing w:after="0" w:line="135" w:lineRule="exact"/>
              <w:rPr>
                <w:sz w:val="20"/>
                <w:szCs w:val="20"/>
                <w:color w:val="auto"/>
              </w:rPr>
            </w:pPr>
            <w:r>
              <w:rPr>
                <w:rFonts w:ascii="Times New Roman" w:cs="Times New Roman" w:eastAsia="Times New Roman" w:hAnsi="Times New Roman"/>
                <w:sz w:val="14"/>
                <w:szCs w:val="14"/>
                <w:color w:val="0000FF"/>
              </w:rPr>
              <w:t>Restated 2012 Stock Plan</w:t>
            </w:r>
          </w:p>
        </w:tc>
        <w:tc>
          <w:tcPr>
            <w:tcW w:w="1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00"/>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8"/>
              </w:rPr>
              <w:t>10.3+</w:t>
            </w:r>
          </w:p>
        </w:tc>
        <w:tc>
          <w:tcPr>
            <w:tcW w:w="110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4"/>
                <w:szCs w:val="14"/>
                <w:color w:val="0000FF"/>
                <w:w w:val="96"/>
              </w:rPr>
            </w:pPr>
            <w:hyperlink r:id="rId117">
              <w:r>
                <w:rPr>
                  <w:rFonts w:ascii="Times New Roman" w:cs="Times New Roman" w:eastAsia="Times New Roman" w:hAnsi="Times New Roman"/>
                  <w:sz w:val="14"/>
                  <w:szCs w:val="14"/>
                  <w:color w:val="0000FF"/>
                  <w:w w:val="96"/>
                </w:rPr>
                <w:t>Cash Incentive Plan</w:t>
              </w:r>
            </w:hyperlink>
          </w:p>
        </w:tc>
        <w:tc>
          <w:tcPr>
            <w:tcW w:w="300" w:type="dxa"/>
            <w:vAlign w:val="bottom"/>
            <w:tcBorders>
              <w:top w:val="single" w:sz="8" w:color="0000FF"/>
            </w:tcBorders>
            <w:gridSpan w:val="2"/>
          </w:tcPr>
          <w:p>
            <w:pPr>
              <w:spacing w:after="0"/>
              <w:rPr>
                <w:sz w:val="17"/>
                <w:szCs w:val="17"/>
                <w:color w:val="auto"/>
              </w:rPr>
            </w:pPr>
          </w:p>
        </w:tc>
        <w:tc>
          <w:tcPr>
            <w:tcW w:w="3340" w:type="dxa"/>
            <w:vAlign w:val="bottom"/>
            <w:gridSpan w:val="9"/>
          </w:tcPr>
          <w:p>
            <w:pPr>
              <w:spacing w:after="0"/>
              <w:rPr>
                <w:sz w:val="17"/>
                <w:szCs w:val="17"/>
                <w:color w:val="auto"/>
              </w:rPr>
            </w:pPr>
          </w:p>
        </w:tc>
        <w:tc>
          <w:tcPr>
            <w:tcW w:w="74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7"/>
              </w:rPr>
              <w:t>10-K</w:t>
            </w:r>
          </w:p>
        </w:tc>
        <w:tc>
          <w:tcPr>
            <w:tcW w:w="114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001-39888</w:t>
            </w:r>
          </w:p>
        </w:tc>
        <w:tc>
          <w:tcPr>
            <w:tcW w:w="1220" w:type="dxa"/>
            <w:vAlign w:val="bottom"/>
          </w:tcPr>
          <w:p>
            <w:pPr>
              <w:jc w:val="right"/>
              <w:ind w:right="471"/>
              <w:spacing w:after="0"/>
              <w:rPr>
                <w:sz w:val="20"/>
                <w:szCs w:val="20"/>
                <w:color w:val="auto"/>
              </w:rPr>
            </w:pPr>
            <w:r>
              <w:rPr>
                <w:rFonts w:ascii="Times New Roman" w:cs="Times New Roman" w:eastAsia="Times New Roman" w:hAnsi="Times New Roman"/>
                <w:sz w:val="14"/>
                <w:szCs w:val="14"/>
                <w:color w:val="auto"/>
              </w:rPr>
              <w:t>10.21</w:t>
            </w:r>
          </w:p>
        </w:tc>
        <w:tc>
          <w:tcPr>
            <w:tcW w:w="94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4"/>
              </w:rPr>
              <w:t>August 28, 2025</w:t>
            </w:r>
          </w:p>
        </w:tc>
      </w:tr>
      <w:tr>
        <w:trPr>
          <w:trHeight w:val="187"/>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8"/>
              </w:rPr>
              <w:t>10.4+</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Officer Severance Plan</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7"/>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31.1</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35"/>
        </w:trPr>
        <w:tc>
          <w:tcPr>
            <w:tcW w:w="800" w:type="dxa"/>
            <w:vAlign w:val="bottom"/>
          </w:tcPr>
          <w:p>
            <w:pPr>
              <w:spacing w:after="0"/>
              <w:rPr>
                <w:sz w:val="11"/>
                <w:szCs w:val="11"/>
                <w:color w:val="auto"/>
              </w:rPr>
            </w:pPr>
          </w:p>
        </w:tc>
        <w:tc>
          <w:tcPr>
            <w:tcW w:w="4480" w:type="dxa"/>
            <w:vAlign w:val="bottom"/>
            <w:tcBorders>
              <w:top w:val="single" w:sz="8" w:color="0000FF"/>
            </w:tcBorders>
            <w:gridSpan w:val="9"/>
          </w:tcPr>
          <w:p>
            <w:pPr>
              <w:spacing w:after="0" w:line="135" w:lineRule="exact"/>
              <w:rPr>
                <w:sz w:val="20"/>
                <w:szCs w:val="20"/>
                <w:color w:val="auto"/>
              </w:rPr>
            </w:pPr>
            <w:r>
              <w:rPr>
                <w:rFonts w:ascii="Times New Roman" w:cs="Times New Roman" w:eastAsia="Times New Roman" w:hAnsi="Times New Roman"/>
                <w:sz w:val="14"/>
                <w:szCs w:val="14"/>
                <w:color w:val="0000FF"/>
                <w:w w:val="95"/>
              </w:rPr>
              <w:t>14(a) under the Exchange Act, as Adopted Pursuant to Section 302 of the Sarbanes</w:t>
            </w:r>
          </w:p>
        </w:tc>
        <w:tc>
          <w:tcPr>
            <w:tcW w:w="260" w:type="dxa"/>
            <w:vAlign w:val="bottom"/>
            <w:gridSpan w:val="4"/>
          </w:tcPr>
          <w:p>
            <w:pPr>
              <w:jc w:val="right"/>
              <w:ind w:right="140"/>
              <w:spacing w:after="0" w:line="135" w:lineRule="exact"/>
              <w:rPr>
                <w:sz w:val="20"/>
                <w:szCs w:val="20"/>
                <w:color w:val="auto"/>
              </w:rPr>
            </w:pPr>
            <w:r>
              <w:rPr>
                <w:rFonts w:ascii="Times New Roman" w:cs="Times New Roman" w:eastAsia="Times New Roman" w:hAnsi="Times New Roman"/>
                <w:sz w:val="14"/>
                <w:szCs w:val="14"/>
                <w:color w:val="0000FF"/>
              </w:rPr>
              <w:t>-</w:t>
            </w: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8"/>
        </w:trPr>
        <w:tc>
          <w:tcPr>
            <w:tcW w:w="800" w:type="dxa"/>
            <w:vAlign w:val="bottom"/>
          </w:tcPr>
          <w:p>
            <w:pPr>
              <w:spacing w:after="0"/>
              <w:rPr>
                <w:sz w:val="12"/>
                <w:szCs w:val="12"/>
                <w:color w:val="auto"/>
              </w:rPr>
            </w:pPr>
          </w:p>
        </w:tc>
        <w:tc>
          <w:tcPr>
            <w:tcW w:w="102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4"/>
                <w:szCs w:val="14"/>
                <w:color w:val="0000FF"/>
                <w:w w:val="95"/>
              </w:rPr>
              <w:t>Oxley Act of 2002</w:t>
            </w:r>
          </w:p>
        </w:tc>
        <w:tc>
          <w:tcPr>
            <w:tcW w:w="3580" w:type="dxa"/>
            <w:vAlign w:val="bottom"/>
            <w:tcBorders>
              <w:top w:val="single" w:sz="8" w:color="0000FF"/>
            </w:tcBorders>
            <w:gridSpan w:val="11"/>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7"/>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31.2</w:t>
            </w:r>
          </w:p>
        </w:tc>
        <w:tc>
          <w:tcPr>
            <w:tcW w:w="44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7"/>
              </w:rPr>
              <w:t>Certification of Principal Financial Officer Pursuant to Rules 13a-14(a) and 15d-</w:t>
            </w:r>
          </w:p>
        </w:tc>
        <w:tc>
          <w:tcPr>
            <w:tcW w:w="300" w:type="dxa"/>
            <w:vAlign w:val="bottom"/>
            <w:gridSpan w:val="5"/>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35"/>
        </w:trPr>
        <w:tc>
          <w:tcPr>
            <w:tcW w:w="800" w:type="dxa"/>
            <w:vAlign w:val="bottom"/>
          </w:tcPr>
          <w:p>
            <w:pPr>
              <w:spacing w:after="0"/>
              <w:rPr>
                <w:sz w:val="11"/>
                <w:szCs w:val="11"/>
                <w:color w:val="auto"/>
              </w:rPr>
            </w:pPr>
          </w:p>
        </w:tc>
        <w:tc>
          <w:tcPr>
            <w:tcW w:w="4740" w:type="dxa"/>
            <w:vAlign w:val="bottom"/>
            <w:gridSpan w:val="13"/>
          </w:tcPr>
          <w:p>
            <w:pPr>
              <w:spacing w:after="0" w:line="135" w:lineRule="exact"/>
              <w:rPr>
                <w:sz w:val="20"/>
                <w:szCs w:val="20"/>
                <w:color w:val="auto"/>
              </w:rPr>
            </w:pPr>
            <w:r>
              <w:rPr>
                <w:rFonts w:ascii="Times New Roman" w:cs="Times New Roman" w:eastAsia="Times New Roman" w:hAnsi="Times New Roman"/>
                <w:sz w:val="14"/>
                <w:szCs w:val="14"/>
                <w:color w:val="0000FF"/>
              </w:rPr>
              <w:t>14(a) under the Exchange Act, as Adopted Pursuant to Section 302 of the Sarbanes-</w:t>
            </w: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8"/>
        </w:trPr>
        <w:tc>
          <w:tcPr>
            <w:tcW w:w="800" w:type="dxa"/>
            <w:vAlign w:val="bottom"/>
          </w:tcPr>
          <w:p>
            <w:pPr>
              <w:spacing w:after="0"/>
              <w:rPr>
                <w:sz w:val="12"/>
                <w:szCs w:val="12"/>
                <w:color w:val="auto"/>
              </w:rPr>
            </w:pPr>
          </w:p>
        </w:tc>
        <w:tc>
          <w:tcPr>
            <w:tcW w:w="1020" w:type="dxa"/>
            <w:vAlign w:val="bottom"/>
            <w:tcBorders>
              <w:top w:val="single" w:sz="8" w:color="0000FF"/>
              <w:bottom w:val="single" w:sz="8" w:color="0000FF"/>
            </w:tcBorders>
          </w:tcPr>
          <w:p>
            <w:pPr>
              <w:spacing w:after="0" w:line="148" w:lineRule="exact"/>
              <w:rPr>
                <w:sz w:val="20"/>
                <w:szCs w:val="20"/>
                <w:color w:val="auto"/>
              </w:rPr>
            </w:pPr>
            <w:r>
              <w:rPr>
                <w:rFonts w:ascii="Times New Roman" w:cs="Times New Roman" w:eastAsia="Times New Roman" w:hAnsi="Times New Roman"/>
                <w:sz w:val="14"/>
                <w:szCs w:val="14"/>
                <w:color w:val="0000FF"/>
                <w:w w:val="95"/>
              </w:rPr>
              <w:t>Oxley Act of 2002</w:t>
            </w:r>
          </w:p>
        </w:tc>
        <w:tc>
          <w:tcPr>
            <w:tcW w:w="3580" w:type="dxa"/>
            <w:vAlign w:val="bottom"/>
            <w:tcBorders>
              <w:top w:val="single" w:sz="8" w:color="0000FF"/>
            </w:tcBorders>
            <w:gridSpan w:val="11"/>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87"/>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32.1</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35"/>
        </w:trPr>
        <w:tc>
          <w:tcPr>
            <w:tcW w:w="800" w:type="dxa"/>
            <w:vAlign w:val="bottom"/>
          </w:tcPr>
          <w:p>
            <w:pPr>
              <w:spacing w:after="0"/>
              <w:rPr>
                <w:sz w:val="11"/>
                <w:szCs w:val="11"/>
                <w:color w:val="auto"/>
              </w:rPr>
            </w:pPr>
          </w:p>
        </w:tc>
        <w:tc>
          <w:tcPr>
            <w:tcW w:w="4560" w:type="dxa"/>
            <w:vAlign w:val="bottom"/>
            <w:tcBorders>
              <w:top w:val="single" w:sz="8" w:color="0000FF"/>
            </w:tcBorders>
            <w:gridSpan w:val="11"/>
          </w:tcPr>
          <w:p>
            <w:pPr>
              <w:spacing w:after="0" w:line="135"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18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0"/>
        </w:trPr>
        <w:tc>
          <w:tcPr>
            <w:tcW w:w="800" w:type="dxa"/>
            <w:vAlign w:val="bottom"/>
          </w:tcPr>
          <w:p>
            <w:pPr>
              <w:spacing w:after="0" w:line="20" w:lineRule="exact"/>
              <w:rPr>
                <w:sz w:val="1"/>
                <w:szCs w:val="1"/>
                <w:color w:val="auto"/>
              </w:rPr>
            </w:pPr>
          </w:p>
        </w:tc>
        <w:tc>
          <w:tcPr>
            <w:tcW w:w="3760" w:type="dxa"/>
            <w:vAlign w:val="bottom"/>
            <w:gridSpan w:val="5"/>
            <w:shd w:val="clear" w:color="auto" w:fill="0000FF"/>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0"/>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7"/>
              </w:rPr>
              <w:t>32.2</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35"/>
        </w:trPr>
        <w:tc>
          <w:tcPr>
            <w:tcW w:w="800" w:type="dxa"/>
            <w:vAlign w:val="bottom"/>
          </w:tcPr>
          <w:p>
            <w:pPr>
              <w:spacing w:after="0"/>
              <w:rPr>
                <w:sz w:val="11"/>
                <w:szCs w:val="11"/>
                <w:color w:val="auto"/>
              </w:rPr>
            </w:pPr>
          </w:p>
        </w:tc>
        <w:tc>
          <w:tcPr>
            <w:tcW w:w="4520" w:type="dxa"/>
            <w:vAlign w:val="bottom"/>
            <w:tcBorders>
              <w:top w:val="single" w:sz="8" w:color="0000FF"/>
            </w:tcBorders>
            <w:gridSpan w:val="10"/>
          </w:tcPr>
          <w:p>
            <w:pPr>
              <w:spacing w:after="0" w:line="135"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220" w:type="dxa"/>
            <w:vAlign w:val="bottom"/>
            <w:gridSpan w:val="3"/>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0"/>
        </w:trPr>
        <w:tc>
          <w:tcPr>
            <w:tcW w:w="800" w:type="dxa"/>
            <w:vAlign w:val="bottom"/>
          </w:tcPr>
          <w:p>
            <w:pPr>
              <w:spacing w:after="0" w:line="20" w:lineRule="exact"/>
              <w:rPr>
                <w:sz w:val="1"/>
                <w:szCs w:val="1"/>
                <w:color w:val="auto"/>
              </w:rPr>
            </w:pPr>
          </w:p>
        </w:tc>
        <w:tc>
          <w:tcPr>
            <w:tcW w:w="3760" w:type="dxa"/>
            <w:vAlign w:val="bottom"/>
            <w:gridSpan w:val="5"/>
            <w:shd w:val="clear" w:color="auto" w:fill="0000FF"/>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5"/>
        </w:trPr>
        <w:tc>
          <w:tcPr>
            <w:tcW w:w="80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w w:val="97"/>
              </w:rPr>
              <w:t>101.INS</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8"/>
        </w:trPr>
        <w:tc>
          <w:tcPr>
            <w:tcW w:w="800" w:type="dxa"/>
            <w:vAlign w:val="bottom"/>
          </w:tcPr>
          <w:p>
            <w:pPr>
              <w:spacing w:after="0"/>
              <w:rPr>
                <w:sz w:val="14"/>
                <w:szCs w:val="14"/>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 XBRL</w:t>
            </w: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9"/>
        </w:trPr>
        <w:tc>
          <w:tcPr>
            <w:tcW w:w="800" w:type="dxa"/>
            <w:vAlign w:val="bottom"/>
          </w:tcPr>
          <w:p>
            <w:pPr>
              <w:spacing w:after="0"/>
              <w:rPr>
                <w:sz w:val="15"/>
                <w:szCs w:val="15"/>
                <w:color w:val="auto"/>
              </w:rPr>
            </w:pP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document</w:t>
            </w: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7"/>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rPr>
              <w:t>101.SCH</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8"/>
              </w:rPr>
              <w:t>101.CAL</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80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w w:val="98"/>
              </w:rPr>
              <w:t>101.DEF</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800" w:type="dxa"/>
            <w:vAlign w:val="bottom"/>
          </w:tcPr>
          <w:p>
            <w:pPr>
              <w:jc w:val="center"/>
              <w:ind w:right="211"/>
              <w:spacing w:after="0"/>
              <w:rPr>
                <w:sz w:val="20"/>
                <w:szCs w:val="20"/>
                <w:color w:val="auto"/>
              </w:rPr>
            </w:pPr>
            <w:r>
              <w:rPr>
                <w:rFonts w:ascii="Times New Roman" w:cs="Times New Roman" w:eastAsia="Times New Roman" w:hAnsi="Times New Roman"/>
                <w:sz w:val="14"/>
                <w:szCs w:val="14"/>
                <w:color w:val="auto"/>
                <w:w w:val="98"/>
              </w:rPr>
              <w:t>101.LAB</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800" w:type="dxa"/>
            <w:vAlign w:val="bottom"/>
          </w:tcPr>
          <w:p>
            <w:pPr>
              <w:jc w:val="center"/>
              <w:ind w:right="191"/>
              <w:spacing w:after="0"/>
              <w:rPr>
                <w:sz w:val="20"/>
                <w:szCs w:val="20"/>
                <w:color w:val="auto"/>
              </w:rPr>
            </w:pPr>
            <w:r>
              <w:rPr>
                <w:rFonts w:ascii="Times New Roman" w:cs="Times New Roman" w:eastAsia="Times New Roman" w:hAnsi="Times New Roman"/>
                <w:sz w:val="14"/>
                <w:szCs w:val="14"/>
                <w:color w:val="auto"/>
                <w:w w:val="99"/>
              </w:rPr>
              <w:t>101.PRE</w:t>
            </w:r>
          </w:p>
        </w:tc>
        <w:tc>
          <w:tcPr>
            <w:tcW w:w="474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-3102610</wp:posOffset>
            </wp:positionV>
            <wp:extent cx="32162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8" w:lineRule="exact"/>
        <w:rPr>
          <w:sz w:val="20"/>
          <w:szCs w:val="20"/>
          <w:color w:val="auto"/>
        </w:rPr>
      </w:pPr>
    </w:p>
    <w:p>
      <w:pPr>
        <w:ind w:left="960" w:right="4560" w:hanging="640"/>
        <w:spacing w:after="0" w:line="257" w:lineRule="auto"/>
        <w:tabs>
          <w:tab w:leader="none" w:pos="9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120" w:lineRule="exact"/>
        <w:rPr>
          <w:sz w:val="20"/>
          <w:szCs w:val="20"/>
          <w:color w:val="auto"/>
        </w:rPr>
      </w:pPr>
    </w:p>
    <w:p>
      <w:pPr>
        <w:ind w:left="960" w:hanging="575"/>
        <w:spacing w:after="0"/>
        <w:tabs>
          <w:tab w:leader="none" w:pos="9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Herewith</w:t>
      </w:r>
    </w:p>
    <w:p>
      <w:pPr>
        <w:spacing w:after="0" w:line="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2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3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2">
            <w:col w:w="9780" w:space="720"/>
            <w:col w:w="540"/>
          </w:cols>
          <w:pgMar w:left="320" w:top="123" w:right="539" w:bottom="1440" w:gutter="0" w:footer="0" w:header="0"/>
        </w:sectPr>
      </w:pPr>
    </w:p>
    <w:bookmarkStart w:id="80" w:name="page81"/>
    <w:bookmarkEnd w:id="80"/>
    <w:p>
      <w:pPr>
        <w:ind w:left="6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ind w:firstLine="172"/>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95" w:lineRule="exact"/>
        <w:rPr>
          <w:sz w:val="20"/>
          <w:szCs w:val="20"/>
          <w:color w:val="auto"/>
        </w:rPr>
      </w:pPr>
    </w:p>
    <w:tbl>
      <w:tblPr>
        <w:tblLayout w:type="fixed"/>
        <w:tblInd w:w="1600" w:type="dxa"/>
        <w:tblCellMar>
          <w:top w:w="0" w:type="dxa"/>
          <w:left w:w="0" w:type="dxa"/>
          <w:bottom w:w="0" w:type="dxa"/>
          <w:right w:w="0" w:type="dxa"/>
        </w:tblCellMar>
      </w:tblPr>
      <w:tr>
        <w:trPr>
          <w:trHeight w:val="227"/>
        </w:trPr>
        <w:tc>
          <w:tcPr>
            <w:tcW w:w="2980" w:type="dxa"/>
            <w:vAlign w:val="bottom"/>
          </w:tcPr>
          <w:p>
            <w:pPr>
              <w:spacing w:after="0"/>
              <w:rPr>
                <w:sz w:val="19"/>
                <w:szCs w:val="19"/>
                <w:color w:val="auto"/>
              </w:rPr>
            </w:pPr>
          </w:p>
        </w:tc>
        <w:tc>
          <w:tcPr>
            <w:tcW w:w="5080" w:type="dxa"/>
            <w:vAlign w:val="bottom"/>
            <w:gridSpan w:val="2"/>
          </w:tcPr>
          <w:p>
            <w:pPr>
              <w:ind w:left="1260"/>
              <w:spacing w:after="0"/>
              <w:rPr>
                <w:sz w:val="20"/>
                <w:szCs w:val="20"/>
                <w:color w:val="auto"/>
              </w:rPr>
            </w:pPr>
            <w:r>
              <w:rPr>
                <w:rFonts w:ascii="Times New Roman" w:cs="Times New Roman" w:eastAsia="Times New Roman" w:hAnsi="Times New Roman"/>
                <w:sz w:val="17"/>
                <w:szCs w:val="17"/>
                <w:b w:val="1"/>
                <w:bCs w:val="1"/>
                <w:color w:val="auto"/>
              </w:rPr>
              <w:t>AFFIRM HOLDINGS, INC.</w:t>
            </w:r>
          </w:p>
        </w:tc>
      </w:tr>
      <w:tr>
        <w:trPr>
          <w:trHeight w:val="517"/>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6, 2025</w:t>
            </w:r>
          </w:p>
        </w:tc>
        <w:tc>
          <w:tcPr>
            <w:tcW w:w="182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By:</w:t>
            </w: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Max Levchin</w:t>
            </w:r>
          </w:p>
        </w:tc>
      </w:tr>
      <w:tr>
        <w:trPr>
          <w:trHeight w:val="239"/>
        </w:trPr>
        <w:tc>
          <w:tcPr>
            <w:tcW w:w="2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Max Levchin</w:t>
            </w:r>
          </w:p>
        </w:tc>
      </w:tr>
      <w:tr>
        <w:trPr>
          <w:trHeight w:val="258"/>
        </w:trPr>
        <w:tc>
          <w:tcPr>
            <w:tcW w:w="29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58"/>
        </w:trPr>
        <w:tc>
          <w:tcPr>
            <w:tcW w:w="29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517"/>
        </w:trPr>
        <w:tc>
          <w:tcPr>
            <w:tcW w:w="2980" w:type="dxa"/>
            <w:vAlign w:val="bottom"/>
          </w:tcPr>
          <w:p>
            <w:pPr>
              <w:spacing w:after="0"/>
              <w:rPr>
                <w:sz w:val="24"/>
                <w:szCs w:val="24"/>
                <w:color w:val="auto"/>
              </w:rPr>
            </w:pPr>
          </w:p>
        </w:tc>
        <w:tc>
          <w:tcPr>
            <w:tcW w:w="182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By:</w:t>
            </w: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Rob O’Hare</w:t>
            </w:r>
          </w:p>
        </w:tc>
      </w:tr>
      <w:tr>
        <w:trPr>
          <w:trHeight w:val="239"/>
        </w:trPr>
        <w:tc>
          <w:tcPr>
            <w:tcW w:w="2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 O’Hare</w:t>
            </w:r>
          </w:p>
        </w:tc>
      </w:tr>
      <w:tr>
        <w:trPr>
          <w:trHeight w:val="245"/>
        </w:trPr>
        <w:tc>
          <w:tcPr>
            <w:tcW w:w="29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3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0900"/>
          </w:cols>
          <w:pgMar w:left="320" w:top="123" w:right="67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AFFIRM HOLDINGS,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2012 STOCK PLAN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GLOBAL NOTICE OF RESTRICTED STOCK UNIT GRANT</w:t>
      </w:r>
    </w:p>
    <w:p>
      <w:pPr>
        <w:spacing w:after="0" w:line="224"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Affirm Holdings,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pursuant to the Affirm Holdings, Inc. Amended and Restated 2012 Stock Plan and any applicable sub-plan for a particular country, as applicable (together,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has granted to Grantee set forth below (“</w:t>
      </w:r>
      <w:r>
        <w:rPr>
          <w:rFonts w:ascii="Times New Roman" w:cs="Times New Roman" w:eastAsia="Times New Roman" w:hAnsi="Times New Roman"/>
          <w:sz w:val="21"/>
          <w:szCs w:val="21"/>
          <w:b w:val="1"/>
          <w:bCs w:val="1"/>
          <w:color w:val="auto"/>
        </w:rPr>
        <w:t>Grantee</w:t>
      </w:r>
      <w:r>
        <w:rPr>
          <w:rFonts w:ascii="Times New Roman" w:cs="Times New Roman" w:eastAsia="Times New Roman" w:hAnsi="Times New Roman"/>
          <w:sz w:val="21"/>
          <w:szCs w:val="21"/>
          <w:color w:val="auto"/>
        </w:rPr>
        <w:t>”), as of the date set forth below (the “</w:t>
      </w:r>
      <w:r>
        <w:rPr>
          <w:rFonts w:ascii="Times New Roman" w:cs="Times New Roman" w:eastAsia="Times New Roman" w:hAnsi="Times New Roman"/>
          <w:sz w:val="21"/>
          <w:szCs w:val="21"/>
          <w:b w:val="1"/>
          <w:bCs w:val="1"/>
          <w:color w:val="auto"/>
        </w:rPr>
        <w:t>Date of Grant</w:t>
      </w:r>
      <w:r>
        <w:rPr>
          <w:rFonts w:ascii="Times New Roman" w:cs="Times New Roman" w:eastAsia="Times New Roman" w:hAnsi="Times New Roman"/>
          <w:sz w:val="21"/>
          <w:szCs w:val="21"/>
          <w:color w:val="auto"/>
        </w:rPr>
        <w:t>”), a restricted stock unit award covering the number of units set forth below (the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1"/>
          <w:szCs w:val="21"/>
          <w:color w:val="auto"/>
        </w:rPr>
        <w:t>”), each of which represents one (1) share of the Company’s class A common stock (“</w:t>
      </w:r>
      <w:r>
        <w:rPr>
          <w:rFonts w:ascii="Times New Roman" w:cs="Times New Roman" w:eastAsia="Times New Roman" w:hAnsi="Times New Roman"/>
          <w:sz w:val="21"/>
          <w:szCs w:val="21"/>
          <w:b w:val="1"/>
          <w:bCs w:val="1"/>
          <w:color w:val="auto"/>
        </w:rPr>
        <w:t>Common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Stock</w:t>
      </w:r>
      <w:r>
        <w:rPr>
          <w:rFonts w:ascii="Times New Roman" w:cs="Times New Roman" w:eastAsia="Times New Roman" w:hAnsi="Times New Roman"/>
          <w:sz w:val="21"/>
          <w:szCs w:val="21"/>
          <w:color w:val="auto"/>
        </w:rPr>
        <w:t>” and the shares of Common Stock underlying the RSUs, the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The RSUs are subject to all of the terms and conditions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set forth in this Global Notice of Restricted Stock Unit Grant (the “</w:t>
      </w:r>
      <w:r>
        <w:rPr>
          <w:rFonts w:ascii="Times New Roman" w:cs="Times New Roman" w:eastAsia="Times New Roman" w:hAnsi="Times New Roman"/>
          <w:sz w:val="21"/>
          <w:szCs w:val="21"/>
          <w:b w:val="1"/>
          <w:bCs w:val="1"/>
          <w:color w:val="auto"/>
        </w:rPr>
        <w:t>Grant Notice</w:t>
      </w:r>
      <w:r>
        <w:rPr>
          <w:rFonts w:ascii="Times New Roman" w:cs="Times New Roman" w:eastAsia="Times New Roman" w:hAnsi="Times New Roman"/>
          <w:sz w:val="21"/>
          <w:szCs w:val="21"/>
          <w:color w:val="auto"/>
        </w:rPr>
        <w:t>”) and the Global Restricted Stock Unit Agreement, including the additional terms and conditions for certain countries, as set forth in the addendum attached thereto (the “</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and, together, the “</w:t>
      </w:r>
      <w:r>
        <w:rPr>
          <w:rFonts w:ascii="Times New Roman" w:cs="Times New Roman" w:eastAsia="Times New Roman" w:hAnsi="Times New Roman"/>
          <w:sz w:val="21"/>
          <w:szCs w:val="21"/>
          <w:b w:val="1"/>
          <w:bCs w:val="1"/>
          <w:color w:val="auto"/>
        </w:rPr>
        <w:t>RSU Agreement</w:t>
      </w:r>
      <w:r>
        <w:rPr>
          <w:rFonts w:ascii="Times New Roman" w:cs="Times New Roman" w:eastAsia="Times New Roman" w:hAnsi="Times New Roman"/>
          <w:sz w:val="21"/>
          <w:szCs w:val="21"/>
          <w:color w:val="auto"/>
        </w:rPr>
        <w:t>”) and the Plan, both of which are attached hereto and incorporated herein in their entirety. Capitalized terms not explicitly defined in this Grant Notice but defined in the Plan or the RSU Agreement will have the same definitions as in the Plan or the RSU Agreement. In the event of any conflict between the terms of the Grant Notice and the Plan, the terms of the Plan will control.</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Grantee:</w:t>
            </w:r>
          </w:p>
        </w:tc>
        <w:tc>
          <w:tcPr>
            <w:tcW w:w="646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«Name of Grantee»</w:t>
            </w:r>
          </w:p>
        </w:tc>
        <w:tc>
          <w:tcPr>
            <w:tcW w:w="0" w:type="dxa"/>
            <w:vAlign w:val="bottom"/>
          </w:tcPr>
          <w:p>
            <w:pPr>
              <w:spacing w:after="0"/>
              <w:rPr>
                <w:sz w:val="1"/>
                <w:szCs w:val="1"/>
                <w:color w:val="auto"/>
              </w:rPr>
            </w:pPr>
          </w:p>
        </w:tc>
      </w:tr>
      <w:tr>
        <w:trPr>
          <w:trHeight w:val="310"/>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Board Approval Date:</w:t>
            </w:r>
          </w:p>
        </w:tc>
        <w:tc>
          <w:tcPr>
            <w:tcW w:w="646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«Date of Board Approval»</w:t>
            </w:r>
          </w:p>
        </w:tc>
        <w:tc>
          <w:tcPr>
            <w:tcW w:w="0" w:type="dxa"/>
            <w:vAlign w:val="bottom"/>
          </w:tcPr>
          <w:p>
            <w:pPr>
              <w:spacing w:after="0"/>
              <w:rPr>
                <w:sz w:val="1"/>
                <w:szCs w:val="1"/>
                <w:color w:val="auto"/>
              </w:rPr>
            </w:pPr>
          </w:p>
        </w:tc>
      </w:tr>
      <w:tr>
        <w:trPr>
          <w:trHeight w:val="310"/>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Date of Grant:</w:t>
            </w:r>
          </w:p>
        </w:tc>
        <w:tc>
          <w:tcPr>
            <w:tcW w:w="646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«Date of Grant»</w:t>
            </w:r>
          </w:p>
        </w:tc>
        <w:tc>
          <w:tcPr>
            <w:tcW w:w="0" w:type="dxa"/>
            <w:vAlign w:val="bottom"/>
          </w:tcPr>
          <w:p>
            <w:pPr>
              <w:spacing w:after="0"/>
              <w:rPr>
                <w:sz w:val="1"/>
                <w:szCs w:val="1"/>
                <w:color w:val="auto"/>
              </w:rPr>
            </w:pPr>
          </w:p>
        </w:tc>
      </w:tr>
      <w:tr>
        <w:trPr>
          <w:trHeight w:val="310"/>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Total Number of Restricted Stock Units Granted:</w:t>
            </w:r>
          </w:p>
        </w:tc>
        <w:tc>
          <w:tcPr>
            <w:tcW w:w="646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«Total Shares»</w:t>
            </w:r>
          </w:p>
        </w:tc>
        <w:tc>
          <w:tcPr>
            <w:tcW w:w="0" w:type="dxa"/>
            <w:vAlign w:val="bottom"/>
          </w:tcPr>
          <w:p>
            <w:pPr>
              <w:spacing w:after="0"/>
              <w:rPr>
                <w:sz w:val="1"/>
                <w:szCs w:val="1"/>
                <w:color w:val="auto"/>
              </w:rPr>
            </w:pPr>
          </w:p>
        </w:tc>
      </w:tr>
      <w:tr>
        <w:trPr>
          <w:trHeight w:val="310"/>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Vesting Commencement Date:</w:t>
            </w:r>
          </w:p>
        </w:tc>
        <w:tc>
          <w:tcPr>
            <w:tcW w:w="6460" w:type="dxa"/>
            <w:vAlign w:val="bottom"/>
          </w:tcPr>
          <w:p>
            <w:pPr>
              <w:ind w:left="920"/>
              <w:spacing w:after="0"/>
              <w:rPr>
                <w:sz w:val="20"/>
                <w:szCs w:val="20"/>
                <w:color w:val="auto"/>
              </w:rPr>
            </w:pPr>
            <w:r>
              <w:rPr>
                <w:rFonts w:ascii="Times New Roman" w:cs="Times New Roman" w:eastAsia="Times New Roman" w:hAnsi="Times New Roman"/>
                <w:sz w:val="19"/>
                <w:szCs w:val="19"/>
                <w:color w:val="auto"/>
              </w:rPr>
              <w:t>«Vesting Commencement Date»</w:t>
            </w:r>
          </w:p>
        </w:tc>
        <w:tc>
          <w:tcPr>
            <w:tcW w:w="0" w:type="dxa"/>
            <w:vAlign w:val="bottom"/>
          </w:tcPr>
          <w:p>
            <w:pPr>
              <w:spacing w:after="0"/>
              <w:rPr>
                <w:sz w:val="1"/>
                <w:szCs w:val="1"/>
                <w:color w:val="auto"/>
              </w:rPr>
            </w:pPr>
          </w:p>
        </w:tc>
      </w:tr>
      <w:tr>
        <w:trPr>
          <w:trHeight w:val="310"/>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Vesting Schedule:</w:t>
            </w:r>
          </w:p>
        </w:tc>
        <w:tc>
          <w:tcPr>
            <w:tcW w:w="6460" w:type="dxa"/>
            <w:vAlign w:val="bottom"/>
            <w:vMerge w:val="restart"/>
          </w:tcPr>
          <w:p>
            <w:pPr>
              <w:ind w:left="960"/>
              <w:spacing w:after="0"/>
              <w:rPr>
                <w:sz w:val="20"/>
                <w:szCs w:val="20"/>
                <w:color w:val="auto"/>
              </w:rPr>
            </w:pPr>
            <w:r>
              <w:rPr>
                <w:rFonts w:ascii="Times New Roman" w:cs="Times New Roman" w:eastAsia="Times New Roman" w:hAnsi="Times New Roman"/>
                <w:sz w:val="19"/>
                <w:szCs w:val="19"/>
                <w:color w:val="auto"/>
              </w:rPr>
              <w:t>«Vesting Schedule»</w:t>
            </w:r>
          </w:p>
        </w:tc>
        <w:tc>
          <w:tcPr>
            <w:tcW w:w="0" w:type="dxa"/>
            <w:vAlign w:val="bottom"/>
          </w:tcPr>
          <w:p>
            <w:pPr>
              <w:spacing w:after="0"/>
              <w:rPr>
                <w:sz w:val="1"/>
                <w:szCs w:val="1"/>
                <w:color w:val="auto"/>
              </w:rPr>
            </w:pPr>
          </w:p>
        </w:tc>
      </w:tr>
      <w:tr>
        <w:trPr>
          <w:trHeight w:val="90"/>
        </w:trPr>
        <w:tc>
          <w:tcPr>
            <w:tcW w:w="4660" w:type="dxa"/>
            <w:vAlign w:val="bottom"/>
          </w:tcPr>
          <w:p>
            <w:pPr>
              <w:spacing w:after="0"/>
              <w:rPr>
                <w:sz w:val="7"/>
                <w:szCs w:val="7"/>
                <w:color w:val="auto"/>
              </w:rPr>
            </w:pPr>
          </w:p>
        </w:tc>
        <w:tc>
          <w:tcPr>
            <w:tcW w:w="6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4660" w:type="dxa"/>
            <w:vAlign w:val="bottom"/>
          </w:tcPr>
          <w:p>
            <w:pPr>
              <w:spacing w:after="0"/>
              <w:rPr>
                <w:sz w:val="24"/>
                <w:szCs w:val="24"/>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So long as Grantee’s Continuous Service Status does not terminate (and</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provided that no vesting shall occur following the date of such</w:t>
            </w: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termination), the RSUs shall vest in accordance with the vesting</w:t>
            </w: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schedule above. Each tranche of RSUs that vests, or is scheduled to</w:t>
            </w:r>
          </w:p>
        </w:tc>
        <w:tc>
          <w:tcPr>
            <w:tcW w:w="0" w:type="dxa"/>
            <w:vAlign w:val="bottom"/>
          </w:tcPr>
          <w:p>
            <w:pPr>
              <w:spacing w:after="0"/>
              <w:rPr>
                <w:sz w:val="1"/>
                <w:szCs w:val="1"/>
                <w:color w:val="auto"/>
              </w:rPr>
            </w:pPr>
          </w:p>
        </w:tc>
      </w:tr>
      <w:tr>
        <w:trPr>
          <w:trHeight w:val="220"/>
        </w:trPr>
        <w:tc>
          <w:tcPr>
            <w:tcW w:w="4660" w:type="dxa"/>
            <w:vAlign w:val="bottom"/>
          </w:tcPr>
          <w:p>
            <w:pPr>
              <w:spacing w:after="0"/>
              <w:rPr>
                <w:sz w:val="19"/>
                <w:szCs w:val="19"/>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vest, pursuant to this Grant Notice is hereby designated as a “separate</w:t>
            </w: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payment” for purposes of U.S. Treasury Regulation Section 1.409A-</w:t>
            </w: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1"/>
                <w:szCs w:val="21"/>
                <w:color w:val="auto"/>
              </w:rPr>
            </w:pPr>
          </w:p>
        </w:tc>
        <w:tc>
          <w:tcPr>
            <w:tcW w:w="64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2(b)(2).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1" w:right="339" w:bottom="1440" w:gutter="0" w:footer="0" w:header="0"/>
        </w:sectPr>
      </w:pPr>
    </w:p>
    <w:bookmarkStart w:id="82" w:name="page83"/>
    <w:bookmarkEnd w:id="82"/>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Acceleration (for employees at the SVP level or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[Vesting Acceleration (for employees below the SVP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Issuance Schedule:</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9"/>
          <w:szCs w:val="19"/>
          <w:color w:val="auto"/>
        </w:rPr>
        <w:t>[If, within the three (3) months prior to or twelve (12) months following the occurrence of a Change in Control, Grantee’s Continuous Service Status is terminated by the Company without Cause (other than due to Grantee’s death or Disability) or Grantee resigns for Good Reason, then one hundred percent (100%) of the remaining unvested RSUs granted hereunder shall immediately vest pursuant to and in accordance with the terms of the Company’s Officer Severance Plan. Furthermore, if Grantee’s Continuous Service Status is terminated due to Grantee’s death or Disability, then Grantee shall receive twelve (12) months of accelerated vesting with respect to the then-unvested RSUs granted hereunder pursuant to and in accordance with the terms set forth in the RSU Agreement.]</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[If, within the three (3) months prior to or twelve (12) months following the occurrence of a Change in Control, Grantee’s Continuous Service Status is terminated by the Company without Cause (other than due to Grantee’s death or Disability), then one hundred percent (100%) of the remaining unvested RSUs granted hereunder shall immediately vest pursuant to and in accordance with the terms of the Company’s Employee Severance Plan. Furthermore, if Grantee’s Continuous Service Status is terminated due to Grantee’s death or Disability, then Grantee shall receive twelve (12) months of accelerated vesting with respect to the then-unvested RSUs granted hereunder pursuant to and in accordance with the terms set forth in the RSU Agreement.]</w:t>
      </w: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Upon vesting, RSUs shall be settled in Shares on a date determined by the Company, in its sole and absolute discretion (but in no event later than two and one-half (2 ½) months after the end of the year in which the vesting date occurs).</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Further, notwithstanding anything stated herein, in the RSU Agreement, the Plan or any other agreement applicable to the RSUs, the Company shall have the discretion to settle the RSUs prior to the time set forth herein to the extent permitted by U.S. Treasury Regulation Section 1.409A-3(j)(4).</w:t>
      </w:r>
    </w:p>
    <w:p>
      <w:pPr>
        <w:spacing w:after="0" w:line="200" w:lineRule="exact"/>
        <w:rPr>
          <w:sz w:val="20"/>
          <w:szCs w:val="20"/>
          <w:color w:val="auto"/>
        </w:rPr>
      </w:pPr>
    </w:p>
    <w:p>
      <w:pPr>
        <w:sectPr>
          <w:pgSz w:w="11900" w:h="16838" w:orient="portrait"/>
          <w:cols w:equalWidth="0" w:num="2">
            <w:col w:w="5000" w:space="620"/>
            <w:col w:w="5500"/>
          </w:cols>
          <w:pgMar w:left="380" w:top="14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20"/>
          </w:cols>
          <w:pgMar w:left="380" w:top="1411" w:right="399" w:bottom="1440" w:gutter="0" w:footer="0" w:header="0"/>
          <w:type w:val="continuous"/>
        </w:sectPr>
      </w:pPr>
    </w:p>
    <w:bookmarkStart w:id="83" w:name="page84"/>
    <w:bookmarkEnd w:id="83"/>
    <w:p>
      <w:pPr>
        <w:spacing w:after="0" w:line="135" w:lineRule="exact"/>
        <w:rPr>
          <w:sz w:val="20"/>
          <w:szCs w:val="20"/>
          <w:color w:val="auto"/>
        </w:rPr>
      </w:pPr>
    </w:p>
    <w:p>
      <w:pPr>
        <w:jc w:val="both"/>
        <w:ind w:firstLine="620"/>
        <w:spacing w:after="0" w:line="253" w:lineRule="auto"/>
        <w:rPr>
          <w:sz w:val="20"/>
          <w:szCs w:val="20"/>
          <w:color w:val="auto"/>
        </w:rPr>
      </w:pPr>
      <w:r>
        <w:rPr>
          <w:rFonts w:ascii="Times New Roman" w:cs="Times New Roman" w:eastAsia="Times New Roman" w:hAnsi="Times New Roman"/>
          <w:sz w:val="21"/>
          <w:szCs w:val="21"/>
          <w:color w:val="auto"/>
        </w:rPr>
        <w:t>By your signature and the signature of the Company’s representative below, or by your acceptance of the RSU Agreement via the Company’s designated electronic acceptance procedures, you and the Company agree that (i) the RSUs are granted under and governed by the terms and conditions of the Affirm Holdings, Inc. Amended and Restated 2012 Stock Plan and the RSU Agreement, both of which are attached and made a part of this document and (ii) the RSUs granted hereby are in full satisfaction of any promise of a grant of restricted stock units to you as may be set forth in an offer letter (or similar agreement) between you and the Company.</w:t>
      </w:r>
    </w:p>
    <w:p>
      <w:pPr>
        <w:spacing w:after="0" w:line="174"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In addition, you agree and acknowledge that your rights to any Shares upon the settlement of the RSUs will be received only when the RSUs vest, that the grant of the RSUs is not as consideration for services you rendered to the Company prior to your Vesting Commencement Date, and that nothing in this Grant Notice or the attached documents should be interpreted as forming or amending an employment or service contract with the Company or any Parent, Subsidiary or Affiliate or confers upon you any right to continue your employment or consulting relationship with the Company or any Parent, Subsidiary or Affiliate for any period of time, nor does it interfere in any way with your right or the right of the Company or any Parent, Subsidiary or Affiliate to terminate that relationship at any time, for any reason, with or without cause.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551815</wp:posOffset>
            </wp:positionV>
            <wp:extent cx="6565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-13335</wp:posOffset>
            </wp:positionV>
            <wp:extent cx="6565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-13335</wp:posOffset>
            </wp:positionV>
            <wp:extent cx="6565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554355</wp:posOffset>
            </wp:positionV>
            <wp:extent cx="6565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-13335</wp:posOffset>
            </wp:positionV>
            <wp:extent cx="6565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139"/>
          </w:cols>
          <w:pgMar w:left="320" w:top="1440" w:right="1440" w:bottom="1440" w:gutter="0" w:footer="0" w:header="0"/>
        </w:sectPr>
      </w:pPr>
    </w:p>
    <w:bookmarkStart w:id="85" w:name="page86"/>
    <w:bookmarkEnd w:id="85"/>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AFFIRM HOLDINGS,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2012 AMENDED AND RESTATED STOCK PLAN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GLOBAL RESTRICTED STOCK UNIT AWARD AGREEMENT</w:t>
      </w:r>
    </w:p>
    <w:p>
      <w:pPr>
        <w:spacing w:after="0" w:line="224"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Pursuant to your Global Notice of Restricted Stock Unit Grant (the “</w:t>
      </w:r>
      <w:r>
        <w:rPr>
          <w:rFonts w:ascii="Times New Roman" w:cs="Times New Roman" w:eastAsia="Times New Roman" w:hAnsi="Times New Roman"/>
          <w:sz w:val="21"/>
          <w:szCs w:val="21"/>
          <w:b w:val="1"/>
          <w:bCs w:val="1"/>
          <w:color w:val="auto"/>
        </w:rPr>
        <w:t>Grant Notice</w:t>
      </w:r>
      <w:r>
        <w:rPr>
          <w:rFonts w:ascii="Times New Roman" w:cs="Times New Roman" w:eastAsia="Times New Roman" w:hAnsi="Times New Roman"/>
          <w:sz w:val="21"/>
          <w:szCs w:val="21"/>
          <w:color w:val="auto"/>
        </w:rPr>
        <w:t>”) and this Global Restricted Stock Unit Agreement, including the additional terms and conditions for certain countries, as set forth in the addendum attached hereto (the “</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and, together,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Affirm Holdings,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granted you (“</w:t>
      </w:r>
      <w:r>
        <w:rPr>
          <w:rFonts w:ascii="Times New Roman" w:cs="Times New Roman" w:eastAsia="Times New Roman" w:hAnsi="Times New Roman"/>
          <w:sz w:val="21"/>
          <w:szCs w:val="21"/>
          <w:b w:val="1"/>
          <w:bCs w:val="1"/>
          <w:color w:val="auto"/>
        </w:rPr>
        <w:t>Grantee</w:t>
      </w:r>
      <w:r>
        <w:rPr>
          <w:rFonts w:ascii="Times New Roman" w:cs="Times New Roman" w:eastAsia="Times New Roman" w:hAnsi="Times New Roman"/>
          <w:sz w:val="21"/>
          <w:szCs w:val="21"/>
          <w:color w:val="auto"/>
        </w:rPr>
        <w:t>”), as of the Date of Grant set forth in the Grant Notice, a restricted stock unit award covering the number of units set forth in your Grant Notice (the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1"/>
          <w:szCs w:val="21"/>
          <w:color w:val="auto"/>
        </w:rPr>
        <w:t>”), each of which represents one (1) share of the Company’s class A common stock (“</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and the shares of Common Stock underlying the RSUs, the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pursuant to the Company’s Amended and Restated 2012 Stock Plan and any applicable sub-plan for a particular country (together,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spacing w:after="0" w:line="174" w:lineRule="exact"/>
        <w:rPr>
          <w:sz w:val="20"/>
          <w:szCs w:val="20"/>
          <w:color w:val="auto"/>
        </w:rPr>
      </w:pPr>
    </w:p>
    <w:p>
      <w:pPr>
        <w:jc w:val="both"/>
        <w:ind w:firstLine="624"/>
        <w:spacing w:after="0" w:line="265" w:lineRule="auto"/>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Stockholder Rights</w:t>
      </w:r>
      <w:r>
        <w:rPr>
          <w:rFonts w:ascii="Times New Roman" w:cs="Times New Roman" w:eastAsia="Times New Roman" w:hAnsi="Times New Roman"/>
          <w:sz w:val="21"/>
          <w:szCs w:val="21"/>
          <w:color w:val="auto"/>
        </w:rPr>
        <w:t>. Unless and until such time as Shares are issued pursuant to this Agreement in settlement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vested RSUs, Grantee shall have no ownership of the Shares allocated to the RSUs, including, without limitation, no right to dividends (or dividend equivalents) or to vote such Shares.</w:t>
      </w:r>
    </w:p>
    <w:p>
      <w:pPr>
        <w:spacing w:after="0" w:line="156" w:lineRule="exact"/>
        <w:rPr>
          <w:rFonts w:ascii="Times New Roman" w:cs="Times New Roman" w:eastAsia="Times New Roman" w:hAnsi="Times New Roman"/>
          <w:sz w:val="21"/>
          <w:szCs w:val="21"/>
          <w:color w:val="auto"/>
        </w:rPr>
      </w:pPr>
    </w:p>
    <w:p>
      <w:pPr>
        <w:jc w:val="both"/>
        <w:ind w:firstLine="624"/>
        <w:spacing w:after="0" w:line="248" w:lineRule="auto"/>
        <w:tabs>
          <w:tab w:leader="none" w:pos="12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color w:val="auto"/>
        </w:rPr>
        <w:t>. Except as otherwise provided in the Plan or the Grant Notice, if Grantee’s Continuous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Service Status terminates at any time for any reason (other than due to Grantee’s death or Disability), all RSUs for which vesting is no longer possible under the terms of the Grant Notice and this Agreement shall be forfeited to the Company on the date of such termination of Continuous Service Status, and all rights of Grantee to such RSUs shall immediately terminate at such time. If Grantee’s Continuous Service Status terminates due to death or Disability, Grantee shall receive twelve (12) months of accelerated vesting with respect to the then-unvested RSUs granted pursuant to and in accordance with the terms under this Agreement. For purposes of the RSUs, Grantee’s Continuous Service Status will be considered terminated as of the date Grantee is no longer actively providing services to the Company or, if different, Grantee’s employer (the “</w:t>
      </w:r>
      <w:r>
        <w:rPr>
          <w:rFonts w:ascii="Times New Roman" w:cs="Times New Roman" w:eastAsia="Times New Roman" w:hAnsi="Times New Roman"/>
          <w:sz w:val="21"/>
          <w:szCs w:val="21"/>
          <w:b w:val="1"/>
          <w:bCs w:val="1"/>
          <w:color w:val="auto"/>
        </w:rPr>
        <w:t>Employer</w:t>
      </w:r>
      <w:r>
        <w:rPr>
          <w:rFonts w:ascii="Times New Roman" w:cs="Times New Roman" w:eastAsia="Times New Roman" w:hAnsi="Times New Roman"/>
          <w:sz w:val="21"/>
          <w:szCs w:val="21"/>
          <w:color w:val="auto"/>
        </w:rPr>
        <w:t>”) (regardless of the reason for such termination and whether or not later found to be invalid or in breach of employment laws in the jurisdiction where Grantee is providing services or the terms of Grantee’s employment or service agreement, if any). Further, unless otherwise approved by the Company, Grantee’s right to vest in the RSUs will terminate as of such date and will not be extended by any contractual notice period or any period of “garden leave” or similar notice period mandated under employment laws in the jurisdiction where Grantee is employed or the terms of Grantee’s employment agreement, if any. The Board shall have the exclusive discretion to determine when Grantee is no longer actively providing services for purposes of Grantee’s RSUs (including whether Grantee may still be considered to be providing services while on a leave of absence).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3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Grantee is not entitled to pro-rata vesting of any Shares if Grantee is employed for only a portion of the vesting period, but no longer employed on the respective vesting date.</w:t>
      </w:r>
    </w:p>
    <w:p>
      <w:pPr>
        <w:spacing w:after="0" w:line="150" w:lineRule="exact"/>
        <w:rPr>
          <w:sz w:val="20"/>
          <w:szCs w:val="20"/>
          <w:color w:val="auto"/>
        </w:rPr>
      </w:pPr>
    </w:p>
    <w:p>
      <w:pPr>
        <w:jc w:val="both"/>
        <w:ind w:firstLine="624"/>
        <w:spacing w:after="0" w:line="258" w:lineRule="auto"/>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Issuance of Shares of Stock</w:t>
      </w:r>
      <w:r>
        <w:rPr>
          <w:rFonts w:ascii="Times New Roman" w:cs="Times New Roman" w:eastAsia="Times New Roman" w:hAnsi="Times New Roman"/>
          <w:sz w:val="21"/>
          <w:szCs w:val="21"/>
          <w:color w:val="auto"/>
        </w:rPr>
        <w:t>. As soon as practicable following each vesting date (but in no event later than two and one-half (2 ½) months after the end of the year in which the vesting date occurs), the Company shall issue to Grantee the number of Shares equal to the aggregate number of RSUs that have vested pursuant to Grant Notice on such date and Grantee shall thereafter have all the rights of a stockholder of the Company with respect to such shares.</w:t>
      </w:r>
    </w:p>
    <w:p>
      <w:pPr>
        <w:spacing w:after="0" w:line="163" w:lineRule="exact"/>
        <w:rPr>
          <w:rFonts w:ascii="Times New Roman" w:cs="Times New Roman" w:eastAsia="Times New Roman" w:hAnsi="Times New Roman"/>
          <w:sz w:val="21"/>
          <w:szCs w:val="21"/>
          <w:color w:val="auto"/>
        </w:rPr>
      </w:pPr>
    </w:p>
    <w:p>
      <w:pPr>
        <w:jc w:val="both"/>
        <w:ind w:firstLine="624"/>
        <w:spacing w:after="0" w:line="265" w:lineRule="auto"/>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Agreement shall be subject to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governed by all the terms and conditions of the Plan, including the powers of the Administrator set forth in Section 4 of the Plan. Capitalized terms in this Agreement shall have the meaning specified in the Plan, unless a different meaning is specified herein.</w:t>
      </w:r>
    </w:p>
    <w:p>
      <w:pPr>
        <w:spacing w:after="0" w:line="130"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Responsibility for Taxes</w:t>
      </w:r>
      <w:r>
        <w:rPr>
          <w:rFonts w:ascii="Times New Roman" w:cs="Times New Roman" w:eastAsia="Times New Roman" w:hAnsi="Times New Roman"/>
          <w:sz w:val="21"/>
          <w:szCs w:val="21"/>
          <w:color w:val="auto"/>
        </w:rPr>
        <w:t>.</w:t>
      </w:r>
    </w:p>
    <w:p>
      <w:pPr>
        <w:spacing w:after="0" w:line="201" w:lineRule="exact"/>
        <w:rPr>
          <w:rFonts w:ascii="Times New Roman" w:cs="Times New Roman" w:eastAsia="Times New Roman" w:hAnsi="Times New Roman"/>
          <w:sz w:val="21"/>
          <w:szCs w:val="21"/>
          <w:color w:val="auto"/>
        </w:rPr>
      </w:pPr>
    </w:p>
    <w:p>
      <w:pPr>
        <w:jc w:val="both"/>
        <w:ind w:firstLine="1244"/>
        <w:spacing w:after="0" w:line="248" w:lineRule="auto"/>
        <w:tabs>
          <w:tab w:leader="none" w:pos="1857"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condition to the grant, vesting, and settlement of the RSUs, Grantee acknowledges that, regardless of any action taken by the Company or the Employer, the ultimate liability for all income tax, social security contributions, social insurance, payroll tax, fringe benefits tax, payment on account or other tax-related items (or any equivalent or similar taxes, contributions or other relevant tax-related items in any relevant jurisdiction and including any employer's social security contributions or other liability to the extent such amounts may be lawfully recovered from Grantee) or required deductions, withholdings or payments legally applicable to Grantee and related to the receipt, vesting or settlement of the RSUs, the issuance or subsequent sale of the Shares allocated to the RSUs, or the participation in the Plan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is and remains Grantee’s responsibility and may exceed the amount actually withheld by the Company or the Employer. Grantee further acknowledges and agrees that Grantee is solely responsible for filing all relevant documentation that may be required in relation to the RSUs or any Tax-Related Items (other than filings or documentation that is the specific obligation of the Company, its Parent, Subsidiaries or Affiliates (the “</w:t>
      </w:r>
      <w:r>
        <w:rPr>
          <w:rFonts w:ascii="Times New Roman" w:cs="Times New Roman" w:eastAsia="Times New Roman" w:hAnsi="Times New Roman"/>
          <w:sz w:val="21"/>
          <w:szCs w:val="21"/>
          <w:b w:val="1"/>
          <w:bCs w:val="1"/>
          <w:color w:val="auto"/>
        </w:rPr>
        <w:t>Company Group</w:t>
      </w:r>
      <w:r>
        <w:rPr>
          <w:rFonts w:ascii="Times New Roman" w:cs="Times New Roman" w:eastAsia="Times New Roman" w:hAnsi="Times New Roman"/>
          <w:sz w:val="21"/>
          <w:szCs w:val="21"/>
          <w:color w:val="auto"/>
        </w:rPr>
        <w:t>”) pursuant to Applicable Laws), such as, but not limited to, personal income tax returns or reporting statements in relation to the receipt, vesting or settlement of the RSUs, the issuance of the Shares allocated to the RSUs, the holding of Shares or any bank or brokerage account, the subsequent sale of Shares, and the receipt of any dividends.</w:t>
      </w:r>
    </w:p>
    <w:p>
      <w:pPr>
        <w:spacing w:after="0" w:line="180" w:lineRule="exact"/>
        <w:rPr>
          <w:rFonts w:ascii="Times New Roman" w:cs="Times New Roman" w:eastAsia="Times New Roman" w:hAnsi="Times New Roman"/>
          <w:sz w:val="21"/>
          <w:szCs w:val="21"/>
          <w:color w:val="auto"/>
        </w:rPr>
      </w:pPr>
    </w:p>
    <w:p>
      <w:pPr>
        <w:jc w:val="both"/>
        <w:ind w:firstLine="1244"/>
        <w:spacing w:after="0" w:line="250" w:lineRule="auto"/>
        <w:tabs>
          <w:tab w:leader="none" w:pos="1856"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further acknowledges that the Company and/or the Employer: (i) make no representations or undertakings regarding the treatment of any Tax-Related Items in connection with any aspect of the RSUs, including, but not limited to, the receipt, vesting or settlement of the RSUs, the issuance or subsequent sale of the Shares allocated to the RSUs and the receipt of any dividends; and (ii) do not commit to and are under no obligation to structure the terms of the grant or any aspect of the RSUs to reduce or eliminate Grantee’s liability for Tax-Related Items or achieve any particular tax result. Grantee also understands that Applicable Laws may require varying RSU or Share valuation methods for purposes of calculating Tax-Related Items, and the Company assumes no responsibility or liability in relation to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valuation or for any calculation or reporting of income or Tax-Related Items that may be required of Grantee under Applicable Laws.</w:t>
      </w:r>
    </w:p>
    <w:p>
      <w:pPr>
        <w:spacing w:after="0" w:line="211" w:lineRule="exact"/>
        <w:rPr>
          <w:sz w:val="20"/>
          <w:szCs w:val="20"/>
          <w:color w:val="auto"/>
        </w:rPr>
      </w:pPr>
    </w:p>
    <w:p>
      <w:pPr>
        <w:jc w:val="both"/>
        <w:ind w:firstLine="1244"/>
        <w:spacing w:after="0" w:line="263" w:lineRule="auto"/>
        <w:tabs>
          <w:tab w:leader="none" w:pos="185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162" w:lineRule="exact"/>
        <w:rPr>
          <w:rFonts w:ascii="Times New Roman" w:cs="Times New Roman" w:eastAsia="Times New Roman" w:hAnsi="Times New Roman"/>
          <w:sz w:val="21"/>
          <w:szCs w:val="21"/>
          <w:color w:val="auto"/>
        </w:rPr>
      </w:pPr>
    </w:p>
    <w:p>
      <w:pPr>
        <w:jc w:val="both"/>
        <w:ind w:firstLine="1244"/>
        <w:spacing w:after="0" w:line="249" w:lineRule="auto"/>
        <w:tabs>
          <w:tab w:leader="none" w:pos="185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this Agreement and subject to Applicable Laws, Grantee authorizes the Company and/or the Employer, or their respective agents, at their discretion, to satisfy any withholding obligation for Tax-Related Items by (i) withholding from Grantee’s wages or other compensation paid to Grantee by the Company or the Employer, (ii) withholding from proceeds of the sale of Shares acquired pursuant to the RSUs either through a voluntary sale or through a mandatory sale arranged by the Company (on Grantee’s behalf pursuant to this authorization) without further consent, (iii) withholding Shares that would otherwise be issued upon settlement of the RSUs; or (iv) such other method as determined by the Company; provided, however, that if Grantee is subject to Section 16 of the Exchange Act, then the Company will withhold shares pursuant to subsection (iii) hereof unless otherwise determined by the Committee (as constituted to satisfy Rule 16b-3 of the Exchange Act). In the event the Company determines to satisfy any withholding obligation for Tax-Related Items by withholding from proceeds of the sale of Shares as described in subsection (iv) hereof, the Company reserves the right to require Grantee to enter into a trading plan that comports with the requirements of Rule 10b5-1(c) under the Exchange Act with respect to such sale.</w:t>
      </w:r>
    </w:p>
    <w:p>
      <w:pPr>
        <w:spacing w:after="0" w:line="177" w:lineRule="exact"/>
        <w:rPr>
          <w:rFonts w:ascii="Times New Roman" w:cs="Times New Roman" w:eastAsia="Times New Roman" w:hAnsi="Times New Roman"/>
          <w:sz w:val="21"/>
          <w:szCs w:val="21"/>
          <w:color w:val="auto"/>
        </w:rPr>
      </w:pPr>
    </w:p>
    <w:p>
      <w:pPr>
        <w:jc w:val="both"/>
        <w:ind w:firstLine="1244"/>
        <w:spacing w:after="0" w:line="253" w:lineRule="auto"/>
        <w:tabs>
          <w:tab w:leader="none" w:pos="1857"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Depending on the method of satisfying any withholding obligation for Tax-Related Items, the Company may pay, withhold or account for such Tax-Related Items by considering applicable minimum statutory withholding amounts or other applicable tax or withholding rates, including maximum applicable rates, in Grantee’s jurisdiction(s). In the event of over-withholding, Grantee may receive a refund of any over-withheld amount in cash from the Company or the Employer (with no entitlement to the equivalent in Shares) or, if not so refunded, Grantee may be able to seek a refund from the local tax authorities.</w:t>
      </w:r>
    </w:p>
    <w:p>
      <w:pPr>
        <w:spacing w:after="0" w:line="174" w:lineRule="exact"/>
        <w:rPr>
          <w:rFonts w:ascii="Times New Roman" w:cs="Times New Roman" w:eastAsia="Times New Roman" w:hAnsi="Times New Roman"/>
          <w:sz w:val="21"/>
          <w:szCs w:val="21"/>
          <w:color w:val="auto"/>
        </w:rPr>
      </w:pPr>
    </w:p>
    <w:p>
      <w:pPr>
        <w:jc w:val="both"/>
        <w:ind w:firstLine="1244"/>
        <w:spacing w:after="0" w:line="253" w:lineRule="auto"/>
        <w:tabs>
          <w:tab w:leader="none" w:pos="186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agrees to pay to the Company or the Employer any amount of Tax-Related Items that the Company or the Employer may be required to pay, withhold or account for as a result of Grantee’s receipt, vesting or settlement of the RSUs, the issuance of the Shares allocated to the RSUs or the participation in the Plan that cannot be satisfied by the means previously described. The Company may refuse to issue or deliver the Shares or the proceeds of the sale of Shares if Grantee fails to comply with his or her obligations in connection with the Tax-Related Items.</w:t>
      </w:r>
    </w:p>
    <w:p>
      <w:pPr>
        <w:spacing w:after="0" w:line="174" w:lineRule="exact"/>
        <w:rPr>
          <w:rFonts w:ascii="Times New Roman" w:cs="Times New Roman" w:eastAsia="Times New Roman" w:hAnsi="Times New Roman"/>
          <w:sz w:val="21"/>
          <w:szCs w:val="21"/>
          <w:color w:val="auto"/>
        </w:rPr>
      </w:pPr>
    </w:p>
    <w:p>
      <w:pPr>
        <w:jc w:val="both"/>
        <w:ind w:firstLine="1244"/>
        <w:spacing w:after="0" w:line="252" w:lineRule="auto"/>
        <w:tabs>
          <w:tab w:leader="none" w:pos="185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understands that Grantee may suffer adverse tax consequences as a result of Grantee’s receipt, the vesting and/or settlement of the RSUs, the issuance of Shares allocated to the RSUs and/or the disposition of such Shares. Grantee represents that Grantee has consulted any tax consultants Grantee deems advisable in connection with the receipt of the RSUs, the vesting and/or settlement of the RSUs, the issuance of Shares allocated to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and/or the disposition of such Shares and that Grantee is not relying on the Company (or the Employer) for any tax advice.</w:t>
      </w:r>
    </w:p>
    <w:p>
      <w:pPr>
        <w:spacing w:after="0" w:line="207" w:lineRule="exact"/>
        <w:rPr>
          <w:sz w:val="20"/>
          <w:szCs w:val="20"/>
          <w:color w:val="auto"/>
        </w:rPr>
      </w:pPr>
    </w:p>
    <w:p>
      <w:pPr>
        <w:jc w:val="both"/>
        <w:ind w:firstLine="624"/>
        <w:spacing w:after="0" w:line="252" w:lineRule="auto"/>
        <w:tabs>
          <w:tab w:leader="none" w:pos="12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 of the Code</w:t>
      </w:r>
      <w:r>
        <w:rPr>
          <w:rFonts w:ascii="Times New Roman" w:cs="Times New Roman" w:eastAsia="Times New Roman" w:hAnsi="Times New Roman"/>
          <w:sz w:val="21"/>
          <w:szCs w:val="21"/>
          <w:color w:val="auto"/>
        </w:rPr>
        <w:t>. All payments made and benefits provided under this Agreement are intended to be exempt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the requirements of Section 409A of the Code to the maximum extent permitted pursuant to U.S. Treasury Regulation Section 1.409A-1(b)(4) so that none of the payments or benefits will be subject to the adverse tax penalties imposed under Section 409A, and any ambiguities herein will be interpreted to be so exempt. In no event will the Company reimburse Grantee for any taxes or other penalties that may be imposed on Grantee as a result of Section 409A and, by accepting the RSUs, Grantee hereby indemnifies the Company for any liability that arises as a result of Section 409A.</w:t>
      </w:r>
    </w:p>
    <w:p>
      <w:pPr>
        <w:spacing w:after="0" w:line="171" w:lineRule="exact"/>
        <w:rPr>
          <w:rFonts w:ascii="Times New Roman" w:cs="Times New Roman" w:eastAsia="Times New Roman" w:hAnsi="Times New Roman"/>
          <w:sz w:val="21"/>
          <w:szCs w:val="21"/>
          <w:color w:val="auto"/>
        </w:rPr>
      </w:pPr>
    </w:p>
    <w:p>
      <w:pPr>
        <w:jc w:val="both"/>
        <w:ind w:firstLine="624"/>
        <w:spacing w:after="0" w:line="258" w:lineRule="auto"/>
        <w:tabs>
          <w:tab w:leader="none" w:pos="12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Obligation to Continue Employment</w:t>
      </w:r>
      <w:r>
        <w:rPr>
          <w:rFonts w:ascii="Times New Roman" w:cs="Times New Roman" w:eastAsia="Times New Roman" w:hAnsi="Times New Roman"/>
          <w:sz w:val="21"/>
          <w:szCs w:val="21"/>
          <w:color w:val="auto"/>
        </w:rPr>
        <w:t>. Neither the Company nor any Subsidiary is obligated by or as a result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or this Agreement to continue Grantee in employment and neither the Plan nor this Agreement shall interfere in any way with the right of the Company or any Subsidiary to terminate Grantee’s employment or consulting relationship, for any reason, with or without cause.</w:t>
      </w:r>
    </w:p>
    <w:p>
      <w:pPr>
        <w:spacing w:after="0" w:line="163" w:lineRule="exact"/>
        <w:rPr>
          <w:rFonts w:ascii="Times New Roman" w:cs="Times New Roman" w:eastAsia="Times New Roman" w:hAnsi="Times New Roman"/>
          <w:sz w:val="21"/>
          <w:szCs w:val="21"/>
          <w:color w:val="auto"/>
        </w:rPr>
      </w:pPr>
    </w:p>
    <w:p>
      <w:pPr>
        <w:jc w:val="both"/>
        <w:ind w:firstLine="624"/>
        <w:spacing w:after="0" w:line="254" w:lineRule="auto"/>
        <w:tabs>
          <w:tab w:leader="none" w:pos="12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Advice Regarding Grant</w:t>
      </w:r>
      <w:r>
        <w:rPr>
          <w:rFonts w:ascii="Times New Roman" w:cs="Times New Roman" w:eastAsia="Times New Roman" w:hAnsi="Times New Roman"/>
          <w:sz w:val="21"/>
          <w:szCs w:val="21"/>
          <w:color w:val="auto"/>
        </w:rPr>
        <w:t>. The Company is not providing any tax, legal or financial advice, nor is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making any recommendations regarding Grantee’s participation in the Plan, or Grantee’s receipt, vesting or settlement of the RSUs or the Shares allocated thereto or the sale of such Shares. Grantee is hereby advised to consult with his or her own personal tax, legal and financial advisors regarding his or her participation in the Plan and the RSUs before accepting the RSUs or otherwise taking any action related to the RSUs or the Plan.</w:t>
      </w:r>
    </w:p>
    <w:p>
      <w:pPr>
        <w:spacing w:after="0" w:line="143"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Nature of Grant</w:t>
      </w:r>
      <w:r>
        <w:rPr>
          <w:rFonts w:ascii="Times New Roman" w:cs="Times New Roman" w:eastAsia="Times New Roman" w:hAnsi="Times New Roman"/>
          <w:sz w:val="21"/>
          <w:szCs w:val="21"/>
          <w:color w:val="auto"/>
        </w:rPr>
        <w:t>. In accepting the RSUs, Grantee acknowledges, understands and agrees that:</w:t>
      </w:r>
    </w:p>
    <w:p>
      <w:pPr>
        <w:spacing w:after="0" w:line="201" w:lineRule="exact"/>
        <w:rPr>
          <w:rFonts w:ascii="Times New Roman" w:cs="Times New Roman" w:eastAsia="Times New Roman" w:hAnsi="Times New Roman"/>
          <w:sz w:val="21"/>
          <w:szCs w:val="21"/>
          <w:color w:val="auto"/>
        </w:rPr>
      </w:pPr>
    </w:p>
    <w:p>
      <w:pPr>
        <w:ind w:firstLine="1244"/>
        <w:spacing w:after="0" w:line="270" w:lineRule="auto"/>
        <w:tabs>
          <w:tab w:leader="none" w:pos="1857"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is discretionary in nature, and may be amended, suspended or terminated by the Company at any time, to the extent permitted by the Plan;</w:t>
      </w:r>
    </w:p>
    <w:p>
      <w:pPr>
        <w:spacing w:after="0" w:line="154" w:lineRule="exact"/>
        <w:rPr>
          <w:rFonts w:ascii="Times New Roman" w:cs="Times New Roman" w:eastAsia="Times New Roman" w:hAnsi="Times New Roman"/>
          <w:sz w:val="21"/>
          <w:szCs w:val="21"/>
          <w:color w:val="auto"/>
        </w:rPr>
      </w:pPr>
    </w:p>
    <w:p>
      <w:pPr>
        <w:jc w:val="both"/>
        <w:ind w:firstLine="1244"/>
        <w:spacing w:after="0" w:line="263" w:lineRule="auto"/>
        <w:tabs>
          <w:tab w:leader="none" w:pos="1856"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operated and the grant of the RSUs is granted solely by the Company and only the Company is a party to this Agreement; accordingly, any rights Grantee may have under this Agreement may be raised only against the Company but not any entity in the Company Group (including, but not limited to, the Employer);</w:t>
      </w:r>
    </w:p>
    <w:p>
      <w:pPr>
        <w:spacing w:after="0" w:line="162" w:lineRule="exact"/>
        <w:rPr>
          <w:rFonts w:ascii="Times New Roman" w:cs="Times New Roman" w:eastAsia="Times New Roman" w:hAnsi="Times New Roman"/>
          <w:sz w:val="21"/>
          <w:szCs w:val="21"/>
          <w:color w:val="auto"/>
        </w:rPr>
      </w:pPr>
    </w:p>
    <w:p>
      <w:pPr>
        <w:ind w:firstLine="1244"/>
        <w:spacing w:after="0" w:line="270" w:lineRule="auto"/>
        <w:tabs>
          <w:tab w:leader="none" w:pos="1857"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entity in the Company Group (including, but not limited to, the Employer) has any obligation to make any payment of any kind to Grantee under this Agreement;</w:t>
      </w:r>
    </w:p>
    <w:p>
      <w:pPr>
        <w:spacing w:after="0" w:line="154" w:lineRule="exact"/>
        <w:rPr>
          <w:rFonts w:ascii="Times New Roman" w:cs="Times New Roman" w:eastAsia="Times New Roman" w:hAnsi="Times New Roman"/>
          <w:sz w:val="21"/>
          <w:szCs w:val="21"/>
          <w:color w:val="auto"/>
        </w:rPr>
      </w:pPr>
    </w:p>
    <w:p>
      <w:pPr>
        <w:jc w:val="both"/>
        <w:ind w:firstLine="1244"/>
        <w:spacing w:after="0" w:line="263" w:lineRule="auto"/>
        <w:tabs>
          <w:tab w:leader="none" w:pos="1856"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RSUs is exceptional, voluntary and occasional and does not create any contractual or other right to receive future grants of restricted stock units, or benefits in lieu of restricted stock units, even if restricted stock units have been granted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35" w:lineRule="exact"/>
        <w:rPr>
          <w:sz w:val="20"/>
          <w:szCs w:val="20"/>
          <w:color w:val="auto"/>
        </w:rPr>
      </w:pPr>
    </w:p>
    <w:p>
      <w:pPr>
        <w:ind w:left="1860" w:hanging="616"/>
        <w:spacing w:after="0"/>
        <w:tabs>
          <w:tab w:leader="none" w:pos="18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decisions with respect to future restricted stock units or other grants, if any, will be at the sole discretion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w:t>
      </w:r>
    </w:p>
    <w:p>
      <w:pPr>
        <w:spacing w:after="0" w:line="189" w:lineRule="exact"/>
        <w:rPr>
          <w:sz w:val="20"/>
          <w:szCs w:val="20"/>
          <w:color w:val="auto"/>
        </w:rPr>
      </w:pPr>
    </w:p>
    <w:p>
      <w:pPr>
        <w:ind w:left="1860" w:hanging="616"/>
        <w:spacing w:after="0"/>
        <w:tabs>
          <w:tab w:leader="none" w:pos="186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is voluntarily participating in the Plan;</w:t>
      </w:r>
    </w:p>
    <w:p>
      <w:pPr>
        <w:spacing w:after="0" w:line="223" w:lineRule="exact"/>
        <w:rPr>
          <w:rFonts w:ascii="Times New Roman" w:cs="Times New Roman" w:eastAsia="Times New Roman" w:hAnsi="Times New Roman"/>
          <w:sz w:val="21"/>
          <w:szCs w:val="21"/>
          <w:color w:val="auto"/>
        </w:rPr>
      </w:pPr>
    </w:p>
    <w:p>
      <w:pPr>
        <w:ind w:firstLine="1244"/>
        <w:spacing w:after="0" w:line="270" w:lineRule="auto"/>
        <w:tabs>
          <w:tab w:leader="none" w:pos="185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RSUs and the Shares allocated to the RSUs, and the income from and value of same, are not intended to replace any pension rights or compensation and are outside the scope of Grantee’s employment contract, if any;</w:t>
      </w:r>
    </w:p>
    <w:p>
      <w:pPr>
        <w:spacing w:after="0" w:line="154" w:lineRule="exact"/>
        <w:rPr>
          <w:rFonts w:ascii="Times New Roman" w:cs="Times New Roman" w:eastAsia="Times New Roman" w:hAnsi="Times New Roman"/>
          <w:sz w:val="21"/>
          <w:szCs w:val="21"/>
          <w:color w:val="auto"/>
        </w:rPr>
      </w:pPr>
    </w:p>
    <w:p>
      <w:pPr>
        <w:jc w:val="both"/>
        <w:ind w:firstLine="1244"/>
        <w:spacing w:after="0" w:line="257" w:lineRule="auto"/>
        <w:tabs>
          <w:tab w:leader="none" w:pos="1856"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RSUs and the Shares allocated to the RSUs, and the income from and value of same, are not part of normal or expected compensation for any purpose, including, without limitation, calculating any severance, resignation, termination, redundancy, dismissal, end-of- service payments, bonuses, long-service awards, holiday pay, pension or retirement or welfare benefits or similar payments;</w:t>
      </w:r>
    </w:p>
    <w:p>
      <w:pPr>
        <w:spacing w:after="0" w:line="167" w:lineRule="exact"/>
        <w:rPr>
          <w:rFonts w:ascii="Times New Roman" w:cs="Times New Roman" w:eastAsia="Times New Roman" w:hAnsi="Times New Roman"/>
          <w:sz w:val="21"/>
          <w:szCs w:val="21"/>
          <w:color w:val="auto"/>
        </w:rPr>
      </w:pPr>
    </w:p>
    <w:p>
      <w:pPr>
        <w:jc w:val="both"/>
        <w:ind w:firstLine="1244"/>
        <w:spacing w:after="0" w:line="257" w:lineRule="auto"/>
        <w:tabs>
          <w:tab w:leader="none" w:pos="1849"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with the Company in writing, the RSUs and the Shares subject to the RSUs, and the income from and value of same, are not granted as consideration for, or in connection with, the service Grantee may provide as a director of a Subsidiary of the Company;</w:t>
      </w:r>
    </w:p>
    <w:p>
      <w:pPr>
        <w:spacing w:after="0" w:line="167"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Shares underlying the RSUs is unknown, indeterminable, and cannot be predicted with</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certainty;</w:t>
      </w:r>
    </w:p>
    <w:p>
      <w:pPr>
        <w:spacing w:after="0" w:line="201" w:lineRule="exact"/>
        <w:rPr>
          <w:rFonts w:ascii="Times New Roman" w:cs="Times New Roman" w:eastAsia="Times New Roman" w:hAnsi="Times New Roman"/>
          <w:sz w:val="21"/>
          <w:szCs w:val="21"/>
          <w:color w:val="auto"/>
        </w:rPr>
      </w:pPr>
    </w:p>
    <w:p>
      <w:pPr>
        <w:jc w:val="both"/>
        <w:ind w:firstLine="1244"/>
        <w:spacing w:after="0" w:line="252" w:lineRule="auto"/>
        <w:tabs>
          <w:tab w:leader="none" w:pos="1921"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forfeiture of the RSUs resulting from the termination of Grantee’s employment or service relationship (for any reason whatsoever, whether or not later found to be invalid or in breach of employment laws in the jurisdiction where Grantee is providing services or the terms of Grantee’s employment or service agreement, if any);</w:t>
      </w:r>
    </w:p>
    <w:p>
      <w:pPr>
        <w:spacing w:after="0" w:line="174" w:lineRule="exact"/>
        <w:rPr>
          <w:rFonts w:ascii="Times New Roman" w:cs="Times New Roman" w:eastAsia="Times New Roman" w:hAnsi="Times New Roman"/>
          <w:sz w:val="21"/>
          <w:szCs w:val="21"/>
          <w:color w:val="auto"/>
        </w:rPr>
      </w:pPr>
    </w:p>
    <w:p>
      <w:pPr>
        <w:jc w:val="both"/>
        <w:ind w:firstLine="1244"/>
        <w:spacing w:after="0" w:line="263" w:lineRule="auto"/>
        <w:tabs>
          <w:tab w:leader="none" w:pos="1849"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162" w:lineRule="exact"/>
        <w:rPr>
          <w:rFonts w:ascii="Times New Roman" w:cs="Times New Roman" w:eastAsia="Times New Roman" w:hAnsi="Times New Roman"/>
          <w:sz w:val="21"/>
          <w:szCs w:val="21"/>
          <w:color w:val="auto"/>
        </w:rPr>
      </w:pPr>
    </w:p>
    <w:p>
      <w:pPr>
        <w:jc w:val="both"/>
        <w:ind w:firstLine="1244"/>
        <w:spacing w:after="0" w:line="253" w:lineRule="auto"/>
        <w:tabs>
          <w:tab w:leader="none" w:pos="1849"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entity in the Company Group shall be liable for any foreign exchange rate fluctuation between Grantee’s local currency and the United States Dollar or the selection by the Company or any member of the Company Group in its sole discretion of an applicable foreign exchange rate that may affect the value of the RSUs (or the calculation of income or Tax-Related Items thereunder) or of any amounts due to Grantee pursuant to the settlement of the RSUs or the subsequent sale of the Shares allocated to the RSUs.</w:t>
      </w:r>
    </w:p>
    <w:p>
      <w:pPr>
        <w:spacing w:after="0" w:line="170" w:lineRule="exact"/>
        <w:rPr>
          <w:rFonts w:ascii="Times New Roman" w:cs="Times New Roman" w:eastAsia="Times New Roman" w:hAnsi="Times New Roman"/>
          <w:sz w:val="21"/>
          <w:szCs w:val="21"/>
          <w:color w:val="auto"/>
        </w:rPr>
      </w:pPr>
    </w:p>
    <w:p>
      <w:pPr>
        <w:jc w:val="both"/>
        <w:ind w:firstLine="624"/>
        <w:spacing w:after="0" w:line="259" w:lineRule="auto"/>
        <w:tabs>
          <w:tab w:leader="none" w:pos="124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notice, demand or request required or permitted to be given under this Agreement shall be in writing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deemed sufficient when delivered personally or by overnight courier or sent by email or fax, or forty-eight (48) hours after being deposited in the U.S. mail or a comparable foreign mail service, as certified or registered mail with postage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shipping charges prepaid, addressed to the party to be notified at such party’s address as set forth below, as subsequently modified by written notice, or if no address is specified below, at the most recent address, email or fax number set forth in the Company’s books and records.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If to the Company</w:t>
      </w:r>
      <w:r>
        <w:rPr>
          <w:rFonts w:ascii="Times New Roman" w:cs="Times New Roman" w:eastAsia="Times New Roman" w:hAnsi="Times New Roman"/>
          <w:sz w:val="21"/>
          <w:szCs w:val="21"/>
          <w:color w:val="auto"/>
        </w:rPr>
        <w:t>, to:</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650 California Street</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Floor 12</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San Francisco, CA 94108</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Attn: Chief People Officer</w:t>
      </w:r>
    </w:p>
    <w:p>
      <w:pPr>
        <w:spacing w:after="0" w:line="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Email: equity@affirm.com</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If to Grantee</w:t>
      </w:r>
      <w:r>
        <w:rPr>
          <w:rFonts w:ascii="Times New Roman" w:cs="Times New Roman" w:eastAsia="Times New Roman" w:hAnsi="Times New Roman"/>
          <w:sz w:val="21"/>
          <w:szCs w:val="21"/>
          <w:color w:val="auto"/>
        </w:rPr>
        <w:t>, to: Grantee’s last residence or email address shown on the records of the Company or its affiliates.</w:t>
      </w:r>
    </w:p>
    <w:p>
      <w:pPr>
        <w:spacing w:after="0" w:line="185" w:lineRule="exact"/>
        <w:rPr>
          <w:sz w:val="20"/>
          <w:szCs w:val="20"/>
          <w:color w:val="auto"/>
        </w:rPr>
      </w:pPr>
    </w:p>
    <w:p>
      <w:pPr>
        <w:ind w:left="1240" w:hanging="616"/>
        <w:spacing w:after="0"/>
        <w:tabs>
          <w:tab w:leader="none" w:pos="12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Data Protection</w:t>
      </w:r>
      <w:r>
        <w:rPr>
          <w:rFonts w:ascii="Times New Roman" w:cs="Times New Roman" w:eastAsia="Times New Roman" w:hAnsi="Times New Roman"/>
          <w:sz w:val="21"/>
          <w:szCs w:val="21"/>
          <w:color w:val="auto"/>
        </w:rPr>
        <w:t>.</w:t>
      </w:r>
    </w:p>
    <w:p>
      <w:pPr>
        <w:spacing w:after="0" w:line="201" w:lineRule="exact"/>
        <w:rPr>
          <w:rFonts w:ascii="Times New Roman" w:cs="Times New Roman" w:eastAsia="Times New Roman" w:hAnsi="Times New Roman"/>
          <w:sz w:val="21"/>
          <w:szCs w:val="21"/>
          <w:color w:val="auto"/>
        </w:rPr>
      </w:pPr>
    </w:p>
    <w:p>
      <w:pPr>
        <w:jc w:val="both"/>
        <w:ind w:firstLine="1244"/>
        <w:spacing w:after="0" w:line="253" w:lineRule="auto"/>
        <w:tabs>
          <w:tab w:leader="none" w:pos="1857"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facilitate the administration of the Plan and this Agreement, it will be necessary for the Company (or its payroll administrators) to collect, hold and process certain personal information about Grantee and to transfer this data to certain third parties such as brokers with whom Grantee may elect to deposit any share capital under the Plan. Grantee consents to the Company (or its payroll administrators) collecting, holding and processing Grantee’s personal data and transferring this data to the Company or any other third parties insofar as is reasonably necessary to implement, administer and manage the Plan.</w:t>
      </w:r>
    </w:p>
    <w:p>
      <w:pPr>
        <w:spacing w:after="0" w:line="174" w:lineRule="exact"/>
        <w:rPr>
          <w:rFonts w:ascii="Times New Roman" w:cs="Times New Roman" w:eastAsia="Times New Roman" w:hAnsi="Times New Roman"/>
          <w:sz w:val="21"/>
          <w:szCs w:val="21"/>
          <w:color w:val="auto"/>
        </w:rPr>
      </w:pPr>
    </w:p>
    <w:p>
      <w:pPr>
        <w:jc w:val="both"/>
        <w:ind w:firstLine="1244"/>
        <w:spacing w:after="0" w:line="252" w:lineRule="auto"/>
        <w:tabs>
          <w:tab w:leader="none" w:pos="185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understands that Grantee may, at any time, view Grantee’s personal data, require any necessary corrections to it or withdraw the consents herein in writing by contacting the Company, but acknowledges that without the use of such data it may not be practicable for the Company to administer Grantee’s involvement in the Plan in a timely fashion or at all and this may be detrimental to Grantee.</w:t>
      </w:r>
    </w:p>
    <w:p>
      <w:pPr>
        <w:spacing w:after="0" w:line="157"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197" w:lineRule="exact"/>
        <w:rPr>
          <w:rFonts w:ascii="Times New Roman" w:cs="Times New Roman" w:eastAsia="Times New Roman" w:hAnsi="Times New Roman"/>
          <w:sz w:val="21"/>
          <w:szCs w:val="21"/>
          <w:color w:val="auto"/>
        </w:rPr>
      </w:pPr>
    </w:p>
    <w:p>
      <w:pPr>
        <w:jc w:val="both"/>
        <w:ind w:firstLine="1244"/>
        <w:spacing w:after="0" w:line="259" w:lineRule="auto"/>
        <w:tabs>
          <w:tab w:leader="none" w:pos="1857"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and all acts and transactions pursuant hereto and the rights and obligations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hereto shall be governed, construed and interpreted in accordance with the laws of the State of California, without giving effect to principles of conflicts of law.</w:t>
      </w:r>
    </w:p>
    <w:p>
      <w:pPr>
        <w:spacing w:after="0" w:line="161" w:lineRule="exact"/>
        <w:rPr>
          <w:rFonts w:ascii="Times New Roman" w:cs="Times New Roman" w:eastAsia="Times New Roman" w:hAnsi="Times New Roman"/>
          <w:sz w:val="21"/>
          <w:szCs w:val="21"/>
          <w:color w:val="auto"/>
        </w:rPr>
      </w:pPr>
    </w:p>
    <w:p>
      <w:pPr>
        <w:jc w:val="both"/>
        <w:ind w:firstLine="1244"/>
        <w:spacing w:after="0" w:line="251" w:lineRule="auto"/>
        <w:tabs>
          <w:tab w:leader="none" w:pos="1856"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Jurisdiction and Venue</w:t>
      </w:r>
      <w:r>
        <w:rPr>
          <w:rFonts w:ascii="Times New Roman" w:cs="Times New Roman" w:eastAsia="Times New Roman" w:hAnsi="Times New Roman"/>
          <w:sz w:val="21"/>
          <w:szCs w:val="21"/>
          <w:color w:val="auto"/>
        </w:rPr>
        <w:t>. THE PARTIES CONSENT TO PERSONAL JURISDICTION IN THE STATE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CALIFORNIA. THE PARTIES AGREE THAT ANY ACTION OR PROCEEDING ARISING FROM OR RELATED TO THIS AGREEMENT SHALL BE BROUGHT AND TRIED EXCLUSIVELY IN THE STATE OR FEDERAL COURTS LOCATED IN THE STATE OF CALIFORNIA. THE PARTIES IRREVOCABLY AND UNCONDITIONALLY WAIVE ANY OBJECTION TO THE LAYING OF VENUE OF ANY SUCH ACTION OR PROCEEDING BROUGHT IN ANY SUCH COURT. THE PARTIES EXPRESSLY ACKNOWLEDGE THAT THE STATE OF CALIFORNIA IS A FAIR, JUST AND REASONABLE FORUM AND AGREE NOT TO SEEK REMOVAL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TRANSFER OF ANY ACTION FILED BY ANY OF THE OTHER PARTIES IN SUCH COURTS. FURTHERMORE, THE PARTIES IRREVOCABLY AND UNCONDITIONALLY WAIVE ANY CLAIM THAT SUCH SUIT, ACTION OR PROCEEDING HAS BEEN BROUGHT IN AN INCONVENIENT FORUM. SERVICE OF ANY PROCESS, SUMMONS, NOTICE OR DOCUMENT BY CERTIFIED MAIL ADDRESSED TO A PARTY AT THE ADDRESS DESIGNATED PURSUANT TO SECTION 10 SHALL BE EFFECTIVE SERVICE OF PROCESS AGAINST SUCH PARTY FOR ANY ACTION OR PROCEEDING BROUGHT IN ANY SUCH COURT. A FINAL JUDGMENT IN ANY SUCH ACTION OR PROCEEDING BROUGHT IN ANY SUCH COURT MAY BE ENFORCED IN ANY OTHER COURT TO WHOSE JURISDICTION ANY OF THE PARTIES IS OR MAY BE SUBJECT.</w:t>
      </w:r>
    </w:p>
    <w:p>
      <w:pPr>
        <w:spacing w:after="0" w:line="188" w:lineRule="exact"/>
        <w:rPr>
          <w:sz w:val="20"/>
          <w:szCs w:val="20"/>
          <w:color w:val="auto"/>
        </w:rPr>
      </w:pPr>
    </w:p>
    <w:p>
      <w:pPr>
        <w:jc w:val="both"/>
        <w:ind w:firstLine="1244"/>
        <w:spacing w:after="0" w:line="264" w:lineRule="auto"/>
        <w:tabs>
          <w:tab w:leader="none" w:pos="185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Addendum and Sub-Plans</w:t>
      </w:r>
      <w:r>
        <w:rPr>
          <w:rFonts w:ascii="Times New Roman" w:cs="Times New Roman" w:eastAsia="Times New Roman" w:hAnsi="Times New Roman"/>
          <w:sz w:val="20"/>
          <w:szCs w:val="20"/>
          <w:color w:val="auto"/>
        </w:rPr>
        <w:t>. Notwithstanding any provisions in this Agreement, the RSUs shall be subject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special terms and conditions set forth in any Addendum to this Agreement for Grantee’s country (the “</w:t>
      </w:r>
      <w:r>
        <w:rPr>
          <w:rFonts w:ascii="Times New Roman" w:cs="Times New Roman" w:eastAsia="Times New Roman" w:hAnsi="Times New Roman"/>
          <w:sz w:val="20"/>
          <w:szCs w:val="20"/>
          <w:b w:val="1"/>
          <w:bCs w:val="1"/>
          <w:color w:val="auto"/>
        </w:rPr>
        <w:t>Addendum</w:t>
      </w:r>
      <w:r>
        <w:rPr>
          <w:rFonts w:ascii="Times New Roman" w:cs="Times New Roman" w:eastAsia="Times New Roman" w:hAnsi="Times New Roman"/>
          <w:sz w:val="20"/>
          <w:szCs w:val="20"/>
          <w:color w:val="auto"/>
        </w:rPr>
        <w:t>”). Moreover, if Grantee relocates to one of the countries included in the Addendum, the special terms and conditions for such country will apply to Grantee, to the extent the Company determines that the application of such terms and conditions is necessary or advisable for legal or administrative reasons. The Addendum constitutes part of this Agreement. Furthermore, the Plan shall be deemed to include any special terms and conditions set forth in any applicable sub-plan for Grantee’s country, and, if Grantee relocates to a country for which the Company has established a sub-plan, the special terms and conditions for such country will apply to Grantee, to the extent the Company determines that the application of such terms and conditions is necessary or advisable for legal or administrative reasons.</w:t>
      </w:r>
    </w:p>
    <w:p>
      <w:pPr>
        <w:spacing w:after="0" w:line="159" w:lineRule="exact"/>
        <w:rPr>
          <w:rFonts w:ascii="Times New Roman" w:cs="Times New Roman" w:eastAsia="Times New Roman" w:hAnsi="Times New Roman"/>
          <w:sz w:val="20"/>
          <w:szCs w:val="20"/>
          <w:color w:val="auto"/>
        </w:rPr>
      </w:pPr>
    </w:p>
    <w:p>
      <w:pPr>
        <w:jc w:val="both"/>
        <w:ind w:firstLine="1244"/>
        <w:spacing w:after="0" w:line="251" w:lineRule="auto"/>
        <w:tabs>
          <w:tab w:leader="none" w:pos="185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 Enforcement of Rights; Amendment</w:t>
      </w:r>
      <w:r>
        <w:rPr>
          <w:rFonts w:ascii="Times New Roman" w:cs="Times New Roman" w:eastAsia="Times New Roman" w:hAnsi="Times New Roman"/>
          <w:sz w:val="21"/>
          <w:szCs w:val="21"/>
          <w:color w:val="auto"/>
        </w:rPr>
        <w:t>. This Agreement, together with the Plan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 Notice, sets forth the entire agreement and understanding of the parties relating to the subject matter herein and merges all prior or contemporaneous discussions or agreements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Grantee.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Grantee, to comply with Code Section 409A or to otherwise avoid imposition of any additional tax or income recognition under Section 409A of the Code in connection with the RSUs.</w:t>
      </w:r>
    </w:p>
    <w:p>
      <w:pPr>
        <w:spacing w:after="0" w:line="169" w:lineRule="exact"/>
        <w:rPr>
          <w:rFonts w:ascii="Times New Roman" w:cs="Times New Roman" w:eastAsia="Times New Roman" w:hAnsi="Times New Roman"/>
          <w:sz w:val="21"/>
          <w:szCs w:val="21"/>
          <w:color w:val="auto"/>
        </w:rPr>
      </w:pPr>
    </w:p>
    <w:p>
      <w:pPr>
        <w:jc w:val="both"/>
        <w:ind w:firstLine="1244"/>
        <w:spacing w:after="0" w:line="251" w:lineRule="auto"/>
        <w:tabs>
          <w:tab w:leader="none" w:pos="1857"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If one or more provisions of this Agreement, the Grant Notice or the Plan are held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this Agreement, the Grant Notice and the Plan shall be interpreted as if such provision were so excluded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balance of this Agreement, the Grant Notice and the Plan shall be enforceable in accordance with its terms.</w:t>
      </w:r>
    </w:p>
    <w:p>
      <w:pPr>
        <w:spacing w:after="0" w:line="207" w:lineRule="exact"/>
        <w:rPr>
          <w:sz w:val="20"/>
          <w:szCs w:val="20"/>
          <w:color w:val="auto"/>
        </w:rPr>
      </w:pPr>
    </w:p>
    <w:p>
      <w:pPr>
        <w:jc w:val="both"/>
        <w:ind w:firstLine="1244"/>
        <w:spacing w:after="0" w:line="265" w:lineRule="auto"/>
        <w:tabs>
          <w:tab w:leader="none" w:pos="18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 This Agreement is the result of negotiations between and has been reviewed by each of the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hereto and their respective counsel, if any; accordingly, this Agreement shall be deemed to be the product of all of the parties hereto, and no ambiguity shall be construed in favor of or against any one of the parties hereto.</w:t>
      </w:r>
    </w:p>
    <w:p>
      <w:pPr>
        <w:spacing w:after="0" w:line="156" w:lineRule="exact"/>
        <w:rPr>
          <w:rFonts w:ascii="Times New Roman" w:cs="Times New Roman" w:eastAsia="Times New Roman" w:hAnsi="Times New Roman"/>
          <w:sz w:val="21"/>
          <w:szCs w:val="21"/>
          <w:color w:val="auto"/>
        </w:rPr>
      </w:pPr>
    </w:p>
    <w:p>
      <w:pPr>
        <w:jc w:val="both"/>
        <w:ind w:firstLine="1244"/>
        <w:spacing w:after="0" w:line="254" w:lineRule="auto"/>
        <w:tabs>
          <w:tab w:leader="none" w:pos="185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 Electronic Signature</w:t>
      </w:r>
      <w:r>
        <w:rPr>
          <w:rFonts w:ascii="Times New Roman" w:cs="Times New Roman" w:eastAsia="Times New Roman" w:hAnsi="Times New Roman"/>
          <w:sz w:val="21"/>
          <w:szCs w:val="21"/>
          <w:color w:val="auto"/>
        </w:rPr>
        <w:t>. This Agreement may be executed in two or more counterparts, each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shall be 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69" w:lineRule="exact"/>
        <w:rPr>
          <w:rFonts w:ascii="Times New Roman" w:cs="Times New Roman" w:eastAsia="Times New Roman" w:hAnsi="Times New Roman"/>
          <w:sz w:val="21"/>
          <w:szCs w:val="21"/>
          <w:color w:val="auto"/>
        </w:rPr>
      </w:pPr>
    </w:p>
    <w:p>
      <w:pPr>
        <w:jc w:val="both"/>
        <w:ind w:firstLine="1244"/>
        <w:spacing w:after="0" w:line="259" w:lineRule="auto"/>
        <w:tabs>
          <w:tab w:leader="none" w:pos="185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Successors and Assigns</w:t>
      </w:r>
      <w:r>
        <w:rPr>
          <w:rFonts w:ascii="Times New Roman" w:cs="Times New Roman" w:eastAsia="Times New Roman" w:hAnsi="Times New Roman"/>
          <w:sz w:val="21"/>
          <w:szCs w:val="21"/>
          <w:color w:val="auto"/>
        </w:rPr>
        <w:t>. The rights and benefits of this Agreement shall inure to the benefit of, and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enforceable by the Company’s successors and assigns. The rights and obligations of Grantee under this Agreement may only be assigned with the prior written consent of the Company.</w:t>
      </w:r>
    </w:p>
    <w:p>
      <w:pPr>
        <w:spacing w:after="0" w:line="161" w:lineRule="exact"/>
        <w:rPr>
          <w:rFonts w:ascii="Times New Roman" w:cs="Times New Roman" w:eastAsia="Times New Roman" w:hAnsi="Times New Roman"/>
          <w:sz w:val="21"/>
          <w:szCs w:val="21"/>
          <w:color w:val="auto"/>
        </w:rPr>
      </w:pPr>
    </w:p>
    <w:p>
      <w:pPr>
        <w:jc w:val="both"/>
        <w:ind w:firstLine="1244"/>
        <w:spacing w:after="0" w:line="254" w:lineRule="auto"/>
        <w:tabs>
          <w:tab w:leader="none" w:pos="184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Limitations Applicable to Section 16 Persons</w:t>
      </w:r>
      <w:r>
        <w:rPr>
          <w:rFonts w:ascii="Times New Roman" w:cs="Times New Roman" w:eastAsia="Times New Roman" w:hAnsi="Times New Roman"/>
          <w:sz w:val="21"/>
          <w:szCs w:val="21"/>
          <w:color w:val="auto"/>
        </w:rPr>
        <w:t>. Notwithstanding any other provision of the Plan or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if Grantee is subject to Section 16 of the Exchange Act, the Plan,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Laws, this Agreement shall be deemed amended to the extent necessary to conform to such applicable exemptive rule.</w:t>
      </w:r>
    </w:p>
    <w:p>
      <w:pPr>
        <w:spacing w:after="0" w:line="169" w:lineRule="exact"/>
        <w:rPr>
          <w:rFonts w:ascii="Times New Roman" w:cs="Times New Roman" w:eastAsia="Times New Roman" w:hAnsi="Times New Roman"/>
          <w:sz w:val="21"/>
          <w:szCs w:val="21"/>
          <w:color w:val="auto"/>
        </w:rPr>
      </w:pPr>
    </w:p>
    <w:p>
      <w:pPr>
        <w:jc w:val="both"/>
        <w:ind w:firstLine="1244"/>
        <w:spacing w:after="0" w:line="258" w:lineRule="auto"/>
        <w:tabs>
          <w:tab w:leader="none" w:pos="184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Imposition of Other Requirements</w:t>
      </w:r>
      <w:r>
        <w:rPr>
          <w:rFonts w:ascii="Times New Roman" w:cs="Times New Roman" w:eastAsia="Times New Roman" w:hAnsi="Times New Roman"/>
          <w:sz w:val="21"/>
          <w:szCs w:val="21"/>
          <w:color w:val="auto"/>
        </w:rPr>
        <w:t>. The Company reserves the right to impose other requirements on Grantee’s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participation in the Plan, on the RSUs and on any Shares allocated to the RSUs, to the extent the Company determines it is necessary or advisable for legal or administrative reasons, and to require Grantee to sign any additional agreements or undertakings that may be necessary to accomplish the foregoing.</w:t>
      </w:r>
    </w:p>
    <w:p>
      <w:pPr>
        <w:spacing w:after="0" w:line="163" w:lineRule="exact"/>
        <w:rPr>
          <w:rFonts w:ascii="Times New Roman" w:cs="Times New Roman" w:eastAsia="Times New Roman" w:hAnsi="Times New Roman"/>
          <w:sz w:val="21"/>
          <w:szCs w:val="21"/>
          <w:color w:val="auto"/>
        </w:rPr>
      </w:pPr>
    </w:p>
    <w:p>
      <w:pPr>
        <w:jc w:val="both"/>
        <w:ind w:firstLine="1244"/>
        <w:spacing w:after="0" w:line="249" w:lineRule="auto"/>
        <w:tabs>
          <w:tab w:leader="none" w:pos="185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Electronic Delivery and Participation</w:t>
      </w:r>
      <w:r>
        <w:rPr>
          <w:rFonts w:ascii="Times New Roman" w:cs="Times New Roman" w:eastAsia="Times New Roman" w:hAnsi="Times New Roman"/>
          <w:sz w:val="21"/>
          <w:szCs w:val="21"/>
          <w:color w:val="auto"/>
        </w:rPr>
        <w:t>. The Company may, in its sole discretion, decide to deliver to Grantee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email or any other electronic means any documents, elections or notices related to this Agreement, the RSUs, the Shares allocated to the RSUs, Grantee’s current or future participation in the Plan, securities of the Company or any member of the Company Group or any other matter, including documents, elections and/or notices required to be delivered to Grantee by applicable securities law or any other Applicable Laws or the Company’s Amended Certificate of Incorporation or Bylaws. By accepting this Agreement, whether electronically or otherwise, Grantee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1" w:lineRule="exact"/>
        <w:rPr>
          <w:sz w:val="20"/>
          <w:szCs w:val="20"/>
          <w:color w:val="auto"/>
        </w:rPr>
      </w:pPr>
    </w:p>
    <w:p>
      <w:pPr>
        <w:jc w:val="both"/>
        <w:ind w:firstLine="1244"/>
        <w:spacing w:after="0" w:line="258" w:lineRule="auto"/>
        <w:tabs>
          <w:tab w:leader="none" w:pos="1849" w:val="left"/>
        </w:tabs>
        <w:numPr>
          <w:ilvl w:val="1"/>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Language</w:t>
      </w:r>
      <w:r>
        <w:rPr>
          <w:rFonts w:ascii="Times New Roman" w:cs="Times New Roman" w:eastAsia="Times New Roman" w:hAnsi="Times New Roman"/>
          <w:sz w:val="21"/>
          <w:szCs w:val="21"/>
          <w:color w:val="auto"/>
        </w:rPr>
        <w:t>. Grantee acknowledges that he or she is sufficiently proficient in English, or has consulted with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advisor who is sufficiently proficient in English, so as to allow Grantee to understand the terms and conditions of this Agreement. If Grantee has received this Agreement, or any other documents related to the RSUs and/or the Plan translated into a language other than English and if the meaning of the translated version is different from the English version, the English version will control.</w:t>
      </w:r>
    </w:p>
    <w:p>
      <w:pPr>
        <w:spacing w:after="0" w:line="163" w:lineRule="exact"/>
        <w:rPr>
          <w:rFonts w:ascii="Times New Roman" w:cs="Times New Roman" w:eastAsia="Times New Roman" w:hAnsi="Times New Roman"/>
          <w:sz w:val="21"/>
          <w:szCs w:val="21"/>
          <w:b w:val="1"/>
          <w:bCs w:val="1"/>
          <w:color w:val="auto"/>
        </w:rPr>
      </w:pPr>
    </w:p>
    <w:p>
      <w:pPr>
        <w:jc w:val="both"/>
        <w:ind w:firstLine="1244"/>
        <w:spacing w:after="0" w:line="249" w:lineRule="auto"/>
        <w:tabs>
          <w:tab w:leader="none" w:pos="1860" w:val="left"/>
        </w:tabs>
        <w:numPr>
          <w:ilvl w:val="1"/>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Insider Trading/Market Abuse</w:t>
      </w:r>
      <w:r>
        <w:rPr>
          <w:rFonts w:ascii="Times New Roman" w:cs="Times New Roman" w:eastAsia="Times New Roman" w:hAnsi="Times New Roman"/>
          <w:sz w:val="21"/>
          <w:szCs w:val="21"/>
          <w:color w:val="auto"/>
        </w:rPr>
        <w:t>. By accepting the RSUs, Grantee acknowledges that he or she is bound by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terms and conditions of the Company’s insider trading policy as may be in effect from time to time. Grantee further acknowledges that, depending on Grantee or his or her broker’s country or the country in which the Shares are listed, he or she may be subject to insider trading restrictions and/or market abuse laws which may affect Grantee’s ability to accept, acquire, sell or otherwise dispose of the Shares, rights to the Shares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RSUs) or rights linked to the value of the Shares during such times as Grantee is considered to have “inside information” regarding the Company (as defined by the laws in the applicable jurisdictions). Local insider trading laws and regulations may prohibit the cancellation or amendment of orders Grantee placed before Grantee possessed inside information. Furthermore,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Grantee acknowledges that it is Grantee’s responsibility to comply with any applicable restrictions, and Grantee should speak to his or her personal advisor on this matter.</w:t>
      </w:r>
    </w:p>
    <w:p>
      <w:pPr>
        <w:spacing w:after="0" w:line="172" w:lineRule="exact"/>
        <w:rPr>
          <w:rFonts w:ascii="Times New Roman" w:cs="Times New Roman" w:eastAsia="Times New Roman" w:hAnsi="Times New Roman"/>
          <w:sz w:val="21"/>
          <w:szCs w:val="21"/>
          <w:b w:val="1"/>
          <w:bCs w:val="1"/>
          <w:color w:val="auto"/>
        </w:rPr>
      </w:pPr>
    </w:p>
    <w:p>
      <w:pPr>
        <w:jc w:val="both"/>
        <w:ind w:firstLine="1244"/>
        <w:spacing w:after="0" w:line="250" w:lineRule="auto"/>
        <w:tabs>
          <w:tab w:leader="none" w:pos="1855" w:val="left"/>
        </w:tabs>
        <w:numPr>
          <w:ilvl w:val="1"/>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Foreign Asset/Account, Exchange Control and Tax Reporting</w:t>
      </w:r>
      <w:r>
        <w:rPr>
          <w:rFonts w:ascii="Times New Roman" w:cs="Times New Roman" w:eastAsia="Times New Roman" w:hAnsi="Times New Roman"/>
          <w:sz w:val="21"/>
          <w:szCs w:val="21"/>
          <w:color w:val="auto"/>
        </w:rPr>
        <w:t>. Grantee may be subject to foreign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asset/account, exchange control, tax reporting or other requirements which may affect Grantee’s ability acquire or hold RSUs or the Shares or cash received from participating in the Plan (including dividends and the proceeds arising from the sale of the Shares) in a brokerage/bank account outside Grantee’s country. The applicable laws of Grantee’s country may require that he or she report such RSUs, Shares, accounts, assets or transactions to the applicable authorities in such country and/or repatriate funds received in connection with the Plan to Grantee’s country within a certain time period or according to certain procedures. Grantee acknowledges that he or she is responsible for ensuring compliance with any applicable requirements and should consult his or her personal legal advisor to ensure compliance with applicable laws</w:t>
      </w:r>
    </w:p>
    <w:p>
      <w:pPr>
        <w:spacing w:after="0" w:line="184" w:lineRule="exact"/>
        <w:rPr>
          <w:rFonts w:ascii="Times New Roman" w:cs="Times New Roman" w:eastAsia="Times New Roman" w:hAnsi="Times New Roman"/>
          <w:sz w:val="21"/>
          <w:szCs w:val="21"/>
          <w:b w:val="1"/>
          <w:bCs w:val="1"/>
          <w:color w:val="auto"/>
        </w:rPr>
      </w:pPr>
    </w:p>
    <w:p>
      <w:pPr>
        <w:jc w:val="both"/>
        <w:ind w:firstLine="624"/>
        <w:spacing w:after="0" w:line="251" w:lineRule="auto"/>
        <w:tabs>
          <w:tab w:leader="none" w:pos="124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Agreement</w:t>
      </w:r>
      <w:r>
        <w:rPr>
          <w:rFonts w:ascii="Times New Roman" w:cs="Times New Roman" w:eastAsia="Times New Roman" w:hAnsi="Times New Roman"/>
          <w:sz w:val="21"/>
          <w:szCs w:val="21"/>
          <w:color w:val="auto"/>
        </w:rPr>
        <w:t>. Grantee acknowledges receipt of a copy of the Plan and represents that he or she is familiar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terms and provisions thereof (and has had an opportunity to consult counsel regarding the terms of this Agreement), and hereby accepts this award of RSUs and agrees to be bound by its contractual terms as set forth herein and in the Plan. Grantee hereby agrees to accept as binding, conclusive and final all decisions and interpretations of the Plan Administrator regarding any questions relating to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1" w:lineRule="exact"/>
        <w:rPr>
          <w:sz w:val="20"/>
          <w:szCs w:val="20"/>
          <w:color w:val="auto"/>
        </w:rPr>
      </w:pPr>
    </w:p>
    <w:p>
      <w:pPr>
        <w:jc w:val="both"/>
        <w:ind w:firstLine="624"/>
        <w:spacing w:after="0" w:line="252" w:lineRule="auto"/>
        <w:tabs>
          <w:tab w:leader="none" w:pos="124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Clawback; Recoupment</w:t>
      </w:r>
      <w:r>
        <w:rPr>
          <w:rFonts w:ascii="Times New Roman" w:cs="Times New Roman" w:eastAsia="Times New Roman" w:hAnsi="Times New Roman"/>
          <w:sz w:val="21"/>
          <w:szCs w:val="21"/>
          <w:color w:val="auto"/>
        </w:rPr>
        <w:t>. By accepting the RSUs and pursuant to Section 19 of the Plan, Grantee acknowledges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agrees that the Company will be entitled, to the extent permitted or required by Applicable Law, Company policy and/or the requirements of a Stock Exchange on which the Shares are listed for trading, in each case, as in effect from time to time, to recoup compensation of whatever kind paid by the Company at any time to Grantee under the Plan; provided, however, that no such recovery of compensation will be an event giving rise to Grantee’s right to resign for “good reason” or “constructive termination” (or similar term) under any agreement between Grantee and the Company.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35"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The foregoing Agreement is hereby accepted and the terms and conditions thereof hereby agreed to by the undersigned. Electronic acceptance of this Agreement pursuant to the Company’s instructions to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551815</wp:posOffset>
            </wp:positionV>
            <wp:extent cx="6565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-13335</wp:posOffset>
            </wp:positionV>
            <wp:extent cx="6565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-13335</wp:posOffset>
            </wp:positionV>
            <wp:extent cx="6565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554355</wp:posOffset>
            </wp:positionV>
            <wp:extent cx="6565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-13335</wp:posOffset>
            </wp:positionV>
            <wp:extent cx="6565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-13335</wp:posOffset>
            </wp:positionV>
            <wp:extent cx="5581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5581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273050</wp:posOffset>
            </wp:positionV>
            <wp:extent cx="6565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AFFIRM HOLDINGS,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2012 STOCK PLAN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GLOBAL NOTICE OF PERFORMANCE STOCK UNIT GRANT</w:t>
      </w:r>
    </w:p>
    <w:p>
      <w:pPr>
        <w:spacing w:after="0" w:line="224"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21"/>
          <w:szCs w:val="21"/>
          <w:color w:val="auto"/>
        </w:rPr>
        <w:t>Affirm Holdings, Inc., a Nevada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pursuant to the Affirm Holdings, Inc. Amended and Restated 2012 Stock Plan and any applicable sub-plan for a particular country, as applicable (together,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has granted to Grantee set forth below (“</w:t>
      </w:r>
      <w:r>
        <w:rPr>
          <w:rFonts w:ascii="Times New Roman" w:cs="Times New Roman" w:eastAsia="Times New Roman" w:hAnsi="Times New Roman"/>
          <w:sz w:val="21"/>
          <w:szCs w:val="21"/>
          <w:b w:val="1"/>
          <w:bCs w:val="1"/>
          <w:color w:val="auto"/>
        </w:rPr>
        <w:t>Grantee</w:t>
      </w:r>
      <w:r>
        <w:rPr>
          <w:rFonts w:ascii="Times New Roman" w:cs="Times New Roman" w:eastAsia="Times New Roman" w:hAnsi="Times New Roman"/>
          <w:sz w:val="21"/>
          <w:szCs w:val="21"/>
          <w:color w:val="auto"/>
        </w:rPr>
        <w:t>”), as of the date set forth below (the “</w:t>
      </w:r>
      <w:r>
        <w:rPr>
          <w:rFonts w:ascii="Times New Roman" w:cs="Times New Roman" w:eastAsia="Times New Roman" w:hAnsi="Times New Roman"/>
          <w:sz w:val="21"/>
          <w:szCs w:val="21"/>
          <w:b w:val="1"/>
          <w:bCs w:val="1"/>
          <w:color w:val="auto"/>
        </w:rPr>
        <w:t>Date of Grant</w:t>
      </w:r>
      <w:r>
        <w:rPr>
          <w:rFonts w:ascii="Times New Roman" w:cs="Times New Roman" w:eastAsia="Times New Roman" w:hAnsi="Times New Roman"/>
          <w:sz w:val="21"/>
          <w:szCs w:val="21"/>
          <w:color w:val="auto"/>
        </w:rPr>
        <w:t>”), a performance stock unit award covering the number of units set forth below (the “</w:t>
      </w:r>
      <w:r>
        <w:rPr>
          <w:rFonts w:ascii="Times New Roman" w:cs="Times New Roman" w:eastAsia="Times New Roman" w:hAnsi="Times New Roman"/>
          <w:sz w:val="21"/>
          <w:szCs w:val="21"/>
          <w:b w:val="1"/>
          <w:bCs w:val="1"/>
          <w:color w:val="auto"/>
        </w:rPr>
        <w:t>PSUs</w:t>
      </w:r>
      <w:r>
        <w:rPr>
          <w:rFonts w:ascii="Times New Roman" w:cs="Times New Roman" w:eastAsia="Times New Roman" w:hAnsi="Times New Roman"/>
          <w:sz w:val="21"/>
          <w:szCs w:val="21"/>
          <w:color w:val="auto"/>
        </w:rPr>
        <w:t>”), each of which represents one (1) share of the Company’s class A common stock (“</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and the shares of Common Stock underlying the PSUs, the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The PSUs are subject to all of the terms and conditions set forth in this Global Notice of Performance Stock Unit Grant (the “</w:t>
      </w:r>
      <w:r>
        <w:rPr>
          <w:rFonts w:ascii="Times New Roman" w:cs="Times New Roman" w:eastAsia="Times New Roman" w:hAnsi="Times New Roman"/>
          <w:sz w:val="21"/>
          <w:szCs w:val="21"/>
          <w:b w:val="1"/>
          <w:bCs w:val="1"/>
          <w:color w:val="auto"/>
        </w:rPr>
        <w:t>Grant Notice</w:t>
      </w:r>
      <w:r>
        <w:rPr>
          <w:rFonts w:ascii="Times New Roman" w:cs="Times New Roman" w:eastAsia="Times New Roman" w:hAnsi="Times New Roman"/>
          <w:sz w:val="21"/>
          <w:szCs w:val="21"/>
          <w:color w:val="auto"/>
        </w:rPr>
        <w:t>”) and the Global Performance Stock Unit Agreement, including the additional terms and conditions for certain countries, as set forth in the addendum attached thereto (the “</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and, together, the “</w:t>
      </w:r>
      <w:r>
        <w:rPr>
          <w:rFonts w:ascii="Times New Roman" w:cs="Times New Roman" w:eastAsia="Times New Roman" w:hAnsi="Times New Roman"/>
          <w:sz w:val="21"/>
          <w:szCs w:val="21"/>
          <w:b w:val="1"/>
          <w:bCs w:val="1"/>
          <w:color w:val="auto"/>
        </w:rPr>
        <w:t>PSU Agreement</w:t>
      </w:r>
      <w:r>
        <w:rPr>
          <w:rFonts w:ascii="Times New Roman" w:cs="Times New Roman" w:eastAsia="Times New Roman" w:hAnsi="Times New Roman"/>
          <w:sz w:val="21"/>
          <w:szCs w:val="21"/>
          <w:color w:val="auto"/>
        </w:rPr>
        <w:t>”) and the Plan, both of which are attached hereto and incorporated herein in their entirety. Capitalized terms not explicitly defined in this Grant Notice but defined in the Plan or the PSU Agreement will have the same definitions as in the Plan or the PSU Agreement. In the event of any conflict between the terms of the Grant Notice and the Plan, the terms of the Plan will control.</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Grantee:</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«Name of Grantee»</w:t>
            </w: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Date of Grant:</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«Date of Grant»</w:t>
            </w: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Initial Target Grant Date Dollar Value:</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«Initial Target Grant Date Dollar Value»</w:t>
            </w:r>
          </w:p>
        </w:tc>
        <w:tc>
          <w:tcPr>
            <w:tcW w:w="0" w:type="dxa"/>
            <w:vAlign w:val="bottom"/>
          </w:tcPr>
          <w:p>
            <w:pPr>
              <w:spacing w:after="0"/>
              <w:rPr>
                <w:sz w:val="1"/>
                <w:szCs w:val="1"/>
                <w:color w:val="auto"/>
              </w:rPr>
            </w:pPr>
          </w:p>
        </w:tc>
      </w:tr>
      <w:tr>
        <w:trPr>
          <w:trHeight w:val="581"/>
        </w:trPr>
        <w:tc>
          <w:tcPr>
            <w:tcW w:w="516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  Initial Target Grant Date Dollar Value of RLTC PSUs:</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w w:val="97"/>
              </w:rPr>
              <w:t>«Initial Target Grant Date Dollar Value re RLTC»</w:t>
            </w:r>
          </w:p>
        </w:tc>
        <w:tc>
          <w:tcPr>
            <w:tcW w:w="0" w:type="dxa"/>
            <w:vAlign w:val="bottom"/>
          </w:tcPr>
          <w:p>
            <w:pPr>
              <w:spacing w:after="0"/>
              <w:rPr>
                <w:sz w:val="1"/>
                <w:szCs w:val="1"/>
                <w:color w:val="auto"/>
              </w:rPr>
            </w:pPr>
          </w:p>
        </w:tc>
      </w:tr>
      <w:tr>
        <w:trPr>
          <w:trHeight w:val="116"/>
        </w:trPr>
        <w:tc>
          <w:tcPr>
            <w:tcW w:w="516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5"/>
        </w:trPr>
        <w:tc>
          <w:tcPr>
            <w:tcW w:w="516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  Initial Target Grant Date Dollar Value of AOI PSUs:</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«Initial Target Grant Date Dollar Value re AOI»</w:t>
            </w:r>
          </w:p>
        </w:tc>
        <w:tc>
          <w:tcPr>
            <w:tcW w:w="0" w:type="dxa"/>
            <w:vAlign w:val="bottom"/>
          </w:tcPr>
          <w:p>
            <w:pPr>
              <w:spacing w:after="0"/>
              <w:rPr>
                <w:sz w:val="1"/>
                <w:szCs w:val="1"/>
                <w:color w:val="auto"/>
              </w:rPr>
            </w:pPr>
          </w:p>
        </w:tc>
      </w:tr>
      <w:tr>
        <w:trPr>
          <w:trHeight w:val="116"/>
        </w:trPr>
        <w:tc>
          <w:tcPr>
            <w:tcW w:w="516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4"/>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Target Number of PSUs:</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«Target PSUs»</w:t>
            </w:r>
          </w:p>
        </w:tc>
        <w:tc>
          <w:tcPr>
            <w:tcW w:w="0" w:type="dxa"/>
            <w:vAlign w:val="bottom"/>
          </w:tcPr>
          <w:p>
            <w:pPr>
              <w:spacing w:after="0"/>
              <w:rPr>
                <w:sz w:val="1"/>
                <w:szCs w:val="1"/>
                <w:color w:val="auto"/>
              </w:rPr>
            </w:pPr>
          </w:p>
        </w:tc>
      </w:tr>
      <w:tr>
        <w:trPr>
          <w:trHeight w:val="245"/>
        </w:trPr>
        <w:tc>
          <w:tcPr>
            <w:tcW w:w="516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  Target Number of RLTC PSUs:</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«Target PSUs re RLTC»</w:t>
            </w:r>
          </w:p>
        </w:tc>
        <w:tc>
          <w:tcPr>
            <w:tcW w:w="0" w:type="dxa"/>
            <w:vAlign w:val="bottom"/>
          </w:tcPr>
          <w:p>
            <w:pPr>
              <w:spacing w:after="0"/>
              <w:rPr>
                <w:sz w:val="1"/>
                <w:szCs w:val="1"/>
                <w:color w:val="auto"/>
              </w:rPr>
            </w:pPr>
          </w:p>
        </w:tc>
      </w:tr>
      <w:tr>
        <w:trPr>
          <w:trHeight w:val="116"/>
        </w:trPr>
        <w:tc>
          <w:tcPr>
            <w:tcW w:w="516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5"/>
        </w:trPr>
        <w:tc>
          <w:tcPr>
            <w:tcW w:w="516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  Target Number of AOI PSUs:</w:t>
            </w:r>
          </w:p>
        </w:tc>
        <w:tc>
          <w:tcPr>
            <w:tcW w:w="418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«Target PSUs re AOI»</w:t>
            </w:r>
          </w:p>
        </w:tc>
        <w:tc>
          <w:tcPr>
            <w:tcW w:w="0" w:type="dxa"/>
            <w:vAlign w:val="bottom"/>
          </w:tcPr>
          <w:p>
            <w:pPr>
              <w:spacing w:after="0"/>
              <w:rPr>
                <w:sz w:val="1"/>
                <w:szCs w:val="1"/>
                <w:color w:val="auto"/>
              </w:rPr>
            </w:pPr>
          </w:p>
        </w:tc>
      </w:tr>
      <w:tr>
        <w:trPr>
          <w:trHeight w:val="116"/>
        </w:trPr>
        <w:tc>
          <w:tcPr>
            <w:tcW w:w="516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5"/>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auto"/>
              </w:rPr>
              <w:t>Performance Period:</w:t>
            </w:r>
          </w:p>
        </w:tc>
        <w:tc>
          <w:tcPr>
            <w:tcW w:w="4180" w:type="dxa"/>
            <w:vAlign w:val="bottom"/>
            <w:vMerge w:val="restart"/>
          </w:tcPr>
          <w:p>
            <w:pPr>
              <w:ind w:left="460"/>
              <w:spacing w:after="0"/>
              <w:rPr>
                <w:sz w:val="20"/>
                <w:szCs w:val="20"/>
                <w:color w:val="auto"/>
              </w:rPr>
            </w:pPr>
            <w:r>
              <w:rPr>
                <w:rFonts w:ascii="Times New Roman" w:cs="Times New Roman" w:eastAsia="Times New Roman" w:hAnsi="Times New Roman"/>
                <w:sz w:val="19"/>
                <w:szCs w:val="19"/>
                <w:color w:val="auto"/>
              </w:rPr>
              <w:t>«Beginning Date» - «Ending Date»</w:t>
            </w:r>
          </w:p>
        </w:tc>
        <w:tc>
          <w:tcPr>
            <w:tcW w:w="0" w:type="dxa"/>
            <w:vAlign w:val="bottom"/>
          </w:tcPr>
          <w:p>
            <w:pPr>
              <w:spacing w:after="0"/>
              <w:rPr>
                <w:sz w:val="1"/>
                <w:szCs w:val="1"/>
                <w:color w:val="auto"/>
              </w:rPr>
            </w:pPr>
          </w:p>
        </w:tc>
      </w:tr>
      <w:tr>
        <w:trPr>
          <w:trHeight w:val="116"/>
        </w:trPr>
        <w:tc>
          <w:tcPr>
            <w:tcW w:w="5160" w:type="dxa"/>
            <w:vAlign w:val="bottom"/>
          </w:tcPr>
          <w:p>
            <w:pPr>
              <w:spacing w:after="0"/>
              <w:rPr>
                <w:sz w:val="10"/>
                <w:szCs w:val="10"/>
                <w:color w:val="auto"/>
              </w:rPr>
            </w:pPr>
          </w:p>
        </w:tc>
        <w:tc>
          <w:tcPr>
            <w:tcW w:w="4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01" w:right="339"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9"/>
          <w:szCs w:val="19"/>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Settlement of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960"/>
        <w:spacing w:after="0"/>
        <w:rPr>
          <w:sz w:val="20"/>
          <w:szCs w:val="20"/>
          <w:color w:val="auto"/>
        </w:rPr>
      </w:pPr>
      <w:r>
        <w:rPr>
          <w:rFonts w:ascii="Times New Roman" w:cs="Times New Roman" w:eastAsia="Times New Roman" w:hAnsi="Times New Roman"/>
          <w:sz w:val="21"/>
          <w:szCs w:val="21"/>
          <w:b w:val="1"/>
          <w:bCs w:val="1"/>
          <w:color w:val="auto"/>
        </w:rPr>
        <w:t>Definitions for Performance Measures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9"/>
          <w:szCs w:val="19"/>
          <w:u w:val="single" w:color="auto"/>
          <w:color w:val="auto"/>
        </w:rPr>
        <w:t>Performance-Based Vesting</w:t>
      </w:r>
      <w:r>
        <w:rPr>
          <w:rFonts w:ascii="Times New Roman" w:cs="Times New Roman" w:eastAsia="Times New Roman" w:hAnsi="Times New Roman"/>
          <w:sz w:val="19"/>
          <w:szCs w:val="19"/>
          <w:color w:val="auto"/>
        </w:rPr>
        <w:t>. All of the PSUs are unearned, nonvested and forfeitable as of the Date of Grant. Subject to satisfaction of the time-based vesting conditions below, the number of PSUs that become earned, if any, shall be determined based on the achievement of the applicable Performance Measures during the Performance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actual number of PSUs earned during the Performance Period shall</w:t>
      </w:r>
    </w:p>
    <w:p>
      <w:pPr>
        <w:spacing w:after="0" w:line="40"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9"/>
          <w:szCs w:val="19"/>
          <w:color w:val="auto"/>
        </w:rPr>
        <w:t>be determined by the Administrator as soon as practicable following the end of such Performance Period. Any PSUs that do not become earned and vested will be automatically forfeited and all rights of Grantee to such PSUs shall immediately terminate, without payment of any consideration to Grantee.</w:t>
      </w:r>
    </w:p>
    <w:p>
      <w:pPr>
        <w:spacing w:after="0" w:line="183"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9"/>
          <w:szCs w:val="19"/>
          <w:u w:val="single" w:color="auto"/>
          <w:color w:val="auto"/>
        </w:rPr>
        <w:t>Time-Based Vesting</w:t>
      </w:r>
      <w:r>
        <w:rPr>
          <w:rFonts w:ascii="Times New Roman" w:cs="Times New Roman" w:eastAsia="Times New Roman" w:hAnsi="Times New Roman"/>
          <w:sz w:val="19"/>
          <w:szCs w:val="19"/>
          <w:color w:val="auto"/>
        </w:rPr>
        <w:t>. As of the last day of the Performance Period (such date, the “</w:t>
      </w:r>
      <w:r>
        <w:rPr>
          <w:rFonts w:ascii="Times New Roman" w:cs="Times New Roman" w:eastAsia="Times New Roman" w:hAnsi="Times New Roman"/>
          <w:sz w:val="19"/>
          <w:szCs w:val="19"/>
          <w:b w:val="1"/>
          <w:bCs w:val="1"/>
          <w:color w:val="auto"/>
        </w:rPr>
        <w:t>Vesting Date</w:t>
      </w:r>
      <w:r>
        <w:rPr>
          <w:rFonts w:ascii="Times New Roman" w:cs="Times New Roman" w:eastAsia="Times New Roman" w:hAnsi="Times New Roman"/>
          <w:sz w:val="19"/>
          <w:szCs w:val="19"/>
          <w:color w:val="auto"/>
        </w:rPr>
        <w:t xml:space="preserve">”), the total number of PSUs earned based on the achievement of the applicable Performance Measures during the Performance Period shall become vested and non-forfeitable,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Grantee remains in Continuous Service Status through the Vesting Date.</w:t>
      </w:r>
    </w:p>
    <w:p>
      <w:pPr>
        <w:spacing w:after="0" w:line="171"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9"/>
          <w:szCs w:val="19"/>
          <w:color w:val="auto"/>
        </w:rPr>
        <w:t>If Grantee’s Continuous Service Status terminates for any reason at any time prior to the last day of the Performance Period, all PSUs will be automatically forfeited and all rights of Grantee to such PSUs shall immediately terminate, without payment of any consideration to Grantee, except that the Grantee shall vest in the Target Number of PSUs upon a termination due to Grantee’s death or Disability, in either case, that occurs on or after the second anniversary of the start of the Performance Period and prior to the last day of the Performance Period.</w:t>
      </w:r>
    </w:p>
    <w:p>
      <w:pPr>
        <w:spacing w:after="0" w:line="34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9"/>
          <w:szCs w:val="19"/>
          <w:color w:val="auto"/>
        </w:rPr>
        <w:t>Each PSU, to the extent earned and vested, will be settled on a date determined by the Company in its sole and absolute discretion that is as soon as practicable following the Vesting Date, but in no event later than March 15 of the year following the year in which the Performance Period ends.</w:t>
      </w:r>
    </w:p>
    <w:p>
      <w:pPr>
        <w:spacing w:after="0" w:line="80"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9"/>
          <w:szCs w:val="19"/>
          <w:color w:val="auto"/>
        </w:rPr>
        <w:t>Further, notwithstanding anything stated herein, in the PSU Agreement, the Plan or any other agreement applicable to the PSUs, the Company shall have the discretion to settle the PSUs prior to the time set forth herein to the extent permitted by U.S. Treasury Regulation Section 1.409A-3(j)(4).</w:t>
      </w:r>
    </w:p>
    <w:p>
      <w:pPr>
        <w:spacing w:after="0" w:line="848" w:lineRule="exact"/>
        <w:rPr>
          <w:sz w:val="20"/>
          <w:szCs w:val="20"/>
          <w:color w:val="auto"/>
        </w:rPr>
      </w:pPr>
    </w:p>
    <w:p>
      <w:pPr>
        <w:sectPr>
          <w:pgSz w:w="11900" w:h="16838" w:orient="portrait"/>
          <w:cols w:equalWidth="0" w:num="2">
            <w:col w:w="4960" w:space="720"/>
            <w:col w:w="5560"/>
          </w:cols>
          <w:pgMar w:left="320" w:top="1398" w:right="339" w:bottom="0" w:gutter="0" w:footer="0" w:header="0"/>
        </w:sectPr>
      </w:pPr>
    </w:p>
    <w:p>
      <w:pPr>
        <w:spacing w:after="0" w:line="11"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“Achievement Percentage of Target AOI PSUs” </w:t>
      </w:r>
      <w:r>
        <w:rPr>
          <w:rFonts w:ascii="Times New Roman" w:cs="Times New Roman" w:eastAsia="Times New Roman" w:hAnsi="Times New Roman"/>
          <w:sz w:val="21"/>
          <w:szCs w:val="21"/>
          <w:color w:val="auto"/>
        </w:rPr>
        <w:t>means the level of payout achievement for AOI PSUs based on AOI growth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a given fiscal year during the Performance Period.</w:t>
      </w:r>
    </w:p>
    <w:p>
      <w:pPr>
        <w:spacing w:after="0" w:line="146"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“Achievement Percentage of Target RLTC PSUs” </w:t>
      </w:r>
      <w:r>
        <w:rPr>
          <w:rFonts w:ascii="Times New Roman" w:cs="Times New Roman" w:eastAsia="Times New Roman" w:hAnsi="Times New Roman"/>
          <w:sz w:val="21"/>
          <w:szCs w:val="21"/>
          <w:color w:val="auto"/>
        </w:rPr>
        <w:t>means the level of payout achievement for RLTC PSUs based on RLTC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growth for a given fiscal year during the Performance Period.</w:t>
      </w:r>
    </w:p>
    <w:p>
      <w:pPr>
        <w:spacing w:after="0" w:line="159"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“AOI” </w:t>
      </w:r>
      <w:r>
        <w:rPr>
          <w:rFonts w:ascii="Times New Roman" w:cs="Times New Roman" w:eastAsia="Times New Roman" w:hAnsi="Times New Roman"/>
          <w:sz w:val="21"/>
          <w:szCs w:val="21"/>
          <w:color w:val="auto"/>
        </w:rPr>
        <w:t>means adjusted operating income as published in connection with the release of the Company’s final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statements.</w:t>
      </w:r>
    </w:p>
    <w:p>
      <w:pPr>
        <w:spacing w:after="0" w:line="14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“AOI Growth Percentage” </w:t>
      </w:r>
      <w:r>
        <w:rPr>
          <w:rFonts w:ascii="Times New Roman" w:cs="Times New Roman" w:eastAsia="Times New Roman" w:hAnsi="Times New Roman"/>
          <w:sz w:val="21"/>
          <w:szCs w:val="21"/>
          <w:color w:val="auto"/>
        </w:rPr>
        <w:t>means the percentage difference between AOI at the end of the applicable measurement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(fiscal year or Performance Period, as applicable) compared to the AOI published in connection with the release of the Company’s financial statements for either (a) the fiscal year immediately preceding the applicable measurement period, or (b) in the case of negative performance over the Performance Period, the fiscal year prior to the start of the Performance Period.</w:t>
      </w:r>
    </w:p>
    <w:p>
      <w:pPr>
        <w:spacing w:after="0" w:line="163"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21"/>
          <w:szCs w:val="21"/>
          <w:b w:val="1"/>
          <w:bCs w:val="1"/>
          <w:color w:val="auto"/>
        </w:rPr>
        <w:t xml:space="preserve">“RLTC” </w:t>
      </w:r>
      <w:r>
        <w:rPr>
          <w:rFonts w:ascii="Times New Roman" w:cs="Times New Roman" w:eastAsia="Times New Roman" w:hAnsi="Times New Roman"/>
          <w:sz w:val="21"/>
          <w:szCs w:val="21"/>
          <w:color w:val="auto"/>
        </w:rPr>
        <w:t>means revenue less transaction costs as published in connection with the release of the Company’s final financial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statements.</w:t>
      </w:r>
    </w:p>
    <w:p>
      <w:pPr>
        <w:spacing w:after="0" w:line="14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“RLTC Growth Percentage” </w:t>
      </w:r>
      <w:r>
        <w:rPr>
          <w:rFonts w:ascii="Times New Roman" w:cs="Times New Roman" w:eastAsia="Times New Roman" w:hAnsi="Times New Roman"/>
          <w:sz w:val="21"/>
          <w:szCs w:val="21"/>
          <w:color w:val="auto"/>
        </w:rPr>
        <w:t>means the percentage difference between RLTC at the end of the applicable measurement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(fiscal year or Performance Period, as applicable) compared to the RLTC published in connection with the release of the Company’s financial statements for either (a) the fiscal year immediately preceding the applicable measurement period, or (b) in the case of negative performance over the Performance Period, the fiscal year prior to the start of the Performance Period.</w:t>
      </w:r>
    </w:p>
    <w:p>
      <w:pPr>
        <w:sectPr>
          <w:pgSz w:w="11900" w:h="16838" w:orient="portrait"/>
          <w:cols w:equalWidth="0" w:num="1">
            <w:col w:w="11240"/>
          </w:cols>
          <w:pgMar w:left="320" w:top="1398" w:right="339"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1"/>
          <w:szCs w:val="21"/>
          <w:b w:val="1"/>
          <w:bCs w:val="1"/>
          <w:color w:val="auto"/>
        </w:rPr>
        <w:t>Performance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519"/>
          </w:cols>
          <w:pgMar w:left="940" w:top="123" w:right="1440" w:bottom="1440" w:gutter="0" w:footer="0" w:header="0"/>
        </w:sectPr>
      </w:pPr>
    </w:p>
    <w:bookmarkStart w:id="99" w:name="page100"/>
    <w:bookmarkEnd w:id="99"/>
    <w:p>
      <w:pPr>
        <w:spacing w:after="0" w:line="135" w:lineRule="exact"/>
        <w:rPr>
          <w:sz w:val="20"/>
          <w:szCs w:val="20"/>
          <w:color w:val="auto"/>
        </w:rPr>
      </w:pPr>
    </w:p>
    <w:p>
      <w:pPr>
        <w:jc w:val="both"/>
        <w:ind w:right="20" w:firstLine="620"/>
        <w:spacing w:after="0" w:line="257" w:lineRule="auto"/>
        <w:rPr>
          <w:sz w:val="20"/>
          <w:szCs w:val="20"/>
          <w:color w:val="auto"/>
        </w:rPr>
      </w:pPr>
      <w:r>
        <w:rPr>
          <w:rFonts w:ascii="Times New Roman" w:cs="Times New Roman" w:eastAsia="Times New Roman" w:hAnsi="Times New Roman"/>
          <w:sz w:val="21"/>
          <w:szCs w:val="21"/>
          <w:color w:val="auto"/>
        </w:rPr>
        <w:t>The tables below set forth the targets for each fiscal year ending during the Performance Period for the following two Performance Measures: RLTC Growth Percentage and AOI Growth Percentage, and the corresponding Achievement Percentage of Target AOI PSUs and Achievement Percentage of Target RLTC PSUs.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420" w:type="dxa"/>
            <w:vAlign w:val="bottom"/>
            <w:tcBorders>
              <w:top w:val="single" w:sz="8" w:color="auto"/>
              <w:left w:val="single" w:sz="8" w:color="auto"/>
            </w:tcBorders>
          </w:tcPr>
          <w:p>
            <w:pPr>
              <w:spacing w:after="0"/>
              <w:rPr>
                <w:sz w:val="14"/>
                <w:szCs w:val="14"/>
                <w:color w:val="auto"/>
              </w:rPr>
            </w:pPr>
          </w:p>
        </w:tc>
        <w:tc>
          <w:tcPr>
            <w:tcW w:w="2440" w:type="dxa"/>
            <w:vAlign w:val="bottom"/>
            <w:tcBorders>
              <w:top w:val="single" w:sz="8" w:color="auto"/>
              <w:right w:val="single" w:sz="8" w:color="auto"/>
            </w:tcBorders>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w w:val="98"/>
              </w:rPr>
              <w:t>Achievement Percentage of</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«Fiscal Year 1»</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 Year 2»</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 Year 3»</w:t>
            </w:r>
          </w:p>
        </w:tc>
      </w:tr>
      <w:tr>
        <w:trPr>
          <w:trHeight w:val="183"/>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jc w:val="center"/>
              <w:ind w:right="351"/>
              <w:spacing w:after="0"/>
              <w:rPr>
                <w:sz w:val="20"/>
                <w:szCs w:val="20"/>
                <w:color w:val="auto"/>
              </w:rPr>
            </w:pPr>
            <w:r>
              <w:rPr>
                <w:rFonts w:ascii="Times New Roman" w:cs="Times New Roman" w:eastAsia="Times New Roman" w:hAnsi="Times New Roman"/>
                <w:sz w:val="14"/>
                <w:szCs w:val="14"/>
                <w:b w:val="1"/>
                <w:bCs w:val="1"/>
                <w:color w:val="auto"/>
                <w:w w:val="96"/>
              </w:rPr>
              <w:t>Target RLTC PSUs</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RLTC Growth Percentage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RLTC Growth Percentage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RLTC Growth Percentage</w:t>
            </w:r>
          </w:p>
        </w:tc>
      </w:tr>
      <w:tr>
        <w:trPr>
          <w:trHeight w:val="48"/>
        </w:trPr>
        <w:tc>
          <w:tcPr>
            <w:tcW w:w="2860" w:type="dxa"/>
            <w:vAlign w:val="bottom"/>
            <w:tcBorders>
              <w:left w:val="single" w:sz="8" w:color="auto"/>
              <w:bottom w:val="single" w:sz="8" w:color="auto"/>
              <w:right w:val="single" w:sz="8" w:color="auto"/>
            </w:tcBorders>
            <w:gridSpan w:val="2"/>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r>
        <w:trPr>
          <w:trHeight w:val="153"/>
        </w:trPr>
        <w:tc>
          <w:tcPr>
            <w:tcW w:w="2860" w:type="dxa"/>
            <w:vAlign w:val="bottom"/>
            <w:tcBorders>
              <w:left w:val="single" w:sz="8" w:color="auto"/>
              <w:right w:val="single" w:sz="8" w:color="auto"/>
            </w:tcBorders>
            <w:gridSpan w:val="2"/>
          </w:tcPr>
          <w:p>
            <w:pPr>
              <w:ind w:left="80"/>
              <w:spacing w:after="0" w:line="153" w:lineRule="exact"/>
              <w:rPr>
                <w:sz w:val="20"/>
                <w:szCs w:val="20"/>
                <w:color w:val="auto"/>
              </w:rPr>
            </w:pPr>
            <w:r>
              <w:rPr>
                <w:rFonts w:ascii="Times New Roman" w:cs="Times New Roman" w:eastAsia="Times New Roman" w:hAnsi="Times New Roman"/>
                <w:sz w:val="14"/>
                <w:szCs w:val="14"/>
                <w:color w:val="auto"/>
              </w:rPr>
              <w:t>50% (Threshold)</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6"/>
              </w:rPr>
              <w:t>«Fiscal Year 1 RLTC Threshold Growth</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7"/>
              </w:rPr>
              <w:t>«Fiscal Year 2 RLTC Threshold Growth</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7"/>
              </w:rPr>
              <w:t>«Fiscal Year 3 RLTC Threshold Growth</w:t>
            </w:r>
          </w:p>
        </w:tc>
      </w:tr>
      <w:tr>
        <w:trPr>
          <w:trHeight w:val="179"/>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48"/>
        </w:trPr>
        <w:tc>
          <w:tcPr>
            <w:tcW w:w="2860" w:type="dxa"/>
            <w:vAlign w:val="bottom"/>
            <w:tcBorders>
              <w:left w:val="single" w:sz="8" w:color="auto"/>
              <w:bottom w:val="single" w:sz="8" w:color="auto"/>
              <w:right w:val="single" w:sz="8" w:color="auto"/>
            </w:tcBorders>
            <w:gridSpan w:val="2"/>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r>
        <w:trPr>
          <w:trHeight w:val="153"/>
        </w:trPr>
        <w:tc>
          <w:tcPr>
            <w:tcW w:w="2860" w:type="dxa"/>
            <w:vAlign w:val="bottom"/>
            <w:tcBorders>
              <w:left w:val="single" w:sz="8" w:color="auto"/>
              <w:right w:val="single" w:sz="8" w:color="auto"/>
            </w:tcBorders>
            <w:gridSpan w:val="2"/>
          </w:tcPr>
          <w:p>
            <w:pPr>
              <w:ind w:left="80"/>
              <w:spacing w:after="0" w:line="153" w:lineRule="exact"/>
              <w:rPr>
                <w:sz w:val="20"/>
                <w:szCs w:val="20"/>
                <w:color w:val="auto"/>
              </w:rPr>
            </w:pPr>
            <w:r>
              <w:rPr>
                <w:rFonts w:ascii="Times New Roman" w:cs="Times New Roman" w:eastAsia="Times New Roman" w:hAnsi="Times New Roman"/>
                <w:sz w:val="14"/>
                <w:szCs w:val="14"/>
                <w:color w:val="auto"/>
              </w:rPr>
              <w:t>80% (Underperformance)</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7"/>
              </w:rPr>
              <w:t>«Fiscal Year 1 RLTC Underperformance</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7"/>
              </w:rPr>
              <w:t>«Fiscal Year 2 RLTC Underperformance</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6"/>
              </w:rPr>
              <w:t>«Fiscal Year 3 RLTC Underperformance</w:t>
            </w:r>
          </w:p>
        </w:tc>
      </w:tr>
      <w:tr>
        <w:trPr>
          <w:trHeight w:val="179"/>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Growth 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Growth 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Growth Achievement %»</w:t>
            </w: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r>
        <w:trPr>
          <w:trHeight w:val="153"/>
        </w:trPr>
        <w:tc>
          <w:tcPr>
            <w:tcW w:w="420" w:type="dxa"/>
            <w:vAlign w:val="bottom"/>
            <w:tcBorders>
              <w:left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color w:val="auto"/>
                <w:w w:val="97"/>
              </w:rPr>
              <w:t>100%</w:t>
            </w:r>
          </w:p>
        </w:tc>
        <w:tc>
          <w:tcPr>
            <w:tcW w:w="2440" w:type="dxa"/>
            <w:vAlign w:val="bottom"/>
            <w:tcBorders>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4"/>
                <w:szCs w:val="14"/>
                <w:color w:val="auto"/>
              </w:rPr>
              <w:t>(Target)</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6"/>
              </w:rPr>
              <w:t>«Fiscal Year 1 RLTC Target Growth</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6"/>
              </w:rPr>
              <w:t>«Fiscal Year 2 RLTC Target Growth</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6"/>
              </w:rPr>
              <w:t>«Fiscal Year 3 RLTC Target Growth</w:t>
            </w:r>
          </w:p>
        </w:tc>
      </w:tr>
      <w:tr>
        <w:trPr>
          <w:trHeight w:val="179"/>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r>
        <w:trPr>
          <w:trHeight w:val="153"/>
        </w:trPr>
        <w:tc>
          <w:tcPr>
            <w:tcW w:w="420" w:type="dxa"/>
            <w:vAlign w:val="bottom"/>
            <w:tcBorders>
              <w:left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color w:val="auto"/>
                <w:w w:val="97"/>
              </w:rPr>
              <w:t>120%</w:t>
            </w:r>
          </w:p>
        </w:tc>
        <w:tc>
          <w:tcPr>
            <w:tcW w:w="2440" w:type="dxa"/>
            <w:vAlign w:val="bottom"/>
            <w:tcBorders>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4"/>
                <w:szCs w:val="14"/>
                <w:color w:val="auto"/>
              </w:rPr>
              <w:t>(Overperformance)</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7"/>
              </w:rPr>
              <w:t>«Fiscal Year 1 RLTC Overperformance Growth</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7"/>
              </w:rPr>
              <w:t>«Fiscal Year 2 RLTC Overperformance Growth</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7"/>
              </w:rPr>
              <w:t>«Fiscal Year 3 RLTC Overperformance Growth</w:t>
            </w:r>
          </w:p>
        </w:tc>
      </w:tr>
      <w:tr>
        <w:trPr>
          <w:trHeight w:val="179"/>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r>
        <w:trPr>
          <w:trHeight w:val="153"/>
        </w:trPr>
        <w:tc>
          <w:tcPr>
            <w:tcW w:w="420" w:type="dxa"/>
            <w:vAlign w:val="bottom"/>
            <w:tcBorders>
              <w:left w:val="single" w:sz="8" w:color="auto"/>
            </w:tcBorders>
          </w:tcPr>
          <w:p>
            <w:pPr>
              <w:ind w:left="80"/>
              <w:spacing w:after="0" w:line="153" w:lineRule="exact"/>
              <w:rPr>
                <w:sz w:val="20"/>
                <w:szCs w:val="20"/>
                <w:color w:val="auto"/>
              </w:rPr>
            </w:pPr>
            <w:r>
              <w:rPr>
                <w:rFonts w:ascii="Times New Roman" w:cs="Times New Roman" w:eastAsia="Times New Roman" w:hAnsi="Times New Roman"/>
                <w:sz w:val="14"/>
                <w:szCs w:val="14"/>
                <w:color w:val="auto"/>
                <w:w w:val="97"/>
              </w:rPr>
              <w:t>200%</w:t>
            </w:r>
          </w:p>
        </w:tc>
        <w:tc>
          <w:tcPr>
            <w:tcW w:w="2440" w:type="dxa"/>
            <w:vAlign w:val="bottom"/>
            <w:tcBorders>
              <w:right w:val="single" w:sz="8" w:color="auto"/>
            </w:tcBorders>
          </w:tcPr>
          <w:p>
            <w:pPr>
              <w:ind w:left="20"/>
              <w:spacing w:after="0" w:line="153" w:lineRule="exact"/>
              <w:rPr>
                <w:sz w:val="20"/>
                <w:szCs w:val="20"/>
                <w:color w:val="auto"/>
              </w:rPr>
            </w:pPr>
            <w:r>
              <w:rPr>
                <w:rFonts w:ascii="Times New Roman" w:cs="Times New Roman" w:eastAsia="Times New Roman" w:hAnsi="Times New Roman"/>
                <w:sz w:val="14"/>
                <w:szCs w:val="14"/>
                <w:color w:val="auto"/>
              </w:rPr>
              <w:t>(Maximum)</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7"/>
              </w:rPr>
              <w:t>«Fiscal Year 1 RLTC Maximum Growth</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6"/>
              </w:rPr>
              <w:t>«Fiscal Year 2 RLTC Maximum Growth</w:t>
            </w:r>
          </w:p>
        </w:tc>
        <w:tc>
          <w:tcPr>
            <w:tcW w:w="280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w w:val="96"/>
              </w:rPr>
              <w:t>«Fiscal Year 3 RLTC Maximum Growth</w:t>
            </w:r>
          </w:p>
        </w:tc>
      </w:tr>
      <w:tr>
        <w:trPr>
          <w:trHeight w:val="179"/>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r>
    </w:tbl>
    <w:p>
      <w:pPr>
        <w:spacing w:after="0" w:line="316"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420" w:type="dxa"/>
            <w:vAlign w:val="bottom"/>
            <w:tcBorders>
              <w:top w:val="single" w:sz="8" w:color="auto"/>
              <w:left w:val="single" w:sz="8" w:color="auto"/>
            </w:tcBorders>
          </w:tcPr>
          <w:p>
            <w:pPr>
              <w:spacing w:after="0"/>
              <w:rPr>
                <w:sz w:val="15"/>
                <w:szCs w:val="15"/>
                <w:color w:val="auto"/>
              </w:rPr>
            </w:pPr>
          </w:p>
        </w:tc>
        <w:tc>
          <w:tcPr>
            <w:tcW w:w="2440" w:type="dxa"/>
            <w:vAlign w:val="bottom"/>
            <w:tcBorders>
              <w:top w:val="single" w:sz="8" w:color="auto"/>
              <w:right w:val="single" w:sz="8" w:color="auto"/>
            </w:tcBorders>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w w:val="98"/>
              </w:rPr>
              <w:t>Achievement Percentage of</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«Fiscal Year 1»</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 Year 2»</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«Fiscal Year 3»</w:t>
            </w:r>
          </w:p>
        </w:tc>
      </w:tr>
      <w:tr>
        <w:trPr>
          <w:trHeight w:val="183"/>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jc w:val="center"/>
              <w:ind w:right="351"/>
              <w:spacing w:after="0"/>
              <w:rPr>
                <w:sz w:val="20"/>
                <w:szCs w:val="20"/>
                <w:color w:val="auto"/>
              </w:rPr>
            </w:pPr>
            <w:r>
              <w:rPr>
                <w:rFonts w:ascii="Times New Roman" w:cs="Times New Roman" w:eastAsia="Times New Roman" w:hAnsi="Times New Roman"/>
                <w:sz w:val="14"/>
                <w:szCs w:val="14"/>
                <w:b w:val="1"/>
                <w:bCs w:val="1"/>
                <w:color w:val="auto"/>
                <w:w w:val="96"/>
              </w:rPr>
              <w:t>Target AOI PSUs</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AOI Growth Percentage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AOI Growth Percentage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AOI Growth Percentage</w:t>
            </w:r>
          </w:p>
        </w:tc>
      </w:tr>
      <w:tr>
        <w:trPr>
          <w:trHeight w:val="36"/>
        </w:trPr>
        <w:tc>
          <w:tcPr>
            <w:tcW w:w="2860" w:type="dxa"/>
            <w:vAlign w:val="bottom"/>
            <w:tcBorders>
              <w:left w:val="single" w:sz="8" w:color="auto"/>
              <w:bottom w:val="single" w:sz="8" w:color="auto"/>
              <w:right w:val="single" w:sz="8" w:color="auto"/>
            </w:tcBorders>
            <w:gridSpan w:val="2"/>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66"/>
        </w:trPr>
        <w:tc>
          <w:tcPr>
            <w:tcW w:w="28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50% (Threshold)</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1 AOI Threshold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2 AOI Threshold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«Fiscal Year 3 AOI Threshold Growth</w:t>
            </w:r>
          </w:p>
        </w:tc>
      </w:tr>
      <w:tr>
        <w:trPr>
          <w:trHeight w:val="179"/>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2860" w:type="dxa"/>
            <w:vAlign w:val="bottom"/>
            <w:tcBorders>
              <w:left w:val="single" w:sz="8" w:color="auto"/>
              <w:bottom w:val="single" w:sz="8" w:color="auto"/>
              <w:right w:val="single" w:sz="8" w:color="auto"/>
            </w:tcBorders>
            <w:gridSpan w:val="2"/>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66"/>
        </w:trPr>
        <w:tc>
          <w:tcPr>
            <w:tcW w:w="28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color w:val="auto"/>
              </w:rPr>
              <w:t>80% (Underperformance)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1 AOI Underperformance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2 AOI Underperformance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3 AOI Underperformance Growth</w:t>
            </w:r>
          </w:p>
        </w:tc>
      </w:tr>
      <w:tr>
        <w:trPr>
          <w:trHeight w:val="179"/>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42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66"/>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97"/>
              </w:rPr>
              <w:t>100%</w:t>
            </w: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1 AOI Target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«Fiscal Year 2 AOI Target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«Fiscal Year 3 AOI Target Growth</w:t>
            </w:r>
          </w:p>
        </w:tc>
      </w:tr>
      <w:tr>
        <w:trPr>
          <w:trHeight w:val="179"/>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42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66"/>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97"/>
              </w:rPr>
              <w:t>120%</w:t>
            </w: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(Overperformance)</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1 AOI Overperformance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2 AOI Overperformance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«Fiscal Year 3 AOI Overperformance Growth</w:t>
            </w:r>
          </w:p>
        </w:tc>
      </w:tr>
      <w:tr>
        <w:trPr>
          <w:trHeight w:val="179"/>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42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r>
        <w:trPr>
          <w:trHeight w:val="166"/>
        </w:trPr>
        <w:tc>
          <w:tcPr>
            <w:tcW w:w="4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97"/>
              </w:rPr>
              <w:t>200%</w:t>
            </w:r>
          </w:p>
        </w:tc>
        <w:tc>
          <w:tcPr>
            <w:tcW w:w="2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(Maximum)</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«Fiscal Year 1 AOI Maximum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«Fiscal Year 2 AOI Maximum Growth</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«Fiscal Year 3 AOI Maximum Growth</w:t>
            </w:r>
          </w:p>
        </w:tc>
      </w:tr>
      <w:tr>
        <w:trPr>
          <w:trHeight w:val="179"/>
        </w:trPr>
        <w:tc>
          <w:tcPr>
            <w:tcW w:w="420" w:type="dxa"/>
            <w:vAlign w:val="bottom"/>
            <w:tcBorders>
              <w:lef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Achievement %»</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Achievement %»</w:t>
            </w:r>
          </w:p>
        </w:tc>
      </w:tr>
      <w:tr>
        <w:trPr>
          <w:trHeight w:val="36"/>
        </w:trPr>
        <w:tc>
          <w:tcPr>
            <w:tcW w:w="420" w:type="dxa"/>
            <w:vAlign w:val="bottom"/>
            <w:tcBorders>
              <w:left w:val="single" w:sz="8" w:color="auto"/>
              <w:bottom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c>
          <w:tcPr>
            <w:tcW w:w="2800" w:type="dxa"/>
            <w:vAlign w:val="bottom"/>
            <w:tcBorders>
              <w:bottom w:val="single" w:sz="8" w:color="auto"/>
              <w:right w:val="single" w:sz="8" w:color="auto"/>
            </w:tcBorders>
          </w:tcPr>
          <w:p>
            <w:pPr>
              <w:spacing w:after="0"/>
              <w:rPr>
                <w:sz w:val="3"/>
                <w:szCs w:val="3"/>
                <w:color w:val="auto"/>
              </w:rPr>
            </w:pPr>
          </w:p>
        </w:tc>
      </w:tr>
    </w:tbl>
    <w:p>
      <w:pPr>
        <w:spacing w:after="0" w:line="285" w:lineRule="exact"/>
        <w:rPr>
          <w:sz w:val="20"/>
          <w:szCs w:val="20"/>
          <w:color w:val="auto"/>
        </w:rPr>
      </w:pPr>
    </w:p>
    <w:p>
      <w:pPr>
        <w:jc w:val="both"/>
        <w:ind w:right="20" w:firstLine="620"/>
        <w:spacing w:after="0" w:line="250" w:lineRule="auto"/>
        <w:rPr>
          <w:sz w:val="20"/>
          <w:szCs w:val="20"/>
          <w:color w:val="auto"/>
        </w:rPr>
      </w:pPr>
      <w:r>
        <w:rPr>
          <w:rFonts w:ascii="Times New Roman" w:cs="Times New Roman" w:eastAsia="Times New Roman" w:hAnsi="Times New Roman"/>
          <w:sz w:val="21"/>
          <w:szCs w:val="21"/>
          <w:color w:val="auto"/>
        </w:rPr>
        <w:t>To illustrate, below threshold performance for RLTC Growth Percentage for a given fiscal year during the Performance Period results in a 0% Achievement Percentage of Target RLTC PSUs for such year, and below threshold performance for AOI Growth Percentage for a given fiscal year during the Performance Period results in a 0% Achievement Percentage of Target AOI PSUs. Threshold performance results in a 50% Achievement Percentage of Target RLTC PSUs or 50% Achievement Percentage of Target AOI PSUs, as applicable; target performance results in 100% Achievement Percentage of Target RLTC PSUs or 100% Achievement Percentage of Target AOI PSUs, as applicable; and maximum performance results in 200% Achievement Percentage of Target RLTC PSUs or 200% Achievement Percentage of Target AOI PSUs, as applicable.</w:t>
      </w:r>
    </w:p>
    <w:p>
      <w:pPr>
        <w:spacing w:after="0" w:line="177" w:lineRule="exact"/>
        <w:rPr>
          <w:sz w:val="20"/>
          <w:szCs w:val="20"/>
          <w:color w:val="auto"/>
        </w:rPr>
      </w:pPr>
    </w:p>
    <w:p>
      <w:pPr>
        <w:jc w:val="both"/>
        <w:ind w:right="20" w:firstLine="620"/>
        <w:spacing w:after="0" w:line="263" w:lineRule="auto"/>
        <w:rPr>
          <w:sz w:val="20"/>
          <w:szCs w:val="20"/>
          <w:color w:val="auto"/>
        </w:rPr>
      </w:pPr>
      <w:r>
        <w:rPr>
          <w:rFonts w:ascii="Times New Roman" w:cs="Times New Roman" w:eastAsia="Times New Roman" w:hAnsi="Times New Roman"/>
          <w:sz w:val="21"/>
          <w:szCs w:val="21"/>
          <w:color w:val="auto"/>
        </w:rPr>
        <w:t>If the achieved RLTC Growth Percentage or AOI Growth Percentage falls between the potential growth values set for a given fiscal year in the tables above, the “Achievement Percentage of Target RLTC PSUs” or “Achievement Percentage of Target AOI PSUs,”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60"/>
          </w:cols>
          <w:pgMar w:left="320" w:top="1440" w:right="319" w:bottom="1440" w:gutter="0" w:footer="0" w:header="0"/>
        </w:sectPr>
      </w:pPr>
    </w:p>
    <w:bookmarkStart w:id="100" w:name="page101"/>
    <w:bookmarkEnd w:id="100"/>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applicable, will be determined by linear interpolation between such values (for the avoidance of doubt, there will be no linear interpolation below threshold performance). The RLTC Growth Percentage and AOI Growth Percentage for each fiscal year ending during the Performance Period will be measured and determined by the Administrator as soon as practicable following the last day of each such fiscal year.</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Payout Calculations</w:t>
      </w:r>
    </w:p>
    <w:p>
      <w:pPr>
        <w:spacing w:after="0" w:line="211" w:lineRule="exact"/>
        <w:rPr>
          <w:sz w:val="20"/>
          <w:szCs w:val="20"/>
          <w:color w:val="auto"/>
        </w:rPr>
      </w:pPr>
    </w:p>
    <w:p>
      <w:pPr>
        <w:jc w:val="both"/>
        <w:ind w:firstLine="620"/>
        <w:spacing w:after="0" w:line="275" w:lineRule="auto"/>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Average RLTC Achievement Percentage</w:t>
      </w:r>
      <w:r>
        <w:rPr>
          <w:rFonts w:ascii="Times New Roman" w:cs="Times New Roman" w:eastAsia="Times New Roman" w:hAnsi="Times New Roman"/>
          <w:sz w:val="20"/>
          <w:szCs w:val="20"/>
          <w:color w:val="auto"/>
        </w:rPr>
        <w:t>” shall be calculated by adding the Achievement Percentages of Target RLTC PSUs for each fiscal year in the Performance Period and dividing such amount by three, rounding to the nearest hundredth of a percent. Similarly, the “</w:t>
      </w:r>
      <w:r>
        <w:rPr>
          <w:rFonts w:ascii="Times New Roman" w:cs="Times New Roman" w:eastAsia="Times New Roman" w:hAnsi="Times New Roman"/>
          <w:sz w:val="20"/>
          <w:szCs w:val="20"/>
          <w:b w:val="1"/>
          <w:bCs w:val="1"/>
          <w:color w:val="auto"/>
        </w:rPr>
        <w:t>Average AOI Achievement Percentage</w:t>
      </w:r>
      <w:r>
        <w:rPr>
          <w:rFonts w:ascii="Times New Roman" w:cs="Times New Roman" w:eastAsia="Times New Roman" w:hAnsi="Times New Roman"/>
          <w:sz w:val="20"/>
          <w:szCs w:val="20"/>
          <w:color w:val="auto"/>
        </w:rPr>
        <w:t>” shall be calculated by adding the Achievement Percentages of Target AOI PSUs for each fiscal year in the Performance Period and dividing such amount by three, rounding to the nearest hundredth of a percent.</w:t>
      </w:r>
    </w:p>
    <w:p>
      <w:pPr>
        <w:spacing w:after="0" w:line="152"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The total number of PSUs earned and eligible to vest based on satisfaction of the time-based vesting conditions shall be determined as follows (the “</w:t>
      </w:r>
      <w:r>
        <w:rPr>
          <w:rFonts w:ascii="Times New Roman" w:cs="Times New Roman" w:eastAsia="Times New Roman" w:hAnsi="Times New Roman"/>
          <w:sz w:val="21"/>
          <w:szCs w:val="21"/>
          <w:b w:val="1"/>
          <w:bCs w:val="1"/>
          <w:color w:val="auto"/>
        </w:rPr>
        <w:t>Pre-Adjusted PSU Payout</w:t>
      </w:r>
      <w:r>
        <w:rPr>
          <w:rFonts w:ascii="Times New Roman" w:cs="Times New Roman" w:eastAsia="Times New Roman" w:hAnsi="Times New Roman"/>
          <w:sz w:val="21"/>
          <w:szCs w:val="21"/>
          <w:color w:val="auto"/>
        </w:rPr>
        <w:t>”), calculated separately and added for each of the Target Number of RLTC PSUs and the Target Number of AOI PSUs, rounded down to the nearest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146290" cy="918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46290" cy="9188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Average RLTC Achievement Percentage x Target Number of RLTC PSUs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and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Average AOI Achievement Percentage x Target Number of AOI PSUs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i w:val="1"/>
          <w:iCs w:val="1"/>
          <w:color w:val="auto"/>
        </w:rPr>
        <w:t>Flat or Positive Performance Over the Performance Period</w:t>
      </w:r>
    </w:p>
    <w:p>
      <w:pPr>
        <w:spacing w:after="0" w:line="215"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If the RLTC Growth Percentage or AOI Growth Percentage achieved over the Performance Period is flat or positive, then the number of RLTC PSUs and AOI PSUs, respectively, earned and eligible to vest based on satisfaction of the time-based vesting conditions shall be based on the relevant Pre-Adjusted PSU Payout and the Adjusted PSU Payout Cap shall not apply.</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i w:val="1"/>
          <w:iCs w:val="1"/>
          <w:color w:val="auto"/>
        </w:rPr>
        <w:t>Negative Performance Over the Performance Period</w:t>
      </w:r>
    </w:p>
    <w:p>
      <w:pPr>
        <w:spacing w:after="0" w:line="215" w:lineRule="exact"/>
        <w:rPr>
          <w:sz w:val="20"/>
          <w:szCs w:val="20"/>
          <w:color w:val="auto"/>
        </w:rPr>
      </w:pPr>
    </w:p>
    <w:p>
      <w:pPr>
        <w:jc w:val="both"/>
        <w:ind w:firstLine="620"/>
        <w:spacing w:after="0" w:line="253" w:lineRule="auto"/>
        <w:rPr>
          <w:sz w:val="20"/>
          <w:szCs w:val="20"/>
          <w:color w:val="auto"/>
        </w:rPr>
      </w:pPr>
      <w:r>
        <w:rPr>
          <w:rFonts w:ascii="Times New Roman" w:cs="Times New Roman" w:eastAsia="Times New Roman" w:hAnsi="Times New Roman"/>
          <w:sz w:val="21"/>
          <w:szCs w:val="21"/>
          <w:color w:val="auto"/>
        </w:rPr>
        <w:t>Notwithstanding the foregoing, if either the RLTC Growth Percentage or AOI Growth Percentage achieved over the Performance Period is negative, then the relevant Pre-Adjusted PSU Payout earned and eligible to vest based on satisfaction of the time-based vesting conditions shall be no more than the following (the “</w:t>
      </w:r>
      <w:r>
        <w:rPr>
          <w:rFonts w:ascii="Times New Roman" w:cs="Times New Roman" w:eastAsia="Times New Roman" w:hAnsi="Times New Roman"/>
          <w:sz w:val="21"/>
          <w:szCs w:val="21"/>
          <w:b w:val="1"/>
          <w:bCs w:val="1"/>
          <w:color w:val="auto"/>
        </w:rPr>
        <w:t>Adjusted PSU Payout Cap</w:t>
      </w:r>
      <w:r>
        <w:rPr>
          <w:rFonts w:ascii="Times New Roman" w:cs="Times New Roman" w:eastAsia="Times New Roman" w:hAnsi="Times New Roman"/>
          <w:sz w:val="21"/>
          <w:szCs w:val="21"/>
          <w:color w:val="auto"/>
        </w:rPr>
        <w:t>”), as calculated separately for each of the Target Number of RLTC PSUs and/or the Target Number of AOI PSUs (if applicable), rounded down to the nearest whole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205105</wp:posOffset>
            </wp:positionH>
            <wp:positionV relativeFrom="page">
              <wp:posOffset>892810</wp:posOffset>
            </wp:positionV>
            <wp:extent cx="7146290" cy="17640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46290" cy="1764030"/>
                    </a:xfrm>
                    <a:prstGeom prst="rect">
                      <a:avLst/>
                    </a:prstGeom>
                    <a:noFill/>
                  </pic:spPr>
                </pic:pic>
              </a:graphicData>
            </a:graphic>
          </wp:anchor>
        </w:drawing>
        <w:t>Initial Target Grant Dollar Value of RLTC PSUs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Company Closing Stock Price at the end of the Performance Period (or on the last trading day preceding the end of the Performance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Period)</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and/or</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Initial Target Grant Dollar Value of AOI PSUs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Company Closing Stock Price at the end of the Performance Period (or on the last trading day preceding the end of the Performance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Period)</w:t>
      </w: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215" w:lineRule="exact"/>
        <w:rPr>
          <w:sz w:val="20"/>
          <w:szCs w:val="20"/>
          <w:color w:val="auto"/>
        </w:rPr>
      </w:pPr>
    </w:p>
    <w:p>
      <w:pPr>
        <w:jc w:val="both"/>
        <w:ind w:firstLine="620"/>
        <w:spacing w:after="0" w:line="269" w:lineRule="auto"/>
        <w:rPr>
          <w:sz w:val="20"/>
          <w:szCs w:val="20"/>
          <w:color w:val="auto"/>
        </w:rPr>
      </w:pPr>
      <w:r>
        <w:rPr>
          <w:rFonts w:ascii="Times New Roman" w:cs="Times New Roman" w:eastAsia="Times New Roman" w:hAnsi="Times New Roman"/>
          <w:sz w:val="20"/>
          <w:szCs w:val="20"/>
          <w:color w:val="auto"/>
        </w:rPr>
        <w:t>By your signature and the signature of the Company’s representative below, or by your acceptance of the PSU Agreement via the Company’s designated electronic acceptance procedures, you and the Company agree that (i) the PSUs are granted under and governed by the terms and conditions of the Affirm Holdings, Inc. Amended and Restated 2012 Stock Plan and the PSU Agreement, both of which are attached and made a part of this document and (ii) the PSUs granted hereby are in full satisfaction of any promise of a grant of performance stock units to you as may be set forth in an offer letter (or similar agreement) between you and the Company.</w:t>
      </w:r>
    </w:p>
    <w:p>
      <w:pPr>
        <w:spacing w:after="0" w:line="158"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In addition, you agree and acknowledge that your rights to any Shares upon the settlement of the PSUs will be received only when the PSUs vest, that the grant of the PSUs is not as consideration for services you rendered to the Company prior to your Grant Date, and that nothing in this Grant Notice or the attached documents should be interpreted as forming or amending an employment or service contract with the Company or any Parent, Subsidiary or Affiliate or confers upon you any right to continue your employment or consulting relationship with the Company or any Parent, Subsidiary or Affiliate for any period of time, nor does it interfere in any way with your right or the right of the Company or any Parent, Subsidiary or Affiliate to terminate that relationship at any time, for any reason, with or without cause.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32" w:right="339" w:bottom="1440" w:gutter="0" w:footer="0" w:header="0"/>
        </w:sectPr>
      </w:pPr>
    </w:p>
    <w:bookmarkStart w:id="102" w:name="page103"/>
    <w:bookmarkEnd w:id="102"/>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551815</wp:posOffset>
            </wp:positionV>
            <wp:extent cx="6565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-13335</wp:posOffset>
            </wp:positionV>
            <wp:extent cx="6565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-13335</wp:posOffset>
            </wp:positionV>
            <wp:extent cx="6565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554355</wp:posOffset>
            </wp:positionV>
            <wp:extent cx="6565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-13335</wp:posOffset>
            </wp:positionV>
            <wp:extent cx="6565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139"/>
          </w:cols>
          <w:pgMar w:left="320" w:top="1440" w:right="1440" w:bottom="1440" w:gutter="0" w:footer="0" w:header="0"/>
        </w:sectPr>
      </w:pPr>
    </w:p>
    <w:bookmarkStart w:id="103" w:name="page104"/>
    <w:bookmarkEnd w:id="103"/>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AFFIRM HOLDINGS,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2012 AMENDED AND RESTATED STOCK PLAN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GLOBAL PERFORMANCE STOCK UNIT AWARD AGREEMENT</w:t>
      </w:r>
    </w:p>
    <w:p>
      <w:pPr>
        <w:spacing w:after="0" w:line="224"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21"/>
          <w:szCs w:val="21"/>
          <w:color w:val="auto"/>
        </w:rPr>
        <w:t>Pursuant to your Global Notice of Performance Stock Unit Grant (the “</w:t>
      </w:r>
      <w:r>
        <w:rPr>
          <w:rFonts w:ascii="Times New Roman" w:cs="Times New Roman" w:eastAsia="Times New Roman" w:hAnsi="Times New Roman"/>
          <w:sz w:val="21"/>
          <w:szCs w:val="21"/>
          <w:b w:val="1"/>
          <w:bCs w:val="1"/>
          <w:color w:val="auto"/>
        </w:rPr>
        <w:t>Grant Notice</w:t>
      </w:r>
      <w:r>
        <w:rPr>
          <w:rFonts w:ascii="Times New Roman" w:cs="Times New Roman" w:eastAsia="Times New Roman" w:hAnsi="Times New Roman"/>
          <w:sz w:val="21"/>
          <w:szCs w:val="21"/>
          <w:color w:val="auto"/>
        </w:rPr>
        <w:t>”) and this Global Performance Stock Unit Agreement, including the additional terms and conditions for certain countries, as set forth in the addendum attached hereto (the “</w:t>
      </w:r>
      <w:r>
        <w:rPr>
          <w:rFonts w:ascii="Times New Roman" w:cs="Times New Roman" w:eastAsia="Times New Roman" w:hAnsi="Times New Roman"/>
          <w:sz w:val="21"/>
          <w:szCs w:val="21"/>
          <w:b w:val="1"/>
          <w:bCs w:val="1"/>
          <w:color w:val="auto"/>
        </w:rPr>
        <w:t>Addendum</w:t>
      </w:r>
      <w:r>
        <w:rPr>
          <w:rFonts w:ascii="Times New Roman" w:cs="Times New Roman" w:eastAsia="Times New Roman" w:hAnsi="Times New Roman"/>
          <w:sz w:val="21"/>
          <w:szCs w:val="21"/>
          <w:color w:val="auto"/>
        </w:rPr>
        <w:t>” and, together,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Affirm Holdings, Inc., a Nevada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granted you (“</w:t>
      </w:r>
      <w:r>
        <w:rPr>
          <w:rFonts w:ascii="Times New Roman" w:cs="Times New Roman" w:eastAsia="Times New Roman" w:hAnsi="Times New Roman"/>
          <w:sz w:val="21"/>
          <w:szCs w:val="21"/>
          <w:b w:val="1"/>
          <w:bCs w:val="1"/>
          <w:color w:val="auto"/>
        </w:rPr>
        <w:t>Grantee</w:t>
      </w:r>
      <w:r>
        <w:rPr>
          <w:rFonts w:ascii="Times New Roman" w:cs="Times New Roman" w:eastAsia="Times New Roman" w:hAnsi="Times New Roman"/>
          <w:sz w:val="21"/>
          <w:szCs w:val="21"/>
          <w:color w:val="auto"/>
        </w:rPr>
        <w:t>”), as of the Date of Grant set forth in the Grant Notice, a performance stock unit award covering the number of units set forth in your Grant Notice (the “</w:t>
      </w:r>
      <w:r>
        <w:rPr>
          <w:rFonts w:ascii="Times New Roman" w:cs="Times New Roman" w:eastAsia="Times New Roman" w:hAnsi="Times New Roman"/>
          <w:sz w:val="21"/>
          <w:szCs w:val="21"/>
          <w:b w:val="1"/>
          <w:bCs w:val="1"/>
          <w:color w:val="auto"/>
        </w:rPr>
        <w:t>PSUs</w:t>
      </w:r>
      <w:r>
        <w:rPr>
          <w:rFonts w:ascii="Times New Roman" w:cs="Times New Roman" w:eastAsia="Times New Roman" w:hAnsi="Times New Roman"/>
          <w:sz w:val="21"/>
          <w:szCs w:val="21"/>
          <w:color w:val="auto"/>
        </w:rPr>
        <w:t>”), each of which represents one (1) share of the Company’s class A common stock (“</w:t>
      </w:r>
      <w:r>
        <w:rPr>
          <w:rFonts w:ascii="Times New Roman" w:cs="Times New Roman" w:eastAsia="Times New Roman" w:hAnsi="Times New Roman"/>
          <w:sz w:val="21"/>
          <w:szCs w:val="21"/>
          <w:b w:val="1"/>
          <w:bCs w:val="1"/>
          <w:color w:val="auto"/>
        </w:rPr>
        <w:t>Common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Stock</w:t>
      </w:r>
      <w:r>
        <w:rPr>
          <w:rFonts w:ascii="Times New Roman" w:cs="Times New Roman" w:eastAsia="Times New Roman" w:hAnsi="Times New Roman"/>
          <w:sz w:val="21"/>
          <w:szCs w:val="21"/>
          <w:color w:val="auto"/>
        </w:rPr>
        <w:t>” and the shares of Common Stock underlying the PSUs, the “</w:t>
      </w:r>
      <w:r>
        <w:rPr>
          <w:rFonts w:ascii="Times New Roman" w:cs="Times New Roman" w:eastAsia="Times New Roman" w:hAnsi="Times New Roman"/>
          <w:sz w:val="21"/>
          <w:szCs w:val="21"/>
          <w:b w:val="1"/>
          <w:bCs w:val="1"/>
          <w:color w:val="auto"/>
        </w:rPr>
        <w:t>Shares</w:t>
      </w:r>
      <w:r>
        <w:rPr>
          <w:rFonts w:ascii="Times New Roman" w:cs="Times New Roman" w:eastAsia="Times New Roman" w:hAnsi="Times New Roman"/>
          <w:sz w:val="21"/>
          <w:szCs w:val="21"/>
          <w:color w:val="auto"/>
        </w:rPr>
        <w:t>”), pursuant to the Company’s Amended and Restated 2012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Plan and any applicable sub-plan for a particular country (together,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Capitalized terms not explicitly defined in this Agreement but defined in the Plan or in the Grant Notice shall have the meaning ascribed to them in the Plan or in the Grant Notice. In the event of any conflict between the terms of this Agreement and the Plan, the terms of the Plan will control.</w:t>
      </w:r>
    </w:p>
    <w:p>
      <w:pPr>
        <w:spacing w:after="0" w:line="174" w:lineRule="exact"/>
        <w:rPr>
          <w:sz w:val="20"/>
          <w:szCs w:val="20"/>
          <w:color w:val="auto"/>
        </w:rPr>
      </w:pPr>
    </w:p>
    <w:p>
      <w:pPr>
        <w:jc w:val="both"/>
        <w:ind w:firstLine="624"/>
        <w:spacing w:after="0" w:line="265" w:lineRule="auto"/>
        <w:tabs>
          <w:tab w:leader="none" w:pos="124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Stockholder Rights</w:t>
      </w:r>
      <w:r>
        <w:rPr>
          <w:rFonts w:ascii="Times New Roman" w:cs="Times New Roman" w:eastAsia="Times New Roman" w:hAnsi="Times New Roman"/>
          <w:sz w:val="21"/>
          <w:szCs w:val="21"/>
          <w:color w:val="auto"/>
        </w:rPr>
        <w:t>. Unless and until such time as Shares are issued pursuant to this Agreement in settlement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vested PSUs, Grantee shall have no ownership of the Shares allocated to the PSUs, including, without limitation, no right to dividends (or dividend equivalents) or to vote such Shares.</w:t>
      </w:r>
    </w:p>
    <w:p>
      <w:pPr>
        <w:spacing w:after="0" w:line="156" w:lineRule="exact"/>
        <w:rPr>
          <w:rFonts w:ascii="Times New Roman" w:cs="Times New Roman" w:eastAsia="Times New Roman" w:hAnsi="Times New Roman"/>
          <w:sz w:val="21"/>
          <w:szCs w:val="21"/>
          <w:color w:val="auto"/>
        </w:rPr>
      </w:pPr>
    </w:p>
    <w:p>
      <w:pPr>
        <w:jc w:val="both"/>
        <w:ind w:firstLine="624"/>
        <w:spacing w:after="0" w:line="248" w:lineRule="auto"/>
        <w:tabs>
          <w:tab w:leader="none" w:pos="124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color w:val="auto"/>
        </w:rPr>
        <w:t>. Except as otherwise provided in the Plan or the Grant Notice, if Grantee’s Continuous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Service Status terminates at any time for any reason, all PSUs for which vesting is no longer possible under the terms of the Grant Notice and this Agreement shall be forfeited to the Company on the date of such termination of Continuous Service Status, and all rights of Grantee to such PSUs shall immediately terminate at such time, except that the Grantee shall vest in the Target Number of PSUs upon a termination due to Grantee’s death or Disability, in either case, that occurs on or after the second anniversary of the start of the Performance Period and prior to the last day of the Performance Period. For purposes of the PSUs, Grantee’s Continuous Service Status will be considered terminated as of the date Grantee is no longer actively providing services to the Company or, if different, Grantee’s employer (the “</w:t>
      </w:r>
      <w:r>
        <w:rPr>
          <w:rFonts w:ascii="Times New Roman" w:cs="Times New Roman" w:eastAsia="Times New Roman" w:hAnsi="Times New Roman"/>
          <w:sz w:val="21"/>
          <w:szCs w:val="21"/>
          <w:b w:val="1"/>
          <w:bCs w:val="1"/>
          <w:color w:val="auto"/>
        </w:rPr>
        <w:t>Employer</w:t>
      </w:r>
      <w:r>
        <w:rPr>
          <w:rFonts w:ascii="Times New Roman" w:cs="Times New Roman" w:eastAsia="Times New Roman" w:hAnsi="Times New Roman"/>
          <w:sz w:val="21"/>
          <w:szCs w:val="21"/>
          <w:color w:val="auto"/>
        </w:rPr>
        <w:t>”) (regardless of the reason for such termination and whether or not later found to be invalid or in breach of employment laws in the jurisdiction where Grantee is providing services or the terms of Grantee’s employment or service agreement, if any). Further, unless otherwise approved by the Company, Grantee’s right to vest in the PSUs will terminate as of such date and will not be extended by any contractual notice period or any period of “garden leave” or similar notice period mandated under employment laws in the jurisdiction where Grantee is employed or the terms of Grantee’s employment agreement, if any. The Administrator shall have the exclusive discretion to determine when Grantee is no longer actively providing services for purposes of Grantee’s PSUs (including whether Grantee may still be considered to be providing services while on a leave of absence). For the avoidance of doubt, Grantee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3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entitled to pro-rata vesting of any Shares if Grantee is employed for only a portion of the vesting period, but no longer employed on the respective vesting date.</w:t>
      </w:r>
    </w:p>
    <w:p>
      <w:pPr>
        <w:spacing w:after="0" w:line="150" w:lineRule="exact"/>
        <w:rPr>
          <w:sz w:val="20"/>
          <w:szCs w:val="20"/>
          <w:color w:val="auto"/>
        </w:rPr>
      </w:pPr>
    </w:p>
    <w:p>
      <w:pPr>
        <w:jc w:val="both"/>
        <w:ind w:firstLine="624"/>
        <w:spacing w:after="0" w:line="258" w:lineRule="auto"/>
        <w:tabs>
          <w:tab w:leader="none" w:pos="12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Issuance of Shares of Stock</w:t>
      </w:r>
      <w:r>
        <w:rPr>
          <w:rFonts w:ascii="Times New Roman" w:cs="Times New Roman" w:eastAsia="Times New Roman" w:hAnsi="Times New Roman"/>
          <w:sz w:val="21"/>
          <w:szCs w:val="21"/>
          <w:color w:val="auto"/>
        </w:rPr>
        <w:t>. The Company shall issue to Grantee the number of Shares determined pursuant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 Notice on a date determined by the Company in its sole and absolute discretion that is as soon as practicable following the Vesting Date, but in no event later than March 15 of the year following the year in which the Performance Period ends, and Grantee shall thereafter have all the rights of a stockholder of the Company with respect to such shares.</w:t>
      </w:r>
    </w:p>
    <w:p>
      <w:pPr>
        <w:spacing w:after="0" w:line="163" w:lineRule="exact"/>
        <w:rPr>
          <w:rFonts w:ascii="Times New Roman" w:cs="Times New Roman" w:eastAsia="Times New Roman" w:hAnsi="Times New Roman"/>
          <w:sz w:val="21"/>
          <w:szCs w:val="21"/>
          <w:color w:val="auto"/>
        </w:rPr>
      </w:pPr>
    </w:p>
    <w:p>
      <w:pPr>
        <w:ind w:firstLine="624"/>
        <w:spacing w:after="0" w:line="274" w:lineRule="auto"/>
        <w:tabs>
          <w:tab w:leader="none" w:pos="12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Incorporation of Plan</w:t>
      </w:r>
      <w:r>
        <w:rPr>
          <w:rFonts w:ascii="Times New Roman" w:cs="Times New Roman" w:eastAsia="Times New Roman" w:hAnsi="Times New Roman"/>
          <w:sz w:val="21"/>
          <w:szCs w:val="21"/>
          <w:color w:val="auto"/>
        </w:rPr>
        <w:t>. Notwithstanding anything herein to the contrary, this Agreement shall be subject to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governed by all the terms and conditions of the Plan, including the powers of the Administrator set forth in Section 4 of the Plan.</w:t>
      </w:r>
    </w:p>
    <w:p>
      <w:pPr>
        <w:spacing w:after="0" w:line="159"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Responsibility for Taxes</w:t>
      </w:r>
      <w:r>
        <w:rPr>
          <w:rFonts w:ascii="Times New Roman" w:cs="Times New Roman" w:eastAsia="Times New Roman" w:hAnsi="Times New Roman"/>
          <w:sz w:val="21"/>
          <w:szCs w:val="21"/>
          <w:color w:val="auto"/>
        </w:rPr>
        <w:t>.</w:t>
      </w:r>
    </w:p>
    <w:p>
      <w:pPr>
        <w:spacing w:after="0" w:line="214" w:lineRule="exact"/>
        <w:rPr>
          <w:rFonts w:ascii="Times New Roman" w:cs="Times New Roman" w:eastAsia="Times New Roman" w:hAnsi="Times New Roman"/>
          <w:sz w:val="21"/>
          <w:szCs w:val="21"/>
          <w:color w:val="auto"/>
        </w:rPr>
      </w:pPr>
    </w:p>
    <w:p>
      <w:pPr>
        <w:jc w:val="both"/>
        <w:ind w:firstLine="1244"/>
        <w:spacing w:after="0" w:line="248" w:lineRule="auto"/>
        <w:tabs>
          <w:tab w:leader="none" w:pos="1857"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condition to the grant, vesting, and settlement of the PSUs, Grantee acknowledges that, regardless of any action taken by the Company or the Employer, the ultimate liability for all income tax, social security contributions, social insurance, payroll tax, fringe benefits tax, payment on account or other tax-related items (or any equivalent or similar taxes, contributions or other relevant tax-related items in any relevant jurisdiction and including any employer's social security contributions or other liability to the extent such amounts may be lawfully recovered from Grantee) or required deductions, withholdings or payments legally applicable to Grantee and related to the receipt, vesting or settlement of the PSUs, the issuance or subsequent sale of the Shares allocated to the PSUs, or the participation in the Plan (“</w:t>
      </w:r>
      <w:r>
        <w:rPr>
          <w:rFonts w:ascii="Times New Roman" w:cs="Times New Roman" w:eastAsia="Times New Roman" w:hAnsi="Times New Roman"/>
          <w:sz w:val="21"/>
          <w:szCs w:val="21"/>
          <w:b w:val="1"/>
          <w:bCs w:val="1"/>
          <w:color w:val="auto"/>
        </w:rPr>
        <w:t>Tax-Related Items</w:t>
      </w:r>
      <w:r>
        <w:rPr>
          <w:rFonts w:ascii="Times New Roman" w:cs="Times New Roman" w:eastAsia="Times New Roman" w:hAnsi="Times New Roman"/>
          <w:sz w:val="21"/>
          <w:szCs w:val="21"/>
          <w:color w:val="auto"/>
        </w:rPr>
        <w:t>”) is and remains Grantee’s responsibility and may exceed the amount actually withheld by the Company or the Employer. Grantee further acknowledges and agrees that Grantee is solely responsible for filing all relevant documentation that may be required in relation to the PSUs or any Tax-Related Items (other than filings or documentation that is the specific obligation of the Company, its Parent, Subsidiaries or Affiliates (the “</w:t>
      </w:r>
      <w:r>
        <w:rPr>
          <w:rFonts w:ascii="Times New Roman" w:cs="Times New Roman" w:eastAsia="Times New Roman" w:hAnsi="Times New Roman"/>
          <w:sz w:val="21"/>
          <w:szCs w:val="21"/>
          <w:b w:val="1"/>
          <w:bCs w:val="1"/>
          <w:color w:val="auto"/>
        </w:rPr>
        <w:t>Company Group</w:t>
      </w:r>
      <w:r>
        <w:rPr>
          <w:rFonts w:ascii="Times New Roman" w:cs="Times New Roman" w:eastAsia="Times New Roman" w:hAnsi="Times New Roman"/>
          <w:sz w:val="21"/>
          <w:szCs w:val="21"/>
          <w:color w:val="auto"/>
        </w:rPr>
        <w:t>”) pursuant to Applicable Laws), such as, but not limited to, personal income tax returns or reporting statements in relation to the receipt, vesting or settlement of the PSUs, the issuance of the Shares allocated to the PSUs, the holding of Shares or any bank or brokerage account, the subsequent sale of Shares, and the receipt of any dividends.</w:t>
      </w:r>
    </w:p>
    <w:p>
      <w:pPr>
        <w:spacing w:after="0" w:line="180" w:lineRule="exact"/>
        <w:rPr>
          <w:rFonts w:ascii="Times New Roman" w:cs="Times New Roman" w:eastAsia="Times New Roman" w:hAnsi="Times New Roman"/>
          <w:sz w:val="21"/>
          <w:szCs w:val="21"/>
          <w:color w:val="auto"/>
        </w:rPr>
      </w:pPr>
    </w:p>
    <w:p>
      <w:pPr>
        <w:jc w:val="both"/>
        <w:ind w:firstLine="1244"/>
        <w:spacing w:after="0" w:line="249" w:lineRule="auto"/>
        <w:tabs>
          <w:tab w:leader="none" w:pos="1856"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further acknowledges that the Company and/or the Employer: (i) make no representations or undertakings regarding the treatment of any Tax-Related Items in connection with any aspect of the PSUs, including, but not limited to, the receipt, vesting or settlement of the PSUs, the issuance or subsequent sale of the Shares allocated to the PSUs and the receipt of any dividends; and (ii) do not commit to and are under no obligation to structure the terms of the grant or any aspect of the PSUs to reduce or eliminate Grantee’s liability for Tax-Related Items or achieve any particular tax result. Grantee also understands that Applicable Laws may require varying PSU or Share valuation methods for purposes of calculating Tax-Related Items, and the Company assumes no responsibility or liability in relation to any such valuation or for any calculation or reporting of income or Tax-Related Items that may be required of Grantee under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35" w:lineRule="exact"/>
        <w:rPr>
          <w:sz w:val="20"/>
          <w:szCs w:val="20"/>
          <w:color w:val="auto"/>
        </w:rPr>
      </w:pPr>
    </w:p>
    <w:p>
      <w:pPr>
        <w:jc w:val="both"/>
        <w:ind w:firstLine="1244"/>
        <w:spacing w:after="0" w:line="257" w:lineRule="auto"/>
        <w:tabs>
          <w:tab w:leader="none" w:pos="1857"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 if Grantee is subject to Tax-Related Items in more than one jurisdiction, Grantee acknowledges that the Company and/or the Employer (or former employer, as applicable) may be required to withhold or account for Tax-Related Items in more than one jurisdiction.</w:t>
      </w:r>
    </w:p>
    <w:p>
      <w:pPr>
        <w:spacing w:after="0" w:line="180" w:lineRule="exact"/>
        <w:rPr>
          <w:rFonts w:ascii="Times New Roman" w:cs="Times New Roman" w:eastAsia="Times New Roman" w:hAnsi="Times New Roman"/>
          <w:sz w:val="21"/>
          <w:szCs w:val="21"/>
          <w:color w:val="auto"/>
        </w:rPr>
      </w:pPr>
    </w:p>
    <w:p>
      <w:pPr>
        <w:jc w:val="both"/>
        <w:ind w:firstLine="1244"/>
        <w:spacing w:after="0" w:line="247" w:lineRule="auto"/>
        <w:tabs>
          <w:tab w:leader="none" w:pos="185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this Agreement and subject to Applicable Laws, Grantee authorizes the Company and/or the Employer, or their respective agents, at their discretion, to satisfy any withholding obligation for Tax-Related Items by (i) withholding from Grantee’s wages or other compensation paid to Grantee by the Company or the Employer, (ii) withholding from proceeds of the sale of Shares acquired pursuant to the PSUs either through a voluntary sale or through a mandatory sale arranged by the Company (on Grantee’s behalf pursuant to this authorization) without further consent, (iii) withholding Shares that would otherwise be issued upon settlement of the PSUs; or (iv) such other method as determined by the Company; provided, however, that if Grantee is subject to Section 16 of the Exchange Act, then the Company will withhold shares pursuant to subsection (iii) hereof unless otherwise determined by the Administrator (as constituted to satisfy Rule 16b-3 of the Exchange Act). In the event the Company determines to satisfy any withholding obligation for Tax-Related Items by withholding from proceeds of the sale of Shares as described in subsection (iv) hereof, the Company reserves the right to require Grantee to enter into a trading plan that comports with the requirements of Rule 10b5-1(c) under the Exchange Act with respect to such sale.</w:t>
      </w:r>
    </w:p>
    <w:p>
      <w:pPr>
        <w:spacing w:after="0" w:line="199" w:lineRule="exact"/>
        <w:rPr>
          <w:rFonts w:ascii="Times New Roman" w:cs="Times New Roman" w:eastAsia="Times New Roman" w:hAnsi="Times New Roman"/>
          <w:sz w:val="21"/>
          <w:szCs w:val="21"/>
          <w:color w:val="auto"/>
        </w:rPr>
      </w:pPr>
    </w:p>
    <w:p>
      <w:pPr>
        <w:jc w:val="both"/>
        <w:ind w:firstLine="1244"/>
        <w:spacing w:after="0" w:line="250" w:lineRule="auto"/>
        <w:tabs>
          <w:tab w:leader="none" w:pos="1857"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Depending on the method of satisfying any withholding obligation for Tax-Related Items, the Company may pay, withhold or account for such Tax-Related Items by considering applicable minimum statutory withholding amounts or other applicable tax or withholding rates, including maximum applicable rates, in Grantee’s jurisdiction(s). In the event of over-withholding, Grantee may receive a refund of any over-withheld amount in cash from the Company or the Employer (with no entitlement to the equivalent in Shares) or, if not so refunded, Grantee may be able to seek a refund from the local tax authorities.</w:t>
      </w:r>
    </w:p>
    <w:p>
      <w:pPr>
        <w:spacing w:after="0" w:line="189" w:lineRule="exact"/>
        <w:rPr>
          <w:rFonts w:ascii="Times New Roman" w:cs="Times New Roman" w:eastAsia="Times New Roman" w:hAnsi="Times New Roman"/>
          <w:sz w:val="21"/>
          <w:szCs w:val="21"/>
          <w:color w:val="auto"/>
        </w:rPr>
      </w:pPr>
    </w:p>
    <w:p>
      <w:pPr>
        <w:jc w:val="both"/>
        <w:ind w:firstLine="1244"/>
        <w:spacing w:after="0" w:line="250" w:lineRule="auto"/>
        <w:tabs>
          <w:tab w:leader="none" w:pos="18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agrees to pay to the Company or the Employer any amount of Tax-Related Items that the Company or the Employer may be required to pay, withhold or account for as a result of Grantee’s receipt, vesting or settlement of the PSUs, the issuance of the Shares allocated to the PSUs or the participation in the Plan that cannot be satisfied by the means previously described. The Company may refuse to issue or deliver the Shares or the proceeds of the sale of Shares if Grantee fails to comply with his or her obligations in connection with the Tax-Related Items.</w:t>
      </w:r>
    </w:p>
    <w:p>
      <w:pPr>
        <w:spacing w:after="0" w:line="189" w:lineRule="exact"/>
        <w:rPr>
          <w:rFonts w:ascii="Times New Roman" w:cs="Times New Roman" w:eastAsia="Times New Roman" w:hAnsi="Times New Roman"/>
          <w:sz w:val="21"/>
          <w:szCs w:val="21"/>
          <w:color w:val="auto"/>
        </w:rPr>
      </w:pPr>
    </w:p>
    <w:p>
      <w:pPr>
        <w:jc w:val="both"/>
        <w:ind w:firstLine="1244"/>
        <w:spacing w:after="0" w:line="250" w:lineRule="auto"/>
        <w:tabs>
          <w:tab w:leader="none" w:pos="1856"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understands that Grantee may suffer adverse tax consequences as a result of Grantee’s receipt, the vesting and/or settlement of the PSUs, the issuance of Shares allocated to the PSUs and/or the disposition of such Shares. Grantee represents that Grantee has consulted any tax consultants Grantee deems advisable in connection with the receipt of the PSUs, the vesting and/or settlement of the PSUs, the issuance of Shares allocated to the PSUs and/or the disposition of such Shares and that Grantee is not relying on the Company (or the Employer) for any tax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31" w:lineRule="exact"/>
        <w:rPr>
          <w:sz w:val="20"/>
          <w:szCs w:val="20"/>
          <w:color w:val="auto"/>
        </w:rPr>
      </w:pPr>
    </w:p>
    <w:p>
      <w:pPr>
        <w:jc w:val="both"/>
        <w:ind w:firstLine="624"/>
        <w:spacing w:after="0" w:line="252" w:lineRule="auto"/>
        <w:tabs>
          <w:tab w:leader="none" w:pos="124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 of the Code</w:t>
      </w:r>
      <w:r>
        <w:rPr>
          <w:rFonts w:ascii="Times New Roman" w:cs="Times New Roman" w:eastAsia="Times New Roman" w:hAnsi="Times New Roman"/>
          <w:sz w:val="21"/>
          <w:szCs w:val="21"/>
          <w:color w:val="auto"/>
        </w:rPr>
        <w:t>. All payments made and benefits provided under this Agreement are intended to be exempt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the requirements of Section 409A of the Code to the maximum extent permitted pursuant to U.S. Treasury Regulation Section 1.409A-1(b)(4) so that none of the payments or benefits will be subject to the adverse tax penalties imposed under Section 409A, and any ambiguities herein will be interpreted to be so exempt. In no event will the Company reimburse Grantee for any taxes or other penalties that may be imposed on Grantee as a result of Section 409A and, by accepting the PSUs, Grantee hereby indemnifies the Company for any liability that arises as a result of Section 409A.</w:t>
      </w:r>
    </w:p>
    <w:p>
      <w:pPr>
        <w:spacing w:after="0" w:line="171" w:lineRule="exact"/>
        <w:rPr>
          <w:rFonts w:ascii="Times New Roman" w:cs="Times New Roman" w:eastAsia="Times New Roman" w:hAnsi="Times New Roman"/>
          <w:sz w:val="21"/>
          <w:szCs w:val="21"/>
          <w:color w:val="auto"/>
        </w:rPr>
      </w:pPr>
    </w:p>
    <w:p>
      <w:pPr>
        <w:jc w:val="both"/>
        <w:ind w:firstLine="624"/>
        <w:spacing w:after="0" w:line="258" w:lineRule="auto"/>
        <w:tabs>
          <w:tab w:leader="none" w:pos="124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Obligation to Continue Employment</w:t>
      </w:r>
      <w:r>
        <w:rPr>
          <w:rFonts w:ascii="Times New Roman" w:cs="Times New Roman" w:eastAsia="Times New Roman" w:hAnsi="Times New Roman"/>
          <w:sz w:val="21"/>
          <w:szCs w:val="21"/>
          <w:color w:val="auto"/>
        </w:rPr>
        <w:t>. Neither the Company nor any Subsidiary is obligated by or as a result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or this Agreement to continue Grantee in employment and neither the Plan nor this Agreement shall interfere in any way with the right of the Company or any Subsidiary to terminate Grantee’s employment or consulting relationship, for any reason, with or without cause.</w:t>
      </w:r>
    </w:p>
    <w:p>
      <w:pPr>
        <w:spacing w:after="0" w:line="163" w:lineRule="exact"/>
        <w:rPr>
          <w:rFonts w:ascii="Times New Roman" w:cs="Times New Roman" w:eastAsia="Times New Roman" w:hAnsi="Times New Roman"/>
          <w:sz w:val="21"/>
          <w:szCs w:val="21"/>
          <w:color w:val="auto"/>
        </w:rPr>
      </w:pPr>
    </w:p>
    <w:p>
      <w:pPr>
        <w:jc w:val="both"/>
        <w:ind w:firstLine="624"/>
        <w:spacing w:after="0" w:line="254" w:lineRule="auto"/>
        <w:tabs>
          <w:tab w:leader="none" w:pos="124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Advice Regarding Grant</w:t>
      </w:r>
      <w:r>
        <w:rPr>
          <w:rFonts w:ascii="Times New Roman" w:cs="Times New Roman" w:eastAsia="Times New Roman" w:hAnsi="Times New Roman"/>
          <w:sz w:val="21"/>
          <w:szCs w:val="21"/>
          <w:color w:val="auto"/>
        </w:rPr>
        <w:t>. The Company is not providing any tax, legal or financial advice, nor is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making any recommendations regarding Grantee’s participation in the Plan, or Grantee’s receipt, vesting or settlement of the PSUs or the Shares allocated thereto or the sale of such Shares. Grantee is hereby advised to consult with his or her own personal tax, legal and financial advisors regarding his or her participation in the Plan and the PSUs before accepting the PSUs or otherwise taking any action related to the PSUs or the Plan.</w:t>
      </w:r>
    </w:p>
    <w:p>
      <w:pPr>
        <w:spacing w:after="0" w:line="169"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Nature of Grant</w:t>
      </w:r>
      <w:r>
        <w:rPr>
          <w:rFonts w:ascii="Times New Roman" w:cs="Times New Roman" w:eastAsia="Times New Roman" w:hAnsi="Times New Roman"/>
          <w:sz w:val="21"/>
          <w:szCs w:val="21"/>
          <w:color w:val="auto"/>
        </w:rPr>
        <w:t>. In accepting the PSUs, Grantee acknowledges, understands and agrees that:</w:t>
      </w:r>
    </w:p>
    <w:p>
      <w:pPr>
        <w:spacing w:after="0" w:line="214" w:lineRule="exact"/>
        <w:rPr>
          <w:rFonts w:ascii="Times New Roman" w:cs="Times New Roman" w:eastAsia="Times New Roman" w:hAnsi="Times New Roman"/>
          <w:sz w:val="21"/>
          <w:szCs w:val="21"/>
          <w:color w:val="auto"/>
        </w:rPr>
      </w:pPr>
    </w:p>
    <w:p>
      <w:pPr>
        <w:ind w:firstLine="1244"/>
        <w:spacing w:after="0" w:line="270" w:lineRule="auto"/>
        <w:tabs>
          <w:tab w:leader="none" w:pos="1857"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established voluntarily by the Company, is discretionary in nature, and may be amended, suspended or terminated by the Company at any time, to the extent permitted by the Plan;</w:t>
      </w:r>
    </w:p>
    <w:p>
      <w:pPr>
        <w:spacing w:after="0" w:line="154" w:lineRule="exact"/>
        <w:rPr>
          <w:rFonts w:ascii="Times New Roman" w:cs="Times New Roman" w:eastAsia="Times New Roman" w:hAnsi="Times New Roman"/>
          <w:sz w:val="21"/>
          <w:szCs w:val="21"/>
          <w:color w:val="auto"/>
        </w:rPr>
      </w:pPr>
    </w:p>
    <w:p>
      <w:pPr>
        <w:jc w:val="both"/>
        <w:ind w:firstLine="1244"/>
        <w:spacing w:after="0" w:line="263" w:lineRule="auto"/>
        <w:tabs>
          <w:tab w:leader="none" w:pos="1856"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Plan is operated and the grant of the PSUs is granted solely by the Company and only the Company is a party to this Agreement; accordingly, any rights Grantee may have under this Agreement may be raised only against the Company but not any entity in the Company Group (including, but not limited to, the Employer);</w:t>
      </w:r>
    </w:p>
    <w:p>
      <w:pPr>
        <w:spacing w:after="0" w:line="162" w:lineRule="exact"/>
        <w:rPr>
          <w:rFonts w:ascii="Times New Roman" w:cs="Times New Roman" w:eastAsia="Times New Roman" w:hAnsi="Times New Roman"/>
          <w:sz w:val="21"/>
          <w:szCs w:val="21"/>
          <w:color w:val="auto"/>
        </w:rPr>
      </w:pPr>
    </w:p>
    <w:p>
      <w:pPr>
        <w:ind w:firstLine="1244"/>
        <w:spacing w:after="0" w:line="270" w:lineRule="auto"/>
        <w:tabs>
          <w:tab w:leader="none" w:pos="1857"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entity in the Company Group (including, but not limited to, the Employer) has any obligation to make any payment of any kind to Grantee under this Agreement;</w:t>
      </w:r>
    </w:p>
    <w:p>
      <w:pPr>
        <w:spacing w:after="0" w:line="154" w:lineRule="exact"/>
        <w:rPr>
          <w:rFonts w:ascii="Times New Roman" w:cs="Times New Roman" w:eastAsia="Times New Roman" w:hAnsi="Times New Roman"/>
          <w:sz w:val="21"/>
          <w:szCs w:val="21"/>
          <w:color w:val="auto"/>
        </w:rPr>
      </w:pPr>
    </w:p>
    <w:p>
      <w:pPr>
        <w:ind w:firstLine="1244"/>
        <w:spacing w:after="0" w:line="283" w:lineRule="auto"/>
        <w:tabs>
          <w:tab w:leader="none" w:pos="1856"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grant of the PSUs is exceptional, voluntary and occasional and does not create any contractual or other right to receive future grants of PSUs, or benefits in lieu of PSUs, even if PSUs have been granted in the past;</w:t>
      </w:r>
    </w:p>
    <w:p>
      <w:pPr>
        <w:spacing w:after="0" w:line="141"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performance stock units or other grants, if any, will be at the sole discretion of</w:t>
      </w:r>
    </w:p>
    <w:p>
      <w:pPr>
        <w:spacing w:after="0" w:line="3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35" w:lineRule="exact"/>
        <w:rPr>
          <w:sz w:val="20"/>
          <w:szCs w:val="20"/>
          <w:color w:val="auto"/>
        </w:rPr>
      </w:pPr>
    </w:p>
    <w:p>
      <w:pPr>
        <w:ind w:left="1860" w:hanging="616"/>
        <w:spacing w:after="0"/>
        <w:tabs>
          <w:tab w:leader="none" w:pos="186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is voluntarily participating in the Plan;</w:t>
      </w:r>
    </w:p>
    <w:p>
      <w:pPr>
        <w:spacing w:after="0" w:line="210" w:lineRule="exact"/>
        <w:rPr>
          <w:rFonts w:ascii="Times New Roman" w:cs="Times New Roman" w:eastAsia="Times New Roman" w:hAnsi="Times New Roman"/>
          <w:sz w:val="21"/>
          <w:szCs w:val="21"/>
          <w:color w:val="auto"/>
        </w:rPr>
      </w:pPr>
    </w:p>
    <w:p>
      <w:pPr>
        <w:ind w:firstLine="1244"/>
        <w:spacing w:after="0" w:line="270" w:lineRule="auto"/>
        <w:tabs>
          <w:tab w:leader="none" w:pos="1856"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PSUs and the Shares allocated to the PSUs, and the income from and value of same, are not intended to replace any pension rights or compensation and are outside the scope of Grantee’s employment contract, if any;</w:t>
      </w:r>
    </w:p>
    <w:p>
      <w:pPr>
        <w:spacing w:after="0" w:line="167" w:lineRule="exact"/>
        <w:rPr>
          <w:rFonts w:ascii="Times New Roman" w:cs="Times New Roman" w:eastAsia="Times New Roman" w:hAnsi="Times New Roman"/>
          <w:sz w:val="21"/>
          <w:szCs w:val="21"/>
          <w:color w:val="auto"/>
        </w:rPr>
      </w:pPr>
    </w:p>
    <w:p>
      <w:pPr>
        <w:jc w:val="both"/>
        <w:ind w:firstLine="1244"/>
        <w:spacing w:after="0" w:line="252" w:lineRule="auto"/>
        <w:tabs>
          <w:tab w:leader="none" w:pos="1856"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PSUs and the Shares allocated to the PSUs, and the income from and value of same, are not part of normal or expected compensation for any purpose, including, without limitation, calculating any severance, resignation, termination, redundancy, dismissal, end-of- service payments, bonuses, long-service awards, holiday pay, pension or retirement or welfare benefits or similar payments;</w:t>
      </w:r>
    </w:p>
    <w:p>
      <w:pPr>
        <w:spacing w:after="0" w:line="174" w:lineRule="exact"/>
        <w:rPr>
          <w:rFonts w:ascii="Times New Roman" w:cs="Times New Roman" w:eastAsia="Times New Roman" w:hAnsi="Times New Roman"/>
          <w:sz w:val="21"/>
          <w:szCs w:val="21"/>
          <w:color w:val="auto"/>
        </w:rPr>
      </w:pPr>
    </w:p>
    <w:p>
      <w:pPr>
        <w:jc w:val="both"/>
        <w:ind w:firstLine="1244"/>
        <w:spacing w:after="0" w:line="263" w:lineRule="auto"/>
        <w:tabs>
          <w:tab w:leader="none" w:pos="1849"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agreed with the Company in writing, the PSUs and the Shares subject to the PSUs, and the income from and value of same, are not granted as consideration for, or in connection with, the service Grantee may provide as a director of a Subsidiary of the Company;</w:t>
      </w:r>
    </w:p>
    <w:p>
      <w:pPr>
        <w:spacing w:after="0" w:line="162" w:lineRule="exact"/>
        <w:rPr>
          <w:rFonts w:ascii="Times New Roman" w:cs="Times New Roman" w:eastAsia="Times New Roman" w:hAnsi="Times New Roman"/>
          <w:sz w:val="21"/>
          <w:szCs w:val="21"/>
          <w:color w:val="auto"/>
        </w:rPr>
      </w:pPr>
    </w:p>
    <w:p>
      <w:pPr>
        <w:ind w:left="1860" w:hanging="616"/>
        <w:spacing w:after="0"/>
        <w:tabs>
          <w:tab w:leader="none" w:pos="1860"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future value of the Shares underlying the PSUs is unknown, indeterminable, and cannot be predicted with</w:t>
      </w:r>
    </w:p>
    <w:p>
      <w:pPr>
        <w:spacing w:after="0" w:line="2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certainty;</w:t>
      </w:r>
    </w:p>
    <w:p>
      <w:pPr>
        <w:spacing w:after="0" w:line="188" w:lineRule="exact"/>
        <w:rPr>
          <w:rFonts w:ascii="Times New Roman" w:cs="Times New Roman" w:eastAsia="Times New Roman" w:hAnsi="Times New Roman"/>
          <w:sz w:val="21"/>
          <w:szCs w:val="21"/>
          <w:color w:val="auto"/>
        </w:rPr>
      </w:pPr>
    </w:p>
    <w:p>
      <w:pPr>
        <w:jc w:val="both"/>
        <w:ind w:firstLine="1244"/>
        <w:spacing w:after="0" w:line="257" w:lineRule="auto"/>
        <w:tabs>
          <w:tab w:leader="none" w:pos="1921"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claim or entitlement to compensation or damages shall arise from forfeiture of the PSUs resulting from the termination of Grantee’s employment or service relationship (for any reason whatsoever, whether or not later found to be invalid or in breach of employment laws in the jurisdiction where Grantee is providing services or the terms of Grantee’s employment or service agreement, if any);</w:t>
      </w:r>
    </w:p>
    <w:p>
      <w:pPr>
        <w:spacing w:after="0" w:line="167" w:lineRule="exact"/>
        <w:rPr>
          <w:rFonts w:ascii="Times New Roman" w:cs="Times New Roman" w:eastAsia="Times New Roman" w:hAnsi="Times New Roman"/>
          <w:sz w:val="21"/>
          <w:szCs w:val="21"/>
          <w:color w:val="auto"/>
        </w:rPr>
      </w:pPr>
    </w:p>
    <w:p>
      <w:pPr>
        <w:jc w:val="both"/>
        <w:ind w:firstLine="1244"/>
        <w:spacing w:after="0" w:line="257" w:lineRule="auto"/>
        <w:tabs>
          <w:tab w:leader="none" w:pos="1849"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provided in the Plan or by the Company in its discretion, the PSUs and the benefits evidenced by this Agreement do not create any entitlement to have the PSUs or any such benefits transferred to, or assumed by, another company nor to be exchanged, cashed out or substituted for, in connection with any corporate transaction affecting the Shares; and</w:t>
      </w:r>
    </w:p>
    <w:p>
      <w:pPr>
        <w:spacing w:after="0" w:line="180" w:lineRule="exact"/>
        <w:rPr>
          <w:rFonts w:ascii="Times New Roman" w:cs="Times New Roman" w:eastAsia="Times New Roman" w:hAnsi="Times New Roman"/>
          <w:sz w:val="21"/>
          <w:szCs w:val="21"/>
          <w:color w:val="auto"/>
        </w:rPr>
      </w:pPr>
    </w:p>
    <w:p>
      <w:pPr>
        <w:jc w:val="both"/>
        <w:ind w:firstLine="1244"/>
        <w:spacing w:after="0" w:line="250" w:lineRule="auto"/>
        <w:tabs>
          <w:tab w:leader="none" w:pos="1849"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entity in the Company Group shall be liable for any foreign exchange rate fluctuation between Grantee’s local currency and the United States Dollar or the selection by the Company or any member of the Company Group in its sole discretion of an applicable foreign exchange rate that may affect the value of the PSUs (or the calculation of income or Tax-Related Items thereunder) or of any amounts due to Grantee pursuant to the settlement of the PSUs or the subsequent sale of the Shares allocated to the PSUs.</w:t>
      </w:r>
    </w:p>
    <w:p>
      <w:pPr>
        <w:spacing w:after="0" w:line="185" w:lineRule="exact"/>
        <w:rPr>
          <w:rFonts w:ascii="Times New Roman" w:cs="Times New Roman" w:eastAsia="Times New Roman" w:hAnsi="Times New Roman"/>
          <w:sz w:val="21"/>
          <w:szCs w:val="21"/>
          <w:color w:val="auto"/>
        </w:rPr>
      </w:pPr>
    </w:p>
    <w:p>
      <w:pPr>
        <w:jc w:val="both"/>
        <w:ind w:firstLine="624"/>
        <w:spacing w:after="0" w:line="251" w:lineRule="auto"/>
        <w:tabs>
          <w:tab w:leader="none" w:pos="124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notice, demand or request required or permitted to be given under this Agreement shall be in writing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below, as subsequently modified by written notice, or if no address is specified below, at the most recent address, email or fax number set forth in the Company’s books and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3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If to the Company</w:t>
      </w:r>
      <w:r>
        <w:rPr>
          <w:rFonts w:ascii="Times New Roman" w:cs="Times New Roman" w:eastAsia="Times New Roman" w:hAnsi="Times New Roman"/>
          <w:sz w:val="21"/>
          <w:szCs w:val="21"/>
          <w:color w:val="auto"/>
        </w:rPr>
        <w:t>, to:</w:t>
      </w:r>
    </w:p>
    <w:p>
      <w:pPr>
        <w:spacing w:after="0" w:line="21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650 California Street</w:t>
      </w:r>
    </w:p>
    <w:p>
      <w:pPr>
        <w:spacing w:after="0" w:line="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Floor 12</w:t>
      </w:r>
    </w:p>
    <w:p>
      <w:pPr>
        <w:spacing w:after="0" w:line="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San Francisco, CA 94108</w:t>
      </w:r>
    </w:p>
    <w:p>
      <w:pPr>
        <w:spacing w:after="0" w:line="1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Attn: Chief People Officer</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 xml:space="preserve">Email: </w:t>
      </w:r>
      <w:r>
        <w:rPr>
          <w:rFonts w:ascii="Times New Roman" w:cs="Times New Roman" w:eastAsia="Times New Roman" w:hAnsi="Times New Roman"/>
          <w:sz w:val="21"/>
          <w:szCs w:val="21"/>
          <w:u w:val="single" w:color="auto"/>
          <w:color w:val="0000FF"/>
        </w:rPr>
        <w:t>equity@affirm.com</w:t>
      </w:r>
    </w:p>
    <w:p>
      <w:pPr>
        <w:spacing w:after="0" w:line="1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b w:val="1"/>
          <w:bCs w:val="1"/>
          <w:color w:val="auto"/>
        </w:rPr>
        <w:t>If to Grantee</w:t>
      </w:r>
      <w:r>
        <w:rPr>
          <w:rFonts w:ascii="Times New Roman" w:cs="Times New Roman" w:eastAsia="Times New Roman" w:hAnsi="Times New Roman"/>
          <w:sz w:val="21"/>
          <w:szCs w:val="21"/>
          <w:color w:val="auto"/>
        </w:rPr>
        <w:t>, to: Grantee’s last residence or email address shown on the records of the Company or its affiliates.</w:t>
      </w:r>
    </w:p>
    <w:p>
      <w:pPr>
        <w:spacing w:after="0" w:line="211" w:lineRule="exact"/>
        <w:rPr>
          <w:sz w:val="20"/>
          <w:szCs w:val="20"/>
          <w:color w:val="auto"/>
        </w:rPr>
      </w:pPr>
    </w:p>
    <w:p>
      <w:pPr>
        <w:ind w:left="1240" w:hanging="616"/>
        <w:spacing w:after="0"/>
        <w:tabs>
          <w:tab w:leader="none" w:pos="12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Data Protection</w:t>
      </w:r>
      <w:r>
        <w:rPr>
          <w:rFonts w:ascii="Times New Roman" w:cs="Times New Roman" w:eastAsia="Times New Roman" w:hAnsi="Times New Roman"/>
          <w:sz w:val="21"/>
          <w:szCs w:val="21"/>
          <w:color w:val="auto"/>
        </w:rPr>
        <w:t>.</w:t>
      </w:r>
    </w:p>
    <w:p>
      <w:pPr>
        <w:spacing w:after="0" w:line="227" w:lineRule="exact"/>
        <w:rPr>
          <w:rFonts w:ascii="Times New Roman" w:cs="Times New Roman" w:eastAsia="Times New Roman" w:hAnsi="Times New Roman"/>
          <w:sz w:val="21"/>
          <w:szCs w:val="21"/>
          <w:color w:val="auto"/>
        </w:rPr>
      </w:pPr>
    </w:p>
    <w:p>
      <w:pPr>
        <w:jc w:val="both"/>
        <w:ind w:firstLine="1244"/>
        <w:spacing w:after="0" w:line="250" w:lineRule="auto"/>
        <w:tabs>
          <w:tab w:leader="none" w:pos="1857"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facilitate the administration of the Plan and this Agreement, it will be necessary for the Company (or its payroll administrators) to collect, hold and process certain personal information about Grantee and to transfer this data to certain third parties such as brokers with whom Grantee may elect to deposit any share capital under the Plan. Grantee consents to the Company (or its payroll administrators) collecting, holding and processing Grantee’s personal data and transferring this data to the Company or any other third parties insofar as is reasonably necessary to implement, administer and manage the Plan.</w:t>
      </w:r>
    </w:p>
    <w:p>
      <w:pPr>
        <w:spacing w:after="0" w:line="176" w:lineRule="exact"/>
        <w:rPr>
          <w:rFonts w:ascii="Times New Roman" w:cs="Times New Roman" w:eastAsia="Times New Roman" w:hAnsi="Times New Roman"/>
          <w:sz w:val="21"/>
          <w:szCs w:val="21"/>
          <w:color w:val="auto"/>
        </w:rPr>
      </w:pPr>
    </w:p>
    <w:p>
      <w:pPr>
        <w:jc w:val="both"/>
        <w:ind w:firstLine="1244"/>
        <w:spacing w:after="0" w:line="257" w:lineRule="auto"/>
        <w:tabs>
          <w:tab w:leader="none" w:pos="185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Grantee understands that Grantee may, at any time, view Grantee’s personal data, require any necessary corrections to it or withdraw the consents herein in writing by contacting the Company, but acknowledges that without the use of such data it may not be practicable for the Company to administer Grantee’s involvement in the Plan in a timely fashion or at all and this may be detrimental to Grantee.</w:t>
      </w:r>
    </w:p>
    <w:p>
      <w:pPr>
        <w:spacing w:after="0" w:line="163" w:lineRule="exact"/>
        <w:rPr>
          <w:rFonts w:ascii="Times New Roman" w:cs="Times New Roman" w:eastAsia="Times New Roman" w:hAnsi="Times New Roman"/>
          <w:sz w:val="21"/>
          <w:szCs w:val="21"/>
          <w:color w:val="auto"/>
        </w:rPr>
      </w:pPr>
    </w:p>
    <w:p>
      <w:pPr>
        <w:ind w:left="1240" w:hanging="616"/>
        <w:spacing w:after="0"/>
        <w:tabs>
          <w:tab w:leader="none" w:pos="12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21"/>
          <w:szCs w:val="21"/>
          <w:color w:val="auto"/>
        </w:rPr>
      </w:pPr>
    </w:p>
    <w:p>
      <w:pPr>
        <w:jc w:val="both"/>
        <w:ind w:firstLine="1244"/>
        <w:spacing w:after="0" w:line="265" w:lineRule="auto"/>
        <w:tabs>
          <w:tab w:leader="none" w:pos="1857"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and all acts and transactions pursuant hereto and the rights and obligations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hereto shall be governed, construed and interpreted in accordance with the laws of the State of Nevada, without giving effect to principles of conflicts of law.</w:t>
      </w:r>
    </w:p>
    <w:p>
      <w:pPr>
        <w:spacing w:after="0" w:line="156" w:lineRule="exact"/>
        <w:rPr>
          <w:rFonts w:ascii="Times New Roman" w:cs="Times New Roman" w:eastAsia="Times New Roman" w:hAnsi="Times New Roman"/>
          <w:sz w:val="21"/>
          <w:szCs w:val="21"/>
          <w:color w:val="auto"/>
        </w:rPr>
      </w:pPr>
    </w:p>
    <w:p>
      <w:pPr>
        <w:jc w:val="both"/>
        <w:ind w:firstLine="1244"/>
        <w:spacing w:after="0" w:line="249" w:lineRule="auto"/>
        <w:tabs>
          <w:tab w:leader="none" w:pos="1856"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Jurisdiction and Venue</w:t>
      </w:r>
      <w:r>
        <w:rPr>
          <w:rFonts w:ascii="Times New Roman" w:cs="Times New Roman" w:eastAsia="Times New Roman" w:hAnsi="Times New Roman"/>
          <w:sz w:val="21"/>
          <w:szCs w:val="21"/>
          <w:color w:val="auto"/>
        </w:rPr>
        <w:t>. THE PARTIES CONSENT TO PERSONAL JURISDICTION IN THE STATE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NEVADA. THE PARTIES AGREE THAT ANY ACTION OR PROCEEDING ARISING FROM OR RELATED TO THIS AGREEMENT SHALL BE BROUGHT AND TRIED EXCLUSIVELY IN THE STATE OR FEDERAL COURTS LOCATED IN THE STATE OF NEVADA. THE PARTIES IRREVOCABLY AND UNCONDITIONALLY WAIVE ANY OBJECTION TO THE LAYING OF VENUE OF ANY SUCH ACTION OR PROCEEDING BROUGHT IN ANY SUCH COURT. THE PARTIES EXPRESSLY ACKNOWLEDGE THAT THE STATE OF NEVADA IS A FAIR, JUST AND REASONABLE FORUM AND AGREE NOT TO SEEK REMOVAL OR TRANSFER OF ANY ACTION FILED BY ANY OF THE OTHER PARTIES IN SUCH COURTS. FURTHERMORE, THE PARTIES IRREVOCABLY AND UNCONDITIONALLY WAIVE ANY CLAIM THAT SUCH SUIT, ACTION OR PROCEEDING HAS BEEN BROUGHT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AN INCONVENIENT FORUM. SERVICE OF ANY PROCESS, SUMMONS, NOTICE OR DOCUMENT BY CERTIFIED MAIL ADDRESSED TO A PARTY AT THE ADDRESS DESIGNATED PURSUANT TO SECTION 10 SHALL BE EFFECTIVE SERVICE OF PROCESS AGAINST SUCH PARTY FOR ANY ACTION OR PROCEEDING BROUGHT IN ANY SUCH COURT. A FINAL JUDGMENT IN ANY SUCH ACTION OR PROCEEDING BROUGHT IN ANY SUCH COURT MAY BE ENFORCED IN ANY OTHER COURT TO WHOSE JURISDICTION ANY OF THE PARTIES IS OR MAY BE SUBJECT.</w:t>
      </w:r>
    </w:p>
    <w:p>
      <w:pPr>
        <w:spacing w:after="0" w:line="170" w:lineRule="exact"/>
        <w:rPr>
          <w:sz w:val="20"/>
          <w:szCs w:val="20"/>
          <w:color w:val="auto"/>
        </w:rPr>
      </w:pPr>
    </w:p>
    <w:p>
      <w:pPr>
        <w:jc w:val="both"/>
        <w:ind w:firstLine="1244"/>
        <w:spacing w:after="0" w:line="264" w:lineRule="auto"/>
        <w:tabs>
          <w:tab w:leader="none" w:pos="185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Addendum and Sub-Plans</w:t>
      </w:r>
      <w:r>
        <w:rPr>
          <w:rFonts w:ascii="Times New Roman" w:cs="Times New Roman" w:eastAsia="Times New Roman" w:hAnsi="Times New Roman"/>
          <w:sz w:val="20"/>
          <w:szCs w:val="20"/>
          <w:color w:val="auto"/>
        </w:rPr>
        <w:t>. Notwithstanding any provisions in this Agreement, the PSUs shall be subject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special terms and conditions set forth in any Addendum to this Agreement for Grantee’s country (the “</w:t>
      </w:r>
      <w:r>
        <w:rPr>
          <w:rFonts w:ascii="Times New Roman" w:cs="Times New Roman" w:eastAsia="Times New Roman" w:hAnsi="Times New Roman"/>
          <w:sz w:val="20"/>
          <w:szCs w:val="20"/>
          <w:b w:val="1"/>
          <w:bCs w:val="1"/>
          <w:color w:val="auto"/>
        </w:rPr>
        <w:t>Addendum</w:t>
      </w:r>
      <w:r>
        <w:rPr>
          <w:rFonts w:ascii="Times New Roman" w:cs="Times New Roman" w:eastAsia="Times New Roman" w:hAnsi="Times New Roman"/>
          <w:sz w:val="20"/>
          <w:szCs w:val="20"/>
          <w:color w:val="auto"/>
        </w:rPr>
        <w:t>”). Moreover, if Grantee relocates to one of the countries included in the Addendum, the special terms and conditions for such country will apply to Grantee, to the extent the Company determines that the application of such terms and conditions is necessary or advisable for legal or administrative reasons. The Addendum constitutes part of this Agreement. Furthermore, the Plan shall be deemed to include any special terms and conditions set forth in any applicable sub-plan for Grantee’s country, and, if Grantee relocates to a country for which the Company has established a sub-plan, the special terms and conditions for such country will apply to Grantee, to the extent the Company determines that the application of such terms and conditions is necessary or advisable for legal or administrative reasons.</w:t>
      </w:r>
    </w:p>
    <w:p>
      <w:pPr>
        <w:spacing w:after="0" w:line="159" w:lineRule="exact"/>
        <w:rPr>
          <w:rFonts w:ascii="Times New Roman" w:cs="Times New Roman" w:eastAsia="Times New Roman" w:hAnsi="Times New Roman"/>
          <w:sz w:val="20"/>
          <w:szCs w:val="20"/>
          <w:color w:val="auto"/>
        </w:rPr>
      </w:pPr>
    </w:p>
    <w:p>
      <w:pPr>
        <w:jc w:val="both"/>
        <w:ind w:firstLine="1244"/>
        <w:spacing w:after="0" w:line="251" w:lineRule="auto"/>
        <w:tabs>
          <w:tab w:leader="none" w:pos="1856"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 Enforcement of Rights; Amendment</w:t>
      </w:r>
      <w:r>
        <w:rPr>
          <w:rFonts w:ascii="Times New Roman" w:cs="Times New Roman" w:eastAsia="Times New Roman" w:hAnsi="Times New Roman"/>
          <w:sz w:val="21"/>
          <w:szCs w:val="21"/>
          <w:color w:val="auto"/>
        </w:rPr>
        <w:t>. This Agreement, together with the Plan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 Notice, sets forth the entire agreement and understanding of the parties relating to the subject matter herein and merges all prior or contemporaneous discussions or agreements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Grantee.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Grantee, to comply with Code Section 409A or to otherwise avoid imposition of any additional tax or income recognition under Section 409A of the Code in connection with the PSUs.</w:t>
      </w:r>
    </w:p>
    <w:p>
      <w:pPr>
        <w:spacing w:after="0" w:line="169" w:lineRule="exact"/>
        <w:rPr>
          <w:rFonts w:ascii="Times New Roman" w:cs="Times New Roman" w:eastAsia="Times New Roman" w:hAnsi="Times New Roman"/>
          <w:sz w:val="21"/>
          <w:szCs w:val="21"/>
          <w:color w:val="auto"/>
        </w:rPr>
      </w:pPr>
    </w:p>
    <w:p>
      <w:pPr>
        <w:jc w:val="both"/>
        <w:ind w:firstLine="1244"/>
        <w:spacing w:after="0" w:line="252" w:lineRule="auto"/>
        <w:tabs>
          <w:tab w:leader="none" w:pos="185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If one or more provisions of this Agreement, the Grant Notice or the Plan are held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unenforceable under Applicable 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this Agreement, the Grant Notice and the Plan shall be interpreted as if such provision were so excluded and (iii) the balance of this Agreement, the Grant Notice and the Plan shall be enforceable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1" w:lineRule="exact"/>
        <w:rPr>
          <w:sz w:val="20"/>
          <w:szCs w:val="20"/>
          <w:color w:val="auto"/>
        </w:rPr>
      </w:pPr>
    </w:p>
    <w:p>
      <w:pPr>
        <w:jc w:val="both"/>
        <w:ind w:firstLine="1244"/>
        <w:spacing w:after="0" w:line="259" w:lineRule="auto"/>
        <w:tabs>
          <w:tab w:leader="none" w:pos="186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 This Agreement is the result of negotiations between and has been reviewed by each of the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hereto and their respective counsel, if any; accordingly, this Agreement shall be deemed to be the product of all of the parties hereto, and no ambiguity shall be construed in favor of or against any one of the parties hereto.</w:t>
      </w:r>
    </w:p>
    <w:p>
      <w:pPr>
        <w:spacing w:after="0" w:line="174" w:lineRule="exact"/>
        <w:rPr>
          <w:rFonts w:ascii="Times New Roman" w:cs="Times New Roman" w:eastAsia="Times New Roman" w:hAnsi="Times New Roman"/>
          <w:sz w:val="21"/>
          <w:szCs w:val="21"/>
          <w:color w:val="auto"/>
        </w:rPr>
      </w:pPr>
    </w:p>
    <w:p>
      <w:pPr>
        <w:jc w:val="both"/>
        <w:ind w:firstLine="1244"/>
        <w:spacing w:after="0" w:line="251" w:lineRule="auto"/>
        <w:tabs>
          <w:tab w:leader="none" w:pos="185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 Electronic Signature</w:t>
      </w:r>
      <w:r>
        <w:rPr>
          <w:rFonts w:ascii="Times New Roman" w:cs="Times New Roman" w:eastAsia="Times New Roman" w:hAnsi="Times New Roman"/>
          <w:sz w:val="21"/>
          <w:szCs w:val="21"/>
          <w:color w:val="auto"/>
        </w:rPr>
        <w:t>. This Agreement may be executed in two or more counterparts, each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shall be deemed an original and all of 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84" w:lineRule="exact"/>
        <w:rPr>
          <w:rFonts w:ascii="Times New Roman" w:cs="Times New Roman" w:eastAsia="Times New Roman" w:hAnsi="Times New Roman"/>
          <w:sz w:val="21"/>
          <w:szCs w:val="21"/>
          <w:color w:val="auto"/>
        </w:rPr>
      </w:pPr>
    </w:p>
    <w:p>
      <w:pPr>
        <w:jc w:val="both"/>
        <w:ind w:firstLine="1244"/>
        <w:spacing w:after="0" w:line="259" w:lineRule="auto"/>
        <w:tabs>
          <w:tab w:leader="none" w:pos="185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Successors and Assigns</w:t>
      </w:r>
      <w:r>
        <w:rPr>
          <w:rFonts w:ascii="Times New Roman" w:cs="Times New Roman" w:eastAsia="Times New Roman" w:hAnsi="Times New Roman"/>
          <w:sz w:val="21"/>
          <w:szCs w:val="21"/>
          <w:color w:val="auto"/>
        </w:rPr>
        <w:t>. The rights and benefits of this Agreement shall inure to the benefit of, and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enforceable by, the Company’s successors and assigns. The rights and obligations of Grantee under this Agreement may only be assigned with the prior written consent of the Company.</w:t>
      </w:r>
    </w:p>
    <w:p>
      <w:pPr>
        <w:spacing w:after="0" w:line="161" w:lineRule="exact"/>
        <w:rPr>
          <w:rFonts w:ascii="Times New Roman" w:cs="Times New Roman" w:eastAsia="Times New Roman" w:hAnsi="Times New Roman"/>
          <w:sz w:val="21"/>
          <w:szCs w:val="21"/>
          <w:color w:val="auto"/>
        </w:rPr>
      </w:pPr>
    </w:p>
    <w:p>
      <w:pPr>
        <w:jc w:val="both"/>
        <w:ind w:firstLine="1244"/>
        <w:spacing w:after="0" w:line="254" w:lineRule="auto"/>
        <w:tabs>
          <w:tab w:leader="none" w:pos="184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Limitations Applicable to Section 16 Persons</w:t>
      </w:r>
      <w:r>
        <w:rPr>
          <w:rFonts w:ascii="Times New Roman" w:cs="Times New Roman" w:eastAsia="Times New Roman" w:hAnsi="Times New Roman"/>
          <w:sz w:val="21"/>
          <w:szCs w:val="21"/>
          <w:color w:val="auto"/>
        </w:rPr>
        <w:t>. Notwithstanding any other provision of the Plan or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if Grantee is subject to Section 16 of the Exchange Act, the Plan,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Laws, this Agreement shall be deemed amended to the extent necessary to conform to such applicable exemptive rule.</w:t>
      </w:r>
    </w:p>
    <w:p>
      <w:pPr>
        <w:spacing w:after="0" w:line="169" w:lineRule="exact"/>
        <w:rPr>
          <w:rFonts w:ascii="Times New Roman" w:cs="Times New Roman" w:eastAsia="Times New Roman" w:hAnsi="Times New Roman"/>
          <w:sz w:val="21"/>
          <w:szCs w:val="21"/>
          <w:color w:val="auto"/>
        </w:rPr>
      </w:pPr>
    </w:p>
    <w:p>
      <w:pPr>
        <w:jc w:val="both"/>
        <w:ind w:firstLine="1244"/>
        <w:spacing w:after="0" w:line="258" w:lineRule="auto"/>
        <w:tabs>
          <w:tab w:leader="none" w:pos="184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Imposition of Other Requirements</w:t>
      </w:r>
      <w:r>
        <w:rPr>
          <w:rFonts w:ascii="Times New Roman" w:cs="Times New Roman" w:eastAsia="Times New Roman" w:hAnsi="Times New Roman"/>
          <w:sz w:val="21"/>
          <w:szCs w:val="21"/>
          <w:color w:val="auto"/>
        </w:rPr>
        <w:t>. The Company reserves the right to impose other requirements on Grantee’s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participation in the Plan, on the PSUs and on any Shares allocated to the PSUs, to the extent the Company determines it is necessary or advisable for legal or administrative reasons, and to require Grantee to sign any additional agreements or undertakings that may be necessary to accomplish the foregoing.</w:t>
      </w:r>
    </w:p>
    <w:p>
      <w:pPr>
        <w:spacing w:after="0" w:line="163" w:lineRule="exact"/>
        <w:rPr>
          <w:rFonts w:ascii="Times New Roman" w:cs="Times New Roman" w:eastAsia="Times New Roman" w:hAnsi="Times New Roman"/>
          <w:sz w:val="21"/>
          <w:szCs w:val="21"/>
          <w:color w:val="auto"/>
        </w:rPr>
      </w:pPr>
    </w:p>
    <w:p>
      <w:pPr>
        <w:jc w:val="both"/>
        <w:ind w:firstLine="1244"/>
        <w:spacing w:after="0" w:line="249" w:lineRule="auto"/>
        <w:tabs>
          <w:tab w:leader="none" w:pos="185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Electronic Delivery and Participation</w:t>
      </w:r>
      <w:r>
        <w:rPr>
          <w:rFonts w:ascii="Times New Roman" w:cs="Times New Roman" w:eastAsia="Times New Roman" w:hAnsi="Times New Roman"/>
          <w:sz w:val="21"/>
          <w:szCs w:val="21"/>
          <w:color w:val="auto"/>
        </w:rPr>
        <w:t>. The Company may, in its sole discretion, decide to deliver to Grantee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email or any other electronic means any documents, elections or notices related to this Agreement, the PSUs, the Shares allocated to the PSUs, Grantee’s current or future participation in the Plan, securities of the Company or any member of the Company Group or any other matter, including documents, elections and/or notices required to be delivered to Grantee by applicable securities law or any other Applicable Laws or the Company’s Amended Certificate of Incorporation or Bylaws. By accepting this Agreement, whether electronically or otherwise, Grantee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174" w:lineRule="exact"/>
        <w:rPr>
          <w:rFonts w:ascii="Times New Roman" w:cs="Times New Roman" w:eastAsia="Times New Roman" w:hAnsi="Times New Roman"/>
          <w:sz w:val="21"/>
          <w:szCs w:val="21"/>
          <w:color w:val="auto"/>
        </w:rPr>
      </w:pPr>
    </w:p>
    <w:p>
      <w:pPr>
        <w:ind w:firstLine="1244"/>
        <w:spacing w:after="0" w:line="287" w:lineRule="auto"/>
        <w:tabs>
          <w:tab w:leader="none" w:pos="1849"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Language</w:t>
      </w:r>
      <w:r>
        <w:rPr>
          <w:rFonts w:ascii="Times New Roman" w:cs="Times New Roman" w:eastAsia="Times New Roman" w:hAnsi="Times New Roman"/>
          <w:sz w:val="21"/>
          <w:szCs w:val="21"/>
          <w:color w:val="auto"/>
        </w:rPr>
        <w:t>. Grantee acknowledges that he or she is sufficiently proficient in English, or has consulted with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advisor who is sufficiently proficient in English, so as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allow Grantee to understand the terms and conditions of this Agreement. If Grantee has received this Agreement, or any other documents related to the PSUs and/or the Plan translated into a language other than English and if the meaning of the translated version is different from the English version, the English version will control.</w:t>
      </w:r>
    </w:p>
    <w:p>
      <w:pPr>
        <w:spacing w:after="0" w:line="176" w:lineRule="exact"/>
        <w:rPr>
          <w:sz w:val="20"/>
          <w:szCs w:val="20"/>
          <w:color w:val="auto"/>
        </w:rPr>
      </w:pPr>
    </w:p>
    <w:p>
      <w:pPr>
        <w:jc w:val="both"/>
        <w:ind w:firstLine="1244"/>
        <w:spacing w:after="0" w:line="249" w:lineRule="auto"/>
        <w:tabs>
          <w:tab w:leader="none" w:pos="1849"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Insider Trading/Market Abuse</w:t>
      </w:r>
      <w:r>
        <w:rPr>
          <w:rFonts w:ascii="Times New Roman" w:cs="Times New Roman" w:eastAsia="Times New Roman" w:hAnsi="Times New Roman"/>
          <w:sz w:val="21"/>
          <w:szCs w:val="21"/>
          <w:color w:val="auto"/>
        </w:rPr>
        <w:t>. By accepting the PSUs, Grantee acknowledges that he or she is bound by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terms and conditions of the Company’s insider trading policy as may be in effect from time to time. Grantee further acknowledges that, depending on Grantee or his or her broker’s country or the country in which the Shares are listed, he or she may be subject to insider trading restrictions and/or market abuse laws which may affect Grantee’s ability to accept, acquire, sell or otherwise dispose of the Shares, rights to the Shares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PSUs) or rights linked to the value of the Shares during such times as Grantee is considered to have “inside information” regarding the Company (as defined by the laws in the applicable jurisdictions). Local insider trading laws and regulations may prohibit the cancellation or amendment of orders Grantee placed before Grantee possessed inside information. Furthermore, Grantee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as may be in effect from time to time. Grantee acknowledges that it is Grantee’s responsibility to comply with any applicable restrictions, and Grantee should speak to his or her personal advisor on this matter.</w:t>
      </w:r>
    </w:p>
    <w:p>
      <w:pPr>
        <w:spacing w:after="0" w:line="172" w:lineRule="exact"/>
        <w:rPr>
          <w:rFonts w:ascii="Times New Roman" w:cs="Times New Roman" w:eastAsia="Times New Roman" w:hAnsi="Times New Roman"/>
          <w:sz w:val="21"/>
          <w:szCs w:val="21"/>
          <w:color w:val="auto"/>
        </w:rPr>
      </w:pPr>
    </w:p>
    <w:p>
      <w:pPr>
        <w:jc w:val="both"/>
        <w:ind w:firstLine="1244"/>
        <w:spacing w:after="0" w:line="250" w:lineRule="auto"/>
        <w:tabs>
          <w:tab w:leader="none" w:pos="185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Foreign Asset/Account, Exchange Control and Tax Reporting</w:t>
      </w:r>
      <w:r>
        <w:rPr>
          <w:rFonts w:ascii="Times New Roman" w:cs="Times New Roman" w:eastAsia="Times New Roman" w:hAnsi="Times New Roman"/>
          <w:sz w:val="21"/>
          <w:szCs w:val="21"/>
          <w:color w:val="auto"/>
        </w:rPr>
        <w:t>. Grantee may be subject to foreign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asset/account, exchange control, tax reporting or other requirements which may affect Grantee’s ability acquire or hold PSUs or the Shares or cash received from participating in the Plan (including dividends and the proceeds arising from the sale of the Shares) in a brokerage/bank account outside Grantee’s country. The applicable laws of Grantee’s country may require that he or she report such PSUs, Shares, accounts, assets or transactions to the applicable authorities in such country and/or repatriate funds received in connection with the Plan to Grantee’s country within a certain time period or according to certain procedures. Grantee acknowledges that he or she is responsible for ensuring compliance with any applicable requirements and should consult his or her personal legal advisor to ensure compliance with applicable laws.</w:t>
      </w:r>
    </w:p>
    <w:p>
      <w:pPr>
        <w:spacing w:after="0" w:line="171" w:lineRule="exact"/>
        <w:rPr>
          <w:rFonts w:ascii="Times New Roman" w:cs="Times New Roman" w:eastAsia="Times New Roman" w:hAnsi="Times New Roman"/>
          <w:sz w:val="21"/>
          <w:szCs w:val="21"/>
          <w:color w:val="auto"/>
        </w:rPr>
      </w:pPr>
    </w:p>
    <w:p>
      <w:pPr>
        <w:jc w:val="both"/>
        <w:ind w:firstLine="624"/>
        <w:spacing w:after="0" w:line="254" w:lineRule="auto"/>
        <w:tabs>
          <w:tab w:leader="none" w:pos="12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Agreement</w:t>
      </w:r>
      <w:r>
        <w:rPr>
          <w:rFonts w:ascii="Times New Roman" w:cs="Times New Roman" w:eastAsia="Times New Roman" w:hAnsi="Times New Roman"/>
          <w:sz w:val="21"/>
          <w:szCs w:val="21"/>
          <w:color w:val="auto"/>
        </w:rPr>
        <w:t>. Grantee acknowledges receipt of a copy of the Plan and represents that he or she is familiar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terms and provisions thereof (and has had an opportunity to consult counsel regarding the terms of this Agreement), and hereby accepts this award of PSUs and agrees to be bound by its contractual terms as set forth herein and in the Plan. Grantee hereby agrees to accept as binding, conclusive and final all decisions and interpretations of the Plan Administrator regarding any questions relating to the PSUs.</w:t>
      </w:r>
    </w:p>
    <w:p>
      <w:pPr>
        <w:spacing w:after="0" w:line="169" w:lineRule="exact"/>
        <w:rPr>
          <w:rFonts w:ascii="Times New Roman" w:cs="Times New Roman" w:eastAsia="Times New Roman" w:hAnsi="Times New Roman"/>
          <w:sz w:val="21"/>
          <w:szCs w:val="21"/>
          <w:color w:val="auto"/>
        </w:rPr>
      </w:pPr>
    </w:p>
    <w:p>
      <w:pPr>
        <w:jc w:val="both"/>
        <w:ind w:firstLine="624"/>
        <w:spacing w:after="0" w:line="265" w:lineRule="auto"/>
        <w:tabs>
          <w:tab w:leader="none" w:pos="12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Clawback; Recoupment</w:t>
      </w:r>
      <w:r>
        <w:rPr>
          <w:rFonts w:ascii="Times New Roman" w:cs="Times New Roman" w:eastAsia="Times New Roman" w:hAnsi="Times New Roman"/>
          <w:sz w:val="21"/>
          <w:szCs w:val="21"/>
          <w:color w:val="auto"/>
        </w:rPr>
        <w:t>. By accepting the PSUs and pursuant to Section 19 of the Plan, Grantee acknowledges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agrees that the Company will be entitled, to the extent permitted or required by Applicable Law, Company policy and/or the requirements of a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Exchange on which the Shares are listed for trading, in each case, as in effect from time to time, to recoup compensation of whatever kind paid by the Company at any time to Grantee under the Plan; provided, however, that no such recovery of compensation will be an event giving rise to Grantee’s right to resign for “good reason” or “constructive termination” (or similar term) under any agreement between Grantee and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5"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The foregoing Agreement is hereby accepted and the terms and conditions thereof hereby agreed to by the undersigned. Electronic acceptance of this Agreement pursuant to the Company’s instructions to Grantee (including through an online acceptance process) is acceptable.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551815</wp:posOffset>
            </wp:positionV>
            <wp:extent cx="6565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-13335</wp:posOffset>
            </wp:positionV>
            <wp:extent cx="6565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-13335</wp:posOffset>
            </wp:positionV>
            <wp:extent cx="6565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554355</wp:posOffset>
            </wp:positionV>
            <wp:extent cx="6565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-13335</wp:posOffset>
            </wp:positionV>
            <wp:extent cx="6565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-13335</wp:posOffset>
            </wp:positionV>
            <wp:extent cx="5581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581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273050</wp:posOffset>
            </wp:positionV>
            <wp:extent cx="6565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AFFIRM HOLDINGS, INC.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OFFICER SEVERANCE PLAN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amended effective as of September 18, 2025)</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The Affirm Holdings, Inc. Officer Severance Plan is established as of the Effective Date. The purpose of the Plan is to help retain qualified employees, maintain a stable work environment, and provide economic security to certain eligible employees of Affirm Holdings, Inc. and its Affiliates, including in the event of an actual or threatened Change in Control as described herein. Except with respect to individually negotiated employment contracts or agreements with the Company providing severance, death, or disability benefits that an Eligible Employee has not agreed to forgo, this Plan supersedes any plan, policy or practice with respect to Qualifying Terminations, death, or Disability, whether formal or informal, written or unwritten, previously announced or maintained by the Company. This Plan document also is the Summary Plan Description for the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As hereinafter used:</w:t>
      </w:r>
    </w:p>
    <w:p>
      <w:pPr>
        <w:spacing w:after="0" w:line="172"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1.1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any individual or entity, any other individual or entity who, directly or indirectly through one or more intermediaries, controls, is controlled by or is under common control with, such individual or entity.</w:t>
      </w:r>
    </w:p>
    <w:p>
      <w:pPr>
        <w:spacing w:after="0" w:line="145" w:lineRule="exact"/>
        <w:rPr>
          <w:sz w:val="20"/>
          <w:szCs w:val="20"/>
          <w:color w:val="auto"/>
        </w:rPr>
      </w:pPr>
    </w:p>
    <w:p>
      <w:pPr>
        <w:jc w:val="both"/>
        <w:ind w:firstLine="1240"/>
        <w:spacing w:after="0" w:line="225" w:lineRule="auto"/>
        <w:rPr>
          <w:sz w:val="20"/>
          <w:szCs w:val="20"/>
          <w:color w:val="auto"/>
        </w:rPr>
      </w:pPr>
      <w:r>
        <w:rPr>
          <w:rFonts w:ascii="Times New Roman" w:cs="Times New Roman" w:eastAsia="Times New Roman" w:hAnsi="Times New Roman"/>
          <w:sz w:val="21"/>
          <w:szCs w:val="21"/>
          <w:color w:val="auto"/>
        </w:rPr>
        <w:t>1.2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means base pay (excluding incentive pay, premium pay, commissions, overtime, bonuses and other forms of variable compensation) as in effect immediately prior to a Qualifying Termination, death, or Disability, and prior to any reduction that would give rise to an Eligible Employee’s right to resign for Good Reason.</w:t>
      </w:r>
    </w:p>
    <w:p>
      <w:pPr>
        <w:spacing w:after="0" w:line="148" w:lineRule="exact"/>
        <w:rPr>
          <w:sz w:val="20"/>
          <w:szCs w:val="20"/>
          <w:color w:val="auto"/>
        </w:rPr>
      </w:pPr>
    </w:p>
    <w:p>
      <w:pPr>
        <w:ind w:left="1240"/>
        <w:spacing w:after="0"/>
        <w:tabs>
          <w:tab w:leader="none" w:pos="190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172" w:lineRule="exact"/>
        <w:rPr>
          <w:sz w:val="20"/>
          <w:szCs w:val="20"/>
          <w:color w:val="auto"/>
        </w:rPr>
      </w:pPr>
    </w:p>
    <w:p>
      <w:pPr>
        <w:jc w:val="both"/>
        <w:ind w:firstLine="1240"/>
        <w:spacing w:after="0" w:line="209" w:lineRule="auto"/>
        <w:rPr>
          <w:sz w:val="20"/>
          <w:szCs w:val="20"/>
          <w:color w:val="auto"/>
        </w:rPr>
      </w:pPr>
      <w:r>
        <w:rPr>
          <w:rFonts w:ascii="Times New Roman" w:cs="Times New Roman" w:eastAsia="Times New Roman" w:hAnsi="Times New Roman"/>
          <w:sz w:val="21"/>
          <w:szCs w:val="21"/>
          <w:color w:val="auto"/>
        </w:rPr>
        <w:t>1.4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 with respect to any Eligible Employee, the meaning ascribed to such term in any written agreement between such Eligible Employee and the Company defining such term, and, in the absence of such agreement, means with respect to such Eligible Employee, the occurrence of any one or more of the following events: (a) willful conduct by the Eligible Employee constituting a material act of misconduct in connection with the performance of the Eligible Employee’s duties, including, without limitation, misappropriation of funds or property of the Company or any of its subsidiaries or affiliates other than the occasional, customary and de minimis use of Company property for personal purposes; (b) the conviction of, or plea of guilty or no contest to, any felony or any crime involving moral turpitude, deceit, dishonesty or fraud, or any conduct by the Eligible Employee that would reasonably be expected to result in material injury or reputational harm to the Company or any of its subsidiaries and affiliates if the Eligible Employee were retained in the Eligible Employee’s position; (c) continued non-performance by the Eligible Employee of the Eligible Employee’s duties to the Company (other than by reason of the Eligible Employee’s physical or mental illness, incapacity or Disability) which has continued for 30 days following written notice of such non-performance from the Company; (d) a breach by the Eligible Employee of any of the provisions contained in the Confidentiality and Inventions Assignment Agreement entered into between the Eligible Employee and the Company or any other confidentiality, invention assignment or similar agreement with the Company; (e) a material violation by the Eligible</w:t>
      </w:r>
    </w:p>
    <w:p>
      <w:pPr>
        <w:sectPr>
          <w:pgSz w:w="11900" w:h="16838" w:orient="portrait"/>
          <w:cols w:equalWidth="0" w:num="1">
            <w:col w:w="11240"/>
          </w:cols>
          <w:pgMar w:left="320" w:top="101" w:right="339" w:bottom="1440" w:gutter="0" w:footer="0" w:header="0"/>
        </w:sectPr>
      </w:pPr>
    </w:p>
    <w:bookmarkStart w:id="115" w:name="page116"/>
    <w:bookmarkEnd w:id="115"/>
    <w:p>
      <w:pPr>
        <w:jc w:val="both"/>
        <w:spacing w:after="0" w:line="231" w:lineRule="auto"/>
        <w:rPr>
          <w:sz w:val="20"/>
          <w:szCs w:val="20"/>
          <w:color w:val="auto"/>
        </w:rPr>
      </w:pPr>
      <w:r>
        <w:rPr>
          <w:rFonts w:ascii="Times New Roman" w:cs="Times New Roman" w:eastAsia="Times New Roman" w:hAnsi="Times New Roman"/>
          <w:sz w:val="20"/>
          <w:szCs w:val="20"/>
          <w:color w:val="auto"/>
        </w:rPr>
        <w:t>Employee of the Company’s written employment policies; or (f) the Eligible Employee’s failure to cooperate with a bona fide internal investigation or an investigation by regulatory or law enforcement authorities, after being instructed by the Company to cooperate, or Eligible Employee’s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48"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CIC Benefits Schedule</w:t>
      </w:r>
      <w:r>
        <w:rPr>
          <w:rFonts w:ascii="Times New Roman" w:cs="Times New Roman" w:eastAsia="Times New Roman" w:hAnsi="Times New Roman"/>
          <w:sz w:val="20"/>
          <w:szCs w:val="20"/>
          <w:color w:val="auto"/>
        </w:rPr>
        <w:t>” has the meaning set forth in Section 3.3.</w:t>
      </w:r>
    </w:p>
    <w:p>
      <w:pPr>
        <w:spacing w:after="0" w:line="17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CIC Severance Pay</w:t>
      </w:r>
      <w:r>
        <w:rPr>
          <w:rFonts w:ascii="Times New Roman" w:cs="Times New Roman" w:eastAsia="Times New Roman" w:hAnsi="Times New Roman"/>
          <w:sz w:val="20"/>
          <w:szCs w:val="20"/>
          <w:color w:val="auto"/>
        </w:rPr>
        <w:t>” has the meaning set forth in Section 3.3.</w:t>
      </w:r>
    </w:p>
    <w:p>
      <w:pPr>
        <w:spacing w:after="0" w:line="172"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1.7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has the meaning ascribed to it in the Affirm Holdings, Inc. Amended and Restated 2012 Stock Plan, as amended from time to time.</w:t>
      </w:r>
    </w:p>
    <w:p>
      <w:pPr>
        <w:spacing w:after="0" w:line="145"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1.8 “</w:t>
      </w:r>
      <w:r>
        <w:rPr>
          <w:rFonts w:ascii="Times New Roman" w:cs="Times New Roman" w:eastAsia="Times New Roman" w:hAnsi="Times New Roman"/>
          <w:sz w:val="21"/>
          <w:szCs w:val="21"/>
          <w:u w:val="single" w:color="auto"/>
          <w:color w:val="auto"/>
        </w:rPr>
        <w:t>Change in Control Protection Period</w:t>
      </w:r>
      <w:r>
        <w:rPr>
          <w:rFonts w:ascii="Times New Roman" w:cs="Times New Roman" w:eastAsia="Times New Roman" w:hAnsi="Times New Roman"/>
          <w:sz w:val="21"/>
          <w:szCs w:val="21"/>
          <w:color w:val="auto"/>
        </w:rPr>
        <w:t>” means the period commencing three (3) months prior to a Change in Control and ending twelve (12) months following the Change in Control.</w:t>
      </w:r>
    </w:p>
    <w:p>
      <w:pPr>
        <w:spacing w:after="0" w:line="145"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172"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1.10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the Board or a committee of the Board appointed by the Board to administer the Plan, which in each case is also referred to under the Plan as the “</w:t>
      </w:r>
      <w:r>
        <w:rPr>
          <w:rFonts w:ascii="Times New Roman" w:cs="Times New Roman" w:eastAsia="Times New Roman" w:hAnsi="Times New Roman"/>
          <w:sz w:val="21"/>
          <w:szCs w:val="21"/>
          <w:u w:val="single" w:color="auto"/>
          <w:color w:val="auto"/>
        </w:rPr>
        <w:t>Plan Administrator</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Affirm Holdings, Inc., a Nevada corporation, and any successors thereto.</w:t>
      </w:r>
    </w:p>
    <w:p>
      <w:pPr>
        <w:spacing w:after="0" w:line="172" w:lineRule="exact"/>
        <w:rPr>
          <w:sz w:val="20"/>
          <w:szCs w:val="20"/>
          <w:color w:val="auto"/>
        </w:rPr>
      </w:pPr>
    </w:p>
    <w:p>
      <w:pPr>
        <w:jc w:val="both"/>
        <w:ind w:firstLine="1240"/>
        <w:spacing w:after="0" w:line="217" w:lineRule="auto"/>
        <w:rPr>
          <w:sz w:val="20"/>
          <w:szCs w:val="20"/>
          <w:color w:val="auto"/>
        </w:rPr>
      </w:pPr>
      <w:r>
        <w:rPr>
          <w:rFonts w:ascii="Times New Roman" w:cs="Times New Roman" w:eastAsia="Times New Roman" w:hAnsi="Times New Roman"/>
          <w:sz w:val="21"/>
          <w:szCs w:val="21"/>
          <w:color w:val="auto"/>
        </w:rPr>
        <w:t>1.12 “</w:t>
      </w:r>
      <w:r>
        <w:rPr>
          <w:rFonts w:ascii="Times New Roman" w:cs="Times New Roman" w:eastAsia="Times New Roman" w:hAnsi="Times New Roman"/>
          <w:sz w:val="21"/>
          <w:szCs w:val="21"/>
          <w:u w:val="single" w:color="auto"/>
          <w:color w:val="auto"/>
        </w:rPr>
        <w:t>Designated Beneficiary</w:t>
      </w:r>
      <w:r>
        <w:rPr>
          <w:rFonts w:ascii="Times New Roman" w:cs="Times New Roman" w:eastAsia="Times New Roman" w:hAnsi="Times New Roman"/>
          <w:sz w:val="21"/>
          <w:szCs w:val="21"/>
          <w:color w:val="auto"/>
        </w:rPr>
        <w:t>” shall be the beneficiary or beneficiaries designated by an Eligible Employee in accordance with such rules and procedures as may be established by the Company from time to time. If a beneficiary has not been designated by a deceased Eligible Employee, or if the Designated Beneficiary does not survive the Eligible Employee, any rights that would have been exercisable by the Eligible Employee and any benefits distributable to the Eligible Employee shall be exercisable and distributed, as applicable, to the legal representative of the estate of the Eligible Employee.</w:t>
      </w:r>
    </w:p>
    <w:p>
      <w:pPr>
        <w:spacing w:after="0" w:line="149" w:lineRule="exact"/>
        <w:rPr>
          <w:sz w:val="20"/>
          <w:szCs w:val="20"/>
          <w:color w:val="auto"/>
        </w:rPr>
      </w:pPr>
    </w:p>
    <w:p>
      <w:pPr>
        <w:jc w:val="both"/>
        <w:ind w:firstLine="1240"/>
        <w:spacing w:after="0" w:line="215" w:lineRule="auto"/>
        <w:rPr>
          <w:sz w:val="20"/>
          <w:szCs w:val="20"/>
          <w:color w:val="auto"/>
        </w:rPr>
      </w:pPr>
      <w:r>
        <w:rPr>
          <w:rFonts w:ascii="Times New Roman" w:cs="Times New Roman" w:eastAsia="Times New Roman" w:hAnsi="Times New Roman"/>
          <w:sz w:val="21"/>
          <w:szCs w:val="21"/>
          <w:color w:val="auto"/>
        </w:rPr>
        <w:t>1.13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Disabled</w:t>
      </w:r>
      <w:r>
        <w:rPr>
          <w:rFonts w:ascii="Times New Roman" w:cs="Times New Roman" w:eastAsia="Times New Roman" w:hAnsi="Times New Roman"/>
          <w:sz w:val="21"/>
          <w:szCs w:val="21"/>
          <w:color w:val="auto"/>
        </w:rPr>
        <w:t>” means having a “disability” within the meaning of Section 22(e)(3) of the Code. If the Plan Administrator determines in good faith that the Eligible Employee’s Disability has occurred, it may give the Eligible Employee a written notice of termination that states such a determination has been made (“</w:t>
      </w:r>
      <w:r>
        <w:rPr>
          <w:rFonts w:ascii="Times New Roman" w:cs="Times New Roman" w:eastAsia="Times New Roman" w:hAnsi="Times New Roman"/>
          <w:sz w:val="21"/>
          <w:szCs w:val="21"/>
          <w:u w:val="single" w:color="auto"/>
          <w:color w:val="auto"/>
        </w:rPr>
        <w:t>Termination Notice</w:t>
      </w:r>
      <w:r>
        <w:rPr>
          <w:rFonts w:ascii="Times New Roman" w:cs="Times New Roman" w:eastAsia="Times New Roman" w:hAnsi="Times New Roman"/>
          <w:sz w:val="21"/>
          <w:szCs w:val="21"/>
          <w:color w:val="auto"/>
        </w:rPr>
        <w:t>”). If within 30 days of the Termination Notice, the Eligible Employee does not return to full-time performance of the Eligible Employee’s responsibilities, the Eligible Employee’s employment will terminate. If the Eligible Employee does return to full-time performance in that 30-day period, the Termination Notice will be cancelled for all purposes of this Plan.</w:t>
      </w:r>
    </w:p>
    <w:p>
      <w:pPr>
        <w:spacing w:after="0" w:line="149"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November 18, 2020.</w:t>
      </w:r>
    </w:p>
    <w:p>
      <w:pPr>
        <w:spacing w:after="0" w:line="172" w:lineRule="exact"/>
        <w:rPr>
          <w:sz w:val="20"/>
          <w:szCs w:val="20"/>
          <w:color w:val="auto"/>
        </w:rPr>
      </w:pPr>
    </w:p>
    <w:p>
      <w:pPr>
        <w:jc w:val="both"/>
        <w:ind w:firstLine="1240"/>
        <w:spacing w:after="0" w:line="215" w:lineRule="auto"/>
        <w:rPr>
          <w:sz w:val="20"/>
          <w:szCs w:val="20"/>
          <w:color w:val="auto"/>
        </w:rPr>
      </w:pPr>
      <w:r>
        <w:rPr>
          <w:rFonts w:ascii="Times New Roman" w:cs="Times New Roman" w:eastAsia="Times New Roman" w:hAnsi="Times New Roman"/>
          <w:sz w:val="21"/>
          <w:szCs w:val="21"/>
          <w:color w:val="auto"/>
        </w:rPr>
        <w:t>1.15 “</w:t>
      </w:r>
      <w:r>
        <w:rPr>
          <w:rFonts w:ascii="Times New Roman" w:cs="Times New Roman" w:eastAsia="Times New Roman" w:hAnsi="Times New Roman"/>
          <w:sz w:val="21"/>
          <w:szCs w:val="21"/>
          <w:u w:val="single" w:color="auto"/>
          <w:color w:val="auto"/>
        </w:rPr>
        <w:t>Eligible Employee</w:t>
      </w:r>
      <w:r>
        <w:rPr>
          <w:rFonts w:ascii="Times New Roman" w:cs="Times New Roman" w:eastAsia="Times New Roman" w:hAnsi="Times New Roman"/>
          <w:sz w:val="21"/>
          <w:szCs w:val="21"/>
          <w:color w:val="auto"/>
        </w:rPr>
        <w:t>” means an employee of the Company or an Affiliate who (i) holds the title of SVP or above or is otherwise is designated by the Plan Administrator, in its sole discretion, to be eligible for benefits under this Plan, and (ii) if applicable, agrees to forgo such benefits provided under an individually negotiated employment contract or agreement with the Company relating to severance, death, Disability or change in control benefits. The Plan Administrator shall make the determination of whether an employee is an Eligible Employee, and such determination shall be binding and conclusive on all persons. The Plan Administrator shall maintain a current schedule of Eligible Employees with the Chief Legal Officer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42" w:right="339" w:bottom="1440" w:gutter="0" w:footer="0" w:header="0"/>
        </w:sectPr>
      </w:pPr>
    </w:p>
    <w:bookmarkStart w:id="116" w:name="page117"/>
    <w:bookmarkEnd w:id="116"/>
    <w:p>
      <w:pPr>
        <w:jc w:val="both"/>
        <w:spacing w:after="0" w:line="236" w:lineRule="auto"/>
        <w:rPr>
          <w:sz w:val="20"/>
          <w:szCs w:val="20"/>
          <w:color w:val="auto"/>
        </w:rPr>
      </w:pPr>
      <w:r>
        <w:rPr>
          <w:rFonts w:ascii="Times New Roman" w:cs="Times New Roman" w:eastAsia="Times New Roman" w:hAnsi="Times New Roman"/>
          <w:sz w:val="21"/>
          <w:szCs w:val="21"/>
          <w:color w:val="auto"/>
        </w:rPr>
        <w:t>Company or such other Company officer as may be designated by the Plan Administrator. Temporary employees and independent contractors are not eligible to participate in the Plan.</w:t>
      </w:r>
    </w:p>
    <w:p>
      <w:pPr>
        <w:spacing w:after="0" w:line="145"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1.16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172" w:lineRule="exact"/>
        <w:rPr>
          <w:sz w:val="20"/>
          <w:szCs w:val="20"/>
          <w:color w:val="auto"/>
        </w:rPr>
      </w:pPr>
    </w:p>
    <w:p>
      <w:pPr>
        <w:jc w:val="both"/>
        <w:ind w:firstLine="1240"/>
        <w:spacing w:after="0" w:line="214" w:lineRule="auto"/>
        <w:rPr>
          <w:sz w:val="20"/>
          <w:szCs w:val="20"/>
          <w:color w:val="auto"/>
        </w:rPr>
      </w:pPr>
      <w:r>
        <w:rPr>
          <w:rFonts w:ascii="Times New Roman" w:cs="Times New Roman" w:eastAsia="Times New Roman" w:hAnsi="Times New Roman"/>
          <w:sz w:val="21"/>
          <w:szCs w:val="21"/>
          <w:color w:val="auto"/>
        </w:rPr>
        <w:t>1.17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means that the Eligible Employee complied with the “Good Reason Process” following the occurrence of any of the following events: (i) a material diminution in the Eligible Employee’s responsibilities, authority or duties; (ii) a material reduction in the Eligible Employee’s Base Salary except for across-the-board salary reductions similarly affecting all or substantially all management employees; (iii) the relocation of the Company office at which the Eligible Employee is principally employed to a location more than thirty-five (35) miles from such office; or (iv) the failure of any successor to the Company to assume and agree to be bound by the terms and conditions of the Plan. For purposes of (i), a change in the reporting relationship, or a change in a title will not, by itself, be sufficient to constitute a material diminution of responsibilities, authority or duty.</w:t>
      </w:r>
    </w:p>
    <w:p>
      <w:pPr>
        <w:spacing w:after="0" w:line="147" w:lineRule="exact"/>
        <w:rPr>
          <w:sz w:val="20"/>
          <w:szCs w:val="20"/>
          <w:color w:val="auto"/>
        </w:rPr>
      </w:pPr>
    </w:p>
    <w:p>
      <w:pPr>
        <w:jc w:val="both"/>
        <w:ind w:firstLine="1240"/>
        <w:spacing w:after="0" w:line="213" w:lineRule="auto"/>
        <w:rPr>
          <w:sz w:val="20"/>
          <w:szCs w:val="20"/>
          <w:color w:val="auto"/>
        </w:rPr>
      </w:pPr>
      <w:r>
        <w:rPr>
          <w:rFonts w:ascii="Times New Roman" w:cs="Times New Roman" w:eastAsia="Times New Roman" w:hAnsi="Times New Roman"/>
          <w:sz w:val="21"/>
          <w:szCs w:val="21"/>
          <w:color w:val="auto"/>
        </w:rPr>
        <w:t>1.18 “</w:t>
      </w:r>
      <w:r>
        <w:rPr>
          <w:rFonts w:ascii="Times New Roman" w:cs="Times New Roman" w:eastAsia="Times New Roman" w:hAnsi="Times New Roman"/>
          <w:sz w:val="21"/>
          <w:szCs w:val="21"/>
          <w:u w:val="single" w:color="auto"/>
          <w:color w:val="auto"/>
        </w:rPr>
        <w:t>Good Reason Process</w:t>
      </w:r>
      <w:r>
        <w:rPr>
          <w:rFonts w:ascii="Times New Roman" w:cs="Times New Roman" w:eastAsia="Times New Roman" w:hAnsi="Times New Roman"/>
          <w:sz w:val="21"/>
          <w:szCs w:val="21"/>
          <w:color w:val="auto"/>
        </w:rPr>
        <w:t>” means (i) the Eligible Employee reasonably determines in good faith that a “Good Reason” condition has occurred; (ii) the Eligible Employee notifies the Company in writing of the occurrence of the Good Reason condition within thirty (30) days of the occurrence of such condition; (iii) the Eligible Employee cooperates in good faith with the Company’s efforts, for a period of 30 days following such notice (the “</w:t>
      </w:r>
      <w:r>
        <w:rPr>
          <w:rFonts w:ascii="Times New Roman" w:cs="Times New Roman" w:eastAsia="Times New Roman" w:hAnsi="Times New Roman"/>
          <w:sz w:val="21"/>
          <w:szCs w:val="21"/>
          <w:u w:val="single" w:color="auto"/>
          <w:color w:val="auto"/>
        </w:rPr>
        <w:t>Cure Period</w:t>
      </w:r>
      <w:r>
        <w:rPr>
          <w:rFonts w:ascii="Times New Roman" w:cs="Times New Roman" w:eastAsia="Times New Roman" w:hAnsi="Times New Roman"/>
          <w:sz w:val="21"/>
          <w:szCs w:val="21"/>
          <w:color w:val="auto"/>
        </w:rPr>
        <w:t>”), to remedy the condition; (iv) notwithstanding such efforts, the Good Reason condition continues to exist following the Cure Period; and (v) the Eligible Employee terminates employment and provides the Company with a notice of termination with respect to such termination, each within thirty (30) days after the end of the Cure Period. If the Company cures the Good Reason condition during the Cure Period, Good Reason shall be deemed not to have occurred.</w:t>
      </w:r>
    </w:p>
    <w:p>
      <w:pPr>
        <w:spacing w:after="0" w:line="146"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1.19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Non-CIC Benefits Schedule</w:t>
      </w:r>
      <w:r>
        <w:rPr>
          <w:rFonts w:ascii="Times New Roman" w:cs="Times New Roman" w:eastAsia="Times New Roman" w:hAnsi="Times New Roman"/>
          <w:sz w:val="20"/>
          <w:szCs w:val="20"/>
          <w:color w:val="auto"/>
        </w:rPr>
        <w:t>” has the meaning set forth in Section 3.3.</w:t>
      </w:r>
    </w:p>
    <w:p>
      <w:pPr>
        <w:spacing w:after="0" w:line="17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1.20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Non-CIC Severance Pay</w:t>
      </w:r>
      <w:r>
        <w:rPr>
          <w:rFonts w:ascii="Times New Roman" w:cs="Times New Roman" w:eastAsia="Times New Roman" w:hAnsi="Times New Roman"/>
          <w:sz w:val="20"/>
          <w:szCs w:val="20"/>
          <w:color w:val="auto"/>
        </w:rPr>
        <w:t>” has the meaning set forth in Section 3.3.</w:t>
      </w:r>
    </w:p>
    <w:p>
      <w:pPr>
        <w:spacing w:after="0" w:line="17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1.21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Parachute Amount</w:t>
      </w:r>
      <w:r>
        <w:rPr>
          <w:rFonts w:ascii="Times New Roman" w:cs="Times New Roman" w:eastAsia="Times New Roman" w:hAnsi="Times New Roman"/>
          <w:sz w:val="20"/>
          <w:szCs w:val="20"/>
          <w:color w:val="auto"/>
        </w:rPr>
        <w:t>” has the meaning set forth in Section 3.6.</w:t>
      </w:r>
    </w:p>
    <w:p>
      <w:pPr>
        <w:spacing w:after="0" w:line="172"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1.22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the Affirm Holdings, Inc. Officer Severance Plan and Summary Plan Description, as set forth herein, as it may be amended from time to time.</w:t>
      </w:r>
    </w:p>
    <w:p>
      <w:pPr>
        <w:spacing w:after="0" w:line="145"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1.23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Administrator</w:t>
      </w:r>
      <w:r>
        <w:rPr>
          <w:rFonts w:ascii="Times New Roman" w:cs="Times New Roman" w:eastAsia="Times New Roman" w:hAnsi="Times New Roman"/>
          <w:sz w:val="20"/>
          <w:szCs w:val="20"/>
          <w:color w:val="auto"/>
        </w:rPr>
        <w:t>” has the meaning set forth in Section 1.10.</w:t>
      </w:r>
    </w:p>
    <w:p>
      <w:pPr>
        <w:spacing w:after="0" w:line="17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1.24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Reduced Amount</w:t>
      </w:r>
      <w:r>
        <w:rPr>
          <w:rFonts w:ascii="Times New Roman" w:cs="Times New Roman" w:eastAsia="Times New Roman" w:hAnsi="Times New Roman"/>
          <w:sz w:val="20"/>
          <w:szCs w:val="20"/>
          <w:color w:val="auto"/>
        </w:rPr>
        <w:t>” has the meaning set forth in Section 3.6.</w:t>
      </w:r>
    </w:p>
    <w:p>
      <w:pPr>
        <w:spacing w:after="0" w:line="17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1.25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 Effective Date</w:t>
      </w:r>
      <w:r>
        <w:rPr>
          <w:rFonts w:ascii="Times New Roman" w:cs="Times New Roman" w:eastAsia="Times New Roman" w:hAnsi="Times New Roman"/>
          <w:sz w:val="20"/>
          <w:szCs w:val="20"/>
          <w:color w:val="auto"/>
        </w:rPr>
        <w:t>” has the meaning set forth in Section 2.2.</w:t>
      </w:r>
    </w:p>
    <w:p>
      <w:pPr>
        <w:spacing w:after="0" w:line="17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1.26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has the meaning set forth in Section 2.3.</w:t>
      </w:r>
    </w:p>
    <w:p>
      <w:pPr>
        <w:spacing w:after="0" w:line="172" w:lineRule="exact"/>
        <w:rPr>
          <w:sz w:val="20"/>
          <w:szCs w:val="20"/>
          <w:color w:val="auto"/>
        </w:rPr>
      </w:pPr>
    </w:p>
    <w:p>
      <w:pPr>
        <w:jc w:val="both"/>
        <w:ind w:firstLine="1240"/>
        <w:spacing w:after="0" w:line="217" w:lineRule="auto"/>
        <w:rPr>
          <w:sz w:val="20"/>
          <w:szCs w:val="20"/>
          <w:color w:val="auto"/>
        </w:rPr>
      </w:pPr>
      <w:r>
        <w:rPr>
          <w:rFonts w:ascii="Times New Roman" w:cs="Times New Roman" w:eastAsia="Times New Roman" w:hAnsi="Times New Roman"/>
          <w:sz w:val="21"/>
          <w:szCs w:val="21"/>
          <w:color w:val="auto"/>
        </w:rPr>
        <w:t>1.27 “</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means (i) the termination of an Eligible Employee’s employment by the Company or an Affiliate for any reason other than for Cause, death, or Disability, (ii) the resignation of a Tier II Employee for Good Reason during the Change in Control Protection Period, or (iii) the resignation of a Tier I Employee for Good Reason. The transfer of an Eligible Employee’s employment following a Change of Control from the entity resulting from the Change in Control to an Affiliate thereof shall not, in and of itself, constitute a Qualifying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42" w:right="339" w:bottom="1440" w:gutter="0" w:footer="0" w:header="0"/>
        </w:sectPr>
      </w:pPr>
    </w:p>
    <w:bookmarkStart w:id="117" w:name="page118"/>
    <w:bookmarkEnd w:id="117"/>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1.28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means the date on which an Eligible Employee incurs a Qualifying Termination, or the date that an Eligible Employee’s employment with the Company or an Affiliate terminates due to death or Disability.</w:t>
      </w:r>
    </w:p>
    <w:p>
      <w:pPr>
        <w:spacing w:after="0" w:line="145"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1.29 “</w:t>
      </w:r>
      <w:r>
        <w:rPr>
          <w:rFonts w:ascii="Times New Roman" w:cs="Times New Roman" w:eastAsia="Times New Roman" w:hAnsi="Times New Roman"/>
          <w:sz w:val="21"/>
          <w:szCs w:val="21"/>
          <w:u w:val="single" w:color="auto"/>
          <w:color w:val="auto"/>
        </w:rPr>
        <w:t>Tier I Employee</w:t>
      </w:r>
      <w:r>
        <w:rPr>
          <w:rFonts w:ascii="Times New Roman" w:cs="Times New Roman" w:eastAsia="Times New Roman" w:hAnsi="Times New Roman"/>
          <w:sz w:val="21"/>
          <w:szCs w:val="21"/>
          <w:color w:val="auto"/>
        </w:rPr>
        <w:t>” means any Eligible Employee who prior to the Termination Date or Change in Control was identified by the Company as the Chief Executive Officer (“</w:t>
      </w:r>
      <w:r>
        <w:rPr>
          <w:rFonts w:ascii="Times New Roman" w:cs="Times New Roman" w:eastAsia="Times New Roman" w:hAnsi="Times New Roman"/>
          <w:sz w:val="21"/>
          <w:szCs w:val="21"/>
          <w:u w:val="single" w:color="auto"/>
          <w:color w:val="auto"/>
        </w:rPr>
        <w:t>CEO</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1.30 “</w:t>
      </w:r>
      <w:r>
        <w:rPr>
          <w:rFonts w:ascii="Times New Roman" w:cs="Times New Roman" w:eastAsia="Times New Roman" w:hAnsi="Times New Roman"/>
          <w:sz w:val="21"/>
          <w:szCs w:val="21"/>
          <w:u w:val="single" w:color="auto"/>
          <w:color w:val="auto"/>
        </w:rPr>
        <w:t>Tier II Employee</w:t>
      </w:r>
      <w:r>
        <w:rPr>
          <w:rFonts w:ascii="Times New Roman" w:cs="Times New Roman" w:eastAsia="Times New Roman" w:hAnsi="Times New Roman"/>
          <w:sz w:val="21"/>
          <w:szCs w:val="21"/>
          <w:color w:val="auto"/>
        </w:rPr>
        <w:t>” means any Eligible Employee who prior to the Termination Date or Change in Control was designated in writing by the Plan Administrator as a Tier II Employee.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  GENERAL TERMS</w:t>
      </w:r>
    </w:p>
    <w:p>
      <w:pPr>
        <w:spacing w:after="0" w:line="172" w:lineRule="exact"/>
        <w:rPr>
          <w:sz w:val="20"/>
          <w:szCs w:val="20"/>
          <w:color w:val="auto"/>
        </w:rPr>
      </w:pPr>
    </w:p>
    <w:p>
      <w:pPr>
        <w:jc w:val="both"/>
        <w:ind w:firstLine="1240"/>
        <w:spacing w:after="0" w:line="214"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u w:val="single" w:color="auto"/>
          <w:color w:val="auto"/>
        </w:rPr>
        <w:t>Non-Duplication of Benefits</w:t>
      </w:r>
      <w:r>
        <w:rPr>
          <w:rFonts w:ascii="Times New Roman" w:cs="Times New Roman" w:eastAsia="Times New Roman" w:hAnsi="Times New Roman"/>
          <w:sz w:val="21"/>
          <w:szCs w:val="21"/>
          <w:color w:val="auto"/>
        </w:rPr>
        <w:t>. The benefits provided under the Plan are intended to satisfy, to the greatest extent possible, and not to provide benefits duplicative of, any and all statutory, contractual and collective agreement obligations of the Company in respect of the form of benefits provided under the Plan that may arise out of a Qualifying Termination, death, or Disability, and the Plan Administrator will so construe and implement the terms of the Plan. If the Company or any Affiliate is obligated by law or by contract to provide severance pay, death or disability benefits, or change in control benefits to an Eligible Employee (or the Estate), then the Eligible Employee may be required to waive, upon the Company’s request, any amounts payable pursuant to such legal or contractual obligation as a condition of receiving benefits under the Plan.</w:t>
      </w:r>
    </w:p>
    <w:p>
      <w:pPr>
        <w:spacing w:after="0" w:line="147" w:lineRule="exact"/>
        <w:rPr>
          <w:sz w:val="20"/>
          <w:szCs w:val="20"/>
          <w:color w:val="auto"/>
        </w:rPr>
      </w:pPr>
    </w:p>
    <w:p>
      <w:pPr>
        <w:jc w:val="both"/>
        <w:ind w:firstLine="1240"/>
        <w:spacing w:after="0" w:line="213"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No Eligible Employee who incurs a Qualifying Termination or who becomes eligible for Disability or death benefits under this Plan shall be eligible to receive any payments or other benefits under the Plan unless he or she (or, in the case of death of an Eligible Employee, the Eligible Employee’s Designated Beneficiary) first executes a release in favor of the Company in the form of the Company’s standard release agreement and the release becomes effective and irrevocable within sixty (60) days following the Eligible Employee’s Termination Date (such date the release becomes effective and irrevocable, the “Release Effective Date”); provided, however, that if the 60th day following the Termination Date falls in the calendar year following the year in which the Termination Date occurs, any payments or other benefits under the Plan shall be paid no earlier than January 1 of the calendar year following the year in which the Termination Date occurs.</w:t>
      </w:r>
    </w:p>
    <w:p>
      <w:pPr>
        <w:spacing w:after="0" w:line="146" w:lineRule="exact"/>
        <w:rPr>
          <w:sz w:val="20"/>
          <w:szCs w:val="20"/>
          <w:color w:val="auto"/>
        </w:rPr>
      </w:pPr>
    </w:p>
    <w:p>
      <w:pPr>
        <w:jc w:val="both"/>
        <w:ind w:firstLine="1240"/>
        <w:spacing w:after="0" w:line="210"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It is intended that payments and benefits under this Plan will not subject Eligible Employees to taxation under Section 409A of the Code and the regulations thereunder (“Section 409A”) and, accordingly, this Plan shall be interpreted and administered to be either exempt from or in compliance therewith. Specifically, any taxable benefits or payments provided under this Plan are intended to be separate and distinct payments that qualify for the “short-term deferral” exception to Section 409A to the maximum extent possible, and to the extent they do not so qualify, are intended to qualify for the separation pay exceptions to Section 409A, to the maximum extent possible. To the extent that none of these exceptions (or any other available exception) applies, then notwithstanding anything contained herein to the contrary, and to the extent required to comply with Section 409A, if an Eligible Employee is a “specified employee,” as determined under the Company’s policy for identifying specified employees on the Eligible Employee’s Termination Date, then all amounts due under the Plan that constitute a “deferral of compensation” within the meaning of Section 409A of the Code, that are provided as a result of a separation from service within the meaning of Section 409A, and that would otherwise be paid or provided during the first six months following such separation of service, shall be accumulated through and paid or provided on the first business day that is more than six months after such separation of service (or, if the Eligible Employee 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42" w:right="339" w:bottom="1440" w:gutter="0" w:footer="0" w:header="0"/>
        </w:sectPr>
      </w:pPr>
    </w:p>
    <w:bookmarkStart w:id="118" w:name="page119"/>
    <w:bookmarkEnd w:id="118"/>
    <w:p>
      <w:pPr>
        <w:jc w:val="both"/>
        <w:spacing w:after="0" w:line="213" w:lineRule="auto"/>
        <w:rPr>
          <w:sz w:val="20"/>
          <w:szCs w:val="20"/>
          <w:color w:val="auto"/>
        </w:rPr>
      </w:pPr>
      <w:r>
        <w:rPr>
          <w:rFonts w:ascii="Times New Roman" w:cs="Times New Roman" w:eastAsia="Times New Roman" w:hAnsi="Times New Roman"/>
          <w:sz w:val="21"/>
          <w:szCs w:val="21"/>
          <w:color w:val="auto"/>
        </w:rPr>
        <w:t>during such six-month period, within 90 days after the Eligible Employee’s death). Notwithstanding anything contained herein to the contrary, to the extent required to comply with Section 409A, an Eligible Employee shall not be considered to have terminated employment with the Company for purposes of any payments under this Plan which are subject to Section 409A until the Eligible Employee would be considered to have incurred a “separation from service” within the meaning of Section 409A. In no event may an Eligible Employee, directly or indirectly, designate the calendar year of any payment to be made under this Plan that is considered nonqualified deferred compensation. The Company makes no representation that any or all of the payments described in this Plan shall be exempt from or comply with Section 409A and makes no undertaking to preclude Section 409A from applying to any such payment. The Eligible Employee shall be solely responsible for the payment of any taxes and penalties incurred under Section 409A.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3.  </w:t>
      </w:r>
      <w:r>
        <w:rPr>
          <w:rFonts w:ascii="Times New Roman" w:cs="Times New Roman" w:eastAsia="Times New Roman" w:hAnsi="Times New Roman"/>
          <w:sz w:val="21"/>
          <w:szCs w:val="21"/>
          <w:u w:val="single" w:color="auto"/>
          <w:color w:val="auto"/>
        </w:rPr>
        <w:t>SEVERANCE BENEFITS</w:t>
      </w:r>
    </w:p>
    <w:p>
      <w:pPr>
        <w:spacing w:after="0" w:line="172" w:lineRule="exact"/>
        <w:rPr>
          <w:sz w:val="20"/>
          <w:szCs w:val="20"/>
          <w:color w:val="auto"/>
        </w:rPr>
      </w:pPr>
    </w:p>
    <w:p>
      <w:pPr>
        <w:jc w:val="both"/>
        <w:ind w:firstLine="1240"/>
        <w:spacing w:after="0" w:line="225"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Subject to the terms of the Plan, each Eligible Employee shall be entitled to severance payments and/or benefits pursuant to applicable provisions of Section 3 of this Plan if the Eligible Employee incurs a Qualifying Termination and complies with the applicable requirements of the Plan.</w:t>
      </w:r>
    </w:p>
    <w:p>
      <w:pPr>
        <w:spacing w:after="0" w:line="148" w:lineRule="exact"/>
        <w:rPr>
          <w:sz w:val="20"/>
          <w:szCs w:val="20"/>
          <w:color w:val="auto"/>
        </w:rPr>
      </w:pPr>
    </w:p>
    <w:p>
      <w:pPr>
        <w:jc w:val="both"/>
        <w:ind w:firstLine="1240"/>
        <w:spacing w:after="0" w:line="225"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xml:space="preserve">. Any Qualifying Termination effected by the Company following the Effective Date shall require ten (10) business days’ prior written notice;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 may, in its sole discretion, pay the Eligible Employee in lieu of all or part of such notice period.</w:t>
      </w:r>
    </w:p>
    <w:p>
      <w:pPr>
        <w:spacing w:after="0" w:line="148" w:lineRule="exact"/>
        <w:rPr>
          <w:sz w:val="20"/>
          <w:szCs w:val="20"/>
          <w:color w:val="auto"/>
        </w:rPr>
      </w:pPr>
    </w:p>
    <w:p>
      <w:pPr>
        <w:jc w:val="both"/>
        <w:ind w:firstLine="1240"/>
        <w:spacing w:after="0" w:line="213"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u w:val="single" w:color="auto"/>
          <w:color w:val="auto"/>
        </w:rPr>
        <w:t>Severance Pay</w:t>
      </w:r>
      <w:r>
        <w:rPr>
          <w:rFonts w:ascii="Times New Roman" w:cs="Times New Roman" w:eastAsia="Times New Roman" w:hAnsi="Times New Roman"/>
          <w:sz w:val="21"/>
          <w:szCs w:val="21"/>
          <w:color w:val="auto"/>
        </w:rPr>
        <w:t>. Subject to the terms of the Plan, the Company shall provide “</w:t>
      </w:r>
      <w:r>
        <w:rPr>
          <w:rFonts w:ascii="Times New Roman" w:cs="Times New Roman" w:eastAsia="Times New Roman" w:hAnsi="Times New Roman"/>
          <w:sz w:val="21"/>
          <w:szCs w:val="21"/>
          <w:u w:val="single" w:color="auto"/>
          <w:color w:val="auto"/>
        </w:rPr>
        <w:t>CIC Severance Pay</w:t>
      </w:r>
      <w:r>
        <w:rPr>
          <w:rFonts w:ascii="Times New Roman" w:cs="Times New Roman" w:eastAsia="Times New Roman" w:hAnsi="Times New Roman"/>
          <w:sz w:val="21"/>
          <w:szCs w:val="21"/>
          <w:color w:val="auto"/>
        </w:rPr>
        <w:t xml:space="preserve">” to each Eligible Employee who incurs a Qualifying Termination during the Change in Control Protection Period equal to the amount listed in such Eligible Employee’s applicable tier level in the Schedule of Change in Control Severance Benefits as attached to hereto as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CIC Benefits Schedule</w:t>
      </w:r>
      <w:r>
        <w:rPr>
          <w:rFonts w:ascii="Times New Roman" w:cs="Times New Roman" w:eastAsia="Times New Roman" w:hAnsi="Times New Roman"/>
          <w:sz w:val="21"/>
          <w:szCs w:val="21"/>
          <w:color w:val="auto"/>
        </w:rPr>
        <w:t>”) and the Company shall provide “</w:t>
      </w:r>
      <w:r>
        <w:rPr>
          <w:rFonts w:ascii="Times New Roman" w:cs="Times New Roman" w:eastAsia="Times New Roman" w:hAnsi="Times New Roman"/>
          <w:sz w:val="21"/>
          <w:szCs w:val="21"/>
          <w:u w:val="single" w:color="auto"/>
          <w:color w:val="auto"/>
        </w:rPr>
        <w:t>Non-CIC Severance Pay</w:t>
      </w:r>
      <w:r>
        <w:rPr>
          <w:rFonts w:ascii="Times New Roman" w:cs="Times New Roman" w:eastAsia="Times New Roman" w:hAnsi="Times New Roman"/>
          <w:sz w:val="21"/>
          <w:szCs w:val="21"/>
          <w:color w:val="auto"/>
        </w:rPr>
        <w:t xml:space="preserve">” to each Eligible Employee who incurs Qualifying Termination outside the Change in Control Protection Period equal to the amount listed in such Eligible Employee’s applicable tier level in the Schedule of Non-Change in Control Severance Benefits as attached to hereto as </w:t>
      </w:r>
      <w:r>
        <w:rPr>
          <w:rFonts w:ascii="Times New Roman" w:cs="Times New Roman" w:eastAsia="Times New Roman" w:hAnsi="Times New Roman"/>
          <w:sz w:val="21"/>
          <w:szCs w:val="21"/>
          <w:u w:val="single" w:color="auto"/>
          <w:color w:val="auto"/>
        </w:rPr>
        <w:t>Schedule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Non-CIC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Benefits Schedule</w:t>
      </w:r>
      <w:r>
        <w:rPr>
          <w:rFonts w:ascii="Times New Roman" w:cs="Times New Roman" w:eastAsia="Times New Roman" w:hAnsi="Times New Roman"/>
          <w:sz w:val="21"/>
          <w:szCs w:val="21"/>
          <w:color w:val="auto"/>
        </w:rPr>
        <w:t>”). CIC Severance Pay or Non-CIC Severance Pay, as applicable, shall be paid in a lump sum on the first regular payroll date of the Company that occurs after the Release Effective Date (a defined below).</w:t>
      </w:r>
    </w:p>
    <w:p>
      <w:pPr>
        <w:spacing w:after="0" w:line="146" w:lineRule="exact"/>
        <w:rPr>
          <w:sz w:val="20"/>
          <w:szCs w:val="20"/>
          <w:color w:val="auto"/>
        </w:rPr>
      </w:pPr>
    </w:p>
    <w:p>
      <w:pPr>
        <w:jc w:val="both"/>
        <w:ind w:firstLine="1240"/>
        <w:spacing w:after="0" w:line="210"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u w:val="single" w:color="auto"/>
          <w:color w:val="auto"/>
        </w:rPr>
        <w:t>Benefits Continuation</w:t>
      </w:r>
      <w:r>
        <w:rPr>
          <w:rFonts w:ascii="Times New Roman" w:cs="Times New Roman" w:eastAsia="Times New Roman" w:hAnsi="Times New Roman"/>
          <w:sz w:val="21"/>
          <w:szCs w:val="21"/>
          <w:color w:val="auto"/>
        </w:rPr>
        <w:t>. If the Eligible Employee is eligible for and timely elects to continue receiving group medical and/or dental insurance under the continuation coverage rules of the Consolidated Omnibus Budget Reconciliation Act of 1986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upon the Eligible Employee’s submission to the Company of evidence of the Eligible Employee’s and his or her dependents’, if applicable, enrollment in COBRA, the Company will pay to the Eligible Employee, in accordance with the Company’s regular payroll practices, an amount equal, net of applicable taxes, to the monthly employer contribution to the applicable health care benefits, as in effect on the Eligible Employee’s Termination Date, for a number of months equal to the number of months in the Eligible Employee’s COBRA continuation coverage period as set forth in the applicable tier level in the CIC Benefits Schedule for each Eligible Employee who incurs a Qualifying Termination during the Change in Control Protection Period and the Non-CIC Benefits Schedule for each Eligible Employee who incurs a Qualifying Termination outside the Change in Control Protection Period, as applicable, so long as the Eligible Employee has not become actually covered by the medical plan of a subsequent employer during any such month. This period of continued benefits shall run concurrently with (and shall count against) the Company’s obligation to provide continuation coverage pursuant to COBRA.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42" w:right="339" w:bottom="1440" w:gutter="0" w:footer="0" w:header="0"/>
        </w:sectPr>
      </w:pPr>
    </w:p>
    <w:bookmarkStart w:id="119" w:name="page120"/>
    <w:bookmarkEnd w:id="119"/>
    <w:p>
      <w:pPr>
        <w:jc w:val="both"/>
        <w:ind w:firstLine="1240"/>
        <w:spacing w:after="0" w:line="213" w:lineRule="auto"/>
        <w:rPr>
          <w:sz w:val="20"/>
          <w:szCs w:val="20"/>
          <w:color w:val="auto"/>
        </w:rPr>
      </w:pPr>
      <w:r>
        <w:rPr>
          <w:rFonts w:ascii="Times New Roman" w:cs="Times New Roman" w:eastAsia="Times New Roman" w:hAnsi="Times New Roman"/>
          <w:sz w:val="21"/>
          <w:szCs w:val="21"/>
          <w:color w:val="auto"/>
        </w:rPr>
        <w:t xml:space="preserve">3.5 </w:t>
      </w:r>
      <w:r>
        <w:rPr>
          <w:rFonts w:ascii="Times New Roman" w:cs="Times New Roman" w:eastAsia="Times New Roman" w:hAnsi="Times New Roman"/>
          <w:sz w:val="21"/>
          <w:szCs w:val="21"/>
          <w:u w:val="single" w:color="auto"/>
          <w:color w:val="auto"/>
        </w:rPr>
        <w:t>Vesting Acceleration</w:t>
      </w:r>
      <w:r>
        <w:rPr>
          <w:rFonts w:ascii="Times New Roman" w:cs="Times New Roman" w:eastAsia="Times New Roman" w:hAnsi="Times New Roman"/>
          <w:sz w:val="21"/>
          <w:szCs w:val="21"/>
          <w:color w:val="auto"/>
        </w:rPr>
        <w:t>. In the event of a Qualifying Termination during the Change in Control Protection Period, the Eligible Employee shall receive accelerated vesting with respect to the percentage of shares as set forth in the Eligible Employee’s applicable tier level in the CIC Benefits Schedule (“</w:t>
      </w:r>
      <w:r>
        <w:rPr>
          <w:rFonts w:ascii="Times New Roman" w:cs="Times New Roman" w:eastAsia="Times New Roman" w:hAnsi="Times New Roman"/>
          <w:sz w:val="21"/>
          <w:szCs w:val="21"/>
          <w:u w:val="single" w:color="auto"/>
          <w:color w:val="auto"/>
        </w:rPr>
        <w:t>Vesting Acceleration</w:t>
      </w:r>
      <w:r>
        <w:rPr>
          <w:rFonts w:ascii="Times New Roman" w:cs="Times New Roman" w:eastAsia="Times New Roman" w:hAnsi="Times New Roman"/>
          <w:sz w:val="21"/>
          <w:szCs w:val="21"/>
          <w:color w:val="auto"/>
        </w:rPr>
        <w:t>”) subject to each of such Eligible Employee’s then-outstanding and unvested equity awards. For then-outstanding and unvested equity awards that are earned and/or vest in whole or in part based on the attainment of performance conditions or targets over a specified performance period that extends beyond the effective date of a Qualifying Termination, vesting acceleration of those awards shall be determined assuming a target level of performance has been achieved for the entire performance period, and actual performance during the portion of the performance period preceding the effective date of the Qualifying Termination shall be disregarded.</w:t>
      </w:r>
    </w:p>
    <w:p>
      <w:pPr>
        <w:spacing w:after="0" w:line="146" w:lineRule="exact"/>
        <w:rPr>
          <w:sz w:val="20"/>
          <w:szCs w:val="20"/>
          <w:color w:val="auto"/>
        </w:rPr>
      </w:pPr>
    </w:p>
    <w:p>
      <w:pPr>
        <w:jc w:val="both"/>
        <w:ind w:firstLine="1240"/>
        <w:spacing w:after="0" w:line="209" w:lineRule="auto"/>
        <w:rPr>
          <w:sz w:val="20"/>
          <w:szCs w:val="20"/>
          <w:color w:val="auto"/>
        </w:rPr>
      </w:pPr>
      <w:r>
        <w:rPr>
          <w:rFonts w:ascii="Times New Roman" w:cs="Times New Roman" w:eastAsia="Times New Roman" w:hAnsi="Times New Roman"/>
          <w:sz w:val="21"/>
          <w:szCs w:val="21"/>
          <w:color w:val="auto"/>
        </w:rPr>
        <w:t xml:space="preserve">3.6 </w:t>
      </w:r>
      <w:r>
        <w:rPr>
          <w:rFonts w:ascii="Times New Roman" w:cs="Times New Roman" w:eastAsia="Times New Roman" w:hAnsi="Times New Roman"/>
          <w:sz w:val="21"/>
          <w:szCs w:val="21"/>
          <w:u w:val="single" w:color="auto"/>
          <w:color w:val="auto"/>
        </w:rPr>
        <w:t>Impact of Section 4999 Excise Tax: Maximum After-Tax Benefit Following a Change of Control</w:t>
      </w:r>
      <w:r>
        <w:rPr>
          <w:rFonts w:ascii="Times New Roman" w:cs="Times New Roman" w:eastAsia="Times New Roman" w:hAnsi="Times New Roman"/>
          <w:sz w:val="21"/>
          <w:szCs w:val="21"/>
          <w:color w:val="auto"/>
        </w:rPr>
        <w:t>. Except to the extent that a more favorable treatment is provided to an Eligible Employee by the Company in writing, in the event that part or all of the consideration, compensation or benefits to be paid to an Eligible Employee under this Plan or any other plan, arrangement or agreement applicable to such Eligible Employee, constitutes “excess parachute payments” under Section 280G(b) of the Code subject to an excise tax under Section 4999 of the Code (collectively, the “</w:t>
      </w:r>
      <w:r>
        <w:rPr>
          <w:rFonts w:ascii="Times New Roman" w:cs="Times New Roman" w:eastAsia="Times New Roman" w:hAnsi="Times New Roman"/>
          <w:sz w:val="21"/>
          <w:szCs w:val="21"/>
          <w:u w:val="single" w:color="auto"/>
          <w:color w:val="auto"/>
        </w:rPr>
        <w:t>Parachute Amount</w:t>
      </w:r>
      <w:r>
        <w:rPr>
          <w:rFonts w:ascii="Times New Roman" w:cs="Times New Roman" w:eastAsia="Times New Roman" w:hAnsi="Times New Roman"/>
          <w:sz w:val="21"/>
          <w:szCs w:val="21"/>
          <w:color w:val="auto"/>
        </w:rPr>
        <w:t>”), the amount of excess parachute payments which would otherwise be payable to such Eligible Employee or for such Eligible Employee’s benefit shall be reduced to the extent necessary so that no amount of the Parachute Amount is subject to an excise tax under Section 4999 (the “</w:t>
      </w:r>
      <w:r>
        <w:rPr>
          <w:rFonts w:ascii="Times New Roman" w:cs="Times New Roman" w:eastAsia="Times New Roman" w:hAnsi="Times New Roman"/>
          <w:sz w:val="21"/>
          <w:szCs w:val="21"/>
          <w:u w:val="single" w:color="auto"/>
          <w:color w:val="auto"/>
        </w:rPr>
        <w:t>Reduced Amount</w:t>
      </w:r>
      <w:r>
        <w:rPr>
          <w:rFonts w:ascii="Times New Roman" w:cs="Times New Roman" w:eastAsia="Times New Roman" w:hAnsi="Times New Roman"/>
          <w:sz w:val="21"/>
          <w:szCs w:val="21"/>
          <w:color w:val="auto"/>
        </w:rPr>
        <w:t>”); provided that such amounts shall not be so reduced if, without such reduction, such Eligible Employee would be entitled to receive and retain, on a net after-tax basis (including, without limitation, after any excise taxes payable under Section 4999), an amount of the Parachute Amount which is greater than the amount, on a net after-tax basis, that such Eligible Employee would be entitled to retain upon receipt of the Reduced Amount. All determinations with respect to the Parachute Amount shall be made by a nationally recognized certified public accounting firm or other firm that is retained and paid by the Company for such purpose prior to the Change in Control, which firm shall not, without such Eligible Employee’s consent, be changed following the Change in Control. Such determinations shall be binding upon the Company and shall be made promptly following the Change in Control and as appropriate thereafter, in order to permit payment in accordance with the provisions of this Plan.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u w:val="single" w:color="auto"/>
          <w:color w:val="auto"/>
        </w:rPr>
        <w:t>DEATH BENEFITS</w:t>
      </w:r>
    </w:p>
    <w:p>
      <w:pPr>
        <w:spacing w:after="0" w:line="172" w:lineRule="exact"/>
        <w:rPr>
          <w:sz w:val="20"/>
          <w:szCs w:val="20"/>
          <w:color w:val="auto"/>
        </w:rPr>
      </w:pPr>
    </w:p>
    <w:p>
      <w:pPr>
        <w:jc w:val="both"/>
        <w:ind w:firstLine="1240"/>
        <w:spacing w:after="0" w:line="220"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Subject to the terms of the Plan, the Designated Beneficiary of an Eligible Employee shall be entitled to certain payments and/or benefits pursuant to the applicable provisions of Section 4 of this Plan if the Eligible Employee’s employment with the Company or an Affiliate terminates due to the death of the Eligible Employee and the Eligible Employee’s Designated Beneficiary complies with the applicable requirements of the Plan.</w:t>
      </w:r>
    </w:p>
    <w:p>
      <w:pPr>
        <w:spacing w:after="0" w:line="148" w:lineRule="exact"/>
        <w:rPr>
          <w:sz w:val="20"/>
          <w:szCs w:val="20"/>
          <w:color w:val="auto"/>
        </w:rPr>
      </w:pPr>
    </w:p>
    <w:p>
      <w:pPr>
        <w:jc w:val="both"/>
        <w:ind w:firstLine="1240"/>
        <w:spacing w:after="0" w:line="224"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Vesting Acceleration</w:t>
      </w:r>
      <w:r>
        <w:rPr>
          <w:rFonts w:ascii="Times New Roman" w:cs="Times New Roman" w:eastAsia="Times New Roman" w:hAnsi="Times New Roman"/>
          <w:sz w:val="20"/>
          <w:szCs w:val="20"/>
          <w:color w:val="auto"/>
        </w:rPr>
        <w:t>. In the event an Eligible Employee’s employment with the Company or an Affiliate terminates due to the death of the Eligible Employee, the Designated Beneficiary shall be eligible to receive twelve (12) months of accelerated vesting from the Termination Date with respect to each of such Eligible Employee’s then-outstanding and unvested equity awards. For then-outstanding and unvested equity awards that are earned and/or vest in whole or in part based on the attainment of performance conditions or targets over a specified performance period that extends beyond the applicable Termination Date, vesting acceleration of those awards shall be determined assuming a target level of performance has been achieved for the entire performance period, and actual performance during the portion of the performance period preceding such Termination Date shall be disregarded.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42" w:right="339" w:bottom="1440" w:gutter="0" w:footer="0" w:header="0"/>
        </w:sectPr>
      </w:pPr>
    </w:p>
    <w:bookmarkStart w:id="120" w:name="page121"/>
    <w:bookmarkEnd w:id="120"/>
    <w:p>
      <w:pPr>
        <w:jc w:val="both"/>
        <w:ind w:firstLine="1240"/>
        <w:spacing w:after="0" w:line="213"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u w:val="single" w:color="auto"/>
          <w:color w:val="auto"/>
        </w:rPr>
        <w:t>Benefits Continuation</w:t>
      </w:r>
      <w:r>
        <w:rPr>
          <w:rFonts w:ascii="Times New Roman" w:cs="Times New Roman" w:eastAsia="Times New Roman" w:hAnsi="Times New Roman"/>
          <w:sz w:val="21"/>
          <w:szCs w:val="21"/>
          <w:color w:val="auto"/>
        </w:rPr>
        <w:t>. In the event an Eligible Employee’s employment with the Company or an Affiliate terminates due to the death of the Eligible Employee, the Company will pay to the Designated Beneficiary in accordance with the Company’s regular payroll practices, an amount equal, net of taxes, to the monthly employer contribution to the applicable health care benefits, as in effect on the Eligible Employee’s Termination Date, for twelve (12) months for the Eligible Employee’s dependents to continue receiving group medical, dental, and/or vision insurance, and/or employee assistance program (EAP) benefits under the continuation coverage rules of the Consolidated Omnibus Budget Reconciliation Act of 1986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This period of continued benefits shall run concurrently with (and shall count against) the Company’s obligation, if any, to provide continuation coverage pursuant to COBRA.</w:t>
      </w:r>
    </w:p>
    <w:p>
      <w:pPr>
        <w:spacing w:after="0" w:line="146" w:lineRule="exact"/>
        <w:rPr>
          <w:sz w:val="20"/>
          <w:szCs w:val="20"/>
          <w:color w:val="auto"/>
        </w:rPr>
      </w:pPr>
    </w:p>
    <w:p>
      <w:pPr>
        <w:jc w:val="both"/>
        <w:ind w:firstLine="1240"/>
        <w:spacing w:after="0" w:line="225"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u w:val="single" w:color="auto"/>
          <w:color w:val="auto"/>
        </w:rPr>
        <w:t>Cash Incentive Plan</w:t>
      </w:r>
      <w:r>
        <w:rPr>
          <w:rFonts w:ascii="Times New Roman" w:cs="Times New Roman" w:eastAsia="Times New Roman" w:hAnsi="Times New Roman"/>
          <w:sz w:val="21"/>
          <w:szCs w:val="21"/>
          <w:color w:val="auto"/>
        </w:rPr>
        <w:t>. In the event an Eligible Employee’s employment with the Company or an Affiliate terminates due to the death of the Eligible Employee, payments, if any, that may be payable under the Company’s Cash Incentive Plan shall be determined in accordance with the terms of that plan.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DISABILITY BENEFITS</w:t>
      </w:r>
    </w:p>
    <w:p>
      <w:pPr>
        <w:spacing w:after="0" w:line="172" w:lineRule="exact"/>
        <w:rPr>
          <w:sz w:val="20"/>
          <w:szCs w:val="20"/>
          <w:color w:val="auto"/>
        </w:rPr>
      </w:pPr>
    </w:p>
    <w:p>
      <w:pPr>
        <w:jc w:val="both"/>
        <w:ind w:firstLine="1240"/>
        <w:spacing w:after="0" w:line="225"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Subject to the terms of the Plan, each Eligible Employee shall be entitled to certain payments and/or benefits pursuant to applicable provisions of Section 5 of this Plan if the Eligible Employee’s employment with the Company or an Affiliate terminates due to Disability and the Eligible Employee complies with the applicable requirements of the Plan.</w:t>
      </w:r>
    </w:p>
    <w:p>
      <w:pPr>
        <w:spacing w:after="0" w:line="148" w:lineRule="exact"/>
        <w:rPr>
          <w:sz w:val="20"/>
          <w:szCs w:val="20"/>
          <w:color w:val="auto"/>
        </w:rPr>
      </w:pPr>
    </w:p>
    <w:p>
      <w:pPr>
        <w:jc w:val="both"/>
        <w:ind w:firstLine="1240"/>
        <w:spacing w:after="0" w:line="214"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Vesting Acceleration</w:t>
      </w:r>
      <w:r>
        <w:rPr>
          <w:rFonts w:ascii="Times New Roman" w:cs="Times New Roman" w:eastAsia="Times New Roman" w:hAnsi="Times New Roman"/>
          <w:sz w:val="21"/>
          <w:szCs w:val="21"/>
          <w:color w:val="auto"/>
        </w:rPr>
        <w:t>. In the event an Eligible Employee’s employment with the Company or an Affiliate terminates due to Disability, the Eligible Employee shall receive twelve (12) months of accelerated vesting from the Termination Date with respect to each of such Eligible Employee’s then-outstanding and unvested equity awards. For then-outstanding and unvested equity awards that are earned and/or vest in whole or in part based on the attainment of performance conditions or targets over a specified performance period that extends beyond the applicable Termination Date, vesting acceleration of those awards shall be determined assuming a target level of performance has been achieved for the entire performance period, and actual performance during the portion of the performance period preceding the such Termination Date shall be disregarded.</w:t>
      </w:r>
    </w:p>
    <w:p>
      <w:pPr>
        <w:spacing w:after="0" w:line="147" w:lineRule="exact"/>
        <w:rPr>
          <w:sz w:val="20"/>
          <w:szCs w:val="20"/>
          <w:color w:val="auto"/>
        </w:rPr>
      </w:pPr>
    </w:p>
    <w:p>
      <w:pPr>
        <w:jc w:val="both"/>
        <w:ind w:firstLine="1240"/>
        <w:spacing w:after="0" w:line="213"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Benefits Continuation</w:t>
      </w:r>
      <w:r>
        <w:rPr>
          <w:rFonts w:ascii="Times New Roman" w:cs="Times New Roman" w:eastAsia="Times New Roman" w:hAnsi="Times New Roman"/>
          <w:sz w:val="21"/>
          <w:szCs w:val="21"/>
          <w:color w:val="auto"/>
        </w:rPr>
        <w:t>. In the event an Eligible Employee‘s employment with the Company or an Affiliate terminates due to Disability, the Company will pay to the Eligible Employee in accordance with the Company’s regular payroll practices, an amount equal, net of taxes, to the monthly employer contribution to the applicable health care benefits, as in effect on the Eligible Employee’s Termination Date, for twelve (12) months for the Eligible Employee and the Eligible Employee’s dependents to continue receiving group medical, dental, and/or vision insurance, and/or employee assistance program (EAP) benefits under the continuation coverage rules of the Consolidated Omnibus Budget Reconciliation Act of 1986 (“</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This period of continued benefits shall run concurrently with (and shall count against) the Company’s obligation, if any, to provide continuation coverage pursuant to COBRA.</w:t>
      </w:r>
    </w:p>
    <w:p>
      <w:pPr>
        <w:spacing w:after="0" w:line="146" w:lineRule="exact"/>
        <w:rPr>
          <w:sz w:val="20"/>
          <w:szCs w:val="20"/>
          <w:color w:val="auto"/>
        </w:rPr>
      </w:pPr>
    </w:p>
    <w:p>
      <w:pPr>
        <w:jc w:val="both"/>
        <w:ind w:firstLine="1240"/>
        <w:spacing w:after="0" w:line="225"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Cash Incentive Plan</w:t>
      </w:r>
      <w:r>
        <w:rPr>
          <w:rFonts w:ascii="Times New Roman" w:cs="Times New Roman" w:eastAsia="Times New Roman" w:hAnsi="Times New Roman"/>
          <w:sz w:val="21"/>
          <w:szCs w:val="21"/>
          <w:color w:val="auto"/>
        </w:rPr>
        <w:t>. In the event an Eligible Employee’s employment with the Company or an Affiliate terminates due to Disability, payments, if any, that may be payable under the Company’s Cash Incentive Plan shall be determined in accordance with the terms of that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42"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u w:val="single" w:color="auto"/>
          <w:color w:val="auto"/>
        </w:rPr>
        <w:t>PLAN ADMINISTRATION</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1240"/>
        <w:spacing w:after="0" w:line="225" w:lineRule="auto"/>
        <w:rPr>
          <w:sz w:val="20"/>
          <w:szCs w:val="20"/>
          <w:color w:val="auto"/>
        </w:rPr>
      </w:pPr>
      <w:r>
        <w:rPr>
          <w:rFonts w:ascii="Times New Roman" w:cs="Times New Roman" w:eastAsia="Times New Roman" w:hAnsi="Times New Roman"/>
          <w:sz w:val="21"/>
          <w:szCs w:val="21"/>
          <w:color w:val="auto"/>
        </w:rPr>
        <w:t>6.1 The Plan Administrator shall administer the Plan and may interpret the Plan, prescribe, amend and rescind rules and regulations under the Plan and make all other determinations necessary or advisable for the administration of the Plan, subject to all of the provisions of the Plan.</w:t>
      </w:r>
    </w:p>
    <w:p>
      <w:pPr>
        <w:spacing w:after="0" w:line="148"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6.2 The Plan Administrator may delegate any of its duties hereunder to such person or persons from time to time as it may designate.</w:t>
      </w:r>
    </w:p>
    <w:p>
      <w:pPr>
        <w:spacing w:after="0" w:line="145" w:lineRule="exact"/>
        <w:rPr>
          <w:sz w:val="20"/>
          <w:szCs w:val="20"/>
          <w:color w:val="auto"/>
        </w:rPr>
      </w:pPr>
    </w:p>
    <w:p>
      <w:pPr>
        <w:jc w:val="both"/>
        <w:ind w:firstLine="1240"/>
        <w:spacing w:after="0" w:line="228" w:lineRule="auto"/>
        <w:rPr>
          <w:sz w:val="20"/>
          <w:szCs w:val="20"/>
          <w:color w:val="auto"/>
        </w:rPr>
      </w:pPr>
      <w:r>
        <w:rPr>
          <w:rFonts w:ascii="Times New Roman" w:cs="Times New Roman" w:eastAsia="Times New Roman" w:hAnsi="Times New Roman"/>
          <w:sz w:val="20"/>
          <w:szCs w:val="20"/>
          <w:color w:val="auto"/>
        </w:rPr>
        <w:t>6.3 The Plan Administrator is empowered, on behalf of the Plan, to engage accountants, legal counsel and such other personnel as it deems necessary or advisable to assist it in the performance of its duties under the Plan. The functions of any such persons engaged by the Plan Administrator shall be limited to the specified services and duties for which they are engaged, and such persons shall have no other duties, obligations or responsibilities under the Plan. Such persons shall exercise no discretionary authority or discretionary control respecting the management of the Plan. All reasonable expenses thereof shall be borne by the Company.</w:t>
      </w:r>
    </w:p>
    <w:p>
      <w:pPr>
        <w:spacing w:after="0" w:line="148" w:lineRule="exact"/>
        <w:rPr>
          <w:sz w:val="20"/>
          <w:szCs w:val="20"/>
          <w:color w:val="auto"/>
        </w:rPr>
      </w:pPr>
    </w:p>
    <w:p>
      <w:pPr>
        <w:jc w:val="both"/>
        <w:ind w:firstLine="1240"/>
        <w:spacing w:after="0" w:line="225" w:lineRule="auto"/>
        <w:rPr>
          <w:sz w:val="20"/>
          <w:szCs w:val="20"/>
          <w:color w:val="auto"/>
        </w:rPr>
      </w:pPr>
      <w:r>
        <w:rPr>
          <w:rFonts w:ascii="Times New Roman" w:cs="Times New Roman" w:eastAsia="Times New Roman" w:hAnsi="Times New Roman"/>
          <w:sz w:val="21"/>
          <w:szCs w:val="21"/>
          <w:color w:val="auto"/>
        </w:rPr>
        <w:t>6.4 The Plan Administrator shall have full and final authority, subject to and consistent with the provisions of the Plan and any applicable laws or regulations, to conclusively identify and determine the Designated Beneficiary of a deceased Eligible Employee.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PLAN MODIFICATION OR TERMINATION</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1240"/>
        <w:spacing w:after="0" w:line="257" w:lineRule="auto"/>
        <w:rPr>
          <w:sz w:val="20"/>
          <w:szCs w:val="20"/>
          <w:color w:val="auto"/>
        </w:rPr>
      </w:pPr>
      <w:r>
        <w:rPr>
          <w:rFonts w:ascii="Times New Roman" w:cs="Times New Roman" w:eastAsia="Times New Roman" w:hAnsi="Times New Roman"/>
          <w:sz w:val="21"/>
          <w:szCs w:val="21"/>
          <w:color w:val="auto"/>
        </w:rPr>
        <w:t xml:space="preserve">The Plan may be terminated or amended by the Plan Administrator at any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Plan may not be terminated or amended during the Change in Control Protection Period or in respect of a Qualifying Termination that occurred prior to the amendment or termination of the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u w:val="single" w:color="auto"/>
          <w:color w:val="auto"/>
        </w:rPr>
        <w:t>GENERAL PROVISIONS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1240"/>
        <w:spacing w:after="0" w:line="226" w:lineRule="auto"/>
        <w:rPr>
          <w:sz w:val="20"/>
          <w:szCs w:val="20"/>
          <w:color w:val="auto"/>
        </w:rPr>
      </w:pPr>
      <w:r>
        <w:rPr>
          <w:rFonts w:ascii="Times New Roman" w:cs="Times New Roman" w:eastAsia="Times New Roman" w:hAnsi="Times New Roman"/>
          <w:sz w:val="20"/>
          <w:szCs w:val="20"/>
          <w:color w:val="auto"/>
        </w:rPr>
        <w:t>8.1 Except as otherwise provided herein or by law, no right or interest of any Eligible Employee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Eligible Employee under the Plan shall be liable for, or subject to, any obligation or liability of such Eligible Employee. When a payment is due under this Plan to an Eligible Employee, or to a Designated Beneficiary of an Eligible Employee, who is unable to care for his or her affairs, payment may be made directly to his or her legal guardian or personal representative.</w:t>
      </w:r>
    </w:p>
    <w:p>
      <w:pPr>
        <w:spacing w:after="0" w:line="148" w:lineRule="exact"/>
        <w:rPr>
          <w:sz w:val="20"/>
          <w:szCs w:val="20"/>
          <w:color w:val="auto"/>
        </w:rPr>
      </w:pPr>
    </w:p>
    <w:p>
      <w:pPr>
        <w:jc w:val="both"/>
        <w:ind w:firstLine="1240"/>
        <w:spacing w:after="0" w:line="220" w:lineRule="auto"/>
        <w:rPr>
          <w:sz w:val="20"/>
          <w:szCs w:val="20"/>
          <w:color w:val="auto"/>
        </w:rPr>
      </w:pPr>
      <w:r>
        <w:rPr>
          <w:rFonts w:ascii="Times New Roman" w:cs="Times New Roman" w:eastAsia="Times New Roman" w:hAnsi="Times New Roman"/>
          <w:sz w:val="21"/>
          <w:szCs w:val="21"/>
          <w:color w:val="auto"/>
        </w:rPr>
        <w:t>8.2 Neither the establishment of the Plan, nor any modification thereof, nor the creation of any fund, trust or account, nor the payment of any benefits shall be construed as giving any Eligible Employee, or any person whomsoever, the right to be retained in the service of the Company or any Affiliate thereof, and all Eligible Employees shall remain subject to discharge to the same extent as if the Plan had never been adopted.</w:t>
      </w:r>
    </w:p>
    <w:p>
      <w:pPr>
        <w:spacing w:after="0" w:line="148"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8.3 If any provision of this Plan shall be held invalid or unenforceable, such invalidity or unenforceability shall not affect any other provisions hereof, and this Plan shall be construed and enforced as if such provisions had not been included.</w:t>
      </w:r>
    </w:p>
    <w:p>
      <w:pPr>
        <w:spacing w:after="0" w:line="145"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8.4 This Plan shall inure to the benefit of and be binding upon the heirs, executors, administrators, successors and assigns of the parties, including each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42" w:right="339" w:bottom="1440" w:gutter="0" w:footer="0" w:header="0"/>
        </w:sectPr>
      </w:pPr>
    </w:p>
    <w:bookmarkStart w:id="122" w:name="page123"/>
    <w:bookmarkEnd w:id="122"/>
    <w:p>
      <w:pPr>
        <w:jc w:val="both"/>
        <w:spacing w:after="0" w:line="225" w:lineRule="auto"/>
        <w:rPr>
          <w:sz w:val="20"/>
          <w:szCs w:val="20"/>
          <w:color w:val="auto"/>
        </w:rPr>
      </w:pPr>
      <w:r>
        <w:rPr>
          <w:rFonts w:ascii="Times New Roman" w:cs="Times New Roman" w:eastAsia="Times New Roman" w:hAnsi="Times New Roman"/>
          <w:sz w:val="21"/>
          <w:szCs w:val="21"/>
          <w:color w:val="auto"/>
        </w:rPr>
        <w:t>Employee, present and future, and any successor to the Company. If an Eligible Employee dies while any amount would still be payable to such Eligible Employee hereunder (following a Qualifying Termination), all such amounts, unless otherwise provided herein, shall be paid in accordance with the terms of this Plan to the Eligible Employee’s Designated Beneficiary.</w:t>
      </w:r>
    </w:p>
    <w:p>
      <w:pPr>
        <w:spacing w:after="0" w:line="148"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8.5 The headings and captions herein are provided for reference and convenience only, shall not be considered part of the Plan, and shall not be employed in the construction of the Plan.</w:t>
      </w:r>
    </w:p>
    <w:p>
      <w:pPr>
        <w:spacing w:after="0" w:line="145" w:lineRule="exact"/>
        <w:rPr>
          <w:sz w:val="20"/>
          <w:szCs w:val="20"/>
          <w:color w:val="auto"/>
        </w:rPr>
      </w:pPr>
    </w:p>
    <w:p>
      <w:pPr>
        <w:jc w:val="both"/>
        <w:ind w:firstLine="1240"/>
        <w:spacing w:after="0" w:line="225" w:lineRule="auto"/>
        <w:rPr>
          <w:sz w:val="20"/>
          <w:szCs w:val="20"/>
          <w:color w:val="auto"/>
        </w:rPr>
      </w:pPr>
      <w:r>
        <w:rPr>
          <w:rFonts w:ascii="Times New Roman" w:cs="Times New Roman" w:eastAsia="Times New Roman" w:hAnsi="Times New Roman"/>
          <w:sz w:val="21"/>
          <w:szCs w:val="21"/>
          <w:color w:val="auto"/>
        </w:rPr>
        <w:t>8.6 The Plan shall not be required to be funded unless such funding is authorized by the Board. Regardless of whether the Plan is funded, no Eligible Employee shall have any right to, or interest in, any assets of any Company which may be applied by the Company to the payment of benefits or other rights under this Plan.</w:t>
      </w:r>
    </w:p>
    <w:p>
      <w:pPr>
        <w:spacing w:after="0" w:line="148" w:lineRule="exact"/>
        <w:rPr>
          <w:sz w:val="20"/>
          <w:szCs w:val="20"/>
          <w:color w:val="auto"/>
        </w:rPr>
      </w:pPr>
    </w:p>
    <w:p>
      <w:pPr>
        <w:jc w:val="both"/>
        <w:ind w:firstLine="1240"/>
        <w:spacing w:after="0" w:line="225" w:lineRule="auto"/>
        <w:rPr>
          <w:sz w:val="20"/>
          <w:szCs w:val="20"/>
          <w:color w:val="auto"/>
        </w:rPr>
      </w:pPr>
      <w:r>
        <w:rPr>
          <w:rFonts w:ascii="Times New Roman" w:cs="Times New Roman" w:eastAsia="Times New Roman" w:hAnsi="Times New Roman"/>
          <w:sz w:val="21"/>
          <w:szCs w:val="21"/>
          <w:color w:val="auto"/>
        </w:rPr>
        <w:t>8.7 Any notice or other communication required or permitted pursuant to the terms hereof shall have been duly given when delivered or mailed by United States Mail, first class, postage prepaid, addressed to the intended recipient at his, her or its last known address.</w:t>
      </w:r>
    </w:p>
    <w:p>
      <w:pPr>
        <w:spacing w:after="0" w:line="148"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8.8 To the extent not preempted by federal law, which shall otherwise control, this Plan shall be construed and enforced according to the laws of the State of Nevada, without regard to its choice-of-law principles.</w:t>
      </w:r>
    </w:p>
    <w:p>
      <w:pPr>
        <w:spacing w:after="0" w:line="145"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8.9 All benefits hereunder shall be reduced by applicable withholding and shall be subject to applicable tax reporting, as determined by the Plan Administrator.</w:t>
      </w:r>
    </w:p>
    <w:p>
      <w:pPr>
        <w:spacing w:after="0" w:line="145" w:lineRule="exact"/>
        <w:rPr>
          <w:sz w:val="20"/>
          <w:szCs w:val="20"/>
          <w:color w:val="auto"/>
        </w:rPr>
      </w:pPr>
    </w:p>
    <w:p>
      <w:pPr>
        <w:jc w:val="both"/>
        <w:ind w:firstLine="1240"/>
        <w:spacing w:after="0" w:line="220" w:lineRule="auto"/>
        <w:rPr>
          <w:sz w:val="20"/>
          <w:szCs w:val="20"/>
          <w:color w:val="auto"/>
        </w:rPr>
      </w:pPr>
      <w:r>
        <w:rPr>
          <w:rFonts w:ascii="Times New Roman" w:cs="Times New Roman" w:eastAsia="Times New Roman" w:hAnsi="Times New Roman"/>
          <w:sz w:val="21"/>
          <w:szCs w:val="21"/>
          <w:color w:val="auto"/>
        </w:rPr>
        <w:t>8.10 The Plan, as a “severance pay arrangement” within the meaning of Section 3(2)(B)(i) of ERISA, is intended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§2510.3-2(b).</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CLAIMS, INQUIRIES, APPEALS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Applications for Benefits and Inquiries</w:t>
      </w:r>
      <w:r>
        <w:rPr>
          <w:rFonts w:ascii="Times New Roman" w:cs="Times New Roman" w:eastAsia="Times New Roman" w:hAnsi="Times New Roman"/>
          <w:sz w:val="21"/>
          <w:szCs w:val="21"/>
          <w:color w:val="auto"/>
        </w:rPr>
        <w:t>. Any application for benefits, inquiries about the Plan or inquiries about present or future rights under the Plan must be submitted to the Plan Administrator in writing, as follows:</w:t>
      </w:r>
    </w:p>
    <w:p>
      <w:pPr>
        <w:spacing w:after="0" w:line="17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Attention:</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650 California St.</w:t>
      </w:r>
    </w:p>
    <w:p>
      <w:pPr>
        <w:spacing w:after="0" w:line="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San Francisco, CA 94108</w:t>
      </w:r>
    </w:p>
    <w:p>
      <w:pPr>
        <w:spacing w:after="0" w:line="1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E-mail:</w:t>
      </w:r>
    </w:p>
    <w:p>
      <w:pPr>
        <w:spacing w:after="0" w:line="163" w:lineRule="exact"/>
        <w:rPr>
          <w:sz w:val="20"/>
          <w:szCs w:val="20"/>
          <w:color w:val="auto"/>
        </w:rPr>
      </w:pPr>
    </w:p>
    <w:p>
      <w:pPr>
        <w:jc w:val="both"/>
        <w:ind w:firstLine="1240"/>
        <w:spacing w:after="0" w:line="217" w:lineRule="auto"/>
        <w:rPr>
          <w:sz w:val="20"/>
          <w:szCs w:val="20"/>
          <w:color w:val="auto"/>
        </w:rPr>
      </w:pPr>
      <w:r>
        <w:rPr>
          <w:rFonts w:ascii="Times New Roman" w:cs="Times New Roman" w:eastAsia="Times New Roman" w:hAnsi="Times New Roman"/>
          <w:sz w:val="21"/>
          <w:szCs w:val="21"/>
          <w:color w:val="auto"/>
        </w:rPr>
        <w:t xml:space="preserve">9.2 </w:t>
      </w:r>
      <w:r>
        <w:rPr>
          <w:rFonts w:ascii="Times New Roman" w:cs="Times New Roman" w:eastAsia="Times New Roman" w:hAnsi="Times New Roman"/>
          <w:sz w:val="21"/>
          <w:szCs w:val="21"/>
          <w:u w:val="single" w:color="auto"/>
          <w:color w:val="auto"/>
        </w:rPr>
        <w:t>Denial of Claims</w:t>
      </w:r>
      <w:r>
        <w:rPr>
          <w:rFonts w:ascii="Times New Roman" w:cs="Times New Roman" w:eastAsia="Times New Roman" w:hAnsi="Times New Roman"/>
          <w:sz w:val="21"/>
          <w:szCs w:val="21"/>
          <w:color w:val="auto"/>
        </w:rPr>
        <w:t>. In the event that any application for benefits is denied in whole or in part, the Plan Administrator must notify the applicant, in writing, of the denial of the application, and of the applicant’s right to review the denial. The written notice of denial will be set forth in a manner designed to be understood by the employee, and will include specific reasons for the denial, specific references to the Plan provision upon which the denial is based, a description of any information or material that the Plan Administrator needs to complete the review and an explanation of the Plan’s review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42" w:right="339" w:bottom="1440" w:gutter="0" w:footer="0" w:header="0"/>
        </w:sectPr>
      </w:pPr>
    </w:p>
    <w:bookmarkStart w:id="123" w:name="page124"/>
    <w:bookmarkEnd w:id="123"/>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This written notice will be given to the employee within ninety (90) days after the Plan Administrator receives the application, unless special circumstances require an extension of time, in which case, the Plan Administrator has up to an additional ninety (90) days for processing the application. If an extension of time for processing is required, written notice of the extension will be furnished to the applicant before the end of the initial ninety (90)-day period.</w:t>
      </w:r>
    </w:p>
    <w:p>
      <w:pPr>
        <w:spacing w:after="0" w:line="167" w:lineRule="exact"/>
        <w:rPr>
          <w:sz w:val="20"/>
          <w:szCs w:val="20"/>
          <w:color w:val="auto"/>
        </w:rPr>
      </w:pPr>
    </w:p>
    <w:p>
      <w:pPr>
        <w:jc w:val="both"/>
        <w:ind w:firstLine="620"/>
        <w:spacing w:after="0" w:line="252" w:lineRule="auto"/>
        <w:rPr>
          <w:sz w:val="20"/>
          <w:szCs w:val="20"/>
          <w:color w:val="auto"/>
        </w:rPr>
      </w:pPr>
      <w:r>
        <w:rPr>
          <w:rFonts w:ascii="Times New Roman" w:cs="Times New Roman" w:eastAsia="Times New Roman" w:hAnsi="Times New Roman"/>
          <w:sz w:val="21"/>
          <w:szCs w:val="21"/>
          <w:color w:val="auto"/>
        </w:rPr>
        <w:t>This notice of extension will describe the special circumstances necessitating the additional time and the date by which the Plan Administrator is to render his or her decision on the application. If written notice of denial of the application for benefits is not furnished within the specified time, the application shall be deemed to be denied. The applicant will then be permitted to appeal the denial in accordance with the Review Procedure described below.</w:t>
      </w:r>
    </w:p>
    <w:p>
      <w:pPr>
        <w:spacing w:after="0" w:line="162" w:lineRule="exact"/>
        <w:rPr>
          <w:sz w:val="20"/>
          <w:szCs w:val="20"/>
          <w:color w:val="auto"/>
        </w:rPr>
      </w:pPr>
    </w:p>
    <w:p>
      <w:pPr>
        <w:jc w:val="both"/>
        <w:ind w:firstLine="1240"/>
        <w:spacing w:after="0" w:line="228"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Request for a Review</w:t>
      </w:r>
      <w:r>
        <w:rPr>
          <w:rFonts w:ascii="Times New Roman" w:cs="Times New Roman" w:eastAsia="Times New Roman" w:hAnsi="Times New Roman"/>
          <w:sz w:val="20"/>
          <w:szCs w:val="20"/>
          <w:color w:val="auto"/>
        </w:rPr>
        <w:t>. Any person (or that person’s authorized representative) for whom an application for benefits is denied (or deemed denied), in whole or in part, may appeal the denial by submitting a request for a review to the Plan Administrator within 60 days after the application is denied (or deemed denied). The Plan Administrator will give the applicant (or his or her representative) an opportunity to review pertinent documents in preparing a request for a review and submit written comments, documents, records and other information relating to the claim. A request for a review shall be in writing and shall be addressed to:</w:t>
      </w:r>
    </w:p>
    <w:p>
      <w:pPr>
        <w:spacing w:after="0" w:line="17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Attention:</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650 California St.</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San Francisco, CA 94108</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E-mail:</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A request for review must set forth all of the grounds on which it is based, all facts in support of the request and any other matters that the applicant feels are pertinent. The Plan Administrator may require the applicant to submit additional facts, documents or other material as he or she may find necessary or appropriate in making his or her review.</w:t>
      </w:r>
    </w:p>
    <w:p>
      <w:pPr>
        <w:spacing w:after="0" w:line="136" w:lineRule="exact"/>
        <w:rPr>
          <w:sz w:val="20"/>
          <w:szCs w:val="20"/>
          <w:color w:val="auto"/>
        </w:rPr>
      </w:pPr>
    </w:p>
    <w:p>
      <w:pPr>
        <w:jc w:val="both"/>
        <w:ind w:firstLine="1240"/>
        <w:spacing w:after="0" w:line="213" w:lineRule="auto"/>
        <w:rPr>
          <w:sz w:val="20"/>
          <w:szCs w:val="20"/>
          <w:color w:val="auto"/>
        </w:rPr>
      </w:pPr>
      <w:r>
        <w:rPr>
          <w:rFonts w:ascii="Times New Roman" w:cs="Times New Roman" w:eastAsia="Times New Roman" w:hAnsi="Times New Roman"/>
          <w:sz w:val="21"/>
          <w:szCs w:val="21"/>
          <w:color w:val="auto"/>
        </w:rPr>
        <w:t xml:space="preserve">9.4 </w:t>
      </w:r>
      <w:r>
        <w:rPr>
          <w:rFonts w:ascii="Times New Roman" w:cs="Times New Roman" w:eastAsia="Times New Roman" w:hAnsi="Times New Roman"/>
          <w:sz w:val="21"/>
          <w:szCs w:val="21"/>
          <w:u w:val="single" w:color="auto"/>
          <w:color w:val="auto"/>
        </w:rPr>
        <w:t>Decision on Review</w:t>
      </w:r>
      <w:r>
        <w:rPr>
          <w:rFonts w:ascii="Times New Roman" w:cs="Times New Roman" w:eastAsia="Times New Roman" w:hAnsi="Times New Roman"/>
          <w:sz w:val="21"/>
          <w:szCs w:val="21"/>
          <w:color w:val="auto"/>
        </w:rPr>
        <w:t>. The Plan Administrator will act on each request for review within sixty (60) days after receipt of the request, unless special circumstances require an extension of time (not to exceed an additional sixty (60) days), for processing the request for a review. If an extension for review is required, written notice of the extension will be furnished to the applicant within the initial sixty (60)-day period. If written notice of denial of the application for benefits is not furnished within the specified time, the application will be deemed to be denied. The Plan Administrator will give prompt, written notice of his or her decision to the applicant. In the event that the Plan Administrator confirms the denial of the application for benefits in whole or in part, the notice will outline, in a manner calculated to be understood by the applicant, the specific Plan provisions upon which the decision is based.</w:t>
      </w:r>
    </w:p>
    <w:p>
      <w:pPr>
        <w:spacing w:after="0" w:line="146" w:lineRule="exact"/>
        <w:rPr>
          <w:sz w:val="20"/>
          <w:szCs w:val="20"/>
          <w:color w:val="auto"/>
        </w:rPr>
      </w:pPr>
    </w:p>
    <w:p>
      <w:pPr>
        <w:jc w:val="both"/>
        <w:ind w:firstLine="1240"/>
        <w:spacing w:after="0" w:line="220" w:lineRule="auto"/>
        <w:rPr>
          <w:sz w:val="20"/>
          <w:szCs w:val="20"/>
          <w:color w:val="auto"/>
        </w:rPr>
      </w:pPr>
      <w:r>
        <w:rPr>
          <w:rFonts w:ascii="Times New Roman" w:cs="Times New Roman" w:eastAsia="Times New Roman" w:hAnsi="Times New Roman"/>
          <w:sz w:val="21"/>
          <w:szCs w:val="21"/>
          <w:color w:val="auto"/>
        </w:rPr>
        <w:t xml:space="preserve">9.5 </w:t>
      </w:r>
      <w:r>
        <w:rPr>
          <w:rFonts w:ascii="Times New Roman" w:cs="Times New Roman" w:eastAsia="Times New Roman" w:hAnsi="Times New Roman"/>
          <w:sz w:val="21"/>
          <w:szCs w:val="21"/>
          <w:u w:val="single" w:color="auto"/>
          <w:color w:val="auto"/>
        </w:rPr>
        <w:t>Rules and Procedures</w:t>
      </w:r>
      <w:r>
        <w:rPr>
          <w:rFonts w:ascii="Times New Roman" w:cs="Times New Roman" w:eastAsia="Times New Roman" w:hAnsi="Times New Roman"/>
          <w:sz w:val="21"/>
          <w:szCs w:val="21"/>
          <w:color w:val="auto"/>
        </w:rPr>
        <w:t>. The Plan Administrator may establish rules and procedures, consistent with the Plan and with ERISA, as necessary and appropriate in carrying out his or her responsibilities in reviewing benefit claims. The Plan Administrator may require an applicant who wishes to submit additional information in connection with an appeal from the denial (or deemed denial) of benefits to do so at the applicant’s own expense.</w:t>
      </w:r>
    </w:p>
    <w:p>
      <w:pPr>
        <w:spacing w:after="0" w:line="148"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 xml:space="preserve">9.6 </w:t>
      </w:r>
      <w:r>
        <w:rPr>
          <w:rFonts w:ascii="Times New Roman" w:cs="Times New Roman" w:eastAsia="Times New Roman" w:hAnsi="Times New Roman"/>
          <w:sz w:val="21"/>
          <w:szCs w:val="21"/>
          <w:u w:val="single" w:color="auto"/>
          <w:color w:val="auto"/>
        </w:rPr>
        <w:t>Exhaustion of Remedies</w:t>
      </w:r>
      <w:r>
        <w:rPr>
          <w:rFonts w:ascii="Times New Roman" w:cs="Times New Roman" w:eastAsia="Times New Roman" w:hAnsi="Times New Roman"/>
          <w:sz w:val="21"/>
          <w:szCs w:val="21"/>
          <w:color w:val="auto"/>
        </w:rPr>
        <w:t>. No legal action for benefits under the Plan may be brought until the claimant (a) has submitted a written application for benefits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68" w:right="339" w:bottom="1440" w:gutter="0" w:footer="0" w:header="0"/>
        </w:sectPr>
      </w:pPr>
    </w:p>
    <w:bookmarkStart w:id="124" w:name="page125"/>
    <w:bookmarkEnd w:id="124"/>
    <w:p>
      <w:pPr>
        <w:jc w:val="both"/>
        <w:spacing w:after="0" w:line="217" w:lineRule="auto"/>
        <w:rPr>
          <w:sz w:val="20"/>
          <w:szCs w:val="20"/>
          <w:color w:val="auto"/>
        </w:rPr>
      </w:pPr>
      <w:r>
        <w:rPr>
          <w:rFonts w:ascii="Times New Roman" w:cs="Times New Roman" w:eastAsia="Times New Roman" w:hAnsi="Times New Roman"/>
          <w:sz w:val="21"/>
          <w:szCs w:val="21"/>
          <w:color w:val="auto"/>
        </w:rPr>
        <w:t>with the procedures described in Section 9.1, (b) has been notified by the Plan Administrator that the application is denied (or the application is deemed denied due to the Plan Administrator’s failure to act on it within the established time period), (c) has filed a written request for a review of the application in accordance with the appeal procedure described in Section 9.3 and (d) has been notified in writing that the Plan Administrator has denied the appeal (or the appeal is deemed to be denied due to the Plan Administrator’s failure to take any action on the claim within the time prescribed by Section 9.4).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u w:val="single" w:color="auto"/>
          <w:color w:val="auto"/>
        </w:rPr>
        <w:t>ERISA RIGHTS STATEMENT</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1240"/>
        <w:spacing w:after="0" w:line="236" w:lineRule="auto"/>
        <w:rPr>
          <w:sz w:val="20"/>
          <w:szCs w:val="20"/>
          <w:color w:val="auto"/>
        </w:rPr>
      </w:pPr>
      <w:r>
        <w:rPr>
          <w:rFonts w:ascii="Times New Roman" w:cs="Times New Roman" w:eastAsia="Times New Roman" w:hAnsi="Times New Roman"/>
          <w:sz w:val="21"/>
          <w:szCs w:val="21"/>
          <w:color w:val="auto"/>
        </w:rPr>
        <w:t>10.1 As a participant in the Plan, the Eligible Employee (referred to in this Section 10 as “you” or “your”) is entitled to certain rights and protections under ERISA. ERISA provides that all Plan participants shall be entitled to: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Receive Information About Your Plan and Benefits</w:t>
      </w:r>
    </w:p>
    <w:p>
      <w:pPr>
        <w:spacing w:after="0" w:line="211" w:lineRule="exact"/>
        <w:rPr>
          <w:sz w:val="20"/>
          <w:szCs w:val="20"/>
          <w:color w:val="auto"/>
        </w:rPr>
      </w:pPr>
    </w:p>
    <w:p>
      <w:pPr>
        <w:jc w:val="both"/>
        <w:ind w:left="940" w:hanging="316"/>
        <w:spacing w:after="0" w:line="263" w:lineRule="auto"/>
        <w:tabs>
          <w:tab w:leader="none" w:pos="936" w:val="left"/>
        </w:tabs>
        <w:numPr>
          <w:ilvl w:val="0"/>
          <w:numId w:val="62"/>
        </w:numPr>
        <w:rPr>
          <w:rFonts w:ascii="Arial" w:cs="Arial" w:eastAsia="Arial" w:hAnsi="Arial"/>
          <w:sz w:val="21"/>
          <w:szCs w:val="21"/>
          <w:color w:val="auto"/>
        </w:rPr>
      </w:pPr>
      <w:r>
        <w:rPr>
          <w:rFonts w:ascii="Times New Roman" w:cs="Times New Roman" w:eastAsia="Times New Roman" w:hAnsi="Times New Roman"/>
          <w:sz w:val="21"/>
          <w:szCs w:val="21"/>
          <w:color w:val="auto"/>
        </w:rPr>
        <w:t>Examine, without charge, at the Plan Administrator’s office and at other specified locations, all Plan documents, including the Plan and a copy of the latest annual report (Form 5500 Series) filed by the Plan with the U.S. Department of Labor and available at the Public Disclosure Room of the Employee Benefits Security Administration.</w:t>
      </w:r>
    </w:p>
    <w:p>
      <w:pPr>
        <w:spacing w:after="0" w:line="187" w:lineRule="exact"/>
        <w:rPr>
          <w:rFonts w:ascii="Arial" w:cs="Arial" w:eastAsia="Arial" w:hAnsi="Arial"/>
          <w:sz w:val="21"/>
          <w:szCs w:val="21"/>
          <w:color w:val="auto"/>
        </w:rPr>
      </w:pPr>
    </w:p>
    <w:p>
      <w:pPr>
        <w:ind w:left="940" w:hanging="316"/>
        <w:spacing w:after="0" w:line="269" w:lineRule="auto"/>
        <w:tabs>
          <w:tab w:leader="none" w:pos="936" w:val="left"/>
        </w:tabs>
        <w:numPr>
          <w:ilvl w:val="0"/>
          <w:numId w:val="62"/>
        </w:numPr>
        <w:rPr>
          <w:rFonts w:ascii="Arial" w:cs="Arial" w:eastAsia="Arial" w:hAnsi="Arial"/>
          <w:sz w:val="21"/>
          <w:szCs w:val="21"/>
          <w:color w:val="auto"/>
        </w:rPr>
      </w:pPr>
      <w:r>
        <w:rPr>
          <w:rFonts w:ascii="Times New Roman" w:cs="Times New Roman" w:eastAsia="Times New Roman" w:hAnsi="Times New Roman"/>
          <w:sz w:val="21"/>
          <w:szCs w:val="21"/>
          <w:color w:val="auto"/>
        </w:rPr>
        <w:t>Obtain, upon written request to the Plan Administrator, copies of Plan documents, including the Plan and copies of the latest annual report (Form 5500 Series). The Plan Administrator may require a reasonable charge for the copies.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Prudent Actions by Plan Fiduciaries</w:t>
      </w:r>
    </w:p>
    <w:p>
      <w:pPr>
        <w:spacing w:after="0" w:line="237"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20"/>
          <w:szCs w:val="20"/>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your employer or any other person, may fire you or otherwise discriminate against you in any way to prevent you from obtaining a welfare benefit or exercising your rights under ERISA.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Enforce Your Rights</w:t>
      </w: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21"/>
          <w:szCs w:val="21"/>
          <w:color w:val="auto"/>
        </w:rPr>
        <w:t>If your claim for a welfare benefit is denied or ignored, in whole or in part, you have a right to know why this was done, to obtain copies of documents relating to the decision without charge, and to appeal any denial, all within certain time schedules.</w:t>
      </w:r>
    </w:p>
    <w:p>
      <w:pPr>
        <w:spacing w:after="0" w:line="193"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Under ERISA, there are steps you can take to enforce the above rights. For instance, if you request a copy of the Plan documents or the latest annual report from the Plan and do not receive them within thirty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If you have a claim for benefits which is denied or ignored,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42" w:right="339" w:bottom="1440" w:gutter="0" w:footer="0" w:header="0"/>
        </w:sectPr>
      </w:pPr>
    </w:p>
    <w:bookmarkStart w:id="125" w:name="page126"/>
    <w:bookmarkEnd w:id="125"/>
    <w:p>
      <w:pPr>
        <w:jc w:val="both"/>
        <w:spacing w:after="0" w:line="251" w:lineRule="auto"/>
        <w:rPr>
          <w:sz w:val="20"/>
          <w:szCs w:val="20"/>
          <w:color w:val="auto"/>
        </w:rPr>
      </w:pPr>
      <w:r>
        <w:rPr>
          <w:rFonts w:ascii="Times New Roman" w:cs="Times New Roman" w:eastAsia="Times New Roman" w:hAnsi="Times New Roman"/>
          <w:sz w:val="21"/>
          <w:szCs w:val="21"/>
          <w:color w:val="auto"/>
        </w:rPr>
        <w:t>whole or in part, you may file suit in a state or Federal court. In addition, if you disagree with the Plan’s decision or lack thereof concerning the qualified status of a domestic relations order or a medical child support order, you may file suit in a Federal court. If it should happen that you are discriminated against for asserting your rights, you may seek assistance from the U.S. Department of Labor, or you may file suit in a Federal court. The court shall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Assistance with Your Questions</w:t>
      </w:r>
    </w:p>
    <w:p>
      <w:pPr>
        <w:spacing w:after="0" w:line="211" w:lineRule="exact"/>
        <w:rPr>
          <w:sz w:val="20"/>
          <w:szCs w:val="20"/>
          <w:color w:val="auto"/>
        </w:rPr>
      </w:pPr>
    </w:p>
    <w:p>
      <w:pPr>
        <w:jc w:val="both"/>
        <w:ind w:firstLine="620"/>
        <w:spacing w:after="0" w:line="251" w:lineRule="auto"/>
        <w:rPr>
          <w:sz w:val="20"/>
          <w:szCs w:val="20"/>
          <w:color w:val="auto"/>
        </w:rPr>
      </w:pPr>
      <w:r>
        <w:rPr>
          <w:rFonts w:ascii="Times New Roman" w:cs="Times New Roman" w:eastAsia="Times New Roman" w:hAnsi="Times New Roman"/>
          <w:sz w:val="21"/>
          <w:szCs w:val="21"/>
          <w:color w:val="auto"/>
        </w:rPr>
        <w:t>If you have any questions about your Plan, you should contact the Plan Administrator. If you have any questions about this statement or about your rights under ERISA,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152" w:lineRule="exact"/>
        <w:rPr>
          <w:sz w:val="20"/>
          <w:szCs w:val="20"/>
          <w:color w:val="auto"/>
        </w:rPr>
      </w:pPr>
    </w:p>
    <w:p>
      <w:pPr>
        <w:ind w:left="1240"/>
        <w:spacing w:after="0"/>
        <w:tabs>
          <w:tab w:leader="none" w:pos="1840" w:val="left"/>
        </w:tabs>
        <w:rPr>
          <w:sz w:val="20"/>
          <w:szCs w:val="20"/>
          <w:color w:val="auto"/>
        </w:rPr>
      </w:pPr>
      <w:r>
        <w:rPr>
          <w:rFonts w:ascii="Times New Roman" w:cs="Times New Roman" w:eastAsia="Times New Roman" w:hAnsi="Times New Roman"/>
          <w:sz w:val="21"/>
          <w:szCs w:val="21"/>
          <w:color w:val="auto"/>
        </w:rPr>
        <w:t>10.2</w:t>
      </w:r>
      <w:r>
        <w:rPr>
          <w:sz w:val="20"/>
          <w:szCs w:val="20"/>
          <w:color w:val="auto"/>
        </w:rPr>
        <w:tab/>
      </w:r>
      <w:r>
        <w:rPr>
          <w:rFonts w:ascii="Times New Roman" w:cs="Times New Roman" w:eastAsia="Times New Roman" w:hAnsi="Times New Roman"/>
          <w:sz w:val="20"/>
          <w:szCs w:val="20"/>
          <w:color w:val="auto"/>
        </w:rPr>
        <w:t>The following additional details are provided to you for your information and possible use:</w:t>
      </w:r>
    </w:p>
    <w:p>
      <w:pPr>
        <w:sectPr>
          <w:pgSz w:w="11900" w:h="16838" w:orient="portrait"/>
          <w:cols w:equalWidth="0" w:num="1">
            <w:col w:w="11240"/>
          </w:cols>
          <w:pgMar w:left="320" w:top="1368" w:right="339" w:bottom="1440" w:gutter="0" w:footer="0" w:header="0"/>
        </w:sectPr>
      </w:pP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Name of Plan:</w:t>
      </w:r>
    </w:p>
    <w:p>
      <w:pPr>
        <w:spacing w:after="0" w:line="2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Type of Plan:</w:t>
      </w:r>
    </w:p>
    <w:p>
      <w:pPr>
        <w:spacing w:after="0" w:line="2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Plan Year:</w:t>
      </w:r>
    </w:p>
    <w:p>
      <w:pPr>
        <w:spacing w:after="0" w:line="2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Recordkeeping:</w:t>
      </w:r>
    </w:p>
    <w:p>
      <w:pPr>
        <w:spacing w:after="0" w:line="2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Source of Contributions:</w:t>
      </w: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Plan Sponsor: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Affirm Holdings, Inc. Officer Severance Plan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Welfare (Severance Benefits)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January 1 – December 31</w:t>
      </w:r>
    </w:p>
    <w:p>
      <w:pPr>
        <w:spacing w:after="0" w:line="262" w:lineRule="exact"/>
        <w:rPr>
          <w:sz w:val="20"/>
          <w:szCs w:val="20"/>
          <w:color w:val="auto"/>
        </w:rPr>
      </w:pPr>
    </w:p>
    <w:p>
      <w:pPr>
        <w:ind w:right="1060"/>
        <w:spacing w:after="0" w:line="236" w:lineRule="auto"/>
        <w:rPr>
          <w:sz w:val="20"/>
          <w:szCs w:val="20"/>
          <w:color w:val="auto"/>
        </w:rPr>
      </w:pPr>
      <w:r>
        <w:rPr>
          <w:rFonts w:ascii="Times New Roman" w:cs="Times New Roman" w:eastAsia="Times New Roman" w:hAnsi="Times New Roman"/>
          <w:sz w:val="21"/>
          <w:szCs w:val="21"/>
          <w:color w:val="auto"/>
        </w:rPr>
        <w:t>The Plan and its records are kept on a calendar year basis, January 1 – December 31.</w:t>
      </w:r>
    </w:p>
    <w:p>
      <w:pPr>
        <w:spacing w:after="0" w:line="29" w:lineRule="exact"/>
        <w:rPr>
          <w:sz w:val="20"/>
          <w:szCs w:val="20"/>
          <w:color w:val="auto"/>
        </w:rPr>
      </w:pPr>
    </w:p>
    <w:p>
      <w:pPr>
        <w:ind w:right="620"/>
        <w:spacing w:after="0" w:line="236" w:lineRule="auto"/>
        <w:rPr>
          <w:sz w:val="20"/>
          <w:szCs w:val="20"/>
          <w:color w:val="auto"/>
        </w:rPr>
      </w:pPr>
      <w:r>
        <w:rPr>
          <w:rFonts w:ascii="Times New Roman" w:cs="Times New Roman" w:eastAsia="Times New Roman" w:hAnsi="Times New Roman"/>
          <w:sz w:val="21"/>
          <w:szCs w:val="21"/>
          <w:color w:val="auto"/>
        </w:rPr>
        <w:t>The Plan is unfunded and the Company pays for the cost of the benefits.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650 California 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San Francisco, CA 94108</w:t>
      </w:r>
    </w:p>
    <w:p>
      <w:pPr>
        <w:spacing w:after="0" w:line="200" w:lineRule="exact"/>
        <w:rPr>
          <w:sz w:val="20"/>
          <w:szCs w:val="20"/>
          <w:color w:val="auto"/>
        </w:rPr>
      </w:pPr>
    </w:p>
    <w:p>
      <w:pPr>
        <w:sectPr>
          <w:pgSz w:w="11900" w:h="16838" w:orient="portrait"/>
          <w:cols w:equalWidth="0" w:num="2">
            <w:col w:w="4680" w:space="720"/>
            <w:col w:w="5840"/>
          </w:cols>
          <w:pgMar w:left="320" w:top="1368" w:right="339" w:bottom="1440" w:gutter="0" w:footer="0" w:header="0"/>
          <w:type w:val="continuous"/>
        </w:sectPr>
      </w:pPr>
    </w:p>
    <w:p>
      <w:pPr>
        <w:spacing w:after="0" w:line="40" w:lineRule="exact"/>
        <w:rPr>
          <w:sz w:val="20"/>
          <w:szCs w:val="20"/>
          <w:color w:val="auto"/>
        </w:rPr>
      </w:pPr>
    </w:p>
    <w:p>
      <w:pPr>
        <w:ind w:left="700"/>
        <w:spacing w:after="0"/>
        <w:tabs>
          <w:tab w:leader="none" w:pos="5380" w:val="left"/>
        </w:tabs>
        <w:rPr>
          <w:sz w:val="20"/>
          <w:szCs w:val="20"/>
          <w:color w:val="auto"/>
        </w:rPr>
      </w:pPr>
      <w:r>
        <w:rPr>
          <w:rFonts w:ascii="Times New Roman" w:cs="Times New Roman" w:eastAsia="Times New Roman" w:hAnsi="Times New Roman"/>
          <w:sz w:val="21"/>
          <w:szCs w:val="21"/>
          <w:color w:val="auto"/>
        </w:rPr>
        <w:t>Identification Numbers:</w:t>
      </w:r>
      <w:r>
        <w:rPr>
          <w:sz w:val="20"/>
          <w:szCs w:val="20"/>
          <w:color w:val="auto"/>
        </w:rPr>
        <w:tab/>
      </w:r>
      <w:r>
        <w:rPr>
          <w:rFonts w:ascii="Times New Roman" w:cs="Times New Roman" w:eastAsia="Times New Roman" w:hAnsi="Times New Roman"/>
          <w:sz w:val="20"/>
          <w:szCs w:val="20"/>
          <w:color w:val="auto"/>
        </w:rPr>
        <w:t>Company EIN:</w:t>
      </w: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Plan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8"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21"/>
          <w:szCs w:val="21"/>
          <w:color w:val="auto"/>
        </w:rPr>
        <w:t>Except as expressly provided otherwise herein, any notice, demand, consent, authorization or other communication that any Eligible Employee is required or may desire to give to or make upon the Company pursuant to the Plan shall be in writing and shall be effective, valid and duly given and received if hand delivered or sent by overnight delivery service, by facsimile, computer mail or other electronic mail, or by regular mail, postage prepaid, addressed to:</w:t>
      </w:r>
    </w:p>
    <w:p>
      <w:pPr>
        <w:spacing w:after="0" w:line="16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Affirm Holdings, Inc.</w:t>
      </w:r>
    </w:p>
    <w:p>
      <w:pPr>
        <w:spacing w:after="0" w:line="2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Attention:</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650 California St.</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San Francisco, CA 94108</w:t>
      </w:r>
    </w:p>
    <w:p>
      <w:pPr>
        <w:spacing w:after="0" w:line="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E-mail:</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Notice so given shall be deemed given and received if (a) by mail, on the fourth day after posting; (b) by facsimile, computer mail or other electronic mail or personal delivery, on the date of actual transmission, with evidence of transmission acceptance or verification, or (as the case may be) personal or other delivery; and (c) by overnight delivery courier, on the next business day following the day such notice is delivered to the overnight delivery courier service.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u w:val="single" w:color="auto"/>
          <w:color w:val="auto"/>
        </w:rPr>
        <w:t>EXECUTION</w:t>
      </w:r>
      <w:r>
        <w:rPr>
          <w:rFonts w:ascii="Times New Roman" w:cs="Times New Roman" w:eastAsia="Times New Roman" w:hAnsi="Times New Roman"/>
          <w:sz w:val="21"/>
          <w:szCs w:val="21"/>
          <w:color w:val="auto"/>
        </w:rPr>
        <w:t>.</w:t>
      </w:r>
    </w:p>
    <w:p>
      <w:pPr>
        <w:spacing w:after="0" w:line="198" w:lineRule="exact"/>
        <w:rPr>
          <w:sz w:val="20"/>
          <w:szCs w:val="20"/>
          <w:color w:val="auto"/>
        </w:rPr>
      </w:pPr>
    </w:p>
    <w:p>
      <w:pPr>
        <w:jc w:val="both"/>
        <w:ind w:firstLine="620"/>
        <w:spacing w:after="0" w:line="283" w:lineRule="auto"/>
        <w:rPr>
          <w:sz w:val="20"/>
          <w:szCs w:val="20"/>
          <w:color w:val="auto"/>
        </w:rPr>
      </w:pPr>
      <w:r>
        <w:rPr>
          <w:rFonts w:ascii="Times New Roman" w:cs="Times New Roman" w:eastAsia="Times New Roman" w:hAnsi="Times New Roman"/>
          <w:sz w:val="21"/>
          <w:szCs w:val="21"/>
          <w:color w:val="auto"/>
        </w:rPr>
        <w:t>To record the adoption of the Plan as set forth herein, Affirm Holdings, Inc. has caused its duly authorized officer to execute the same as of the Effective Date.</w:t>
      </w:r>
    </w:p>
    <w:p>
      <w:pPr>
        <w:spacing w:after="0" w:line="3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AFFIRM HOLDINGS, INC.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20"/>
        <w:spacing w:after="0"/>
        <w:tabs>
          <w:tab w:leader="none" w:pos="4260" w:val="left"/>
        </w:tabs>
        <w:rPr>
          <w:sz w:val="20"/>
          <w:szCs w:val="20"/>
          <w:color w:val="auto"/>
        </w:rPr>
      </w:pPr>
      <w:r>
        <w:rPr>
          <w:rFonts w:ascii="Times New Roman" w:cs="Times New Roman" w:eastAsia="Times New Roman" w:hAnsi="Times New Roman"/>
          <w:sz w:val="21"/>
          <w:szCs w:val="21"/>
          <w:color w:val="auto"/>
        </w:rPr>
        <w:t>By:</w:t>
        <w:tab/>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2719070</wp:posOffset>
            </wp:positionH>
            <wp:positionV relativeFrom="paragraph">
              <wp:posOffset>-13335</wp:posOffset>
            </wp:positionV>
            <wp:extent cx="12541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6" w:lineRule="exact"/>
        <w:rPr>
          <w:sz w:val="20"/>
          <w:szCs w:val="20"/>
          <w:color w:val="auto"/>
        </w:rPr>
      </w:pPr>
    </w:p>
    <w:p>
      <w:pPr>
        <w:ind w:left="3720"/>
        <w:spacing w:after="0"/>
        <w:tabs>
          <w:tab w:leader="none" w:pos="446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Max Levchin</w:t>
      </w:r>
    </w:p>
    <w:p>
      <w:pPr>
        <w:spacing w:after="0" w:line="4" w:lineRule="exact"/>
        <w:rPr>
          <w:sz w:val="20"/>
          <w:szCs w:val="20"/>
          <w:color w:val="auto"/>
        </w:rPr>
      </w:pPr>
    </w:p>
    <w:p>
      <w:pPr>
        <w:ind w:left="3720"/>
        <w:spacing w:after="0"/>
        <w:tabs>
          <w:tab w:leader="none" w:pos="436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42" w:right="339" w:bottom="1440" w:gutter="0" w:footer="0" w:header="0"/>
        </w:sectPr>
      </w:pPr>
    </w:p>
    <w:bookmarkStart w:id="127" w:name="page128"/>
    <w:bookmarkEnd w:id="127"/>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SCHEDULE A</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OF CHANGE IN CONTROL SEVERANCE BENEFITS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0" w:type="dxa"/>
            <w:vAlign w:val="bottom"/>
            <w:tcBorders>
              <w:top w:val="single" w:sz="8" w:color="auto"/>
              <w:left w:val="single" w:sz="8" w:color="auto"/>
            </w:tcBorders>
            <w:shd w:val="clear" w:color="auto" w:fill="F2F2F2"/>
          </w:tcPr>
          <w:p>
            <w:pPr>
              <w:spacing w:after="0"/>
              <w:rPr>
                <w:sz w:val="17"/>
                <w:szCs w:val="17"/>
                <w:color w:val="auto"/>
              </w:rPr>
            </w:pPr>
          </w:p>
        </w:tc>
        <w:tc>
          <w:tcPr>
            <w:tcW w:w="1420" w:type="dxa"/>
            <w:vAlign w:val="bottom"/>
            <w:tcBorders>
              <w:top w:val="single" w:sz="8" w:color="auto"/>
              <w:right w:val="single" w:sz="8" w:color="auto"/>
            </w:tcBorders>
            <w:gridSpan w:val="3"/>
            <w:shd w:val="clear" w:color="auto" w:fill="F2F2F2"/>
          </w:tcPr>
          <w:p>
            <w:pPr>
              <w:spacing w:after="0" w:line="207" w:lineRule="exact"/>
              <w:rPr>
                <w:sz w:val="20"/>
                <w:szCs w:val="20"/>
                <w:color w:val="auto"/>
              </w:rPr>
            </w:pPr>
            <w:r>
              <w:rPr>
                <w:rFonts w:ascii="Times New Roman" w:cs="Times New Roman" w:eastAsia="Times New Roman" w:hAnsi="Times New Roman"/>
                <w:sz w:val="19"/>
                <w:szCs w:val="19"/>
                <w:b w:val="1"/>
                <w:bCs w:val="1"/>
                <w:color w:val="auto"/>
              </w:rPr>
              <w:t>Eligible</w:t>
            </w:r>
          </w:p>
        </w:tc>
        <w:tc>
          <w:tcPr>
            <w:tcW w:w="5260" w:type="dxa"/>
            <w:vAlign w:val="bottom"/>
            <w:tcBorders>
              <w:top w:val="single" w:sz="8" w:color="auto"/>
              <w:right w:val="single" w:sz="8" w:color="auto"/>
            </w:tcBorders>
            <w:gridSpan w:val="3"/>
            <w:vMerge w:val="restart"/>
            <w:shd w:val="clear" w:color="auto" w:fill="F2F2F2"/>
          </w:tcPr>
          <w:p>
            <w:pPr>
              <w:ind w:left="80"/>
              <w:spacing w:after="0"/>
              <w:rPr>
                <w:sz w:val="20"/>
                <w:szCs w:val="20"/>
                <w:color w:val="auto"/>
              </w:rPr>
            </w:pPr>
            <w:r>
              <w:rPr>
                <w:rFonts w:ascii="Times New Roman" w:cs="Times New Roman" w:eastAsia="Times New Roman" w:hAnsi="Times New Roman"/>
                <w:sz w:val="19"/>
                <w:szCs w:val="19"/>
                <w:b w:val="1"/>
                <w:bCs w:val="1"/>
                <w:color w:val="auto"/>
              </w:rPr>
              <w:t>Severance Pay</w:t>
            </w:r>
          </w:p>
        </w:tc>
        <w:tc>
          <w:tcPr>
            <w:tcW w:w="2300" w:type="dxa"/>
            <w:vAlign w:val="bottom"/>
            <w:tcBorders>
              <w:top w:val="single" w:sz="8" w:color="auto"/>
              <w:right w:val="single" w:sz="8" w:color="auto"/>
            </w:tcBorders>
            <w:gridSpan w:val="3"/>
            <w:shd w:val="clear" w:color="auto" w:fill="F2F2F2"/>
          </w:tcPr>
          <w:p>
            <w:pPr>
              <w:spacing w:after="0" w:line="207" w:lineRule="exact"/>
              <w:rPr>
                <w:sz w:val="20"/>
                <w:szCs w:val="20"/>
                <w:color w:val="auto"/>
              </w:rPr>
            </w:pPr>
            <w:r>
              <w:rPr>
                <w:rFonts w:ascii="Times New Roman" w:cs="Times New Roman" w:eastAsia="Times New Roman" w:hAnsi="Times New Roman"/>
                <w:sz w:val="19"/>
                <w:szCs w:val="19"/>
                <w:b w:val="1"/>
                <w:bCs w:val="1"/>
                <w:color w:val="auto"/>
              </w:rPr>
              <w:t>COBRA Continuation</w:t>
            </w:r>
          </w:p>
        </w:tc>
        <w:tc>
          <w:tcPr>
            <w:tcW w:w="2200" w:type="dxa"/>
            <w:vAlign w:val="bottom"/>
            <w:tcBorders>
              <w:top w:val="single" w:sz="8" w:color="auto"/>
              <w:right w:val="single" w:sz="8" w:color="auto"/>
            </w:tcBorders>
            <w:gridSpan w:val="3"/>
            <w:vMerge w:val="restart"/>
            <w:shd w:val="clear" w:color="auto" w:fill="F2F2F2"/>
          </w:tcPr>
          <w:p>
            <w:pPr>
              <w:spacing w:after="0"/>
              <w:rPr>
                <w:sz w:val="20"/>
                <w:szCs w:val="20"/>
                <w:color w:val="auto"/>
              </w:rPr>
            </w:pPr>
            <w:r>
              <w:rPr>
                <w:rFonts w:ascii="Times New Roman" w:cs="Times New Roman" w:eastAsia="Times New Roman" w:hAnsi="Times New Roman"/>
                <w:sz w:val="19"/>
                <w:szCs w:val="19"/>
                <w:b w:val="1"/>
                <w:bCs w:val="1"/>
                <w:color w:val="auto"/>
              </w:rPr>
              <w:t>Vesting</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F2F2F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F2F2F2"/>
            </w:tcBorders>
            <w:shd w:val="clear" w:color="auto" w:fill="F2F2F2"/>
          </w:tcPr>
          <w:p>
            <w:pPr>
              <w:spacing w:after="0" w:line="20" w:lineRule="exact"/>
              <w:rPr>
                <w:sz w:val="1"/>
                <w:szCs w:val="1"/>
                <w:color w:val="auto"/>
              </w:rPr>
            </w:pPr>
          </w:p>
        </w:tc>
        <w:tc>
          <w:tcPr>
            <w:tcW w:w="580" w:type="dxa"/>
            <w:vAlign w:val="bottom"/>
            <w:tcBorders>
              <w:right w:val="single" w:sz="8" w:color="auto"/>
            </w:tcBorders>
            <w:shd w:val="clear" w:color="auto" w:fill="F2F2F2"/>
          </w:tcPr>
          <w:p>
            <w:pPr>
              <w:spacing w:after="0" w:line="20" w:lineRule="exact"/>
              <w:rPr>
                <w:sz w:val="1"/>
                <w:szCs w:val="1"/>
                <w:color w:val="auto"/>
              </w:rPr>
            </w:pPr>
          </w:p>
        </w:tc>
        <w:tc>
          <w:tcPr>
            <w:tcW w:w="5260" w:type="dxa"/>
            <w:vAlign w:val="bottom"/>
            <w:tcBorders>
              <w:right w:val="single" w:sz="8" w:color="auto"/>
            </w:tcBorders>
            <w:gridSpan w:val="3"/>
            <w:vMerge w:val="continue"/>
            <w:shd w:val="clear" w:color="auto" w:fill="F2F2F2"/>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F2F2F2"/>
          </w:tcPr>
          <w:p>
            <w:pPr>
              <w:spacing w:after="0" w:line="20" w:lineRule="exact"/>
              <w:rPr>
                <w:sz w:val="1"/>
                <w:szCs w:val="1"/>
                <w:color w:val="auto"/>
              </w:rPr>
            </w:pPr>
          </w:p>
        </w:tc>
        <w:tc>
          <w:tcPr>
            <w:tcW w:w="2200" w:type="dxa"/>
            <w:vAlign w:val="bottom"/>
            <w:tcBorders>
              <w:right w:val="single" w:sz="8" w:color="auto"/>
            </w:tcBorders>
            <w:gridSpan w:val="3"/>
            <w:vMerge w:val="continue"/>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80" w:type="dxa"/>
            <w:vAlign w:val="bottom"/>
            <w:tcBorders>
              <w:left w:val="single" w:sz="8" w:color="auto"/>
            </w:tcBorders>
            <w:shd w:val="clear" w:color="auto" w:fill="F2F2F2"/>
          </w:tcPr>
          <w:p>
            <w:pPr>
              <w:spacing w:after="0"/>
              <w:rPr>
                <w:sz w:val="6"/>
                <w:szCs w:val="6"/>
                <w:color w:val="auto"/>
              </w:rPr>
            </w:pPr>
          </w:p>
        </w:tc>
        <w:tc>
          <w:tcPr>
            <w:tcW w:w="1420" w:type="dxa"/>
            <w:vAlign w:val="bottom"/>
            <w:tcBorders>
              <w:right w:val="single" w:sz="8" w:color="auto"/>
            </w:tcBorders>
            <w:gridSpan w:val="3"/>
            <w:vMerge w:val="restart"/>
            <w:shd w:val="clear" w:color="auto" w:fill="F2F2F2"/>
          </w:tcPr>
          <w:p>
            <w:pPr>
              <w:spacing w:after="0" w:line="148" w:lineRule="exact"/>
              <w:rPr>
                <w:sz w:val="20"/>
                <w:szCs w:val="20"/>
                <w:color w:val="auto"/>
              </w:rPr>
            </w:pPr>
            <w:r>
              <w:rPr>
                <w:rFonts w:ascii="Times New Roman" w:cs="Times New Roman" w:eastAsia="Times New Roman" w:hAnsi="Times New Roman"/>
                <w:sz w:val="17"/>
                <w:szCs w:val="17"/>
                <w:b w:val="1"/>
                <w:bCs w:val="1"/>
                <w:color w:val="auto"/>
              </w:rPr>
              <w:t>Employee</w:t>
            </w:r>
          </w:p>
        </w:tc>
        <w:tc>
          <w:tcPr>
            <w:tcW w:w="5260" w:type="dxa"/>
            <w:vAlign w:val="bottom"/>
            <w:tcBorders>
              <w:right w:val="single" w:sz="8" w:color="auto"/>
            </w:tcBorders>
            <w:gridSpan w:val="3"/>
            <w:vMerge w:val="continue"/>
            <w:shd w:val="clear" w:color="auto" w:fill="F2F2F2"/>
          </w:tcPr>
          <w:p>
            <w:pPr>
              <w:spacing w:after="0"/>
              <w:rPr>
                <w:sz w:val="6"/>
                <w:szCs w:val="6"/>
                <w:color w:val="auto"/>
              </w:rPr>
            </w:pPr>
          </w:p>
        </w:tc>
        <w:tc>
          <w:tcPr>
            <w:tcW w:w="2300" w:type="dxa"/>
            <w:vAlign w:val="bottom"/>
            <w:tcBorders>
              <w:right w:val="single" w:sz="8" w:color="auto"/>
            </w:tcBorders>
            <w:gridSpan w:val="3"/>
            <w:vMerge w:val="restart"/>
            <w:shd w:val="clear" w:color="auto" w:fill="F2F2F2"/>
          </w:tcPr>
          <w:p>
            <w:pPr>
              <w:spacing w:after="0" w:line="148" w:lineRule="exact"/>
              <w:rPr>
                <w:sz w:val="20"/>
                <w:szCs w:val="20"/>
                <w:color w:val="auto"/>
              </w:rPr>
            </w:pPr>
            <w:r>
              <w:rPr>
                <w:rFonts w:ascii="Times New Roman" w:cs="Times New Roman" w:eastAsia="Times New Roman" w:hAnsi="Times New Roman"/>
                <w:sz w:val="17"/>
                <w:szCs w:val="17"/>
                <w:b w:val="1"/>
                <w:bCs w:val="1"/>
                <w:color w:val="auto"/>
              </w:rPr>
              <w:t>Coverage Period</w:t>
            </w:r>
          </w:p>
        </w:tc>
        <w:tc>
          <w:tcPr>
            <w:tcW w:w="2200" w:type="dxa"/>
            <w:vAlign w:val="bottom"/>
            <w:tcBorders>
              <w:right w:val="single" w:sz="8" w:color="auto"/>
            </w:tcBorders>
            <w:gridSpan w:val="3"/>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F2F2F2"/>
          </w:tcPr>
          <w:p>
            <w:pPr>
              <w:spacing w:after="0" w:line="20" w:lineRule="exact"/>
              <w:rPr>
                <w:sz w:val="1"/>
                <w:szCs w:val="1"/>
                <w:color w:val="auto"/>
              </w:rPr>
            </w:pPr>
          </w:p>
        </w:tc>
        <w:tc>
          <w:tcPr>
            <w:tcW w:w="1420" w:type="dxa"/>
            <w:vAlign w:val="bottom"/>
            <w:tcBorders>
              <w:right w:val="single" w:sz="8" w:color="auto"/>
            </w:tcBorders>
            <w:gridSpan w:val="3"/>
            <w:vMerge w:val="continue"/>
            <w:shd w:val="clear" w:color="auto" w:fill="F2F2F2"/>
          </w:tcPr>
          <w:p>
            <w:pPr>
              <w:spacing w:after="0" w:line="20" w:lineRule="exact"/>
              <w:rPr>
                <w:sz w:val="1"/>
                <w:szCs w:val="1"/>
                <w:color w:val="auto"/>
              </w:rPr>
            </w:pPr>
          </w:p>
        </w:tc>
        <w:tc>
          <w:tcPr>
            <w:tcW w:w="5260" w:type="dxa"/>
            <w:vAlign w:val="bottom"/>
            <w:tcBorders>
              <w:right w:val="single" w:sz="8" w:color="auto"/>
            </w:tcBorders>
            <w:gridSpan w:val="3"/>
            <w:vMerge w:val="continue"/>
            <w:shd w:val="clear" w:color="auto" w:fill="F2F2F2"/>
          </w:tcPr>
          <w:p>
            <w:pPr>
              <w:spacing w:after="0" w:line="20" w:lineRule="exact"/>
              <w:rPr>
                <w:sz w:val="1"/>
                <w:szCs w:val="1"/>
                <w:color w:val="auto"/>
              </w:rPr>
            </w:pPr>
          </w:p>
        </w:tc>
        <w:tc>
          <w:tcPr>
            <w:tcW w:w="2300" w:type="dxa"/>
            <w:vAlign w:val="bottom"/>
            <w:tcBorders>
              <w:right w:val="single" w:sz="8" w:color="auto"/>
            </w:tcBorders>
            <w:gridSpan w:val="3"/>
            <w:vMerge w:val="continue"/>
            <w:shd w:val="clear" w:color="auto" w:fill="F2F2F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F2F2F2"/>
          </w:tcPr>
          <w:p>
            <w:pPr>
              <w:spacing w:after="0" w:line="20" w:lineRule="exact"/>
              <w:rPr>
                <w:sz w:val="1"/>
                <w:szCs w:val="1"/>
                <w:color w:val="auto"/>
              </w:rPr>
            </w:pPr>
          </w:p>
        </w:tc>
        <w:tc>
          <w:tcPr>
            <w:tcW w:w="1180" w:type="dxa"/>
            <w:vAlign w:val="bottom"/>
            <w:tcBorders>
              <w:right w:val="single" w:sz="8" w:color="auto"/>
            </w:tcBorders>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80" w:type="dxa"/>
            <w:vAlign w:val="bottom"/>
            <w:tcBorders>
              <w:left w:val="single" w:sz="8" w:color="auto"/>
            </w:tcBorders>
            <w:shd w:val="clear" w:color="auto" w:fill="F2F2F2"/>
          </w:tcPr>
          <w:p>
            <w:pPr>
              <w:spacing w:after="0"/>
              <w:rPr>
                <w:sz w:val="6"/>
                <w:szCs w:val="6"/>
                <w:color w:val="auto"/>
              </w:rPr>
            </w:pPr>
          </w:p>
        </w:tc>
        <w:tc>
          <w:tcPr>
            <w:tcW w:w="1420" w:type="dxa"/>
            <w:vAlign w:val="bottom"/>
            <w:tcBorders>
              <w:right w:val="single" w:sz="8" w:color="auto"/>
            </w:tcBorders>
            <w:gridSpan w:val="3"/>
            <w:vMerge w:val="continue"/>
            <w:shd w:val="clear" w:color="auto" w:fill="F2F2F2"/>
          </w:tcPr>
          <w:p>
            <w:pPr>
              <w:spacing w:after="0"/>
              <w:rPr>
                <w:sz w:val="6"/>
                <w:szCs w:val="6"/>
                <w:color w:val="auto"/>
              </w:rPr>
            </w:pPr>
          </w:p>
        </w:tc>
        <w:tc>
          <w:tcPr>
            <w:tcW w:w="5260" w:type="dxa"/>
            <w:vAlign w:val="bottom"/>
            <w:tcBorders>
              <w:right w:val="single" w:sz="8" w:color="auto"/>
            </w:tcBorders>
            <w:gridSpan w:val="3"/>
            <w:vMerge w:val="continue"/>
            <w:shd w:val="clear" w:color="auto" w:fill="F2F2F2"/>
          </w:tcPr>
          <w:p>
            <w:pPr>
              <w:spacing w:after="0"/>
              <w:rPr>
                <w:sz w:val="6"/>
                <w:szCs w:val="6"/>
                <w:color w:val="auto"/>
              </w:rPr>
            </w:pPr>
          </w:p>
        </w:tc>
        <w:tc>
          <w:tcPr>
            <w:tcW w:w="2300" w:type="dxa"/>
            <w:vAlign w:val="bottom"/>
            <w:tcBorders>
              <w:right w:val="single" w:sz="8" w:color="auto"/>
            </w:tcBorders>
            <w:gridSpan w:val="3"/>
            <w:vMerge w:val="continue"/>
            <w:shd w:val="clear" w:color="auto" w:fill="F2F2F2"/>
          </w:tcPr>
          <w:p>
            <w:pPr>
              <w:spacing w:after="0"/>
              <w:rPr>
                <w:sz w:val="6"/>
                <w:szCs w:val="6"/>
                <w:color w:val="auto"/>
              </w:rPr>
            </w:pPr>
          </w:p>
        </w:tc>
        <w:tc>
          <w:tcPr>
            <w:tcW w:w="2200" w:type="dxa"/>
            <w:vAlign w:val="bottom"/>
            <w:tcBorders>
              <w:right w:val="single" w:sz="8" w:color="auto"/>
            </w:tcBorders>
            <w:gridSpan w:val="3"/>
            <w:vMerge w:val="restart"/>
            <w:shd w:val="clear" w:color="auto" w:fill="F2F2F2"/>
          </w:tcPr>
          <w:p>
            <w:pPr>
              <w:spacing w:after="0" w:line="173" w:lineRule="exact"/>
              <w:rPr>
                <w:sz w:val="20"/>
                <w:szCs w:val="20"/>
                <w:color w:val="auto"/>
              </w:rPr>
            </w:pPr>
            <w:r>
              <w:rPr>
                <w:rFonts w:ascii="Times New Roman" w:cs="Times New Roman" w:eastAsia="Times New Roman" w:hAnsi="Times New Roman"/>
                <w:sz w:val="19"/>
                <w:szCs w:val="19"/>
                <w:b w:val="1"/>
                <w:bCs w:val="1"/>
                <w:color w:val="auto"/>
              </w:rPr>
              <w:t>Acceleration</w:t>
            </w:r>
          </w:p>
        </w:tc>
        <w:tc>
          <w:tcPr>
            <w:tcW w:w="0" w:type="dxa"/>
            <w:vAlign w:val="bottom"/>
          </w:tcPr>
          <w:p>
            <w:pPr>
              <w:spacing w:after="0"/>
              <w:rPr>
                <w:sz w:val="1"/>
                <w:szCs w:val="1"/>
                <w:color w:val="auto"/>
              </w:rPr>
            </w:pPr>
          </w:p>
        </w:tc>
      </w:tr>
      <w:tr>
        <w:trPr>
          <w:trHeight w:val="26"/>
        </w:trPr>
        <w:tc>
          <w:tcPr>
            <w:tcW w:w="80" w:type="dxa"/>
            <w:vAlign w:val="bottom"/>
            <w:tcBorders>
              <w:left w:val="single" w:sz="8" w:color="auto"/>
            </w:tcBorders>
            <w:shd w:val="clear" w:color="auto" w:fill="F2F2F2"/>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F2F2F2"/>
            </w:tcBorders>
            <w:shd w:val="clear" w:color="auto" w:fill="000000"/>
          </w:tcPr>
          <w:p>
            <w:pPr>
              <w:spacing w:after="0"/>
              <w:rPr>
                <w:sz w:val="2"/>
                <w:szCs w:val="2"/>
                <w:color w:val="auto"/>
              </w:rPr>
            </w:pPr>
          </w:p>
        </w:tc>
        <w:tc>
          <w:tcPr>
            <w:tcW w:w="580" w:type="dxa"/>
            <w:vAlign w:val="bottom"/>
            <w:tcBorders>
              <w:right w:val="single" w:sz="8" w:color="auto"/>
            </w:tcBorders>
            <w:shd w:val="clear" w:color="auto" w:fill="F2F2F2"/>
          </w:tcPr>
          <w:p>
            <w:pPr>
              <w:spacing w:after="0"/>
              <w:rPr>
                <w:sz w:val="2"/>
                <w:szCs w:val="2"/>
                <w:color w:val="auto"/>
              </w:rPr>
            </w:pPr>
          </w:p>
        </w:tc>
        <w:tc>
          <w:tcPr>
            <w:tcW w:w="80" w:type="dxa"/>
            <w:vAlign w:val="bottom"/>
            <w:shd w:val="clear" w:color="auto" w:fill="F2F2F2"/>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20" w:type="dxa"/>
            <w:vAlign w:val="bottom"/>
            <w:tcBorders>
              <w:right w:val="single" w:sz="8" w:color="auto"/>
            </w:tcBorders>
            <w:shd w:val="clear" w:color="auto" w:fill="F2F2F2"/>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60" w:type="dxa"/>
            <w:vAlign w:val="bottom"/>
            <w:shd w:val="clear" w:color="auto" w:fill="F2F2F2"/>
          </w:tcPr>
          <w:p>
            <w:pPr>
              <w:spacing w:after="0"/>
              <w:rPr>
                <w:sz w:val="2"/>
                <w:szCs w:val="2"/>
                <w:color w:val="auto"/>
              </w:rPr>
            </w:pPr>
          </w:p>
        </w:tc>
        <w:tc>
          <w:tcPr>
            <w:tcW w:w="500" w:type="dxa"/>
            <w:vAlign w:val="bottom"/>
            <w:tcBorders>
              <w:right w:val="single" w:sz="8" w:color="auto"/>
            </w:tcBorders>
            <w:shd w:val="clear" w:color="auto" w:fill="F2F2F2"/>
          </w:tcPr>
          <w:p>
            <w:pPr>
              <w:spacing w:after="0"/>
              <w:rPr>
                <w:sz w:val="2"/>
                <w:szCs w:val="2"/>
                <w:color w:val="auto"/>
              </w:rPr>
            </w:pPr>
          </w:p>
        </w:tc>
        <w:tc>
          <w:tcPr>
            <w:tcW w:w="2200" w:type="dxa"/>
            <w:vAlign w:val="bottom"/>
            <w:tcBorders>
              <w:right w:val="single" w:sz="8" w:color="auto"/>
            </w:tcBorders>
            <w:gridSpan w:val="3"/>
            <w:vMerge w:val="continue"/>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80" w:type="dxa"/>
            <w:vAlign w:val="bottom"/>
            <w:tcBorders>
              <w:left w:val="single" w:sz="8" w:color="auto"/>
            </w:tcBorders>
            <w:shd w:val="clear" w:color="auto" w:fill="F2F2F2"/>
          </w:tcPr>
          <w:p>
            <w:pPr>
              <w:spacing w:after="0"/>
              <w:rPr>
                <w:sz w:val="6"/>
                <w:szCs w:val="6"/>
                <w:color w:val="auto"/>
              </w:rPr>
            </w:pPr>
          </w:p>
        </w:tc>
        <w:tc>
          <w:tcPr>
            <w:tcW w:w="1420" w:type="dxa"/>
            <w:vAlign w:val="bottom"/>
            <w:tcBorders>
              <w:right w:val="single" w:sz="8" w:color="auto"/>
            </w:tcBorders>
            <w:gridSpan w:val="3"/>
            <w:vMerge w:val="restart"/>
            <w:shd w:val="clear" w:color="auto" w:fill="F2F2F2"/>
          </w:tcPr>
          <w:p>
            <w:pPr>
              <w:spacing w:after="0" w:line="181" w:lineRule="exact"/>
              <w:rPr>
                <w:sz w:val="20"/>
                <w:szCs w:val="20"/>
                <w:color w:val="auto"/>
              </w:rPr>
            </w:pPr>
            <w:r>
              <w:rPr>
                <w:rFonts w:ascii="Times New Roman" w:cs="Times New Roman" w:eastAsia="Times New Roman" w:hAnsi="Times New Roman"/>
                <w:sz w:val="19"/>
                <w:szCs w:val="19"/>
                <w:b w:val="1"/>
                <w:bCs w:val="1"/>
                <w:color w:val="auto"/>
              </w:rPr>
              <w:t>Tier Level</w:t>
            </w:r>
          </w:p>
        </w:tc>
        <w:tc>
          <w:tcPr>
            <w:tcW w:w="80" w:type="dxa"/>
            <w:vAlign w:val="bottom"/>
            <w:shd w:val="clear" w:color="auto" w:fill="F2F2F2"/>
          </w:tcPr>
          <w:p>
            <w:pPr>
              <w:spacing w:after="0"/>
              <w:rPr>
                <w:sz w:val="6"/>
                <w:szCs w:val="6"/>
                <w:color w:val="auto"/>
              </w:rPr>
            </w:pPr>
          </w:p>
        </w:tc>
        <w:tc>
          <w:tcPr>
            <w:tcW w:w="1160" w:type="dxa"/>
            <w:vAlign w:val="bottom"/>
            <w:shd w:val="clear" w:color="auto" w:fill="F2F2F2"/>
          </w:tcPr>
          <w:p>
            <w:pPr>
              <w:spacing w:after="0"/>
              <w:rPr>
                <w:sz w:val="6"/>
                <w:szCs w:val="6"/>
                <w:color w:val="auto"/>
              </w:rPr>
            </w:pPr>
          </w:p>
        </w:tc>
        <w:tc>
          <w:tcPr>
            <w:tcW w:w="4020" w:type="dxa"/>
            <w:vAlign w:val="bottom"/>
            <w:tcBorders>
              <w:right w:val="single" w:sz="8" w:color="auto"/>
            </w:tcBorders>
            <w:shd w:val="clear" w:color="auto" w:fill="F2F2F2"/>
          </w:tcPr>
          <w:p>
            <w:pPr>
              <w:spacing w:after="0"/>
              <w:rPr>
                <w:sz w:val="6"/>
                <w:szCs w:val="6"/>
                <w:color w:val="auto"/>
              </w:rPr>
            </w:pPr>
          </w:p>
        </w:tc>
        <w:tc>
          <w:tcPr>
            <w:tcW w:w="1340" w:type="dxa"/>
            <w:vAlign w:val="bottom"/>
            <w:shd w:val="clear" w:color="auto" w:fill="F2F2F2"/>
          </w:tcPr>
          <w:p>
            <w:pPr>
              <w:spacing w:after="0"/>
              <w:rPr>
                <w:sz w:val="6"/>
                <w:szCs w:val="6"/>
                <w:color w:val="auto"/>
              </w:rPr>
            </w:pPr>
          </w:p>
        </w:tc>
        <w:tc>
          <w:tcPr>
            <w:tcW w:w="460" w:type="dxa"/>
            <w:vAlign w:val="bottom"/>
            <w:shd w:val="clear" w:color="auto" w:fill="F2F2F2"/>
          </w:tcPr>
          <w:p>
            <w:pPr>
              <w:spacing w:after="0"/>
              <w:rPr>
                <w:sz w:val="6"/>
                <w:szCs w:val="6"/>
                <w:color w:val="auto"/>
              </w:rPr>
            </w:pPr>
          </w:p>
        </w:tc>
        <w:tc>
          <w:tcPr>
            <w:tcW w:w="500" w:type="dxa"/>
            <w:vAlign w:val="bottom"/>
            <w:tcBorders>
              <w:right w:val="single" w:sz="8" w:color="auto"/>
            </w:tcBorders>
            <w:shd w:val="clear" w:color="auto" w:fill="F2F2F2"/>
          </w:tcPr>
          <w:p>
            <w:pPr>
              <w:spacing w:after="0"/>
              <w:rPr>
                <w:sz w:val="6"/>
                <w:szCs w:val="6"/>
                <w:color w:val="auto"/>
              </w:rPr>
            </w:pPr>
          </w:p>
        </w:tc>
        <w:tc>
          <w:tcPr>
            <w:tcW w:w="2200" w:type="dxa"/>
            <w:vAlign w:val="bottom"/>
            <w:tcBorders>
              <w:right w:val="single" w:sz="8" w:color="auto"/>
            </w:tcBorders>
            <w:gridSpan w:val="3"/>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80" w:type="dxa"/>
            <w:vAlign w:val="bottom"/>
            <w:tcBorders>
              <w:top w:val="single" w:sz="8" w:color="F2F2F2"/>
              <w:left w:val="single" w:sz="8" w:color="auto"/>
              <w:bottom w:val="single" w:sz="8" w:color="auto"/>
            </w:tcBorders>
            <w:shd w:val="clear" w:color="auto" w:fill="F2F2F2"/>
          </w:tcPr>
          <w:p>
            <w:pPr>
              <w:spacing w:after="0"/>
              <w:rPr>
                <w:sz w:val="10"/>
                <w:szCs w:val="10"/>
                <w:color w:val="auto"/>
              </w:rPr>
            </w:pPr>
          </w:p>
        </w:tc>
        <w:tc>
          <w:tcPr>
            <w:tcW w:w="1420" w:type="dxa"/>
            <w:vAlign w:val="bottom"/>
            <w:tcBorders>
              <w:top w:val="single" w:sz="8" w:color="F2F2F2"/>
              <w:bottom w:val="single" w:sz="8" w:color="auto"/>
              <w:right w:val="single" w:sz="8" w:color="auto"/>
            </w:tcBorders>
            <w:gridSpan w:val="3"/>
            <w:vMerge w:val="continue"/>
            <w:shd w:val="clear" w:color="auto" w:fill="F2F2F2"/>
          </w:tcPr>
          <w:p>
            <w:pPr>
              <w:spacing w:after="0"/>
              <w:rPr>
                <w:sz w:val="10"/>
                <w:szCs w:val="10"/>
                <w:color w:val="auto"/>
              </w:rPr>
            </w:pPr>
          </w:p>
        </w:tc>
        <w:tc>
          <w:tcPr>
            <w:tcW w:w="80" w:type="dxa"/>
            <w:vAlign w:val="bottom"/>
            <w:tcBorders>
              <w:top w:val="single" w:sz="8" w:color="F2F2F2"/>
              <w:bottom w:val="single" w:sz="8" w:color="auto"/>
            </w:tcBorders>
            <w:shd w:val="clear" w:color="auto" w:fill="F2F2F2"/>
          </w:tcPr>
          <w:p>
            <w:pPr>
              <w:spacing w:after="0"/>
              <w:rPr>
                <w:sz w:val="10"/>
                <w:szCs w:val="10"/>
                <w:color w:val="auto"/>
              </w:rPr>
            </w:pPr>
          </w:p>
        </w:tc>
        <w:tc>
          <w:tcPr>
            <w:tcW w:w="1160" w:type="dxa"/>
            <w:vAlign w:val="bottom"/>
            <w:tcBorders>
              <w:top w:val="single" w:sz="8" w:color="F2F2F2"/>
              <w:bottom w:val="single" w:sz="8" w:color="auto"/>
            </w:tcBorders>
            <w:shd w:val="clear" w:color="auto" w:fill="F2F2F2"/>
          </w:tcPr>
          <w:p>
            <w:pPr>
              <w:spacing w:after="0"/>
              <w:rPr>
                <w:sz w:val="10"/>
                <w:szCs w:val="10"/>
                <w:color w:val="auto"/>
              </w:rPr>
            </w:pPr>
          </w:p>
        </w:tc>
        <w:tc>
          <w:tcPr>
            <w:tcW w:w="4020" w:type="dxa"/>
            <w:vAlign w:val="bottom"/>
            <w:tcBorders>
              <w:top w:val="single" w:sz="8" w:color="F2F2F2"/>
              <w:bottom w:val="single" w:sz="8" w:color="auto"/>
              <w:right w:val="single" w:sz="8" w:color="auto"/>
            </w:tcBorders>
            <w:shd w:val="clear" w:color="auto" w:fill="F2F2F2"/>
          </w:tcPr>
          <w:p>
            <w:pPr>
              <w:spacing w:after="0"/>
              <w:rPr>
                <w:sz w:val="10"/>
                <w:szCs w:val="10"/>
                <w:color w:val="auto"/>
              </w:rPr>
            </w:pPr>
          </w:p>
        </w:tc>
        <w:tc>
          <w:tcPr>
            <w:tcW w:w="1340" w:type="dxa"/>
            <w:vAlign w:val="bottom"/>
            <w:tcBorders>
              <w:top w:val="single" w:sz="8" w:color="F2F2F2"/>
              <w:bottom w:val="single" w:sz="8" w:color="auto"/>
            </w:tcBorders>
            <w:shd w:val="clear" w:color="auto" w:fill="F2F2F2"/>
          </w:tcPr>
          <w:p>
            <w:pPr>
              <w:spacing w:after="0"/>
              <w:rPr>
                <w:sz w:val="10"/>
                <w:szCs w:val="10"/>
                <w:color w:val="auto"/>
              </w:rPr>
            </w:pPr>
          </w:p>
        </w:tc>
        <w:tc>
          <w:tcPr>
            <w:tcW w:w="460" w:type="dxa"/>
            <w:vAlign w:val="bottom"/>
            <w:tcBorders>
              <w:top w:val="single" w:sz="8" w:color="F2F2F2"/>
              <w:bottom w:val="single" w:sz="8" w:color="auto"/>
            </w:tcBorders>
            <w:shd w:val="clear" w:color="auto" w:fill="F2F2F2"/>
          </w:tcPr>
          <w:p>
            <w:pPr>
              <w:spacing w:after="0"/>
              <w:rPr>
                <w:sz w:val="10"/>
                <w:szCs w:val="10"/>
                <w:color w:val="auto"/>
              </w:rPr>
            </w:pPr>
          </w:p>
        </w:tc>
        <w:tc>
          <w:tcPr>
            <w:tcW w:w="500" w:type="dxa"/>
            <w:vAlign w:val="bottom"/>
            <w:tcBorders>
              <w:top w:val="single" w:sz="8" w:color="F2F2F2"/>
              <w:bottom w:val="single" w:sz="8" w:color="auto"/>
              <w:right w:val="single" w:sz="8" w:color="auto"/>
            </w:tcBorders>
            <w:shd w:val="clear" w:color="auto" w:fill="F2F2F2"/>
          </w:tcPr>
          <w:p>
            <w:pPr>
              <w:spacing w:after="0"/>
              <w:rPr>
                <w:sz w:val="10"/>
                <w:szCs w:val="10"/>
                <w:color w:val="auto"/>
              </w:rPr>
            </w:pPr>
          </w:p>
        </w:tc>
        <w:tc>
          <w:tcPr>
            <w:tcW w:w="580" w:type="dxa"/>
            <w:vAlign w:val="bottom"/>
            <w:tcBorders>
              <w:top w:val="single" w:sz="8" w:color="auto"/>
              <w:bottom w:val="single" w:sz="8" w:color="auto"/>
            </w:tcBorders>
            <w:shd w:val="clear" w:color="auto" w:fill="F2F2F2"/>
          </w:tcPr>
          <w:p>
            <w:pPr>
              <w:spacing w:after="0"/>
              <w:rPr>
                <w:sz w:val="10"/>
                <w:szCs w:val="10"/>
                <w:color w:val="auto"/>
              </w:rPr>
            </w:pPr>
          </w:p>
        </w:tc>
        <w:tc>
          <w:tcPr>
            <w:tcW w:w="440" w:type="dxa"/>
            <w:vAlign w:val="bottom"/>
            <w:tcBorders>
              <w:top w:val="single" w:sz="8" w:color="auto"/>
              <w:bottom w:val="single" w:sz="8" w:color="auto"/>
            </w:tcBorders>
            <w:shd w:val="clear" w:color="auto" w:fill="F2F2F2"/>
          </w:tcPr>
          <w:p>
            <w:pPr>
              <w:spacing w:after="0"/>
              <w:rPr>
                <w:sz w:val="10"/>
                <w:szCs w:val="10"/>
                <w:color w:val="auto"/>
              </w:rPr>
            </w:pPr>
          </w:p>
        </w:tc>
        <w:tc>
          <w:tcPr>
            <w:tcW w:w="1180" w:type="dxa"/>
            <w:vAlign w:val="bottom"/>
            <w:tcBorders>
              <w:top w:val="single" w:sz="8" w:color="F2F2F2"/>
              <w:bottom w:val="single" w:sz="8" w:color="auto"/>
              <w:right w:val="single" w:sz="8" w:color="auto"/>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80" w:type="dxa"/>
            <w:vAlign w:val="bottom"/>
            <w:tcBorders>
              <w:left w:val="single" w:sz="8" w:color="auto"/>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9"/>
                <w:szCs w:val="19"/>
                <w:color w:val="auto"/>
              </w:rPr>
              <w:t>Tier I</w:t>
            </w:r>
          </w:p>
        </w:tc>
        <w:tc>
          <w:tcPr>
            <w:tcW w:w="52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auto"/>
              </w:rPr>
              <w:t>1.5x base salary + 1.0x pro-rata target bonus</w:t>
            </w:r>
          </w:p>
        </w:tc>
        <w:tc>
          <w:tcPr>
            <w:tcW w:w="23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9"/>
                <w:szCs w:val="19"/>
                <w:color w:val="auto"/>
              </w:rPr>
              <w:t>18 months</w:t>
            </w:r>
          </w:p>
        </w:tc>
        <w:tc>
          <w:tcPr>
            <w:tcW w:w="5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9"/>
                <w:szCs w:val="19"/>
                <w:color w:val="auto"/>
                <w:w w:val="81"/>
              </w:rPr>
              <w:t>100%</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0" w:type="dxa"/>
            <w:vAlign w:val="bottom"/>
            <w:tcBorders>
              <w:left w:val="single" w:sz="8" w:color="auto"/>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9"/>
                <w:szCs w:val="19"/>
                <w:color w:val="auto"/>
              </w:rPr>
              <w:t>Tier II</w:t>
            </w:r>
          </w:p>
        </w:tc>
        <w:tc>
          <w:tcPr>
            <w:tcW w:w="52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auto"/>
              </w:rPr>
              <w:t>1.0x base salary + 1.0x pro-rata target bonus</w:t>
            </w:r>
          </w:p>
        </w:tc>
        <w:tc>
          <w:tcPr>
            <w:tcW w:w="23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9"/>
                <w:szCs w:val="19"/>
                <w:color w:val="auto"/>
              </w:rPr>
              <w:t>12 months</w:t>
            </w:r>
          </w:p>
        </w:tc>
        <w:tc>
          <w:tcPr>
            <w:tcW w:w="5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9"/>
                <w:szCs w:val="19"/>
                <w:color w:val="auto"/>
                <w:w w:val="81"/>
              </w:rPr>
              <w:t>100%</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64" w:right="319" w:bottom="1440" w:gutter="0" w:footer="0" w:header="0"/>
        </w:sectPr>
      </w:pPr>
    </w:p>
    <w:bookmarkStart w:id="128" w:name="page129"/>
    <w:bookmarkEnd w:id="128"/>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SCHEDULE B</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SCHEDULE OF NON-CHANGE IN CONTROL SEVERANCE BENEFITS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0" w:type="dxa"/>
            <w:vAlign w:val="bottom"/>
            <w:tcBorders>
              <w:top w:val="single" w:sz="8" w:color="auto"/>
              <w:left w:val="single" w:sz="8" w:color="auto"/>
            </w:tcBorders>
            <w:shd w:val="clear" w:color="auto" w:fill="F2F2F2"/>
          </w:tcPr>
          <w:p>
            <w:pPr>
              <w:spacing w:after="0"/>
              <w:rPr>
                <w:sz w:val="17"/>
                <w:szCs w:val="17"/>
                <w:color w:val="auto"/>
              </w:rPr>
            </w:pPr>
          </w:p>
        </w:tc>
        <w:tc>
          <w:tcPr>
            <w:tcW w:w="1420" w:type="dxa"/>
            <w:vAlign w:val="bottom"/>
            <w:tcBorders>
              <w:top w:val="single" w:sz="8" w:color="auto"/>
              <w:right w:val="single" w:sz="8" w:color="auto"/>
            </w:tcBorders>
            <w:gridSpan w:val="3"/>
            <w:shd w:val="clear" w:color="auto" w:fill="F2F2F2"/>
          </w:tcPr>
          <w:p>
            <w:pPr>
              <w:spacing w:after="0" w:line="207" w:lineRule="exact"/>
              <w:rPr>
                <w:sz w:val="20"/>
                <w:szCs w:val="20"/>
                <w:color w:val="auto"/>
              </w:rPr>
            </w:pPr>
            <w:r>
              <w:rPr>
                <w:rFonts w:ascii="Times New Roman" w:cs="Times New Roman" w:eastAsia="Times New Roman" w:hAnsi="Times New Roman"/>
                <w:sz w:val="19"/>
                <w:szCs w:val="19"/>
                <w:b w:val="1"/>
                <w:bCs w:val="1"/>
                <w:color w:val="auto"/>
              </w:rPr>
              <w:t>Eligible</w:t>
            </w:r>
          </w:p>
        </w:tc>
        <w:tc>
          <w:tcPr>
            <w:tcW w:w="5260" w:type="dxa"/>
            <w:vAlign w:val="bottom"/>
            <w:tcBorders>
              <w:top w:val="single" w:sz="8" w:color="auto"/>
              <w:right w:val="single" w:sz="8" w:color="auto"/>
            </w:tcBorders>
            <w:gridSpan w:val="3"/>
            <w:vMerge w:val="restart"/>
            <w:shd w:val="clear" w:color="auto" w:fill="F2F2F2"/>
          </w:tcPr>
          <w:p>
            <w:pPr>
              <w:ind w:left="80"/>
              <w:spacing w:after="0"/>
              <w:rPr>
                <w:sz w:val="20"/>
                <w:szCs w:val="20"/>
                <w:color w:val="auto"/>
              </w:rPr>
            </w:pPr>
            <w:r>
              <w:rPr>
                <w:rFonts w:ascii="Times New Roman" w:cs="Times New Roman" w:eastAsia="Times New Roman" w:hAnsi="Times New Roman"/>
                <w:sz w:val="19"/>
                <w:szCs w:val="19"/>
                <w:b w:val="1"/>
                <w:bCs w:val="1"/>
                <w:color w:val="auto"/>
              </w:rPr>
              <w:t>Severance Pay</w:t>
            </w:r>
          </w:p>
        </w:tc>
        <w:tc>
          <w:tcPr>
            <w:tcW w:w="2300" w:type="dxa"/>
            <w:vAlign w:val="bottom"/>
            <w:tcBorders>
              <w:top w:val="single" w:sz="8" w:color="auto"/>
              <w:right w:val="single" w:sz="8" w:color="auto"/>
            </w:tcBorders>
            <w:gridSpan w:val="3"/>
            <w:shd w:val="clear" w:color="auto" w:fill="F2F2F2"/>
          </w:tcPr>
          <w:p>
            <w:pPr>
              <w:spacing w:after="0" w:line="207" w:lineRule="exact"/>
              <w:rPr>
                <w:sz w:val="20"/>
                <w:szCs w:val="20"/>
                <w:color w:val="auto"/>
              </w:rPr>
            </w:pPr>
            <w:r>
              <w:rPr>
                <w:rFonts w:ascii="Times New Roman" w:cs="Times New Roman" w:eastAsia="Times New Roman" w:hAnsi="Times New Roman"/>
                <w:sz w:val="19"/>
                <w:szCs w:val="19"/>
                <w:b w:val="1"/>
                <w:bCs w:val="1"/>
                <w:color w:val="auto"/>
              </w:rPr>
              <w:t>COBRA Continuation</w:t>
            </w:r>
          </w:p>
        </w:tc>
        <w:tc>
          <w:tcPr>
            <w:tcW w:w="2200" w:type="dxa"/>
            <w:vAlign w:val="bottom"/>
            <w:tcBorders>
              <w:top w:val="single" w:sz="8" w:color="auto"/>
              <w:right w:val="single" w:sz="8" w:color="auto"/>
            </w:tcBorders>
            <w:gridSpan w:val="3"/>
            <w:vMerge w:val="restart"/>
            <w:shd w:val="clear" w:color="auto" w:fill="F2F2F2"/>
          </w:tcPr>
          <w:p>
            <w:pPr>
              <w:spacing w:after="0"/>
              <w:rPr>
                <w:sz w:val="20"/>
                <w:szCs w:val="20"/>
                <w:color w:val="auto"/>
              </w:rPr>
            </w:pPr>
            <w:r>
              <w:rPr>
                <w:rFonts w:ascii="Times New Roman" w:cs="Times New Roman" w:eastAsia="Times New Roman" w:hAnsi="Times New Roman"/>
                <w:sz w:val="19"/>
                <w:szCs w:val="19"/>
                <w:b w:val="1"/>
                <w:bCs w:val="1"/>
                <w:color w:val="auto"/>
              </w:rPr>
              <w:t>Vesting</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F2F2F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F2F2F2"/>
            </w:tcBorders>
            <w:shd w:val="clear" w:color="auto" w:fill="F2F2F2"/>
          </w:tcPr>
          <w:p>
            <w:pPr>
              <w:spacing w:after="0" w:line="20" w:lineRule="exact"/>
              <w:rPr>
                <w:sz w:val="1"/>
                <w:szCs w:val="1"/>
                <w:color w:val="auto"/>
              </w:rPr>
            </w:pPr>
          </w:p>
        </w:tc>
        <w:tc>
          <w:tcPr>
            <w:tcW w:w="580" w:type="dxa"/>
            <w:vAlign w:val="bottom"/>
            <w:tcBorders>
              <w:right w:val="single" w:sz="8" w:color="auto"/>
            </w:tcBorders>
            <w:shd w:val="clear" w:color="auto" w:fill="F2F2F2"/>
          </w:tcPr>
          <w:p>
            <w:pPr>
              <w:spacing w:after="0" w:line="20" w:lineRule="exact"/>
              <w:rPr>
                <w:sz w:val="1"/>
                <w:szCs w:val="1"/>
                <w:color w:val="auto"/>
              </w:rPr>
            </w:pPr>
          </w:p>
        </w:tc>
        <w:tc>
          <w:tcPr>
            <w:tcW w:w="5260" w:type="dxa"/>
            <w:vAlign w:val="bottom"/>
            <w:tcBorders>
              <w:right w:val="single" w:sz="8" w:color="auto"/>
            </w:tcBorders>
            <w:gridSpan w:val="3"/>
            <w:vMerge w:val="continue"/>
            <w:shd w:val="clear" w:color="auto" w:fill="F2F2F2"/>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F2F2F2"/>
          </w:tcPr>
          <w:p>
            <w:pPr>
              <w:spacing w:after="0" w:line="20" w:lineRule="exact"/>
              <w:rPr>
                <w:sz w:val="1"/>
                <w:szCs w:val="1"/>
                <w:color w:val="auto"/>
              </w:rPr>
            </w:pPr>
          </w:p>
        </w:tc>
        <w:tc>
          <w:tcPr>
            <w:tcW w:w="2200" w:type="dxa"/>
            <w:vAlign w:val="bottom"/>
            <w:tcBorders>
              <w:right w:val="single" w:sz="8" w:color="auto"/>
            </w:tcBorders>
            <w:gridSpan w:val="3"/>
            <w:vMerge w:val="continue"/>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80" w:type="dxa"/>
            <w:vAlign w:val="bottom"/>
            <w:tcBorders>
              <w:left w:val="single" w:sz="8" w:color="auto"/>
            </w:tcBorders>
            <w:shd w:val="clear" w:color="auto" w:fill="F2F2F2"/>
          </w:tcPr>
          <w:p>
            <w:pPr>
              <w:spacing w:after="0"/>
              <w:rPr>
                <w:sz w:val="6"/>
                <w:szCs w:val="6"/>
                <w:color w:val="auto"/>
              </w:rPr>
            </w:pPr>
          </w:p>
        </w:tc>
        <w:tc>
          <w:tcPr>
            <w:tcW w:w="1420" w:type="dxa"/>
            <w:vAlign w:val="bottom"/>
            <w:tcBorders>
              <w:right w:val="single" w:sz="8" w:color="auto"/>
            </w:tcBorders>
            <w:gridSpan w:val="3"/>
            <w:vMerge w:val="restart"/>
            <w:shd w:val="clear" w:color="auto" w:fill="F2F2F2"/>
          </w:tcPr>
          <w:p>
            <w:pPr>
              <w:spacing w:after="0" w:line="148" w:lineRule="exact"/>
              <w:rPr>
                <w:sz w:val="20"/>
                <w:szCs w:val="20"/>
                <w:color w:val="auto"/>
              </w:rPr>
            </w:pPr>
            <w:r>
              <w:rPr>
                <w:rFonts w:ascii="Times New Roman" w:cs="Times New Roman" w:eastAsia="Times New Roman" w:hAnsi="Times New Roman"/>
                <w:sz w:val="17"/>
                <w:szCs w:val="17"/>
                <w:b w:val="1"/>
                <w:bCs w:val="1"/>
                <w:color w:val="auto"/>
              </w:rPr>
              <w:t>Employee</w:t>
            </w:r>
          </w:p>
        </w:tc>
        <w:tc>
          <w:tcPr>
            <w:tcW w:w="5260" w:type="dxa"/>
            <w:vAlign w:val="bottom"/>
            <w:tcBorders>
              <w:right w:val="single" w:sz="8" w:color="auto"/>
            </w:tcBorders>
            <w:gridSpan w:val="3"/>
            <w:vMerge w:val="continue"/>
            <w:shd w:val="clear" w:color="auto" w:fill="F2F2F2"/>
          </w:tcPr>
          <w:p>
            <w:pPr>
              <w:spacing w:after="0"/>
              <w:rPr>
                <w:sz w:val="6"/>
                <w:szCs w:val="6"/>
                <w:color w:val="auto"/>
              </w:rPr>
            </w:pPr>
          </w:p>
        </w:tc>
        <w:tc>
          <w:tcPr>
            <w:tcW w:w="2300" w:type="dxa"/>
            <w:vAlign w:val="bottom"/>
            <w:tcBorders>
              <w:right w:val="single" w:sz="8" w:color="auto"/>
            </w:tcBorders>
            <w:gridSpan w:val="3"/>
            <w:vMerge w:val="restart"/>
            <w:shd w:val="clear" w:color="auto" w:fill="F2F2F2"/>
          </w:tcPr>
          <w:p>
            <w:pPr>
              <w:spacing w:after="0" w:line="148" w:lineRule="exact"/>
              <w:rPr>
                <w:sz w:val="20"/>
                <w:szCs w:val="20"/>
                <w:color w:val="auto"/>
              </w:rPr>
            </w:pPr>
            <w:r>
              <w:rPr>
                <w:rFonts w:ascii="Times New Roman" w:cs="Times New Roman" w:eastAsia="Times New Roman" w:hAnsi="Times New Roman"/>
                <w:sz w:val="17"/>
                <w:szCs w:val="17"/>
                <w:b w:val="1"/>
                <w:bCs w:val="1"/>
                <w:color w:val="auto"/>
              </w:rPr>
              <w:t>Coverage Period</w:t>
            </w:r>
          </w:p>
        </w:tc>
        <w:tc>
          <w:tcPr>
            <w:tcW w:w="2200" w:type="dxa"/>
            <w:vAlign w:val="bottom"/>
            <w:tcBorders>
              <w:right w:val="single" w:sz="8" w:color="auto"/>
            </w:tcBorders>
            <w:gridSpan w:val="3"/>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F2F2F2"/>
          </w:tcPr>
          <w:p>
            <w:pPr>
              <w:spacing w:after="0" w:line="20" w:lineRule="exact"/>
              <w:rPr>
                <w:sz w:val="1"/>
                <w:szCs w:val="1"/>
                <w:color w:val="auto"/>
              </w:rPr>
            </w:pPr>
          </w:p>
        </w:tc>
        <w:tc>
          <w:tcPr>
            <w:tcW w:w="1420" w:type="dxa"/>
            <w:vAlign w:val="bottom"/>
            <w:tcBorders>
              <w:right w:val="single" w:sz="8" w:color="auto"/>
            </w:tcBorders>
            <w:gridSpan w:val="3"/>
            <w:vMerge w:val="continue"/>
            <w:shd w:val="clear" w:color="auto" w:fill="F2F2F2"/>
          </w:tcPr>
          <w:p>
            <w:pPr>
              <w:spacing w:after="0" w:line="20" w:lineRule="exact"/>
              <w:rPr>
                <w:sz w:val="1"/>
                <w:szCs w:val="1"/>
                <w:color w:val="auto"/>
              </w:rPr>
            </w:pPr>
          </w:p>
        </w:tc>
        <w:tc>
          <w:tcPr>
            <w:tcW w:w="5260" w:type="dxa"/>
            <w:vAlign w:val="bottom"/>
            <w:tcBorders>
              <w:right w:val="single" w:sz="8" w:color="auto"/>
            </w:tcBorders>
            <w:gridSpan w:val="3"/>
            <w:vMerge w:val="continue"/>
            <w:shd w:val="clear" w:color="auto" w:fill="F2F2F2"/>
          </w:tcPr>
          <w:p>
            <w:pPr>
              <w:spacing w:after="0" w:line="20" w:lineRule="exact"/>
              <w:rPr>
                <w:sz w:val="1"/>
                <w:szCs w:val="1"/>
                <w:color w:val="auto"/>
              </w:rPr>
            </w:pPr>
          </w:p>
        </w:tc>
        <w:tc>
          <w:tcPr>
            <w:tcW w:w="2300" w:type="dxa"/>
            <w:vAlign w:val="bottom"/>
            <w:tcBorders>
              <w:right w:val="single" w:sz="8" w:color="auto"/>
            </w:tcBorders>
            <w:gridSpan w:val="3"/>
            <w:vMerge w:val="continue"/>
            <w:shd w:val="clear" w:color="auto" w:fill="F2F2F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shd w:val="clear" w:color="auto" w:fill="F2F2F2"/>
          </w:tcPr>
          <w:p>
            <w:pPr>
              <w:spacing w:after="0" w:line="20" w:lineRule="exact"/>
              <w:rPr>
                <w:sz w:val="1"/>
                <w:szCs w:val="1"/>
                <w:color w:val="auto"/>
              </w:rPr>
            </w:pPr>
          </w:p>
        </w:tc>
        <w:tc>
          <w:tcPr>
            <w:tcW w:w="1180" w:type="dxa"/>
            <w:vAlign w:val="bottom"/>
            <w:tcBorders>
              <w:right w:val="single" w:sz="8" w:color="auto"/>
            </w:tcBorders>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80" w:type="dxa"/>
            <w:vAlign w:val="bottom"/>
            <w:tcBorders>
              <w:left w:val="single" w:sz="8" w:color="auto"/>
            </w:tcBorders>
            <w:shd w:val="clear" w:color="auto" w:fill="F2F2F2"/>
          </w:tcPr>
          <w:p>
            <w:pPr>
              <w:spacing w:after="0"/>
              <w:rPr>
                <w:sz w:val="6"/>
                <w:szCs w:val="6"/>
                <w:color w:val="auto"/>
              </w:rPr>
            </w:pPr>
          </w:p>
        </w:tc>
        <w:tc>
          <w:tcPr>
            <w:tcW w:w="1420" w:type="dxa"/>
            <w:vAlign w:val="bottom"/>
            <w:tcBorders>
              <w:right w:val="single" w:sz="8" w:color="auto"/>
            </w:tcBorders>
            <w:gridSpan w:val="3"/>
            <w:vMerge w:val="continue"/>
            <w:shd w:val="clear" w:color="auto" w:fill="F2F2F2"/>
          </w:tcPr>
          <w:p>
            <w:pPr>
              <w:spacing w:after="0"/>
              <w:rPr>
                <w:sz w:val="6"/>
                <w:szCs w:val="6"/>
                <w:color w:val="auto"/>
              </w:rPr>
            </w:pPr>
          </w:p>
        </w:tc>
        <w:tc>
          <w:tcPr>
            <w:tcW w:w="5260" w:type="dxa"/>
            <w:vAlign w:val="bottom"/>
            <w:tcBorders>
              <w:right w:val="single" w:sz="8" w:color="auto"/>
            </w:tcBorders>
            <w:gridSpan w:val="3"/>
            <w:vMerge w:val="continue"/>
            <w:shd w:val="clear" w:color="auto" w:fill="F2F2F2"/>
          </w:tcPr>
          <w:p>
            <w:pPr>
              <w:spacing w:after="0"/>
              <w:rPr>
                <w:sz w:val="6"/>
                <w:szCs w:val="6"/>
                <w:color w:val="auto"/>
              </w:rPr>
            </w:pPr>
          </w:p>
        </w:tc>
        <w:tc>
          <w:tcPr>
            <w:tcW w:w="2300" w:type="dxa"/>
            <w:vAlign w:val="bottom"/>
            <w:tcBorders>
              <w:right w:val="single" w:sz="8" w:color="auto"/>
            </w:tcBorders>
            <w:gridSpan w:val="3"/>
            <w:vMerge w:val="continue"/>
            <w:shd w:val="clear" w:color="auto" w:fill="F2F2F2"/>
          </w:tcPr>
          <w:p>
            <w:pPr>
              <w:spacing w:after="0"/>
              <w:rPr>
                <w:sz w:val="6"/>
                <w:szCs w:val="6"/>
                <w:color w:val="auto"/>
              </w:rPr>
            </w:pPr>
          </w:p>
        </w:tc>
        <w:tc>
          <w:tcPr>
            <w:tcW w:w="2200" w:type="dxa"/>
            <w:vAlign w:val="bottom"/>
            <w:tcBorders>
              <w:right w:val="single" w:sz="8" w:color="auto"/>
            </w:tcBorders>
            <w:gridSpan w:val="3"/>
            <w:vMerge w:val="restart"/>
            <w:shd w:val="clear" w:color="auto" w:fill="F2F2F2"/>
          </w:tcPr>
          <w:p>
            <w:pPr>
              <w:spacing w:after="0" w:line="173" w:lineRule="exact"/>
              <w:rPr>
                <w:sz w:val="20"/>
                <w:szCs w:val="20"/>
                <w:color w:val="auto"/>
              </w:rPr>
            </w:pPr>
            <w:r>
              <w:rPr>
                <w:rFonts w:ascii="Times New Roman" w:cs="Times New Roman" w:eastAsia="Times New Roman" w:hAnsi="Times New Roman"/>
                <w:sz w:val="19"/>
                <w:szCs w:val="19"/>
                <w:b w:val="1"/>
                <w:bCs w:val="1"/>
                <w:color w:val="auto"/>
              </w:rPr>
              <w:t>Acceleration</w:t>
            </w:r>
          </w:p>
        </w:tc>
        <w:tc>
          <w:tcPr>
            <w:tcW w:w="0" w:type="dxa"/>
            <w:vAlign w:val="bottom"/>
          </w:tcPr>
          <w:p>
            <w:pPr>
              <w:spacing w:after="0"/>
              <w:rPr>
                <w:sz w:val="1"/>
                <w:szCs w:val="1"/>
                <w:color w:val="auto"/>
              </w:rPr>
            </w:pPr>
          </w:p>
        </w:tc>
      </w:tr>
      <w:tr>
        <w:trPr>
          <w:trHeight w:val="26"/>
        </w:trPr>
        <w:tc>
          <w:tcPr>
            <w:tcW w:w="80" w:type="dxa"/>
            <w:vAlign w:val="bottom"/>
            <w:tcBorders>
              <w:left w:val="single" w:sz="8" w:color="auto"/>
            </w:tcBorders>
            <w:shd w:val="clear" w:color="auto" w:fill="F2F2F2"/>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F2F2F2"/>
            </w:tcBorders>
            <w:shd w:val="clear" w:color="auto" w:fill="000000"/>
          </w:tcPr>
          <w:p>
            <w:pPr>
              <w:spacing w:after="0"/>
              <w:rPr>
                <w:sz w:val="2"/>
                <w:szCs w:val="2"/>
                <w:color w:val="auto"/>
              </w:rPr>
            </w:pPr>
          </w:p>
        </w:tc>
        <w:tc>
          <w:tcPr>
            <w:tcW w:w="580" w:type="dxa"/>
            <w:vAlign w:val="bottom"/>
            <w:tcBorders>
              <w:right w:val="single" w:sz="8" w:color="auto"/>
            </w:tcBorders>
            <w:shd w:val="clear" w:color="auto" w:fill="F2F2F2"/>
          </w:tcPr>
          <w:p>
            <w:pPr>
              <w:spacing w:after="0"/>
              <w:rPr>
                <w:sz w:val="2"/>
                <w:szCs w:val="2"/>
                <w:color w:val="auto"/>
              </w:rPr>
            </w:pPr>
          </w:p>
        </w:tc>
        <w:tc>
          <w:tcPr>
            <w:tcW w:w="80" w:type="dxa"/>
            <w:vAlign w:val="bottom"/>
            <w:shd w:val="clear" w:color="auto" w:fill="F2F2F2"/>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20" w:type="dxa"/>
            <w:vAlign w:val="bottom"/>
            <w:tcBorders>
              <w:right w:val="single" w:sz="8" w:color="auto"/>
            </w:tcBorders>
            <w:shd w:val="clear" w:color="auto" w:fill="F2F2F2"/>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60" w:type="dxa"/>
            <w:vAlign w:val="bottom"/>
            <w:shd w:val="clear" w:color="auto" w:fill="F2F2F2"/>
          </w:tcPr>
          <w:p>
            <w:pPr>
              <w:spacing w:after="0"/>
              <w:rPr>
                <w:sz w:val="2"/>
                <w:szCs w:val="2"/>
                <w:color w:val="auto"/>
              </w:rPr>
            </w:pPr>
          </w:p>
        </w:tc>
        <w:tc>
          <w:tcPr>
            <w:tcW w:w="500" w:type="dxa"/>
            <w:vAlign w:val="bottom"/>
            <w:tcBorders>
              <w:right w:val="single" w:sz="8" w:color="auto"/>
            </w:tcBorders>
            <w:shd w:val="clear" w:color="auto" w:fill="F2F2F2"/>
          </w:tcPr>
          <w:p>
            <w:pPr>
              <w:spacing w:after="0"/>
              <w:rPr>
                <w:sz w:val="2"/>
                <w:szCs w:val="2"/>
                <w:color w:val="auto"/>
              </w:rPr>
            </w:pPr>
          </w:p>
        </w:tc>
        <w:tc>
          <w:tcPr>
            <w:tcW w:w="2200" w:type="dxa"/>
            <w:vAlign w:val="bottom"/>
            <w:tcBorders>
              <w:right w:val="single" w:sz="8" w:color="auto"/>
            </w:tcBorders>
            <w:gridSpan w:val="3"/>
            <w:vMerge w:val="continue"/>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80" w:type="dxa"/>
            <w:vAlign w:val="bottom"/>
            <w:tcBorders>
              <w:left w:val="single" w:sz="8" w:color="auto"/>
            </w:tcBorders>
            <w:shd w:val="clear" w:color="auto" w:fill="F2F2F2"/>
          </w:tcPr>
          <w:p>
            <w:pPr>
              <w:spacing w:after="0"/>
              <w:rPr>
                <w:sz w:val="6"/>
                <w:szCs w:val="6"/>
                <w:color w:val="auto"/>
              </w:rPr>
            </w:pPr>
          </w:p>
        </w:tc>
        <w:tc>
          <w:tcPr>
            <w:tcW w:w="1420" w:type="dxa"/>
            <w:vAlign w:val="bottom"/>
            <w:tcBorders>
              <w:right w:val="single" w:sz="8" w:color="auto"/>
            </w:tcBorders>
            <w:gridSpan w:val="3"/>
            <w:vMerge w:val="restart"/>
            <w:shd w:val="clear" w:color="auto" w:fill="F2F2F2"/>
          </w:tcPr>
          <w:p>
            <w:pPr>
              <w:spacing w:after="0" w:line="181" w:lineRule="exact"/>
              <w:rPr>
                <w:sz w:val="20"/>
                <w:szCs w:val="20"/>
                <w:color w:val="auto"/>
              </w:rPr>
            </w:pPr>
            <w:r>
              <w:rPr>
                <w:rFonts w:ascii="Times New Roman" w:cs="Times New Roman" w:eastAsia="Times New Roman" w:hAnsi="Times New Roman"/>
                <w:sz w:val="19"/>
                <w:szCs w:val="19"/>
                <w:b w:val="1"/>
                <w:bCs w:val="1"/>
                <w:color w:val="auto"/>
              </w:rPr>
              <w:t>Tier Level</w:t>
            </w:r>
          </w:p>
        </w:tc>
        <w:tc>
          <w:tcPr>
            <w:tcW w:w="80" w:type="dxa"/>
            <w:vAlign w:val="bottom"/>
            <w:shd w:val="clear" w:color="auto" w:fill="F2F2F2"/>
          </w:tcPr>
          <w:p>
            <w:pPr>
              <w:spacing w:after="0"/>
              <w:rPr>
                <w:sz w:val="6"/>
                <w:szCs w:val="6"/>
                <w:color w:val="auto"/>
              </w:rPr>
            </w:pPr>
          </w:p>
        </w:tc>
        <w:tc>
          <w:tcPr>
            <w:tcW w:w="1160" w:type="dxa"/>
            <w:vAlign w:val="bottom"/>
            <w:shd w:val="clear" w:color="auto" w:fill="F2F2F2"/>
          </w:tcPr>
          <w:p>
            <w:pPr>
              <w:spacing w:after="0"/>
              <w:rPr>
                <w:sz w:val="6"/>
                <w:szCs w:val="6"/>
                <w:color w:val="auto"/>
              </w:rPr>
            </w:pPr>
          </w:p>
        </w:tc>
        <w:tc>
          <w:tcPr>
            <w:tcW w:w="4020" w:type="dxa"/>
            <w:vAlign w:val="bottom"/>
            <w:tcBorders>
              <w:right w:val="single" w:sz="8" w:color="auto"/>
            </w:tcBorders>
            <w:shd w:val="clear" w:color="auto" w:fill="F2F2F2"/>
          </w:tcPr>
          <w:p>
            <w:pPr>
              <w:spacing w:after="0"/>
              <w:rPr>
                <w:sz w:val="6"/>
                <w:szCs w:val="6"/>
                <w:color w:val="auto"/>
              </w:rPr>
            </w:pPr>
          </w:p>
        </w:tc>
        <w:tc>
          <w:tcPr>
            <w:tcW w:w="1340" w:type="dxa"/>
            <w:vAlign w:val="bottom"/>
            <w:shd w:val="clear" w:color="auto" w:fill="F2F2F2"/>
          </w:tcPr>
          <w:p>
            <w:pPr>
              <w:spacing w:after="0"/>
              <w:rPr>
                <w:sz w:val="6"/>
                <w:szCs w:val="6"/>
                <w:color w:val="auto"/>
              </w:rPr>
            </w:pPr>
          </w:p>
        </w:tc>
        <w:tc>
          <w:tcPr>
            <w:tcW w:w="460" w:type="dxa"/>
            <w:vAlign w:val="bottom"/>
            <w:shd w:val="clear" w:color="auto" w:fill="F2F2F2"/>
          </w:tcPr>
          <w:p>
            <w:pPr>
              <w:spacing w:after="0"/>
              <w:rPr>
                <w:sz w:val="6"/>
                <w:szCs w:val="6"/>
                <w:color w:val="auto"/>
              </w:rPr>
            </w:pPr>
          </w:p>
        </w:tc>
        <w:tc>
          <w:tcPr>
            <w:tcW w:w="500" w:type="dxa"/>
            <w:vAlign w:val="bottom"/>
            <w:tcBorders>
              <w:right w:val="single" w:sz="8" w:color="auto"/>
            </w:tcBorders>
            <w:shd w:val="clear" w:color="auto" w:fill="F2F2F2"/>
          </w:tcPr>
          <w:p>
            <w:pPr>
              <w:spacing w:after="0"/>
              <w:rPr>
                <w:sz w:val="6"/>
                <w:szCs w:val="6"/>
                <w:color w:val="auto"/>
              </w:rPr>
            </w:pPr>
          </w:p>
        </w:tc>
        <w:tc>
          <w:tcPr>
            <w:tcW w:w="2200" w:type="dxa"/>
            <w:vAlign w:val="bottom"/>
            <w:tcBorders>
              <w:right w:val="single" w:sz="8" w:color="auto"/>
            </w:tcBorders>
            <w:gridSpan w:val="3"/>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80" w:type="dxa"/>
            <w:vAlign w:val="bottom"/>
            <w:tcBorders>
              <w:top w:val="single" w:sz="8" w:color="F2F2F2"/>
              <w:left w:val="single" w:sz="8" w:color="auto"/>
              <w:bottom w:val="single" w:sz="8" w:color="auto"/>
            </w:tcBorders>
            <w:shd w:val="clear" w:color="auto" w:fill="F2F2F2"/>
          </w:tcPr>
          <w:p>
            <w:pPr>
              <w:spacing w:after="0"/>
              <w:rPr>
                <w:sz w:val="10"/>
                <w:szCs w:val="10"/>
                <w:color w:val="auto"/>
              </w:rPr>
            </w:pPr>
          </w:p>
        </w:tc>
        <w:tc>
          <w:tcPr>
            <w:tcW w:w="1420" w:type="dxa"/>
            <w:vAlign w:val="bottom"/>
            <w:tcBorders>
              <w:top w:val="single" w:sz="8" w:color="F2F2F2"/>
              <w:bottom w:val="single" w:sz="8" w:color="auto"/>
              <w:right w:val="single" w:sz="8" w:color="auto"/>
            </w:tcBorders>
            <w:gridSpan w:val="3"/>
            <w:vMerge w:val="continue"/>
            <w:shd w:val="clear" w:color="auto" w:fill="F2F2F2"/>
          </w:tcPr>
          <w:p>
            <w:pPr>
              <w:spacing w:after="0"/>
              <w:rPr>
                <w:sz w:val="10"/>
                <w:szCs w:val="10"/>
                <w:color w:val="auto"/>
              </w:rPr>
            </w:pPr>
          </w:p>
        </w:tc>
        <w:tc>
          <w:tcPr>
            <w:tcW w:w="80" w:type="dxa"/>
            <w:vAlign w:val="bottom"/>
            <w:tcBorders>
              <w:top w:val="single" w:sz="8" w:color="F2F2F2"/>
              <w:bottom w:val="single" w:sz="8" w:color="auto"/>
            </w:tcBorders>
            <w:shd w:val="clear" w:color="auto" w:fill="F2F2F2"/>
          </w:tcPr>
          <w:p>
            <w:pPr>
              <w:spacing w:after="0"/>
              <w:rPr>
                <w:sz w:val="10"/>
                <w:szCs w:val="10"/>
                <w:color w:val="auto"/>
              </w:rPr>
            </w:pPr>
          </w:p>
        </w:tc>
        <w:tc>
          <w:tcPr>
            <w:tcW w:w="1160" w:type="dxa"/>
            <w:vAlign w:val="bottom"/>
            <w:tcBorders>
              <w:top w:val="single" w:sz="8" w:color="F2F2F2"/>
              <w:bottom w:val="single" w:sz="8" w:color="auto"/>
            </w:tcBorders>
            <w:shd w:val="clear" w:color="auto" w:fill="F2F2F2"/>
          </w:tcPr>
          <w:p>
            <w:pPr>
              <w:spacing w:after="0"/>
              <w:rPr>
                <w:sz w:val="10"/>
                <w:szCs w:val="10"/>
                <w:color w:val="auto"/>
              </w:rPr>
            </w:pPr>
          </w:p>
        </w:tc>
        <w:tc>
          <w:tcPr>
            <w:tcW w:w="4020" w:type="dxa"/>
            <w:vAlign w:val="bottom"/>
            <w:tcBorders>
              <w:top w:val="single" w:sz="8" w:color="F2F2F2"/>
              <w:bottom w:val="single" w:sz="8" w:color="auto"/>
              <w:right w:val="single" w:sz="8" w:color="auto"/>
            </w:tcBorders>
            <w:shd w:val="clear" w:color="auto" w:fill="F2F2F2"/>
          </w:tcPr>
          <w:p>
            <w:pPr>
              <w:spacing w:after="0"/>
              <w:rPr>
                <w:sz w:val="10"/>
                <w:szCs w:val="10"/>
                <w:color w:val="auto"/>
              </w:rPr>
            </w:pPr>
          </w:p>
        </w:tc>
        <w:tc>
          <w:tcPr>
            <w:tcW w:w="1340" w:type="dxa"/>
            <w:vAlign w:val="bottom"/>
            <w:tcBorders>
              <w:top w:val="single" w:sz="8" w:color="F2F2F2"/>
              <w:bottom w:val="single" w:sz="8" w:color="auto"/>
            </w:tcBorders>
            <w:shd w:val="clear" w:color="auto" w:fill="F2F2F2"/>
          </w:tcPr>
          <w:p>
            <w:pPr>
              <w:spacing w:after="0"/>
              <w:rPr>
                <w:sz w:val="10"/>
                <w:szCs w:val="10"/>
                <w:color w:val="auto"/>
              </w:rPr>
            </w:pPr>
          </w:p>
        </w:tc>
        <w:tc>
          <w:tcPr>
            <w:tcW w:w="460" w:type="dxa"/>
            <w:vAlign w:val="bottom"/>
            <w:tcBorders>
              <w:top w:val="single" w:sz="8" w:color="F2F2F2"/>
              <w:bottom w:val="single" w:sz="8" w:color="auto"/>
            </w:tcBorders>
            <w:shd w:val="clear" w:color="auto" w:fill="F2F2F2"/>
          </w:tcPr>
          <w:p>
            <w:pPr>
              <w:spacing w:after="0"/>
              <w:rPr>
                <w:sz w:val="10"/>
                <w:szCs w:val="10"/>
                <w:color w:val="auto"/>
              </w:rPr>
            </w:pPr>
          </w:p>
        </w:tc>
        <w:tc>
          <w:tcPr>
            <w:tcW w:w="500" w:type="dxa"/>
            <w:vAlign w:val="bottom"/>
            <w:tcBorders>
              <w:top w:val="single" w:sz="8" w:color="F2F2F2"/>
              <w:bottom w:val="single" w:sz="8" w:color="auto"/>
              <w:right w:val="single" w:sz="8" w:color="auto"/>
            </w:tcBorders>
            <w:shd w:val="clear" w:color="auto" w:fill="F2F2F2"/>
          </w:tcPr>
          <w:p>
            <w:pPr>
              <w:spacing w:after="0"/>
              <w:rPr>
                <w:sz w:val="10"/>
                <w:szCs w:val="10"/>
                <w:color w:val="auto"/>
              </w:rPr>
            </w:pPr>
          </w:p>
        </w:tc>
        <w:tc>
          <w:tcPr>
            <w:tcW w:w="580" w:type="dxa"/>
            <w:vAlign w:val="bottom"/>
            <w:tcBorders>
              <w:top w:val="single" w:sz="8" w:color="auto"/>
              <w:bottom w:val="single" w:sz="8" w:color="auto"/>
            </w:tcBorders>
            <w:shd w:val="clear" w:color="auto" w:fill="F2F2F2"/>
          </w:tcPr>
          <w:p>
            <w:pPr>
              <w:spacing w:after="0"/>
              <w:rPr>
                <w:sz w:val="10"/>
                <w:szCs w:val="10"/>
                <w:color w:val="auto"/>
              </w:rPr>
            </w:pPr>
          </w:p>
        </w:tc>
        <w:tc>
          <w:tcPr>
            <w:tcW w:w="440" w:type="dxa"/>
            <w:vAlign w:val="bottom"/>
            <w:tcBorders>
              <w:top w:val="single" w:sz="8" w:color="auto"/>
              <w:bottom w:val="single" w:sz="8" w:color="auto"/>
            </w:tcBorders>
            <w:shd w:val="clear" w:color="auto" w:fill="F2F2F2"/>
          </w:tcPr>
          <w:p>
            <w:pPr>
              <w:spacing w:after="0"/>
              <w:rPr>
                <w:sz w:val="10"/>
                <w:szCs w:val="10"/>
                <w:color w:val="auto"/>
              </w:rPr>
            </w:pPr>
          </w:p>
        </w:tc>
        <w:tc>
          <w:tcPr>
            <w:tcW w:w="1180" w:type="dxa"/>
            <w:vAlign w:val="bottom"/>
            <w:tcBorders>
              <w:top w:val="single" w:sz="8" w:color="F2F2F2"/>
              <w:bottom w:val="single" w:sz="8" w:color="auto"/>
              <w:right w:val="single" w:sz="8" w:color="auto"/>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80" w:type="dxa"/>
            <w:vAlign w:val="bottom"/>
            <w:tcBorders>
              <w:left w:val="single" w:sz="8" w:color="auto"/>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9"/>
                <w:szCs w:val="19"/>
                <w:color w:val="auto"/>
              </w:rPr>
              <w:t>Tier I</w:t>
            </w:r>
          </w:p>
        </w:tc>
        <w:tc>
          <w:tcPr>
            <w:tcW w:w="52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auto"/>
              </w:rPr>
              <w:t>1.0x base salary</w:t>
            </w:r>
          </w:p>
        </w:tc>
        <w:tc>
          <w:tcPr>
            <w:tcW w:w="23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9"/>
                <w:szCs w:val="19"/>
                <w:color w:val="auto"/>
              </w:rPr>
              <w:t>12 months</w:t>
            </w:r>
          </w:p>
        </w:tc>
        <w:tc>
          <w:tcPr>
            <w:tcW w:w="58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9"/>
                <w:szCs w:val="19"/>
                <w:color w:val="auto"/>
                <w:w w:val="70"/>
              </w:rPr>
              <w:t>0%</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0" w:type="dxa"/>
            <w:vAlign w:val="bottom"/>
            <w:tcBorders>
              <w:left w:val="single" w:sz="8" w:color="auto"/>
              <w:bottom w:val="single" w:sz="8" w:color="auto"/>
            </w:tcBorders>
          </w:tcPr>
          <w:p>
            <w:pPr>
              <w:spacing w:after="0"/>
              <w:rPr>
                <w:sz w:val="20"/>
                <w:szCs w:val="20"/>
                <w:color w:val="auto"/>
              </w:rPr>
            </w:pPr>
          </w:p>
        </w:tc>
        <w:tc>
          <w:tcPr>
            <w:tcW w:w="14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9"/>
                <w:szCs w:val="19"/>
                <w:color w:val="auto"/>
              </w:rPr>
              <w:t>Tier II</w:t>
            </w:r>
          </w:p>
        </w:tc>
        <w:tc>
          <w:tcPr>
            <w:tcW w:w="526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9"/>
                <w:szCs w:val="19"/>
                <w:color w:val="auto"/>
              </w:rPr>
              <w:t>0.5x base salary</w:t>
            </w:r>
          </w:p>
        </w:tc>
        <w:tc>
          <w:tcPr>
            <w:tcW w:w="230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9"/>
                <w:szCs w:val="19"/>
                <w:color w:val="auto"/>
              </w:rPr>
              <w:t>6 months</w:t>
            </w:r>
          </w:p>
        </w:tc>
        <w:tc>
          <w:tcPr>
            <w:tcW w:w="58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9"/>
                <w:szCs w:val="19"/>
                <w:color w:val="auto"/>
                <w:w w:val="70"/>
              </w:rPr>
              <w:t>0%</w:t>
            </w:r>
          </w:p>
        </w:tc>
        <w:tc>
          <w:tcPr>
            <w:tcW w:w="4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63" w:right="3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AND 15d-14(a), AS ADOPTED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Max Levchin, certify that:</w:t>
      </w:r>
    </w:p>
    <w:p>
      <w:pPr>
        <w:spacing w:after="0" w:line="244" w:lineRule="exact"/>
        <w:rPr>
          <w:sz w:val="20"/>
          <w:szCs w:val="20"/>
          <w:color w:val="auto"/>
        </w:rPr>
      </w:pPr>
    </w:p>
    <w:p>
      <w:pPr>
        <w:ind w:left="1240" w:hanging="616"/>
        <w:spacing w:after="0"/>
        <w:tabs>
          <w:tab w:leader="none" w:pos="12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Affirm Holdings, Inc.;</w:t>
      </w:r>
    </w:p>
    <w:p>
      <w:pPr>
        <w:spacing w:after="0" w:line="243" w:lineRule="exact"/>
        <w:rPr>
          <w:rFonts w:ascii="Times New Roman" w:cs="Times New Roman" w:eastAsia="Times New Roman" w:hAnsi="Times New Roman"/>
          <w:sz w:val="17"/>
          <w:szCs w:val="17"/>
          <w:color w:val="auto"/>
        </w:rPr>
      </w:pPr>
    </w:p>
    <w:p>
      <w:pPr>
        <w:ind w:left="460" w:right="20" w:firstLine="164"/>
        <w:spacing w:after="0" w:line="288" w:lineRule="auto"/>
        <w:tabs>
          <w:tab w:leader="none" w:pos="123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460" w:right="200" w:firstLine="164"/>
        <w:spacing w:after="0" w:line="288" w:lineRule="auto"/>
        <w:tabs>
          <w:tab w:leader="none" w:pos="123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jc w:val="both"/>
        <w:ind w:left="460" w:right="100" w:firstLine="164"/>
        <w:spacing w:after="0" w:line="255" w:lineRule="auto"/>
        <w:tabs>
          <w:tab w:leader="none" w:pos="123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7"/>
          <w:szCs w:val="17"/>
          <w:color w:val="auto"/>
        </w:rPr>
      </w:pPr>
    </w:p>
    <w:p>
      <w:pPr>
        <w:ind w:left="1240" w:right="140" w:firstLine="159"/>
        <w:spacing w:after="0" w:line="270" w:lineRule="auto"/>
        <w:tabs>
          <w:tab w:leader="none" w:pos="18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jc w:val="both"/>
        <w:ind w:left="1240" w:right="260" w:firstLine="159"/>
        <w:spacing w:after="0" w:line="270" w:lineRule="auto"/>
        <w:tabs>
          <w:tab w:leader="none" w:pos="186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ind w:left="1240" w:right="100" w:firstLine="159"/>
        <w:spacing w:after="0" w:line="288" w:lineRule="auto"/>
        <w:tabs>
          <w:tab w:leader="none" w:pos="18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240" w:right="60" w:firstLine="159"/>
        <w:spacing w:after="0" w:line="270" w:lineRule="auto"/>
        <w:tabs>
          <w:tab w:leader="none" w:pos="186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17"/>
          <w:szCs w:val="17"/>
          <w:color w:val="auto"/>
        </w:rPr>
      </w:pPr>
    </w:p>
    <w:p>
      <w:pPr>
        <w:ind w:left="460" w:right="120" w:firstLine="164"/>
        <w:spacing w:after="0" w:line="288" w:lineRule="auto"/>
        <w:tabs>
          <w:tab w:leader="none" w:pos="123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right="300" w:firstLine="159"/>
        <w:spacing w:after="0" w:line="288" w:lineRule="auto"/>
        <w:tabs>
          <w:tab w:leader="none" w:pos="18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39" w:right="339" w:bottom="1440" w:gutter="0" w:footer="0" w:header="0"/>
        </w:sectPr>
      </w:pPr>
    </w:p>
    <w:bookmarkStart w:id="130" w:name="page131"/>
    <w:bookmarkEnd w:id="130"/>
    <w:p>
      <w:pPr>
        <w:ind w:left="1220" w:firstLine="159"/>
        <w:spacing w:after="0" w:line="288" w:lineRule="auto"/>
        <w:tabs>
          <w:tab w:leader="none" w:pos="18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1"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7"/>
          <w:szCs w:val="17"/>
          <w:color w:val="auto"/>
        </w:rPr>
        <w:t>Date: November 6, 2025</w:t>
      </w:r>
      <w:r>
        <w:rPr>
          <w:sz w:val="20"/>
          <w:szCs w:val="20"/>
          <w:color w:val="auto"/>
        </w:rPr>
        <w:tab/>
      </w:r>
      <w:r>
        <w:rPr>
          <w:rFonts w:ascii="Times New Roman" w:cs="Times New Roman" w:eastAsia="Times New Roman" w:hAnsi="Times New Roman"/>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34290</wp:posOffset>
            </wp:positionV>
            <wp:extent cx="24041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Max Levchin</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20"/>
          </w:cols>
          <w:pgMar w:left="340" w:top="976"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AND 15d-14(a), AS ADOPTED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Rob O’Hare, certify that:</w:t>
      </w:r>
    </w:p>
    <w:p>
      <w:pPr>
        <w:spacing w:after="0" w:line="244" w:lineRule="exact"/>
        <w:rPr>
          <w:sz w:val="20"/>
          <w:szCs w:val="20"/>
          <w:color w:val="auto"/>
        </w:rPr>
      </w:pPr>
    </w:p>
    <w:p>
      <w:pPr>
        <w:ind w:left="1240" w:hanging="616"/>
        <w:spacing w:after="0"/>
        <w:tabs>
          <w:tab w:leader="none" w:pos="12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Affirm Holdings, Inc.;</w:t>
      </w:r>
    </w:p>
    <w:p>
      <w:pPr>
        <w:spacing w:after="0" w:line="243" w:lineRule="exact"/>
        <w:rPr>
          <w:rFonts w:ascii="Times New Roman" w:cs="Times New Roman" w:eastAsia="Times New Roman" w:hAnsi="Times New Roman"/>
          <w:sz w:val="17"/>
          <w:szCs w:val="17"/>
          <w:color w:val="auto"/>
        </w:rPr>
      </w:pPr>
    </w:p>
    <w:p>
      <w:pPr>
        <w:ind w:left="460" w:right="20" w:firstLine="164"/>
        <w:spacing w:after="0" w:line="288" w:lineRule="auto"/>
        <w:tabs>
          <w:tab w:leader="none" w:pos="123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460" w:right="200" w:firstLine="164"/>
        <w:spacing w:after="0" w:line="288" w:lineRule="auto"/>
        <w:tabs>
          <w:tab w:leader="none" w:pos="123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w:t>
      </w:r>
    </w:p>
    <w:p>
      <w:pPr>
        <w:spacing w:after="0" w:line="37"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7"/>
          <w:szCs w:val="17"/>
          <w:color w:val="auto"/>
        </w:rPr>
        <w:t>Exchange Act Rules 13a-15(e) and 15d-15(e)) and internal control over financial reporting (as defined in Exchange Act Rules 13a-15(f) and 15d-15(f)) for the registrant and have:</w:t>
      </w:r>
    </w:p>
    <w:p>
      <w:pPr>
        <w:spacing w:after="0" w:line="190" w:lineRule="exact"/>
        <w:rPr>
          <w:sz w:val="20"/>
          <w:szCs w:val="20"/>
          <w:color w:val="auto"/>
        </w:rPr>
      </w:pPr>
    </w:p>
    <w:p>
      <w:pPr>
        <w:ind w:left="1240" w:right="140" w:firstLine="159"/>
        <w:spacing w:after="0" w:line="270" w:lineRule="auto"/>
        <w:tabs>
          <w:tab w:leader="none" w:pos="185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17"/>
          <w:szCs w:val="17"/>
          <w:color w:val="auto"/>
        </w:rPr>
      </w:pPr>
    </w:p>
    <w:p>
      <w:pPr>
        <w:jc w:val="both"/>
        <w:ind w:left="1240" w:right="260" w:firstLine="159"/>
        <w:spacing w:after="0" w:line="270" w:lineRule="auto"/>
        <w:tabs>
          <w:tab w:leader="none" w:pos="186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17"/>
          <w:szCs w:val="17"/>
          <w:color w:val="auto"/>
        </w:rPr>
      </w:pPr>
    </w:p>
    <w:p>
      <w:pPr>
        <w:ind w:left="1240" w:right="100" w:firstLine="159"/>
        <w:spacing w:after="0" w:line="288" w:lineRule="auto"/>
        <w:tabs>
          <w:tab w:leader="none" w:pos="185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7"/>
          <w:szCs w:val="17"/>
          <w:color w:val="auto"/>
        </w:rPr>
      </w:pPr>
    </w:p>
    <w:p>
      <w:pPr>
        <w:ind w:left="1240" w:right="60" w:firstLine="159"/>
        <w:spacing w:after="0" w:line="270" w:lineRule="auto"/>
        <w:tabs>
          <w:tab w:leader="none" w:pos="186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17"/>
          <w:szCs w:val="17"/>
          <w:color w:val="auto"/>
        </w:rPr>
      </w:pPr>
    </w:p>
    <w:p>
      <w:pPr>
        <w:ind w:left="460" w:right="120" w:firstLine="164"/>
        <w:spacing w:after="0" w:line="288" w:lineRule="auto"/>
        <w:tabs>
          <w:tab w:leader="none" w:pos="123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right="300" w:firstLine="159"/>
        <w:spacing w:after="0" w:line="288" w:lineRule="auto"/>
        <w:tabs>
          <w:tab w:leader="none" w:pos="185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39" w:right="339" w:bottom="1440" w:gutter="0" w:footer="0" w:header="0"/>
        </w:sectPr>
      </w:pPr>
    </w:p>
    <w:bookmarkStart w:id="132" w:name="page133"/>
    <w:bookmarkEnd w:id="132"/>
    <w:p>
      <w:pPr>
        <w:ind w:left="1220" w:firstLine="159"/>
        <w:spacing w:after="0" w:line="288" w:lineRule="auto"/>
        <w:tabs>
          <w:tab w:leader="none" w:pos="184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7"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7"/>
          <w:szCs w:val="17"/>
          <w:color w:val="auto"/>
        </w:rPr>
        <w:t>Date: November 6, 2025</w:t>
      </w:r>
      <w:r>
        <w:rPr>
          <w:sz w:val="20"/>
          <w:szCs w:val="20"/>
          <w:color w:val="auto"/>
        </w:rPr>
        <w:tab/>
      </w:r>
      <w:r>
        <w:rPr>
          <w:rFonts w:ascii="Times New Roman" w:cs="Times New Roman" w:eastAsia="Times New Roman" w:hAnsi="Times New Roman"/>
          <w:sz w:val="17"/>
          <w:szCs w:val="17"/>
          <w:color w:val="auto"/>
        </w:rPr>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17780</wp:posOffset>
            </wp:positionV>
            <wp:extent cx="24041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404110" cy="8255"/>
                    </a:xfrm>
                    <a:prstGeom prst="rect">
                      <a:avLst/>
                    </a:prstGeom>
                    <a:noFill/>
                  </pic:spPr>
                </pic:pic>
              </a:graphicData>
            </a:graphic>
          </wp:anchor>
        </w:drawing>
      </w:r>
    </w:p>
    <w:p>
      <w:pPr>
        <w:spacing w:after="0" w:line="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Rob O’Hare</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1220"/>
          </w:cols>
          <w:pgMar w:left="340" w:top="976"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60" w:lineRule="exact"/>
        <w:rPr>
          <w:sz w:val="20"/>
          <w:szCs w:val="20"/>
          <w:color w:val="auto"/>
        </w:rPr>
      </w:pPr>
    </w:p>
    <w:p>
      <w:pPr>
        <w:jc w:val="both"/>
        <w:ind w:firstLine="205"/>
        <w:spacing w:after="0" w:line="270" w:lineRule="auto"/>
        <w:rPr>
          <w:sz w:val="20"/>
          <w:szCs w:val="20"/>
          <w:color w:val="auto"/>
        </w:rPr>
      </w:pPr>
      <w:r>
        <w:rPr>
          <w:rFonts w:ascii="Times New Roman" w:cs="Times New Roman" w:eastAsia="Times New Roman" w:hAnsi="Times New Roman"/>
          <w:sz w:val="17"/>
          <w:szCs w:val="17"/>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November 6, 2025</w:t>
      </w:r>
    </w:p>
    <w:p>
      <w:pPr>
        <w:spacing w:after="0" w:line="29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34290</wp:posOffset>
            </wp:positionV>
            <wp:extent cx="26092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2609215" cy="8255"/>
                    </a:xfrm>
                    <a:prstGeom prst="rect">
                      <a:avLst/>
                    </a:prstGeom>
                    <a:noFill/>
                  </pic:spPr>
                </pic:pic>
              </a:graphicData>
            </a:graphic>
          </wp:anchor>
        </w:drawing>
      </w:r>
    </w:p>
    <w:p>
      <w:pPr>
        <w:spacing w:after="0" w:line="5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Max Levchin</w:t>
      </w:r>
    </w:p>
    <w:p>
      <w:pPr>
        <w:spacing w:after="0" w:line="6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739"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00" w:lineRule="exact"/>
        <w:rPr>
          <w:sz w:val="20"/>
          <w:szCs w:val="20"/>
          <w:color w:val="auto"/>
        </w:rPr>
      </w:pPr>
    </w:p>
    <w:p>
      <w:pPr>
        <w:spacing w:after="0" w:line="260" w:lineRule="exact"/>
        <w:rPr>
          <w:sz w:val="20"/>
          <w:szCs w:val="20"/>
          <w:color w:val="auto"/>
        </w:rPr>
      </w:pPr>
    </w:p>
    <w:p>
      <w:pPr>
        <w:jc w:val="both"/>
        <w:ind w:firstLine="205"/>
        <w:spacing w:after="0" w:line="270" w:lineRule="auto"/>
        <w:rPr>
          <w:sz w:val="20"/>
          <w:szCs w:val="20"/>
          <w:color w:val="auto"/>
        </w:rPr>
      </w:pPr>
      <w:r>
        <w:rPr>
          <w:rFonts w:ascii="Times New Roman" w:cs="Times New Roman" w:eastAsia="Times New Roman" w:hAnsi="Times New Roman"/>
          <w:sz w:val="17"/>
          <w:szCs w:val="17"/>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November 6, 2025</w:t>
      </w:r>
    </w:p>
    <w:p>
      <w:pPr>
        <w:spacing w:after="0" w:line="29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/s/ Rob O’Hare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34290</wp:posOffset>
            </wp:positionV>
            <wp:extent cx="26092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609215" cy="8255"/>
                    </a:xfrm>
                    <a:prstGeom prst="rect">
                      <a:avLst/>
                    </a:prstGeom>
                    <a:noFill/>
                  </pic:spPr>
                </pic:pic>
              </a:graphicData>
            </a:graphic>
          </wp:anchor>
        </w:drawing>
      </w:r>
    </w:p>
    <w:p>
      <w:pPr>
        <w:spacing w:after="0" w:line="5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Rob O’Hare</w:t>
      </w:r>
    </w:p>
    <w:p>
      <w:pPr>
        <w:spacing w:after="0" w:line="6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sectPr>
      <w:pgSz w:w="11900" w:h="16838" w:orient="portrait"/>
      <w:cols w:equalWidth="0" w:num="1">
        <w:col w:w="11240"/>
      </w:cols>
      <w:pgMar w:left="320" w:top="7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lowerLetter"/>
      <w:start w:val="2"/>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2"/>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lvl w:ilvl="1">
      <w:lvlJc w:val="left"/>
      <w:lvlText w:val="(%2)"/>
      <w:numFmt w:val="decimal"/>
      <w:start w:val="1"/>
    </w:lvl>
  </w:abstractNum>
  <w:abstractNum w:abstractNumId="14">
    <w:nsid w:val="3855585C"/>
    <w:multiLevelType w:val="hybridMultilevel"/>
    <w:lvl w:ilvl="0">
      <w:lvlJc w:val="left"/>
      <w:lvlText w:val="%1."/>
      <w:numFmt w:val="decimal"/>
      <w:start w:val="9"/>
    </w:lvl>
    <w:lvl w:ilvl="1">
      <w:lvlJc w:val="left"/>
      <w:lvlText w:val="%2"/>
      <w:numFmt w:val="decimal"/>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4"/>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1)"/>
      <w:numFmt w:val="decimal"/>
      <w:start w:val="1"/>
    </w:lvl>
    <w:lvl w:ilvl="1">
      <w:lvlJc w:val="left"/>
      <w:lvlText w:val="(%2)"/>
      <w:numFmt w:val="decimal"/>
      <w:start w:val="2"/>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1"/>
    </w:lvl>
    <w:lvl w:ilvl="1">
      <w:lvlJc w:val="left"/>
      <w:lvlText w:val="(%2)"/>
      <w:numFmt w:val="decimal"/>
      <w:start w:val="1"/>
    </w:lvl>
  </w:abstractNum>
  <w:abstractNum w:abstractNumId="28">
    <w:nsid w:val="32FFF902"/>
    <w:multiLevelType w:val="hybridMultilevel"/>
    <w:lvl w:ilvl="0">
      <w:lvlJc w:val="left"/>
      <w:lvlText w:val="%1."/>
      <w:numFmt w:val="decimal"/>
      <w:start w:val="13"/>
    </w:lvl>
    <w:lvl w:ilvl="1">
      <w:lvlJc w:val="left"/>
      <w:lvlText w:val="%2"/>
      <w:numFmt w:val="decimal"/>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2"/>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lowerLetter"/>
      <w:start w:val="3"/>
    </w:lvl>
  </w:abstractNum>
  <w:abstractNum w:abstractNumId="35">
    <w:nsid w:val="75C6C33A"/>
    <w:multiLevelType w:val="hybridMultilevel"/>
    <w:lvl w:ilvl="0">
      <w:lvlJc w:val="left"/>
      <w:lvlText w:val="%1"/>
      <w:numFmt w:val="decimal"/>
      <w:start w:val="104"/>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3"/>
    </w:lvl>
    <w:lvl w:ilvl="1">
      <w:lvlJc w:val="left"/>
      <w:lvlText w:val="(%2)"/>
      <w:numFmt w:val="lowerLetter"/>
      <w:start w:val="1"/>
    </w:lvl>
  </w:abstractNum>
  <w:abstractNum w:abstractNumId="39">
    <w:nsid w:val="374A3FE6"/>
    <w:multiLevelType w:val="hybridMultilevel"/>
    <w:lvl w:ilvl="0">
      <w:lvlJc w:val="left"/>
      <w:lvlText w:val="(%1)"/>
      <w:numFmt w:val="lowerLetter"/>
      <w:start w:val="3"/>
    </w:lvl>
  </w:abstractNum>
  <w:abstractNum w:abstractNumId="40">
    <w:nsid w:val="4F4EF005"/>
    <w:multiLevelType w:val="hybridMultilevel"/>
    <w:lvl w:ilvl="0">
      <w:lvlJc w:val="left"/>
      <w:lvlText w:val="%1."/>
      <w:numFmt w:val="decimal"/>
      <w:start w:val="6"/>
    </w:lvl>
    <w:lvl w:ilvl="1">
      <w:lvlJc w:val="left"/>
      <w:lvlText w:val="(%2)"/>
      <w:numFmt w:val="lowerLetter"/>
      <w:start w:val="1"/>
    </w:lvl>
  </w:abstractNum>
  <w:abstractNum w:abstractNumId="41">
    <w:nsid w:val="23F9C13C"/>
    <w:multiLevelType w:val="hybridMultilevel"/>
    <w:lvl w:ilvl="0">
      <w:lvlJc w:val="left"/>
      <w:lvlText w:val="(%1)"/>
      <w:numFmt w:val="lowerLetter"/>
      <w:start w:val="5"/>
    </w:lvl>
  </w:abstractNum>
  <w:abstractNum w:abstractNumId="42">
    <w:nsid w:val="649BB77C"/>
    <w:multiLevelType w:val="hybridMultilevel"/>
    <w:lvl w:ilvl="0">
      <w:lvlJc w:val="left"/>
      <w:lvlText w:val="%1"/>
      <w:numFmt w:val="decimal"/>
      <w:start w:val="1"/>
    </w:lvl>
    <w:lvl w:ilvl="1">
      <w:lvlJc w:val="left"/>
      <w:lvlText w:val="(%2)"/>
      <w:numFmt w:val="lowerLetter"/>
      <w:start w:val="6"/>
    </w:lvl>
  </w:abstractNum>
  <w:abstractNum w:abstractNumId="43">
    <w:nsid w:val="275AC794"/>
    <w:multiLevelType w:val="hybridMultilevel"/>
    <w:lvl w:ilvl="0">
      <w:lvlJc w:val="left"/>
      <w:lvlText w:val="%1."/>
      <w:numFmt w:val="decimal"/>
      <w:start w:val="10"/>
    </w:lvl>
    <w:lvl w:ilvl="1">
      <w:lvlJc w:val="left"/>
      <w:lvlText w:val="%2"/>
      <w:numFmt w:val="lowerLetter"/>
      <w:start w:val="1"/>
    </w:lvl>
  </w:abstractNum>
  <w:abstractNum w:abstractNumId="44">
    <w:nsid w:val="39386575"/>
    <w:multiLevelType w:val="hybridMultilevel"/>
    <w:lvl w:ilvl="0">
      <w:lvlJc w:val="left"/>
      <w:lvlText w:val="%1."/>
      <w:numFmt w:val="decimal"/>
      <w:start w:val="11"/>
    </w:lvl>
    <w:lvl w:ilvl="1">
      <w:lvlJc w:val="left"/>
      <w:lvlText w:val="(%2)"/>
      <w:numFmt w:val="lowerLetter"/>
      <w:start w:val="1"/>
    </w:lvl>
  </w:abstractNum>
  <w:abstractNum w:abstractNumId="45">
    <w:nsid w:val="1CF10FD8"/>
    <w:multiLevelType w:val="hybridMultilevel"/>
    <w:lvl w:ilvl="0">
      <w:lvlJc w:val="left"/>
      <w:lvlText w:val="(%1)"/>
      <w:numFmt w:val="lowerLetter"/>
      <w:start w:val="3"/>
    </w:lvl>
  </w:abstractNum>
  <w:abstractNum w:abstractNumId="46">
    <w:nsid w:val="180115BE"/>
    <w:multiLevelType w:val="hybridMultilevel"/>
    <w:lvl w:ilvl="0">
      <w:lvlJc w:val="left"/>
      <w:lvlText w:val="(%1)"/>
      <w:numFmt w:val="lowerLetter"/>
      <w:start w:val="6"/>
    </w:lvl>
  </w:abstractNum>
  <w:abstractNum w:abstractNumId="47">
    <w:nsid w:val="235BA861"/>
    <w:multiLevelType w:val="hybridMultilevel"/>
    <w:lvl w:ilvl="0">
      <w:lvlJc w:val="left"/>
      <w:lvlText w:val="%1"/>
      <w:numFmt w:val="decimal"/>
      <w:start w:val="1"/>
    </w:lvl>
    <w:lvl w:ilvl="1">
      <w:lvlJc w:val="left"/>
      <w:lvlText w:val="(%2)"/>
      <w:numFmt w:val="lowerLetter"/>
      <w:start w:val="12"/>
    </w:lvl>
  </w:abstractNum>
  <w:abstractNum w:abstractNumId="48">
    <w:nsid w:val="47398C89"/>
    <w:multiLevelType w:val="hybridMultilevel"/>
    <w:lvl w:ilvl="0">
      <w:lvlJc w:val="left"/>
      <w:lvlText w:val="%1."/>
      <w:numFmt w:val="decimal"/>
      <w:start w:val="13"/>
    </w:lvl>
    <w:lvl w:ilvl="1">
      <w:lvlJc w:val="left"/>
      <w:lvlText w:val="%2"/>
      <w:numFmt w:val="lowerLetter"/>
      <w:start w:val="1"/>
    </w:lvl>
  </w:abstractNum>
  <w:abstractNum w:abstractNumId="49">
    <w:nsid w:val="354FE9F9"/>
    <w:multiLevelType w:val="hybridMultilevel"/>
    <w:lvl w:ilvl="0">
      <w:lvlJc w:val="left"/>
      <w:lvlText w:val="%1."/>
      <w:numFmt w:val="decimal"/>
      <w:start w:val="14"/>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3"/>
    </w:lvl>
    <w:lvl w:ilvl="1">
      <w:lvlJc w:val="left"/>
      <w:lvlText w:val="(%2)"/>
      <w:numFmt w:val="lowerLetter"/>
      <w:start w:val="1"/>
    </w:lvl>
  </w:abstractNum>
  <w:abstractNum w:abstractNumId="52">
    <w:nsid w:val="D34B6A8"/>
    <w:multiLevelType w:val="hybridMultilevel"/>
    <w:lvl w:ilvl="0">
      <w:lvlJc w:val="left"/>
      <w:lvlText w:val="(%1)"/>
      <w:numFmt w:val="lowerLetter"/>
      <w:start w:val="3"/>
    </w:lvl>
  </w:abstractNum>
  <w:abstractNum w:abstractNumId="53">
    <w:nsid w:val="10233C99"/>
    <w:multiLevelType w:val="hybridMultilevel"/>
    <w:lvl w:ilvl="0">
      <w:lvlJc w:val="left"/>
      <w:lvlText w:val="%1."/>
      <w:numFmt w:val="decimal"/>
      <w:start w:val="6"/>
    </w:lvl>
    <w:lvl w:ilvl="1">
      <w:lvlJc w:val="left"/>
      <w:lvlText w:val="(%2)"/>
      <w:numFmt w:val="lowerLetter"/>
      <w:start w:val="1"/>
    </w:lvl>
  </w:abstractNum>
  <w:abstractNum w:abstractNumId="54">
    <w:nsid w:val="3F6AB60F"/>
    <w:multiLevelType w:val="hybridMultilevel"/>
    <w:lvl w:ilvl="0">
      <w:lvlJc w:val="left"/>
      <w:lvlText w:val="%1"/>
      <w:numFmt w:val="decimal"/>
      <w:start w:val="1"/>
    </w:lvl>
    <w:lvl w:ilvl="1">
      <w:lvlJc w:val="left"/>
      <w:lvlText w:val="(%2)"/>
      <w:numFmt w:val="lowerLetter"/>
      <w:start w:val="6"/>
    </w:lvl>
  </w:abstractNum>
  <w:abstractNum w:abstractNumId="55">
    <w:nsid w:val="61574095"/>
    <w:multiLevelType w:val="hybridMultilevel"/>
    <w:lvl w:ilvl="0">
      <w:lvlJc w:val="left"/>
      <w:lvlText w:val="%1."/>
      <w:numFmt w:val="decimal"/>
      <w:start w:val="10"/>
    </w:lvl>
    <w:lvl w:ilvl="1">
      <w:lvlJc w:val="left"/>
      <w:lvlText w:val="%2"/>
      <w:numFmt w:val="lowerLetter"/>
      <w:start w:val="1"/>
    </w:lvl>
  </w:abstractNum>
  <w:abstractNum w:abstractNumId="56">
    <w:nsid w:val="7E0C57B1"/>
    <w:multiLevelType w:val="hybridMultilevel"/>
    <w:lvl w:ilvl="0">
      <w:lvlJc w:val="left"/>
      <w:lvlText w:val="%1."/>
      <w:numFmt w:val="decimal"/>
      <w:start w:val="11"/>
    </w:lvl>
    <w:lvl w:ilvl="1">
      <w:lvlJc w:val="left"/>
      <w:lvlText w:val="(%2)"/>
      <w:numFmt w:val="lowerLetter"/>
      <w:start w:val="1"/>
    </w:lvl>
  </w:abstractNum>
  <w:abstractNum w:abstractNumId="57">
    <w:nsid w:val="77AE35EB"/>
    <w:multiLevelType w:val="hybridMultilevel"/>
    <w:lvl w:ilvl="0">
      <w:lvlJc w:val="left"/>
      <w:lvlText w:val="(%1)"/>
      <w:numFmt w:val="lowerLetter"/>
      <w:start w:val="3"/>
    </w:lvl>
  </w:abstractNum>
  <w:abstractNum w:abstractNumId="58">
    <w:nsid w:val="579BE4F1"/>
    <w:multiLevelType w:val="hybridMultilevel"/>
    <w:lvl w:ilvl="0">
      <w:lvlJc w:val="left"/>
      <w:lvlText w:val="(%1)"/>
      <w:numFmt w:val="lowerLetter"/>
      <w:start w:val="6"/>
    </w:lvl>
  </w:abstractNum>
  <w:abstractNum w:abstractNumId="59">
    <w:nsid w:val="310C50B3"/>
    <w:multiLevelType w:val="hybridMultilevel"/>
    <w:lvl w:ilvl="0">
      <w:lvlJc w:val="left"/>
      <w:lvlText w:val="%1"/>
      <w:numFmt w:val="decimal"/>
      <w:start w:val="1"/>
    </w:lvl>
    <w:lvl w:ilvl="1">
      <w:lvlJc w:val="left"/>
      <w:lvlText w:val="(%2)"/>
      <w:numFmt w:val="lowerLetter"/>
      <w:start w:val="13"/>
    </w:lvl>
  </w:abstractNum>
  <w:abstractNum w:abstractNumId="60">
    <w:nsid w:val="5FF87E05"/>
    <w:multiLevelType w:val="hybridMultilevel"/>
    <w:lvl w:ilvl="0">
      <w:lvlJc w:val="left"/>
      <w:lvlText w:val="%1."/>
      <w:numFmt w:val="decimal"/>
      <w:start w:val="13"/>
    </w:lvl>
    <w:lvl w:ilvl="1">
      <w:lvlJc w:val="left"/>
      <w:lvlText w:val="%2"/>
      <w:numFmt w:val="lowerLetter"/>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1."/>
      <w:numFmt w:val="decimal"/>
      <w:start w:val="1"/>
    </w:lvl>
    <w:lvl w:ilvl="1">
      <w:lvlJc w:val="left"/>
      <w:lvlText w:val="%2."/>
      <w:numFmt w:val="lowerLetter"/>
      <w:start w:val="1"/>
    </w:lvl>
  </w:abstractNum>
  <w:abstractNum w:abstractNumId="63">
    <w:nsid w:val="1DBABF00"/>
    <w:multiLevelType w:val="hybridMultilevel"/>
    <w:lvl w:ilvl="0">
      <w:lvlJc w:val="left"/>
      <w:lvlText w:val="%1."/>
      <w:numFmt w:val="lowerLetter"/>
      <w:start w:val="2"/>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5"/>
    </w:lvl>
    <w:lvl w:ilvl="1">
      <w:lvlJc w:val="left"/>
      <w:lvlText w:val="%2."/>
      <w:numFmt w:val="lowerLetter"/>
      <w:start w:val="1"/>
    </w:lvl>
  </w:abstractNum>
  <w:abstractNum w:abstractNumId="67">
    <w:nsid w:val="5DB70AE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17" Type="http://schemas.openxmlformats.org/officeDocument/2006/relationships/hyperlink" Target="https://www.sec.gov/Archives/edgar/data/1820953/000182095325000080/exhibit1021-cashincentive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2025-11-06T16:19:39Z</dcterms:created>
  <dcterms:modified xsi:type="dcterms:W3CDTF">2025-11-06T16:19:39Z</dcterms:modified>
</cp:coreProperties>
</file>