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8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14, 2020</w:t>
      </w:r>
    </w:p>
    <w:p>
      <w:pPr>
        <w:spacing w:after="0" w:line="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333-250184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50800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102235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6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72390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Amendment No. 2 to</w:t>
      </w:r>
    </w:p>
    <w:p>
      <w:pPr>
        <w:spacing w:after="0" w:line="2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58420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Affirm Holdings, Inc.</w:t>
      </w:r>
    </w:p>
    <w:p>
      <w:pPr>
        <w:spacing w:after="0" w:line="7" w:lineRule="exact"/>
        <w:rPr>
          <w:sz w:val="24"/>
          <w:szCs w:val="24"/>
          <w:color w:val="auto"/>
        </w:rPr>
      </w:pPr>
    </w:p>
    <w:tbl>
      <w:tblPr>
        <w:tblLayout w:type="fixed"/>
        <w:tblInd w:w="1140" w:type="dxa"/>
        <w:tblCellMar>
          <w:top w:w="0" w:type="dxa"/>
          <w:left w:w="0" w:type="dxa"/>
          <w:bottom w:w="0" w:type="dxa"/>
          <w:right w:w="0" w:type="dxa"/>
        </w:tblCellMar>
      </w:tblPr>
      <w:tr>
        <w:trPr>
          <w:trHeight w:val="164"/>
        </w:trPr>
        <w:tc>
          <w:tcPr>
            <w:tcW w:w="2320" w:type="dxa"/>
            <w:vAlign w:val="bottom"/>
          </w:tcPr>
          <w:p>
            <w:pPr>
              <w:spacing w:after="0"/>
              <w:rPr>
                <w:sz w:val="14"/>
                <w:szCs w:val="14"/>
                <w:color w:val="auto"/>
              </w:rPr>
            </w:pPr>
          </w:p>
        </w:tc>
        <w:tc>
          <w:tcPr>
            <w:tcW w:w="390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2000" w:type="dxa"/>
            <w:vAlign w:val="bottom"/>
          </w:tcPr>
          <w:p>
            <w:pPr>
              <w:spacing w:after="0"/>
              <w:rPr>
                <w:sz w:val="14"/>
                <w:szCs w:val="14"/>
                <w:color w:val="auto"/>
              </w:rPr>
            </w:pPr>
          </w:p>
        </w:tc>
      </w:tr>
      <w:tr>
        <w:trPr>
          <w:trHeight w:val="96"/>
        </w:trPr>
        <w:tc>
          <w:tcPr>
            <w:tcW w:w="2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000" w:type="dxa"/>
            <w:vAlign w:val="bottom"/>
          </w:tcPr>
          <w:p>
            <w:pPr>
              <w:spacing w:after="0"/>
              <w:rPr>
                <w:sz w:val="8"/>
                <w:szCs w:val="8"/>
                <w:color w:val="auto"/>
              </w:rPr>
            </w:pPr>
          </w:p>
        </w:tc>
      </w:tr>
      <w:tr>
        <w:trPr>
          <w:trHeight w:val="160"/>
        </w:trPr>
        <w:tc>
          <w:tcPr>
            <w:tcW w:w="2320" w:type="dxa"/>
            <w:vAlign w:val="bottom"/>
          </w:tcPr>
          <w:p>
            <w:pPr>
              <w:jc w:val="center"/>
              <w:ind w:right="471"/>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880" w:type="dxa"/>
            <w:vAlign w:val="bottom"/>
            <w:gridSpan w:val="2"/>
          </w:tcPr>
          <w:p>
            <w:pPr>
              <w:jc w:val="center"/>
              <w:ind w:left="817"/>
              <w:spacing w:after="0"/>
              <w:rPr>
                <w:sz w:val="20"/>
                <w:szCs w:val="20"/>
                <w:color w:val="auto"/>
              </w:rPr>
            </w:pPr>
            <w:r>
              <w:rPr>
                <w:rFonts w:ascii="Times New Roman" w:cs="Times New Roman" w:eastAsia="Times New Roman" w:hAnsi="Times New Roman"/>
                <w:sz w:val="13"/>
                <w:szCs w:val="13"/>
                <w:b w:val="1"/>
                <w:bCs w:val="1"/>
                <w:color w:val="auto"/>
                <w:w w:val="92"/>
              </w:rPr>
              <w:t>7389</w:t>
            </w:r>
          </w:p>
        </w:tc>
        <w:tc>
          <w:tcPr>
            <w:tcW w:w="1020" w:type="dxa"/>
            <w:vAlign w:val="bottom"/>
          </w:tcPr>
          <w:p>
            <w:pPr>
              <w:spacing w:after="0"/>
              <w:rPr>
                <w:sz w:val="13"/>
                <w:szCs w:val="13"/>
                <w:color w:val="auto"/>
              </w:rPr>
            </w:pPr>
          </w:p>
        </w:tc>
        <w:tc>
          <w:tcPr>
            <w:tcW w:w="2000" w:type="dxa"/>
            <w:vAlign w:val="bottom"/>
          </w:tcPr>
          <w:p>
            <w:pPr>
              <w:jc w:val="center"/>
              <w:ind w:left="511"/>
              <w:spacing w:after="0"/>
              <w:rPr>
                <w:sz w:val="20"/>
                <w:szCs w:val="20"/>
                <w:color w:val="auto"/>
              </w:rPr>
            </w:pPr>
            <w:r>
              <w:rPr>
                <w:rFonts w:ascii="Times New Roman" w:cs="Times New Roman" w:eastAsia="Times New Roman" w:hAnsi="Times New Roman"/>
                <w:sz w:val="13"/>
                <w:szCs w:val="13"/>
                <w:b w:val="1"/>
                <w:bCs w:val="1"/>
                <w:color w:val="auto"/>
                <w:w w:val="92"/>
              </w:rPr>
              <w:t>84-2224323</w:t>
            </w:r>
          </w:p>
        </w:tc>
      </w:tr>
      <w:tr>
        <w:trPr>
          <w:trHeight w:val="162"/>
        </w:trPr>
        <w:tc>
          <w:tcPr>
            <w:tcW w:w="2320" w:type="dxa"/>
            <w:vAlign w:val="bottom"/>
          </w:tcPr>
          <w:p>
            <w:pPr>
              <w:jc w:val="center"/>
              <w:ind w:right="451"/>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40" w:type="dxa"/>
            <w:vAlign w:val="bottom"/>
          </w:tcPr>
          <w:p>
            <w:pPr>
              <w:spacing w:after="0"/>
              <w:rPr>
                <w:sz w:val="14"/>
                <w:szCs w:val="14"/>
                <w:color w:val="auto"/>
              </w:rPr>
            </w:pPr>
          </w:p>
        </w:tc>
        <w:tc>
          <w:tcPr>
            <w:tcW w:w="296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200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20" w:type="dxa"/>
            <w:vAlign w:val="bottom"/>
          </w:tcPr>
          <w:p>
            <w:pPr>
              <w:jc w:val="center"/>
              <w:ind w:right="43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40" w:type="dxa"/>
            <w:vAlign w:val="bottom"/>
          </w:tcPr>
          <w:p>
            <w:pPr>
              <w:spacing w:after="0"/>
              <w:rPr>
                <w:sz w:val="16"/>
                <w:szCs w:val="16"/>
                <w:color w:val="auto"/>
              </w:rPr>
            </w:pPr>
          </w:p>
        </w:tc>
        <w:tc>
          <w:tcPr>
            <w:tcW w:w="29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00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66040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1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650 California Street</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San Francisco, California 94108</w:t>
      </w:r>
    </w:p>
    <w:p>
      <w:pPr>
        <w:spacing w:after="0" w:line="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Telephone: (415) 984-0490</w:t>
      </w:r>
    </w:p>
    <w:p>
      <w:pPr>
        <w:spacing w:after="0" w:line="4"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3"/>
          <w:szCs w:val="13"/>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70485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Max Levchin</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650 California Street</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San Francisco, California 94108</w:t>
      </w:r>
    </w:p>
    <w:p>
      <w:pPr>
        <w:spacing w:after="0" w:line="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Telephone: (415) 984-0490</w:t>
      </w:r>
    </w:p>
    <w:p>
      <w:pPr>
        <w:spacing w:after="0" w:line="4"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3"/>
          <w:szCs w:val="13"/>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53340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9" w:lineRule="exact"/>
        <w:rPr>
          <w:sz w:val="24"/>
          <w:szCs w:val="24"/>
          <w:color w:val="auto"/>
        </w:rPr>
      </w:pPr>
    </w:p>
    <w:tbl>
      <w:tblPr>
        <w:tblLayout w:type="fixed"/>
        <w:tblInd w:w="72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31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460" w:type="dxa"/>
            <w:vAlign w:val="bottom"/>
          </w:tcPr>
          <w:p>
            <w:pPr>
              <w:spacing w:after="0"/>
              <w:rPr>
                <w:sz w:val="15"/>
                <w:szCs w:val="15"/>
                <w:color w:val="auto"/>
              </w:rPr>
            </w:pPr>
          </w:p>
        </w:tc>
      </w:tr>
      <w:tr>
        <w:trPr>
          <w:trHeight w:val="146"/>
        </w:trPr>
        <w:tc>
          <w:tcPr>
            <w:tcW w:w="3160" w:type="dxa"/>
            <w:vAlign w:val="bottom"/>
          </w:tcPr>
          <w:p>
            <w:pPr>
              <w:jc w:val="center"/>
              <w:ind w:right="448"/>
              <w:spacing w:after="0" w:line="146" w:lineRule="exact"/>
              <w:rPr>
                <w:sz w:val="20"/>
                <w:szCs w:val="20"/>
                <w:color w:val="auto"/>
              </w:rPr>
            </w:pPr>
            <w:r>
              <w:rPr>
                <w:rFonts w:ascii="Times New Roman" w:cs="Times New Roman" w:eastAsia="Times New Roman" w:hAnsi="Times New Roman"/>
                <w:sz w:val="14"/>
                <w:szCs w:val="14"/>
                <w:b w:val="1"/>
                <w:bCs w:val="1"/>
                <w:color w:val="auto"/>
                <w:w w:val="98"/>
              </w:rPr>
              <w:t>Gregg A. Noel, Esq.</w:t>
            </w:r>
          </w:p>
        </w:tc>
        <w:tc>
          <w:tcPr>
            <w:tcW w:w="3160" w:type="dxa"/>
            <w:vAlign w:val="bottom"/>
          </w:tcPr>
          <w:p>
            <w:pPr>
              <w:jc w:val="center"/>
              <w:ind w:right="148"/>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Sharda Caro del Castillo</w:t>
            </w:r>
          </w:p>
        </w:tc>
        <w:tc>
          <w:tcPr>
            <w:tcW w:w="2460" w:type="dxa"/>
            <w:vAlign w:val="bottom"/>
          </w:tcPr>
          <w:p>
            <w:pPr>
              <w:jc w:val="center"/>
              <w:ind w:left="708"/>
              <w:spacing w:after="0" w:line="146" w:lineRule="exact"/>
              <w:rPr>
                <w:sz w:val="20"/>
                <w:szCs w:val="20"/>
                <w:color w:val="auto"/>
              </w:rPr>
            </w:pPr>
            <w:r>
              <w:rPr>
                <w:rFonts w:ascii="Times New Roman" w:cs="Times New Roman" w:eastAsia="Times New Roman" w:hAnsi="Times New Roman"/>
                <w:sz w:val="14"/>
                <w:szCs w:val="14"/>
                <w:b w:val="1"/>
                <w:bCs w:val="1"/>
                <w:color w:val="auto"/>
                <w:w w:val="97"/>
              </w:rPr>
              <w:t>Byron B. Rooney, Esq.</w:t>
            </w:r>
          </w:p>
        </w:tc>
      </w:tr>
      <w:tr>
        <w:trPr>
          <w:trHeight w:val="135"/>
        </w:trPr>
        <w:tc>
          <w:tcPr>
            <w:tcW w:w="3160" w:type="dxa"/>
            <w:vAlign w:val="bottom"/>
          </w:tcPr>
          <w:p>
            <w:pPr>
              <w:jc w:val="center"/>
              <w:ind w:right="448"/>
              <w:spacing w:after="0" w:line="135" w:lineRule="exact"/>
              <w:rPr>
                <w:sz w:val="20"/>
                <w:szCs w:val="20"/>
                <w:color w:val="auto"/>
              </w:rPr>
            </w:pPr>
            <w:r>
              <w:rPr>
                <w:rFonts w:ascii="Times New Roman" w:cs="Times New Roman" w:eastAsia="Times New Roman" w:hAnsi="Times New Roman"/>
                <w:sz w:val="14"/>
                <w:szCs w:val="14"/>
                <w:b w:val="1"/>
                <w:bCs w:val="1"/>
                <w:color w:val="auto"/>
                <w:w w:val="96"/>
              </w:rPr>
              <w:t>P. Michelle Gasaway, Esq.</w:t>
            </w:r>
          </w:p>
        </w:tc>
        <w:tc>
          <w:tcPr>
            <w:tcW w:w="316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4"/>
                <w:szCs w:val="14"/>
                <w:b w:val="1"/>
                <w:bCs w:val="1"/>
                <w:color w:val="auto"/>
                <w:w w:val="98"/>
              </w:rPr>
              <w:t>Chief Legal Officer</w:t>
            </w:r>
          </w:p>
        </w:tc>
        <w:tc>
          <w:tcPr>
            <w:tcW w:w="2460" w:type="dxa"/>
            <w:vAlign w:val="bottom"/>
          </w:tcPr>
          <w:p>
            <w:pPr>
              <w:jc w:val="center"/>
              <w:ind w:left="688"/>
              <w:spacing w:after="0" w:line="135" w:lineRule="exact"/>
              <w:rPr>
                <w:sz w:val="20"/>
                <w:szCs w:val="20"/>
                <w:color w:val="auto"/>
              </w:rPr>
            </w:pPr>
            <w:r>
              <w:rPr>
                <w:rFonts w:ascii="Times New Roman" w:cs="Times New Roman" w:eastAsia="Times New Roman" w:hAnsi="Times New Roman"/>
                <w:sz w:val="14"/>
                <w:szCs w:val="14"/>
                <w:b w:val="1"/>
                <w:bCs w:val="1"/>
                <w:color w:val="auto"/>
                <w:w w:val="98"/>
              </w:rPr>
              <w:t>Emily Roberts, Esq.</w:t>
            </w:r>
          </w:p>
        </w:tc>
      </w:tr>
      <w:tr>
        <w:trPr>
          <w:trHeight w:val="135"/>
        </w:trPr>
        <w:tc>
          <w:tcPr>
            <w:tcW w:w="3160" w:type="dxa"/>
            <w:vAlign w:val="bottom"/>
          </w:tcPr>
          <w:p>
            <w:pPr>
              <w:jc w:val="center"/>
              <w:ind w:right="468"/>
              <w:spacing w:after="0" w:line="135" w:lineRule="exact"/>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316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4"/>
                <w:szCs w:val="14"/>
                <w:b w:val="1"/>
                <w:bCs w:val="1"/>
                <w:color w:val="auto"/>
                <w:w w:val="98"/>
              </w:rPr>
              <w:t>Affirm Holdings, Inc.</w:t>
            </w:r>
          </w:p>
        </w:tc>
        <w:tc>
          <w:tcPr>
            <w:tcW w:w="2460" w:type="dxa"/>
            <w:vAlign w:val="bottom"/>
          </w:tcPr>
          <w:p>
            <w:pPr>
              <w:jc w:val="center"/>
              <w:ind w:left="688"/>
              <w:spacing w:after="0" w:line="135" w:lineRule="exact"/>
              <w:rPr>
                <w:sz w:val="20"/>
                <w:szCs w:val="20"/>
                <w:color w:val="auto"/>
              </w:rPr>
            </w:pPr>
            <w:r>
              <w:rPr>
                <w:rFonts w:ascii="Times New Roman" w:cs="Times New Roman" w:eastAsia="Times New Roman" w:hAnsi="Times New Roman"/>
                <w:sz w:val="14"/>
                <w:szCs w:val="14"/>
                <w:b w:val="1"/>
                <w:bCs w:val="1"/>
                <w:color w:val="auto"/>
                <w:w w:val="98"/>
              </w:rPr>
              <w:t>Davis Polk &amp; Wardwell LLP</w:t>
            </w:r>
          </w:p>
        </w:tc>
      </w:tr>
      <w:tr>
        <w:trPr>
          <w:trHeight w:val="135"/>
        </w:trPr>
        <w:tc>
          <w:tcPr>
            <w:tcW w:w="3160" w:type="dxa"/>
            <w:vAlign w:val="bottom"/>
          </w:tcPr>
          <w:p>
            <w:pPr>
              <w:jc w:val="center"/>
              <w:ind w:right="448"/>
              <w:spacing w:after="0" w:line="135" w:lineRule="exact"/>
              <w:rPr>
                <w:sz w:val="20"/>
                <w:szCs w:val="20"/>
                <w:color w:val="auto"/>
              </w:rPr>
            </w:pPr>
            <w:r>
              <w:rPr>
                <w:rFonts w:ascii="Times New Roman" w:cs="Times New Roman" w:eastAsia="Times New Roman" w:hAnsi="Times New Roman"/>
                <w:sz w:val="14"/>
                <w:szCs w:val="14"/>
                <w:b w:val="1"/>
                <w:bCs w:val="1"/>
                <w:color w:val="auto"/>
                <w:w w:val="97"/>
              </w:rPr>
              <w:t>525 University Avenue</w:t>
            </w:r>
          </w:p>
        </w:tc>
        <w:tc>
          <w:tcPr>
            <w:tcW w:w="316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4"/>
                <w:szCs w:val="14"/>
                <w:b w:val="1"/>
                <w:bCs w:val="1"/>
                <w:color w:val="auto"/>
                <w:w w:val="97"/>
              </w:rPr>
              <w:t>650 California Street</w:t>
            </w:r>
          </w:p>
        </w:tc>
        <w:tc>
          <w:tcPr>
            <w:tcW w:w="2460" w:type="dxa"/>
            <w:vAlign w:val="bottom"/>
          </w:tcPr>
          <w:p>
            <w:pPr>
              <w:jc w:val="center"/>
              <w:ind w:left="688"/>
              <w:spacing w:after="0" w:line="135" w:lineRule="exact"/>
              <w:rPr>
                <w:sz w:val="20"/>
                <w:szCs w:val="20"/>
                <w:color w:val="auto"/>
              </w:rPr>
            </w:pPr>
            <w:r>
              <w:rPr>
                <w:rFonts w:ascii="Times New Roman" w:cs="Times New Roman" w:eastAsia="Times New Roman" w:hAnsi="Times New Roman"/>
                <w:sz w:val="14"/>
                <w:szCs w:val="14"/>
                <w:b w:val="1"/>
                <w:bCs w:val="1"/>
                <w:color w:val="auto"/>
                <w:w w:val="97"/>
              </w:rPr>
              <w:t>450 Lexington Avenue</w:t>
            </w:r>
          </w:p>
        </w:tc>
      </w:tr>
      <w:tr>
        <w:trPr>
          <w:trHeight w:val="135"/>
        </w:trPr>
        <w:tc>
          <w:tcPr>
            <w:tcW w:w="3160" w:type="dxa"/>
            <w:vAlign w:val="bottom"/>
          </w:tcPr>
          <w:p>
            <w:pPr>
              <w:jc w:val="center"/>
              <w:ind w:right="448"/>
              <w:spacing w:after="0" w:line="135" w:lineRule="exact"/>
              <w:rPr>
                <w:sz w:val="20"/>
                <w:szCs w:val="20"/>
                <w:color w:val="auto"/>
              </w:rPr>
            </w:pPr>
            <w:r>
              <w:rPr>
                <w:rFonts w:ascii="Times New Roman" w:cs="Times New Roman" w:eastAsia="Times New Roman" w:hAnsi="Times New Roman"/>
                <w:sz w:val="14"/>
                <w:szCs w:val="14"/>
                <w:b w:val="1"/>
                <w:bCs w:val="1"/>
                <w:color w:val="auto"/>
                <w:w w:val="98"/>
              </w:rPr>
              <w:t>Palo Alto, California 94301</w:t>
            </w:r>
          </w:p>
        </w:tc>
        <w:tc>
          <w:tcPr>
            <w:tcW w:w="3160" w:type="dxa"/>
            <w:vAlign w:val="bottom"/>
          </w:tcPr>
          <w:p>
            <w:pPr>
              <w:jc w:val="center"/>
              <w:ind w:right="168"/>
              <w:spacing w:after="0" w:line="135" w:lineRule="exact"/>
              <w:rPr>
                <w:sz w:val="20"/>
                <w:szCs w:val="20"/>
                <w:color w:val="auto"/>
              </w:rPr>
            </w:pPr>
            <w:r>
              <w:rPr>
                <w:rFonts w:ascii="Times New Roman" w:cs="Times New Roman" w:eastAsia="Times New Roman" w:hAnsi="Times New Roman"/>
                <w:sz w:val="14"/>
                <w:szCs w:val="14"/>
                <w:b w:val="1"/>
                <w:bCs w:val="1"/>
                <w:color w:val="auto"/>
                <w:w w:val="98"/>
              </w:rPr>
              <w:t>San Francisco, California 94108</w:t>
            </w:r>
          </w:p>
        </w:tc>
        <w:tc>
          <w:tcPr>
            <w:tcW w:w="2460" w:type="dxa"/>
            <w:vAlign w:val="bottom"/>
          </w:tcPr>
          <w:p>
            <w:pPr>
              <w:jc w:val="center"/>
              <w:ind w:left="688"/>
              <w:spacing w:after="0" w:line="135" w:lineRule="exact"/>
              <w:rPr>
                <w:sz w:val="20"/>
                <w:szCs w:val="20"/>
                <w:color w:val="auto"/>
              </w:rPr>
            </w:pPr>
            <w:r>
              <w:rPr>
                <w:rFonts w:ascii="Times New Roman" w:cs="Times New Roman" w:eastAsia="Times New Roman" w:hAnsi="Times New Roman"/>
                <w:sz w:val="14"/>
                <w:szCs w:val="14"/>
                <w:b w:val="1"/>
                <w:bCs w:val="1"/>
                <w:color w:val="auto"/>
                <w:w w:val="96"/>
              </w:rPr>
              <w:t>New York, New York 10017</w:t>
            </w:r>
          </w:p>
        </w:tc>
      </w:tr>
      <w:tr>
        <w:trPr>
          <w:trHeight w:val="190"/>
        </w:trPr>
        <w:tc>
          <w:tcPr>
            <w:tcW w:w="316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w w:val="97"/>
              </w:rPr>
              <w:t>Telephone: (650) 470-4500</w:t>
            </w:r>
          </w:p>
        </w:tc>
        <w:tc>
          <w:tcPr>
            <w:tcW w:w="31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Telephone: (415) 984-0490</w:t>
            </w:r>
          </w:p>
        </w:tc>
        <w:tc>
          <w:tcPr>
            <w:tcW w:w="246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w w:val="97"/>
              </w:rPr>
              <w:t>Telephone: (212)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67945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the effective date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76200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6" w:lineRule="exact"/>
        <w:rPr>
          <w:sz w:val="24"/>
          <w:szCs w:val="24"/>
          <w:color w:val="auto"/>
        </w:rPr>
      </w:pPr>
    </w:p>
    <w:p>
      <w:pPr>
        <w:ind w:left="500" w:right="38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0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320" w:top="221" w:right="1339" w:bottom="1440" w:gutter="0" w:footer="0" w:header="0"/>
        </w:sectPr>
      </w:pPr>
    </w:p>
    <w:p>
      <w:pPr>
        <w:spacing w:after="0" w:line="2" w:lineRule="exact"/>
        <w:rPr>
          <w:sz w:val="24"/>
          <w:szCs w:val="24"/>
          <w:color w:val="auto"/>
        </w:rPr>
      </w:pPr>
    </w:p>
    <w:p>
      <w:pPr>
        <w:ind w:left="86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31" w:lineRule="exact"/>
        <w:rPr>
          <w:sz w:val="24"/>
          <w:szCs w:val="24"/>
          <w:color w:val="auto"/>
        </w:rPr>
      </w:pPr>
    </w:p>
    <w:p>
      <w:pPr>
        <w:ind w:left="86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3" w:lineRule="exact"/>
        <w:tabs>
          <w:tab w:leader="none" w:pos="172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5" w:lineRule="exact"/>
        <w:rPr>
          <w:sz w:val="24"/>
          <w:szCs w:val="24"/>
          <w:color w:val="auto"/>
        </w:rPr>
      </w:pPr>
    </w:p>
    <w:p>
      <w:pPr>
        <w:sectPr>
          <w:pgSz w:w="11900" w:h="16838" w:orient="portrait"/>
          <w:cols w:equalWidth="0" w:num="2">
            <w:col w:w="6820" w:space="720"/>
            <w:col w:w="2700"/>
          </w:cols>
          <w:pgMar w:left="320" w:top="221" w:right="1339" w:bottom="1440" w:gutter="0" w:footer="0" w:header="0"/>
          <w:type w:val="continuous"/>
        </w:sectPr>
      </w:pPr>
    </w:p>
    <w:p>
      <w:pPr>
        <w:ind w:left="8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40"/>
          </w:cols>
          <w:pgMar w:left="320" w:top="221" w:right="1339" w:bottom="1440" w:gutter="0" w:footer="0" w:header="0"/>
          <w:type w:val="continuous"/>
        </w:sectPr>
      </w:pPr>
    </w:p>
    <w:p>
      <w:pPr>
        <w:spacing w:after="0" w:line="109" w:lineRule="exact"/>
        <w:rPr>
          <w:sz w:val="24"/>
          <w:szCs w:val="24"/>
          <w:color w:val="auto"/>
        </w:rPr>
      </w:pPr>
    </w:p>
    <w:p>
      <w:pPr>
        <w:ind w:left="500" w:right="10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5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tc>
        <w:tc>
          <w:tcPr>
            <w:tcW w:w="1100" w:type="dxa"/>
            <w:vAlign w:val="bottom"/>
          </w:tcPr>
          <w:p>
            <w:pPr>
              <w:spacing w:after="0"/>
              <w:rPr>
                <w:sz w:val="16"/>
                <w:szCs w:val="16"/>
                <w:color w:val="auto"/>
              </w:rPr>
            </w:pPr>
          </w:p>
        </w:tc>
      </w:tr>
      <w:tr>
        <w:trPr>
          <w:trHeight w:val="162"/>
        </w:trPr>
        <w:tc>
          <w:tcPr>
            <w:tcW w:w="3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Proposed maximum</w:t>
            </w:r>
          </w:p>
        </w:tc>
        <w:tc>
          <w:tcPr>
            <w:tcW w:w="1100" w:type="dxa"/>
            <w:vAlign w:val="bottom"/>
          </w:tcPr>
          <w:p>
            <w:pPr>
              <w:spacing w:after="0"/>
              <w:rPr>
                <w:sz w:val="14"/>
                <w:szCs w:val="14"/>
                <w:color w:val="auto"/>
              </w:rPr>
            </w:pPr>
          </w:p>
        </w:tc>
      </w:tr>
      <w:tr>
        <w:trPr>
          <w:trHeight w:val="146"/>
        </w:trPr>
        <w:tc>
          <w:tcPr>
            <w:tcW w:w="3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aggregate offering</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Amount of</w:t>
            </w:r>
          </w:p>
        </w:tc>
      </w:tr>
      <w:tr>
        <w:trPr>
          <w:trHeight w:val="229"/>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36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88"/>
                <w:vertAlign w:val="subscript"/>
              </w:rPr>
              <w:t>price</w:t>
            </w:r>
            <w:r>
              <w:rPr>
                <w:rFonts w:ascii="Times New Roman" w:cs="Times New Roman" w:eastAsia="Times New Roman" w:hAnsi="Times New Roman"/>
                <w:sz w:val="10"/>
                <w:szCs w:val="10"/>
                <w:b w:val="1"/>
                <w:bCs w:val="1"/>
                <w:color w:val="auto"/>
                <w:w w:val="88"/>
              </w:rPr>
              <w:t>(1)(2)</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4"/>
              </w:rPr>
              <w:t>registration fees</w:t>
            </w:r>
            <w:r>
              <w:rPr>
                <w:rFonts w:ascii="Times New Roman" w:cs="Times New Roman" w:eastAsia="Times New Roman" w:hAnsi="Times New Roman"/>
                <w:sz w:val="21"/>
                <w:szCs w:val="21"/>
                <w:b w:val="1"/>
                <w:bCs w:val="1"/>
                <w:color w:val="auto"/>
                <w:w w:val="94"/>
                <w:vertAlign w:val="superscript"/>
              </w:rPr>
              <w:t>(3)</w:t>
            </w:r>
          </w:p>
        </w:tc>
      </w:tr>
      <w:tr>
        <w:trPr>
          <w:trHeight w:val="1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 $0.00001 par value per share</w:t>
            </w:r>
          </w:p>
        </w:tc>
        <w:tc>
          <w:tcPr>
            <w:tcW w:w="5040" w:type="dxa"/>
            <w:vAlign w:val="bottom"/>
            <w:gridSpan w:val="3"/>
            <w:shd w:val="clear" w:color="auto" w:fill="CCEEFF"/>
          </w:tcPr>
          <w:p>
            <w:pPr>
              <w:jc w:val="center"/>
              <w:ind w:left="3728"/>
              <w:spacing w:after="0"/>
              <w:rPr>
                <w:sz w:val="20"/>
                <w:szCs w:val="20"/>
                <w:color w:val="auto"/>
              </w:rPr>
            </w:pPr>
            <w:r>
              <w:rPr>
                <w:rFonts w:ascii="Times New Roman" w:cs="Times New Roman" w:eastAsia="Times New Roman" w:hAnsi="Times New Roman"/>
                <w:sz w:val="14"/>
                <w:szCs w:val="14"/>
                <w:color w:val="auto"/>
              </w:rPr>
              <w:t>$100,000,000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5654040</wp:posOffset>
            </wp:positionH>
            <wp:positionV relativeFrom="paragraph">
              <wp:posOffset>-128270</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-128270</wp:posOffset>
            </wp:positionV>
            <wp:extent cx="137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146050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1" w:lineRule="exact"/>
        <w:rPr>
          <w:sz w:val="24"/>
          <w:szCs w:val="2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Class A common stock that the underwriters may purchase pursuant to the option to purchase additional shares, if any.</w:t>
      </w:r>
    </w:p>
    <w:p>
      <w:pPr>
        <w:ind w:left="860" w:hanging="366"/>
        <w:spacing w:after="0" w:line="201"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 of 1933, as amended.</w:t>
      </w: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11" w:lineRule="exact"/>
        <w:rPr>
          <w:sz w:val="24"/>
          <w:szCs w:val="24"/>
          <w:color w:val="auto"/>
        </w:rPr>
      </w:pPr>
    </w:p>
    <w:p>
      <w:pPr>
        <w:ind w:left="500" w:right="120" w:firstLine="360"/>
        <w:spacing w:after="0" w:line="280"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25400</wp:posOffset>
            </wp:positionV>
            <wp:extent cx="61893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59690</wp:posOffset>
            </wp:positionV>
            <wp:extent cx="618934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21" w:right="13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6806565" cy="9986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99866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900" w:type="dxa"/>
        <w:tblCellMar>
          <w:top w:w="0" w:type="dxa"/>
          <w:left w:w="0" w:type="dxa"/>
          <w:bottom w:w="0" w:type="dxa"/>
          <w:right w:w="0" w:type="dxa"/>
        </w:tblCellMar>
      </w:tblPr>
      <w:tr>
        <w:trPr>
          <w:trHeight w:val="187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and Exchange Commission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w w:val="99"/>
              </w:rPr>
              <w:t>is not permitted.</w:t>
            </w:r>
          </w:p>
        </w:tc>
      </w:tr>
      <w:tr>
        <w:trPr>
          <w:trHeight w:val="710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may be changed. We may not sell these securities until the registration statement filed with the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securities and it is not soliciting an offer to buy these securities in any jurisdiction where the offer or sale</w:t>
            </w:r>
          </w:p>
        </w:tc>
      </w:tr>
      <w:tr>
        <w:trPr>
          <w:trHeight w:val="12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not 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offer to sell these</w:t>
            </w:r>
          </w:p>
        </w:tc>
      </w:tr>
      <w:tr>
        <w:trPr>
          <w:trHeight w:val="14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in this prospectus 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prospectus is not an</w:t>
            </w:r>
          </w:p>
        </w:tc>
      </w:tr>
      <w:tr>
        <w:trPr>
          <w:trHeight w:val="11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The 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0000"/>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Preliminary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Prospectus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FF0000"/>
        </w:rPr>
        <w:t>SUBJECT TO COMPLETION,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FF0000"/>
        </w:rPr>
        <w:t>DATED DECEMBER 14, 2020</w:t>
      </w: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23"/>
          <w:szCs w:val="23"/>
          <w:b w:val="1"/>
          <w:bCs w:val="1"/>
          <w:color w:val="FFFFFF"/>
        </w:rPr>
        <w:t>Affirm Holdings, Inc.</w:t>
      </w:r>
    </w:p>
    <w:p>
      <w:pPr>
        <w:spacing w:after="0" w:line="289" w:lineRule="exact"/>
        <w:rPr>
          <w:sz w:val="20"/>
          <w:szCs w:val="20"/>
          <w:color w:val="auto"/>
        </w:rPr>
      </w:pPr>
    </w:p>
    <w:p>
      <w:pPr>
        <w:spacing w:after="0"/>
        <w:tabs>
          <w:tab w:leader="none" w:pos="7420" w:val="left"/>
        </w:tabs>
        <w:rPr>
          <w:sz w:val="20"/>
          <w:szCs w:val="20"/>
          <w:color w:val="auto"/>
        </w:rPr>
      </w:pPr>
      <w:r>
        <w:rPr>
          <w:rFonts w:ascii="Arial" w:cs="Arial" w:eastAsia="Arial" w:hAnsi="Arial"/>
          <w:sz w:val="23"/>
          <w:szCs w:val="23"/>
          <w:b w:val="1"/>
          <w:bCs w:val="1"/>
          <w:color w:val="FFFFFF"/>
        </w:rPr>
        <w:t>Class A Common Stock</w:t>
      </w:r>
      <w:r>
        <w:rPr>
          <w:sz w:val="20"/>
          <w:szCs w:val="20"/>
          <w:color w:val="auto"/>
        </w:rPr>
        <w:tab/>
      </w:r>
      <w:r>
        <w:rPr>
          <w:rFonts w:ascii="Arial" w:cs="Arial" w:eastAsia="Arial" w:hAnsi="Arial"/>
          <w:sz w:val="23"/>
          <w:szCs w:val="23"/>
          <w:b w:val="1"/>
          <w:bCs w:val="1"/>
          <w:color w:val="FFFFFF"/>
        </w:rPr>
        <w:t>Shares</w:t>
      </w:r>
    </w:p>
    <w:p>
      <w:pPr>
        <w:spacing w:after="0" w:line="267"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FFFFFF"/>
        </w:rPr>
        <w:t>Affirm Holdings, Inc. is offering</w:t>
      </w:r>
      <w:r>
        <w:rPr>
          <w:sz w:val="20"/>
          <w:szCs w:val="20"/>
          <w:color w:val="auto"/>
        </w:rPr>
        <w:tab/>
      </w:r>
      <w:r>
        <w:rPr>
          <w:rFonts w:ascii="Arial" w:cs="Arial" w:eastAsia="Arial" w:hAnsi="Arial"/>
          <w:sz w:val="17"/>
          <w:szCs w:val="17"/>
          <w:color w:val="FFFFFF"/>
        </w:rPr>
        <w:t>shares of Class A common stock. This is our initial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FFFFFF"/>
        </w:rPr>
        <w:t>and no public market currently exists for our Class A common stock. The initial public offering price of</w:t>
      </w:r>
    </w:p>
    <w:p>
      <w:pPr>
        <w:spacing w:after="0"/>
        <w:tabs>
          <w:tab w:leader="none" w:pos="4900" w:val="left"/>
          <w:tab w:leader="none" w:pos="5840" w:val="left"/>
        </w:tabs>
        <w:rPr>
          <w:sz w:val="20"/>
          <w:szCs w:val="20"/>
          <w:color w:val="auto"/>
        </w:rPr>
      </w:pPr>
      <w:r>
        <w:rPr>
          <w:rFonts w:ascii="Arial" w:cs="Arial" w:eastAsia="Arial" w:hAnsi="Arial"/>
          <w:sz w:val="18"/>
          <w:szCs w:val="18"/>
          <w:color w:val="FFFFFF"/>
        </w:rPr>
        <w:t>the Class A common stock is expected to be between $</w:t>
      </w:r>
      <w:r>
        <w:rPr>
          <w:sz w:val="20"/>
          <w:szCs w:val="20"/>
          <w:color w:val="auto"/>
        </w:rPr>
        <w:tab/>
      </w:r>
      <w:r>
        <w:rPr>
          <w:rFonts w:ascii="Arial" w:cs="Arial" w:eastAsia="Arial" w:hAnsi="Arial"/>
          <w:sz w:val="18"/>
          <w:szCs w:val="18"/>
          <w:color w:val="FFFFFF"/>
        </w:rPr>
        <w:t>and $</w:t>
      </w:r>
      <w:r>
        <w:rPr>
          <w:sz w:val="20"/>
          <w:szCs w:val="20"/>
          <w:color w:val="auto"/>
        </w:rPr>
        <w:tab/>
      </w:r>
      <w:r>
        <w:rPr>
          <w:rFonts w:ascii="Arial" w:cs="Arial" w:eastAsia="Arial" w:hAnsi="Arial"/>
          <w:sz w:val="18"/>
          <w:szCs w:val="18"/>
          <w:color w:val="FFFFFF"/>
        </w:rPr>
        <w:t>per share.</w:t>
      </w:r>
    </w:p>
    <w:p>
      <w:pPr>
        <w:spacing w:after="0" w:line="68" w:lineRule="exact"/>
        <w:rPr>
          <w:sz w:val="20"/>
          <w:szCs w:val="20"/>
          <w:color w:val="auto"/>
        </w:rPr>
      </w:pPr>
    </w:p>
    <w:p>
      <w:pPr>
        <w:ind w:right="399"/>
        <w:spacing w:after="0" w:line="239" w:lineRule="auto"/>
        <w:rPr>
          <w:sz w:val="20"/>
          <w:szCs w:val="20"/>
          <w:color w:val="auto"/>
        </w:rPr>
      </w:pPr>
      <w:r>
        <w:rPr>
          <w:rFonts w:ascii="Arial" w:cs="Arial" w:eastAsia="Arial" w:hAnsi="Arial"/>
          <w:sz w:val="18"/>
          <w:szCs w:val="18"/>
          <w:color w:val="FFFFFF"/>
        </w:rPr>
        <w:t>Following this offering, we will have two classes of common stock: Class A common stock and Class B common stock. The rights of the holders of Class A common stock and Class B common stock will be identical, except with respect to voting, conversion and transfer rights. Each share of Class A common stock will be entitled to one vote. Each share of Class B common stock will be entitled to 15 votes and will be convertible at any time into one share of Class A common stock. Immediately following this offering, the holders of our outstanding shares of Class B common stock will hold approximately</w:t>
      </w:r>
    </w:p>
    <w:p>
      <w:pPr>
        <w:ind w:left="600"/>
        <w:spacing w:after="0" w:line="235" w:lineRule="auto"/>
        <w:rPr>
          <w:sz w:val="20"/>
          <w:szCs w:val="20"/>
          <w:color w:val="auto"/>
        </w:rPr>
      </w:pPr>
      <w:r>
        <w:rPr>
          <w:rFonts w:ascii="Arial" w:cs="Arial" w:eastAsia="Arial" w:hAnsi="Arial"/>
          <w:sz w:val="18"/>
          <w:szCs w:val="18"/>
          <w:color w:val="FFFFFF"/>
        </w:rPr>
        <w:t>% of the voting power of our outstanding capital stock, and those stockholders who held our</w:t>
      </w:r>
    </w:p>
    <w:p>
      <w:pPr>
        <w:ind w:right="859"/>
        <w:spacing w:after="0" w:line="234" w:lineRule="auto"/>
        <w:rPr>
          <w:sz w:val="20"/>
          <w:szCs w:val="20"/>
          <w:color w:val="auto"/>
        </w:rPr>
      </w:pPr>
      <w:r>
        <w:rPr>
          <w:rFonts w:ascii="Arial" w:cs="Arial" w:eastAsia="Arial" w:hAnsi="Arial"/>
          <w:sz w:val="18"/>
          <w:szCs w:val="18"/>
          <w:color w:val="FFFFFF"/>
        </w:rPr>
        <w:t>capital stock prior to the completion of this offering will hold approximately % of the voting power of our outstanding capital stock. Further, Max Levchin, our Founder, Chairman and Chief</w:t>
      </w:r>
    </w:p>
    <w:p>
      <w:pPr>
        <w:spacing w:after="0"/>
        <w:tabs>
          <w:tab w:leader="none" w:pos="5460" w:val="left"/>
        </w:tabs>
        <w:rPr>
          <w:sz w:val="20"/>
          <w:szCs w:val="20"/>
          <w:color w:val="auto"/>
        </w:rPr>
      </w:pPr>
      <w:r>
        <w:rPr>
          <w:rFonts w:ascii="Arial" w:cs="Arial" w:eastAsia="Arial" w:hAnsi="Arial"/>
          <w:sz w:val="18"/>
          <w:szCs w:val="18"/>
          <w:color w:val="FFFFFF"/>
        </w:rPr>
        <w:t>Executive Officer, will have voting control over approximately</w:t>
      </w:r>
      <w:r>
        <w:rPr>
          <w:sz w:val="20"/>
          <w:szCs w:val="20"/>
          <w:color w:val="auto"/>
        </w:rPr>
        <w:tab/>
      </w:r>
      <w:r>
        <w:rPr>
          <w:rFonts w:ascii="Arial" w:cs="Arial" w:eastAsia="Arial" w:hAnsi="Arial"/>
          <w:sz w:val="17"/>
          <w:szCs w:val="17"/>
          <w:color w:val="FFFFFF"/>
        </w:rPr>
        <w:t>% of the voting power of our</w:t>
      </w:r>
    </w:p>
    <w:p>
      <w:pPr>
        <w:spacing w:after="0"/>
        <w:rPr>
          <w:sz w:val="20"/>
          <w:szCs w:val="20"/>
          <w:color w:val="auto"/>
        </w:rPr>
      </w:pPr>
      <w:r>
        <w:rPr>
          <w:rFonts w:ascii="Arial" w:cs="Arial" w:eastAsia="Arial" w:hAnsi="Arial"/>
          <w:sz w:val="18"/>
          <w:szCs w:val="18"/>
          <w:color w:val="FFFFFF"/>
        </w:rPr>
        <w:t>outstanding capital stock immediately following this offering.</w:t>
      </w:r>
    </w:p>
    <w:p>
      <w:pPr>
        <w:spacing w:after="0" w:line="68" w:lineRule="exact"/>
        <w:rPr>
          <w:sz w:val="20"/>
          <w:szCs w:val="20"/>
          <w:color w:val="auto"/>
        </w:rPr>
      </w:pPr>
    </w:p>
    <w:p>
      <w:pPr>
        <w:jc w:val="both"/>
        <w:ind w:right="359"/>
        <w:spacing w:after="0" w:line="276" w:lineRule="auto"/>
        <w:rPr>
          <w:sz w:val="20"/>
          <w:szCs w:val="20"/>
          <w:color w:val="auto"/>
        </w:rPr>
      </w:pPr>
      <w:r>
        <w:rPr>
          <w:rFonts w:ascii="Arial" w:cs="Arial" w:eastAsia="Arial" w:hAnsi="Arial"/>
          <w:sz w:val="18"/>
          <w:szCs w:val="18"/>
          <w:color w:val="FFFFFF"/>
        </w:rPr>
        <w:t>We are an “emerging growth company” as defined in the Securities Act of 1933, as amended (the “Securities Act”), and will be subject to reduced public company reporting requirements.</w:t>
      </w:r>
    </w:p>
    <w:p>
      <w:pPr>
        <w:spacing w:after="0" w:line="10" w:lineRule="exact"/>
        <w:rPr>
          <w:sz w:val="20"/>
          <w:szCs w:val="20"/>
          <w:color w:val="auto"/>
        </w:rPr>
      </w:pPr>
    </w:p>
    <w:p>
      <w:pPr>
        <w:jc w:val="both"/>
        <w:ind w:right="359"/>
        <w:spacing w:after="0" w:line="276" w:lineRule="auto"/>
        <w:rPr>
          <w:sz w:val="20"/>
          <w:szCs w:val="20"/>
          <w:color w:val="auto"/>
        </w:rPr>
      </w:pPr>
      <w:r>
        <w:rPr>
          <w:rFonts w:ascii="Arial" w:cs="Arial" w:eastAsia="Arial" w:hAnsi="Arial"/>
          <w:sz w:val="18"/>
          <w:szCs w:val="18"/>
          <w:color w:val="FFFFFF"/>
        </w:rPr>
        <w:t>We have applied for listing of our Class A common stock on The Nasdaq Global Select Market (“Nasdaq”) under the symbol “AFRM”.</w:t>
      </w:r>
    </w:p>
    <w:p>
      <w:pPr>
        <w:spacing w:after="0" w:line="23" w:lineRule="exact"/>
        <w:rPr>
          <w:sz w:val="20"/>
          <w:szCs w:val="20"/>
          <w:color w:val="auto"/>
        </w:rPr>
      </w:pPr>
    </w:p>
    <w:p>
      <w:pPr>
        <w:jc w:val="center"/>
        <w:ind w:right="339"/>
        <w:spacing w:after="0"/>
        <w:rPr>
          <w:rFonts w:ascii="Arial" w:cs="Arial" w:eastAsia="Arial" w:hAnsi="Arial"/>
          <w:sz w:val="18"/>
          <w:szCs w:val="18"/>
          <w:color w:val="FFFFFF"/>
        </w:rPr>
      </w:pPr>
      <w:r>
        <w:rPr>
          <w:rFonts w:ascii="Arial" w:cs="Arial" w:eastAsia="Arial" w:hAnsi="Arial"/>
          <w:sz w:val="18"/>
          <w:szCs w:val="18"/>
          <w:color w:val="FFFFFF"/>
        </w:rPr>
        <w:t>Investing in our Class A common stock involves risks. See “</w:t>
      </w:r>
      <w:r>
        <w:rPr>
          <w:rFonts w:ascii="Arial" w:cs="Arial" w:eastAsia="Arial" w:hAnsi="Arial"/>
          <w:sz w:val="18"/>
          <w:szCs w:val="18"/>
          <w:b w:val="1"/>
          <w:bCs w:val="1"/>
          <w:i w:val="1"/>
          <w:iCs w:val="1"/>
          <w:color w:val="FFFFFF"/>
        </w:rPr>
        <w:t>Risk Factors</w:t>
      </w:r>
      <w:r>
        <w:rPr>
          <w:rFonts w:ascii="Arial" w:cs="Arial" w:eastAsia="Arial" w:hAnsi="Arial"/>
          <w:sz w:val="18"/>
          <w:szCs w:val="18"/>
          <w:color w:val="FFFFFF"/>
        </w:rPr>
        <w:t xml:space="preserve">” beginning on page </w:t>
      </w:r>
      <w:hyperlink w:anchor="page34">
        <w:r>
          <w:rPr>
            <w:rFonts w:ascii="Arial" w:cs="Arial" w:eastAsia="Arial" w:hAnsi="Arial"/>
            <w:sz w:val="18"/>
            <w:szCs w:val="18"/>
            <w:u w:val="single" w:color="auto"/>
            <w:color w:val="0000EE"/>
          </w:rPr>
          <w:t>26</w:t>
        </w:r>
      </w:hyperlink>
      <w:r>
        <w:rPr>
          <w:rFonts w:ascii="Arial" w:cs="Arial" w:eastAsia="Arial" w:hAnsi="Arial"/>
          <w:sz w:val="18"/>
          <w:szCs w:val="18"/>
          <w:color w:val="FFFFFF"/>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Pr>
          <w:p>
            <w:pPr>
              <w:spacing w:after="0"/>
              <w:rPr>
                <w:sz w:val="21"/>
                <w:szCs w:val="21"/>
                <w:color w:val="auto"/>
              </w:rPr>
            </w:pPr>
          </w:p>
        </w:tc>
        <w:tc>
          <w:tcPr>
            <w:tcW w:w="2520" w:type="dxa"/>
            <w:vAlign w:val="bottom"/>
          </w:tcPr>
          <w:p>
            <w:pPr>
              <w:ind w:left="1600"/>
              <w:spacing w:after="0"/>
              <w:rPr>
                <w:sz w:val="20"/>
                <w:szCs w:val="20"/>
                <w:color w:val="auto"/>
              </w:rPr>
            </w:pPr>
            <w:r>
              <w:rPr>
                <w:rFonts w:ascii="Arial" w:cs="Arial" w:eastAsia="Arial" w:hAnsi="Arial"/>
                <w:sz w:val="18"/>
                <w:szCs w:val="18"/>
                <w:color w:val="FFFFFF"/>
              </w:rPr>
              <w:t>PRICE $</w:t>
            </w:r>
          </w:p>
        </w:tc>
        <w:tc>
          <w:tcPr>
            <w:tcW w:w="2100" w:type="dxa"/>
            <w:vAlign w:val="bottom"/>
          </w:tcPr>
          <w:p>
            <w:pPr>
              <w:ind w:left="540"/>
              <w:spacing w:after="0"/>
              <w:rPr>
                <w:sz w:val="20"/>
                <w:szCs w:val="20"/>
                <w:color w:val="auto"/>
              </w:rPr>
            </w:pPr>
            <w:r>
              <w:rPr>
                <w:rFonts w:ascii="Arial" w:cs="Arial" w:eastAsia="Arial" w:hAnsi="Arial"/>
                <w:sz w:val="18"/>
                <w:szCs w:val="18"/>
                <w:color w:val="FFFFFF"/>
              </w:rPr>
              <w:t>A SHARE</w:t>
            </w:r>
          </w:p>
        </w:tc>
        <w:tc>
          <w:tcPr>
            <w:tcW w:w="1460" w:type="dxa"/>
            <w:vAlign w:val="bottom"/>
          </w:tcPr>
          <w:p>
            <w:pPr>
              <w:spacing w:after="0"/>
              <w:rPr>
                <w:sz w:val="21"/>
                <w:szCs w:val="21"/>
                <w:color w:val="auto"/>
              </w:rPr>
            </w:pPr>
          </w:p>
        </w:tc>
      </w:tr>
      <w:tr>
        <w:trPr>
          <w:trHeight w:val="468"/>
        </w:trPr>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Arial" w:cs="Arial" w:eastAsia="Arial" w:hAnsi="Arial"/>
                <w:sz w:val="14"/>
                <w:szCs w:val="14"/>
                <w:b w:val="1"/>
                <w:bCs w:val="1"/>
                <w:color w:val="FFFFFF"/>
              </w:rPr>
              <w:t>Underwriting Discounts</w:t>
            </w:r>
          </w:p>
        </w:tc>
        <w:tc>
          <w:tcPr>
            <w:tcW w:w="1460" w:type="dxa"/>
            <w:vAlign w:val="bottom"/>
          </w:tcPr>
          <w:p>
            <w:pPr>
              <w:ind w:left="260"/>
              <w:spacing w:after="0"/>
              <w:rPr>
                <w:sz w:val="20"/>
                <w:szCs w:val="20"/>
                <w:color w:val="auto"/>
              </w:rPr>
            </w:pPr>
            <w:r>
              <w:rPr>
                <w:rFonts w:ascii="Arial" w:cs="Arial" w:eastAsia="Arial" w:hAnsi="Arial"/>
                <w:sz w:val="14"/>
                <w:szCs w:val="14"/>
                <w:b w:val="1"/>
                <w:bCs w:val="1"/>
                <w:color w:val="FFFFFF"/>
              </w:rPr>
              <w:t>Proceeds, Before</w:t>
            </w:r>
          </w:p>
        </w:tc>
      </w:tr>
      <w:tr>
        <w:trPr>
          <w:trHeight w:val="247"/>
        </w:trPr>
        <w:tc>
          <w:tcPr>
            <w:tcW w:w="1380" w:type="dxa"/>
            <w:vAlign w:val="bottom"/>
          </w:tcPr>
          <w:p>
            <w:pPr>
              <w:spacing w:after="0"/>
              <w:rPr>
                <w:sz w:val="21"/>
                <w:szCs w:val="21"/>
                <w:color w:val="auto"/>
              </w:rPr>
            </w:pPr>
          </w:p>
        </w:tc>
        <w:tc>
          <w:tcPr>
            <w:tcW w:w="2520" w:type="dxa"/>
            <w:vAlign w:val="bottom"/>
          </w:tcPr>
          <w:p>
            <w:pPr>
              <w:ind w:left="560"/>
              <w:spacing w:after="0"/>
              <w:rPr>
                <w:sz w:val="20"/>
                <w:szCs w:val="20"/>
                <w:color w:val="auto"/>
              </w:rPr>
            </w:pPr>
            <w:r>
              <w:rPr>
                <w:rFonts w:ascii="Arial" w:cs="Arial" w:eastAsia="Arial" w:hAnsi="Arial"/>
                <w:sz w:val="14"/>
                <w:szCs w:val="14"/>
                <w:b w:val="1"/>
                <w:bCs w:val="1"/>
                <w:color w:val="FFFFFF"/>
              </w:rPr>
              <w:t>Price to Public</w:t>
            </w:r>
          </w:p>
        </w:tc>
        <w:tc>
          <w:tcPr>
            <w:tcW w:w="2100" w:type="dxa"/>
            <w:vAlign w:val="bottom"/>
          </w:tcPr>
          <w:p>
            <w:pPr>
              <w:ind w:left="200"/>
              <w:spacing w:after="0"/>
              <w:rPr>
                <w:sz w:val="20"/>
                <w:szCs w:val="20"/>
                <w:color w:val="auto"/>
              </w:rPr>
            </w:pPr>
            <w:r>
              <w:rPr>
                <w:rFonts w:ascii="Arial" w:cs="Arial" w:eastAsia="Arial" w:hAnsi="Arial"/>
                <w:sz w:val="14"/>
                <w:szCs w:val="14"/>
                <w:b w:val="1"/>
                <w:bCs w:val="1"/>
                <w:color w:val="FFFFFF"/>
              </w:rPr>
              <w:t>and Commissions</w:t>
            </w:r>
            <w:r>
              <w:rPr>
                <w:rFonts w:ascii="Arial" w:cs="Arial" w:eastAsia="Arial" w:hAnsi="Arial"/>
                <w:sz w:val="21"/>
                <w:szCs w:val="21"/>
                <w:b w:val="1"/>
                <w:bCs w:val="1"/>
                <w:color w:val="FFFFFF"/>
                <w:vertAlign w:val="superscript"/>
              </w:rPr>
              <w:t>(1)</w:t>
            </w:r>
          </w:p>
        </w:tc>
        <w:tc>
          <w:tcPr>
            <w:tcW w:w="1460" w:type="dxa"/>
            <w:vAlign w:val="bottom"/>
          </w:tcPr>
          <w:p>
            <w:pPr>
              <w:ind w:left="260"/>
              <w:spacing w:after="0"/>
              <w:rPr>
                <w:sz w:val="20"/>
                <w:szCs w:val="20"/>
                <w:color w:val="auto"/>
              </w:rPr>
            </w:pPr>
            <w:r>
              <w:rPr>
                <w:rFonts w:ascii="Arial" w:cs="Arial" w:eastAsia="Arial" w:hAnsi="Arial"/>
                <w:sz w:val="14"/>
                <w:szCs w:val="14"/>
                <w:b w:val="1"/>
                <w:bCs w:val="1"/>
                <w:color w:val="FFFFFF"/>
              </w:rPr>
              <w:t>Expenses, to Us</w:t>
            </w:r>
          </w:p>
        </w:tc>
      </w:tr>
      <w:tr>
        <w:trPr>
          <w:trHeight w:val="243"/>
        </w:trPr>
        <w:tc>
          <w:tcPr>
            <w:tcW w:w="1380" w:type="dxa"/>
            <w:vAlign w:val="bottom"/>
          </w:tcPr>
          <w:p>
            <w:pPr>
              <w:spacing w:after="0"/>
              <w:rPr>
                <w:sz w:val="20"/>
                <w:szCs w:val="20"/>
                <w:color w:val="auto"/>
              </w:rPr>
            </w:pPr>
            <w:r>
              <w:rPr>
                <w:rFonts w:ascii="Arial" w:cs="Arial" w:eastAsia="Arial" w:hAnsi="Arial"/>
                <w:sz w:val="18"/>
                <w:szCs w:val="18"/>
                <w:color w:val="FFFFFF"/>
              </w:rPr>
              <w:t>Per Share</w:t>
            </w:r>
          </w:p>
        </w:tc>
        <w:tc>
          <w:tcPr>
            <w:tcW w:w="2520" w:type="dxa"/>
            <w:vAlign w:val="bottom"/>
          </w:tcPr>
          <w:p>
            <w:pPr>
              <w:ind w:left="560"/>
              <w:spacing w:after="0"/>
              <w:rPr>
                <w:sz w:val="20"/>
                <w:szCs w:val="20"/>
                <w:color w:val="auto"/>
              </w:rPr>
            </w:pPr>
            <w:r>
              <w:rPr>
                <w:rFonts w:ascii="Arial" w:cs="Arial" w:eastAsia="Arial" w:hAnsi="Arial"/>
                <w:sz w:val="18"/>
                <w:szCs w:val="18"/>
                <w:color w:val="FFFFFF"/>
              </w:rPr>
              <w:t>$</w:t>
            </w:r>
          </w:p>
        </w:tc>
        <w:tc>
          <w:tcPr>
            <w:tcW w:w="2100" w:type="dxa"/>
            <w:vAlign w:val="bottom"/>
          </w:tcPr>
          <w:p>
            <w:pPr>
              <w:ind w:left="200"/>
              <w:spacing w:after="0"/>
              <w:rPr>
                <w:sz w:val="20"/>
                <w:szCs w:val="20"/>
                <w:color w:val="auto"/>
              </w:rPr>
            </w:pPr>
            <w:r>
              <w:rPr>
                <w:rFonts w:ascii="Arial" w:cs="Arial" w:eastAsia="Arial" w:hAnsi="Arial"/>
                <w:sz w:val="18"/>
                <w:szCs w:val="18"/>
                <w:color w:val="FFFFFF"/>
              </w:rPr>
              <w:t>$</w:t>
            </w:r>
          </w:p>
        </w:tc>
        <w:tc>
          <w:tcPr>
            <w:tcW w:w="1460" w:type="dxa"/>
            <w:vAlign w:val="bottom"/>
          </w:tcPr>
          <w:p>
            <w:pPr>
              <w:ind w:left="260"/>
              <w:spacing w:after="0"/>
              <w:rPr>
                <w:sz w:val="20"/>
                <w:szCs w:val="20"/>
                <w:color w:val="auto"/>
              </w:rPr>
            </w:pPr>
            <w:r>
              <w:rPr>
                <w:rFonts w:ascii="Arial" w:cs="Arial" w:eastAsia="Arial" w:hAnsi="Arial"/>
                <w:sz w:val="18"/>
                <w:szCs w:val="18"/>
                <w:color w:val="FFFFFF"/>
              </w:rPr>
              <w:t>$</w:t>
            </w:r>
          </w:p>
        </w:tc>
      </w:tr>
      <w:tr>
        <w:trPr>
          <w:trHeight w:val="257"/>
        </w:trPr>
        <w:tc>
          <w:tcPr>
            <w:tcW w:w="1380" w:type="dxa"/>
            <w:vAlign w:val="bottom"/>
          </w:tcPr>
          <w:p>
            <w:pPr>
              <w:spacing w:after="0"/>
              <w:rPr>
                <w:sz w:val="20"/>
                <w:szCs w:val="20"/>
                <w:color w:val="auto"/>
              </w:rPr>
            </w:pPr>
            <w:r>
              <w:rPr>
                <w:rFonts w:ascii="Arial" w:cs="Arial" w:eastAsia="Arial" w:hAnsi="Arial"/>
                <w:sz w:val="18"/>
                <w:szCs w:val="18"/>
                <w:color w:val="FFFFFF"/>
              </w:rPr>
              <w:t>Total</w:t>
            </w:r>
          </w:p>
        </w:tc>
        <w:tc>
          <w:tcPr>
            <w:tcW w:w="2520" w:type="dxa"/>
            <w:vAlign w:val="bottom"/>
          </w:tcPr>
          <w:p>
            <w:pPr>
              <w:ind w:left="560"/>
              <w:spacing w:after="0"/>
              <w:rPr>
                <w:sz w:val="20"/>
                <w:szCs w:val="20"/>
                <w:color w:val="auto"/>
              </w:rPr>
            </w:pPr>
            <w:r>
              <w:rPr>
                <w:rFonts w:ascii="Arial" w:cs="Arial" w:eastAsia="Arial" w:hAnsi="Arial"/>
                <w:sz w:val="18"/>
                <w:szCs w:val="18"/>
                <w:color w:val="FFFFFF"/>
              </w:rPr>
              <w:t>$</w:t>
            </w:r>
          </w:p>
        </w:tc>
        <w:tc>
          <w:tcPr>
            <w:tcW w:w="2100" w:type="dxa"/>
            <w:vAlign w:val="bottom"/>
          </w:tcPr>
          <w:p>
            <w:pPr>
              <w:ind w:left="200"/>
              <w:spacing w:after="0"/>
              <w:rPr>
                <w:sz w:val="20"/>
                <w:szCs w:val="20"/>
                <w:color w:val="auto"/>
              </w:rPr>
            </w:pPr>
            <w:r>
              <w:rPr>
                <w:rFonts w:ascii="Arial" w:cs="Arial" w:eastAsia="Arial" w:hAnsi="Arial"/>
                <w:sz w:val="18"/>
                <w:szCs w:val="18"/>
                <w:color w:val="FFFFFF"/>
              </w:rPr>
              <w:t>$</w:t>
            </w:r>
          </w:p>
        </w:tc>
        <w:tc>
          <w:tcPr>
            <w:tcW w:w="1460" w:type="dxa"/>
            <w:vAlign w:val="bottom"/>
          </w:tcPr>
          <w:p>
            <w:pPr>
              <w:ind w:left="260"/>
              <w:spacing w:after="0"/>
              <w:rPr>
                <w:sz w:val="20"/>
                <w:szCs w:val="20"/>
                <w:color w:val="auto"/>
              </w:rPr>
            </w:pPr>
            <w:r>
              <w:rPr>
                <w:rFonts w:ascii="Arial" w:cs="Arial" w:eastAsia="Arial" w:hAnsi="Arial"/>
                <w:sz w:val="18"/>
                <w:szCs w:val="18"/>
                <w:color w:val="FFFFFF"/>
              </w:rPr>
              <w:t>$</w:t>
            </w:r>
          </w:p>
        </w:tc>
      </w:tr>
    </w:tbl>
    <w:p>
      <w:pPr>
        <w:spacing w:after="0" w:line="50" w:lineRule="exact"/>
        <w:rPr>
          <w:sz w:val="20"/>
          <w:szCs w:val="20"/>
          <w:color w:val="auto"/>
        </w:rPr>
      </w:pPr>
    </w:p>
    <w:p>
      <w:pPr>
        <w:jc w:val="center"/>
        <w:ind w:right="399"/>
        <w:spacing w:after="0"/>
        <w:rPr>
          <w:rFonts w:ascii="Arial" w:cs="Arial" w:eastAsia="Arial" w:hAnsi="Arial"/>
          <w:sz w:val="14"/>
          <w:szCs w:val="14"/>
          <w:color w:val="FFFFFF"/>
        </w:rPr>
      </w:pPr>
      <w:r>
        <w:rPr>
          <w:rFonts w:ascii="Arial" w:cs="Arial" w:eastAsia="Arial" w:hAnsi="Arial"/>
          <w:sz w:val="14"/>
          <w:szCs w:val="14"/>
          <w:color w:val="FFFFFF"/>
        </w:rPr>
        <w:t xml:space="preserve">(1) See “Underwriting” beginning on page </w:t>
      </w:r>
      <w:hyperlink w:anchor="page204">
        <w:r>
          <w:rPr>
            <w:rFonts w:ascii="Arial" w:cs="Arial" w:eastAsia="Arial" w:hAnsi="Arial"/>
            <w:sz w:val="14"/>
            <w:szCs w:val="14"/>
            <w:u w:val="single" w:color="auto"/>
            <w:color w:val="0000EE"/>
          </w:rPr>
          <w:t>196</w:t>
        </w:r>
        <w:r>
          <w:rPr>
            <w:rFonts w:ascii="Arial" w:cs="Arial" w:eastAsia="Arial" w:hAnsi="Arial"/>
            <w:sz w:val="14"/>
            <w:szCs w:val="14"/>
            <w:u w:val="single" w:color="auto"/>
            <w:color w:val="FFFFFF"/>
          </w:rPr>
          <w:t xml:space="preserve"> </w:t>
        </w:r>
      </w:hyperlink>
      <w:r>
        <w:rPr>
          <w:rFonts w:ascii="Arial" w:cs="Arial" w:eastAsia="Arial" w:hAnsi="Arial"/>
          <w:sz w:val="14"/>
          <w:szCs w:val="14"/>
          <w:color w:val="FFFFFF"/>
        </w:rPr>
        <w:t>of this prospectus for additional information regarding underwriting compensation.</w:t>
      </w:r>
    </w:p>
    <w:p>
      <w:pPr>
        <w:spacing w:after="0" w:line="275" w:lineRule="exact"/>
        <w:rPr>
          <w:sz w:val="20"/>
          <w:szCs w:val="20"/>
          <w:color w:val="auto"/>
        </w:rPr>
      </w:pPr>
    </w:p>
    <w:p>
      <w:pPr>
        <w:jc w:val="both"/>
        <w:ind w:right="359"/>
        <w:spacing w:after="0" w:line="276" w:lineRule="auto"/>
        <w:rPr>
          <w:sz w:val="20"/>
          <w:szCs w:val="20"/>
          <w:color w:val="auto"/>
        </w:rPr>
      </w:pPr>
      <w:r>
        <w:rPr>
          <w:rFonts w:ascii="Arial" w:cs="Arial" w:eastAsia="Arial" w:hAnsi="Arial"/>
          <w:sz w:val="18"/>
          <w:szCs w:val="18"/>
          <w:color w:val="FFFFFF"/>
        </w:rPr>
        <w:t>We have granted the underwriters the right to purchase up to an additional shares of our Class A common stock at the initial public offering price less underwriting discounts and commissions.</w:t>
      </w:r>
    </w:p>
    <w:p>
      <w:pPr>
        <w:spacing w:after="0" w:line="10" w:lineRule="exact"/>
        <w:rPr>
          <w:sz w:val="20"/>
          <w:szCs w:val="20"/>
          <w:color w:val="auto"/>
        </w:rPr>
      </w:pPr>
    </w:p>
    <w:p>
      <w:pPr>
        <w:jc w:val="both"/>
        <w:ind w:right="359"/>
        <w:spacing w:after="0" w:line="255" w:lineRule="auto"/>
        <w:rPr>
          <w:sz w:val="20"/>
          <w:szCs w:val="20"/>
          <w:color w:val="auto"/>
        </w:rPr>
      </w:pPr>
      <w:r>
        <w:rPr>
          <w:rFonts w:ascii="Arial" w:cs="Arial" w:eastAsia="Arial" w:hAnsi="Arial"/>
          <w:sz w:val="18"/>
          <w:szCs w:val="18"/>
          <w:color w:val="FFFFFF"/>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Pr>
          <w:p>
            <w:pPr>
              <w:spacing w:after="0"/>
              <w:rPr>
                <w:sz w:val="20"/>
                <w:szCs w:val="20"/>
                <w:color w:val="auto"/>
              </w:rPr>
            </w:pPr>
            <w:r>
              <w:rPr>
                <w:rFonts w:ascii="Arial" w:cs="Arial" w:eastAsia="Arial" w:hAnsi="Arial"/>
                <w:sz w:val="18"/>
                <w:szCs w:val="18"/>
                <w:color w:val="FFFFFF"/>
              </w:rPr>
              <w:t>Delivery of the shares of Class A common stock is expected to be made on</w:t>
            </w:r>
          </w:p>
        </w:tc>
        <w:tc>
          <w:tcPr>
            <w:tcW w:w="1100" w:type="dxa"/>
            <w:vAlign w:val="bottom"/>
          </w:tcPr>
          <w:p>
            <w:pPr>
              <w:jc w:val="right"/>
              <w:spacing w:after="0"/>
              <w:rPr>
                <w:sz w:val="20"/>
                <w:szCs w:val="20"/>
                <w:color w:val="auto"/>
              </w:rPr>
            </w:pPr>
            <w:r>
              <w:rPr>
                <w:rFonts w:ascii="Arial" w:cs="Arial" w:eastAsia="Arial" w:hAnsi="Arial"/>
                <w:sz w:val="18"/>
                <w:szCs w:val="18"/>
                <w:color w:val="FFFFFF"/>
              </w:rPr>
              <w:t>, 2020.</w:t>
            </w:r>
          </w:p>
        </w:tc>
      </w:tr>
      <w:tr>
        <w:trPr>
          <w:trHeight w:val="297"/>
        </w:trPr>
        <w:tc>
          <w:tcPr>
            <w:tcW w:w="6520" w:type="dxa"/>
            <w:vAlign w:val="bottom"/>
          </w:tcPr>
          <w:p>
            <w:pPr>
              <w:ind w:left="2920"/>
              <w:spacing w:after="0"/>
              <w:rPr>
                <w:sz w:val="20"/>
                <w:szCs w:val="20"/>
                <w:color w:val="auto"/>
              </w:rPr>
            </w:pPr>
            <w:r>
              <w:rPr>
                <w:rFonts w:ascii="Arial" w:cs="Arial" w:eastAsia="Arial" w:hAnsi="Arial"/>
                <w:sz w:val="18"/>
                <w:szCs w:val="18"/>
                <w:color w:val="FFFFFF"/>
              </w:rPr>
              <w:t>(in reverse alphabetical order)</w:t>
            </w:r>
          </w:p>
        </w:tc>
        <w:tc>
          <w:tcPr>
            <w:tcW w:w="1100" w:type="dxa"/>
            <w:vAlign w:val="bottom"/>
          </w:tcPr>
          <w:p>
            <w:pPr>
              <w:spacing w:after="0"/>
              <w:rPr>
                <w:sz w:val="24"/>
                <w:szCs w:val="24"/>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2060" w:type="dxa"/>
            <w:vAlign w:val="bottom"/>
          </w:tcPr>
          <w:p>
            <w:pPr>
              <w:spacing w:after="0"/>
              <w:rPr>
                <w:sz w:val="20"/>
                <w:szCs w:val="20"/>
                <w:color w:val="auto"/>
              </w:rPr>
            </w:pPr>
            <w:r>
              <w:rPr>
                <w:rFonts w:ascii="Arial" w:cs="Arial" w:eastAsia="Arial" w:hAnsi="Arial"/>
                <w:sz w:val="22"/>
                <w:szCs w:val="22"/>
                <w:b w:val="1"/>
                <w:bCs w:val="1"/>
                <w:color w:val="FFFFFF"/>
              </w:rPr>
              <w:t>Morgan Stanley</w:t>
            </w:r>
          </w:p>
        </w:tc>
        <w:tc>
          <w:tcPr>
            <w:tcW w:w="3460" w:type="dxa"/>
            <w:vAlign w:val="bottom"/>
          </w:tcPr>
          <w:p>
            <w:pPr>
              <w:ind w:left="300"/>
              <w:spacing w:after="0"/>
              <w:rPr>
                <w:sz w:val="20"/>
                <w:szCs w:val="20"/>
                <w:color w:val="auto"/>
              </w:rPr>
            </w:pPr>
            <w:r>
              <w:rPr>
                <w:rFonts w:ascii="Arial" w:cs="Arial" w:eastAsia="Arial" w:hAnsi="Arial"/>
                <w:sz w:val="22"/>
                <w:szCs w:val="22"/>
                <w:b w:val="1"/>
                <w:bCs w:val="1"/>
                <w:color w:val="FFFFFF"/>
              </w:rPr>
              <w:t>Goldman Sachs &amp; Co. LLC</w:t>
            </w:r>
          </w:p>
        </w:tc>
        <w:tc>
          <w:tcPr>
            <w:tcW w:w="2680" w:type="dxa"/>
            <w:vAlign w:val="bottom"/>
          </w:tcPr>
          <w:p>
            <w:pPr>
              <w:jc w:val="right"/>
              <w:spacing w:after="0"/>
              <w:rPr>
                <w:sz w:val="20"/>
                <w:szCs w:val="20"/>
                <w:color w:val="auto"/>
              </w:rPr>
            </w:pPr>
            <w:r>
              <w:rPr>
                <w:rFonts w:ascii="Arial" w:cs="Arial" w:eastAsia="Arial" w:hAnsi="Arial"/>
                <w:sz w:val="22"/>
                <w:szCs w:val="22"/>
                <w:b w:val="1"/>
                <w:bCs w:val="1"/>
                <w:color w:val="FFFFFF"/>
              </w:rPr>
              <w:t>Allen &amp; Company LLC</w:t>
            </w:r>
          </w:p>
        </w:tc>
      </w:tr>
      <w:tr>
        <w:trPr>
          <w:trHeight w:val="337"/>
        </w:trPr>
        <w:tc>
          <w:tcPr>
            <w:tcW w:w="2060" w:type="dxa"/>
            <w:vAlign w:val="bottom"/>
          </w:tcPr>
          <w:p>
            <w:pPr>
              <w:spacing w:after="0"/>
              <w:rPr>
                <w:sz w:val="20"/>
                <w:szCs w:val="20"/>
                <w:color w:val="auto"/>
              </w:rPr>
            </w:pPr>
            <w:r>
              <w:rPr>
                <w:rFonts w:ascii="Arial" w:cs="Arial" w:eastAsia="Arial" w:hAnsi="Arial"/>
                <w:sz w:val="18"/>
                <w:szCs w:val="18"/>
                <w:b w:val="1"/>
                <w:bCs w:val="1"/>
                <w:color w:val="FFFFFF"/>
              </w:rPr>
              <w:t>RBC Capital Markets</w:t>
            </w:r>
          </w:p>
        </w:tc>
        <w:tc>
          <w:tcPr>
            <w:tcW w:w="3460" w:type="dxa"/>
            <w:vAlign w:val="bottom"/>
          </w:tcPr>
          <w:p>
            <w:pPr>
              <w:jc w:val="center"/>
              <w:ind w:left="550"/>
              <w:spacing w:after="0"/>
              <w:rPr>
                <w:sz w:val="20"/>
                <w:szCs w:val="20"/>
                <w:color w:val="auto"/>
              </w:rPr>
            </w:pPr>
            <w:r>
              <w:rPr>
                <w:rFonts w:ascii="Arial" w:cs="Arial" w:eastAsia="Arial" w:hAnsi="Arial"/>
                <w:sz w:val="18"/>
                <w:szCs w:val="18"/>
                <w:b w:val="1"/>
                <w:bCs w:val="1"/>
                <w:color w:val="FFFFFF"/>
                <w:w w:val="99"/>
              </w:rPr>
              <w:t>Credit Suisse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FFFFFF"/>
              </w:rPr>
              <w:t>Barclays</w:t>
            </w:r>
          </w:p>
        </w:tc>
      </w:tr>
      <w:tr>
        <w:trPr>
          <w:trHeight w:val="337"/>
        </w:trPr>
        <w:tc>
          <w:tcPr>
            <w:tcW w:w="2060" w:type="dxa"/>
            <w:vAlign w:val="bottom"/>
          </w:tcPr>
          <w:p>
            <w:pPr>
              <w:spacing w:after="0"/>
              <w:rPr>
                <w:sz w:val="20"/>
                <w:szCs w:val="20"/>
                <w:color w:val="auto"/>
              </w:rPr>
            </w:pPr>
            <w:r>
              <w:rPr>
                <w:rFonts w:ascii="Arial" w:cs="Arial" w:eastAsia="Arial" w:hAnsi="Arial"/>
                <w:sz w:val="14"/>
                <w:szCs w:val="14"/>
                <w:b w:val="1"/>
                <w:bCs w:val="1"/>
                <w:color w:val="FFFFFF"/>
              </w:rPr>
              <w:t>Truist Securities</w:t>
            </w:r>
          </w:p>
        </w:tc>
        <w:tc>
          <w:tcPr>
            <w:tcW w:w="3460" w:type="dxa"/>
            <w:vAlign w:val="bottom"/>
          </w:tcPr>
          <w:p>
            <w:pPr>
              <w:jc w:val="center"/>
              <w:ind w:left="550"/>
              <w:spacing w:after="0"/>
              <w:rPr>
                <w:sz w:val="20"/>
                <w:szCs w:val="20"/>
                <w:color w:val="auto"/>
              </w:rPr>
            </w:pPr>
            <w:r>
              <w:rPr>
                <w:rFonts w:ascii="Arial" w:cs="Arial" w:eastAsia="Arial" w:hAnsi="Arial"/>
                <w:sz w:val="14"/>
                <w:szCs w:val="14"/>
                <w:b w:val="1"/>
                <w:bCs w:val="1"/>
                <w:color w:val="FFFFFF"/>
              </w:rPr>
              <w:t>Siebert Williams Shank</w:t>
            </w:r>
          </w:p>
        </w:tc>
        <w:tc>
          <w:tcPr>
            <w:tcW w:w="2680" w:type="dxa"/>
            <w:vAlign w:val="bottom"/>
          </w:tcPr>
          <w:p>
            <w:pPr>
              <w:jc w:val="right"/>
              <w:spacing w:after="0"/>
              <w:rPr>
                <w:sz w:val="20"/>
                <w:szCs w:val="20"/>
                <w:color w:val="auto"/>
              </w:rPr>
            </w:pPr>
            <w:r>
              <w:rPr>
                <w:rFonts w:ascii="Arial" w:cs="Arial" w:eastAsia="Arial" w:hAnsi="Arial"/>
                <w:sz w:val="14"/>
                <w:szCs w:val="14"/>
                <w:b w:val="1"/>
                <w:bCs w:val="1"/>
                <w:color w:val="FFFFFF"/>
              </w:rPr>
              <w:t>Deutsche Bank Securities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Pr>
          <w:p>
            <w:pPr>
              <w:spacing w:after="0"/>
              <w:rPr>
                <w:sz w:val="20"/>
                <w:szCs w:val="20"/>
                <w:color w:val="auto"/>
              </w:rPr>
            </w:pPr>
            <w:r>
              <w:rPr>
                <w:rFonts w:ascii="Arial" w:cs="Arial" w:eastAsia="Arial" w:hAnsi="Arial"/>
                <w:sz w:val="18"/>
                <w:szCs w:val="18"/>
                <w:color w:val="FFFFFF"/>
              </w:rPr>
              <w:t>The date of this prospectus is</w:t>
            </w:r>
          </w:p>
        </w:tc>
        <w:tc>
          <w:tcPr>
            <w:tcW w:w="1100" w:type="dxa"/>
            <w:vAlign w:val="bottom"/>
          </w:tcPr>
          <w:p>
            <w:pPr>
              <w:jc w:val="right"/>
              <w:spacing w:after="0"/>
              <w:rPr>
                <w:sz w:val="20"/>
                <w:szCs w:val="20"/>
                <w:color w:val="auto"/>
              </w:rPr>
            </w:pPr>
            <w:r>
              <w:rPr>
                <w:rFonts w:ascii="Arial" w:cs="Arial" w:eastAsia="Arial" w:hAnsi="Arial"/>
                <w:sz w:val="18"/>
                <w:szCs w:val="18"/>
                <w:color w:val="FFFFFF"/>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1497330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180" w:space="400"/>
            <w:col w:w="8559"/>
          </w:cols>
          <w:pgMar w:left="320" w:top="114"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6806565" cy="7877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787781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6806565" cy="8761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506095</wp:posOffset>
            </wp:positionV>
            <wp:extent cx="5092065" cy="6300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92065" cy="6300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8649970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557530</wp:posOffset>
            </wp:positionV>
            <wp:extent cx="5092065" cy="6206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92065" cy="62064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6806565" cy="8846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884682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06565" cy="8761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PROSPECTUS SUMMARY</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1</w:t>
              </w:r>
            </w:hyperlink>
          </w:p>
        </w:tc>
      </w:tr>
      <w:tr>
        <w:trPr>
          <w:trHeight w:val="256"/>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THE OFFERING</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18</w:t>
              </w:r>
            </w:hyperlink>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SUMMARY CONSOLIDATED FINANCIAL AND OTHER DATA</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21</w:t>
              </w:r>
            </w:hyperlink>
          </w:p>
        </w:tc>
      </w:tr>
      <w:tr>
        <w:trPr>
          <w:trHeight w:val="257"/>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26</w:t>
              </w:r>
            </w:hyperlink>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CAUTIONARY NOTE REGARDING FORWARD-LOOKING STATEMENTS</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68</w:t>
              </w:r>
            </w:hyperlink>
          </w:p>
        </w:tc>
      </w:tr>
      <w:tr>
        <w:trPr>
          <w:trHeight w:val="256"/>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INDUSTRY, MARKET AND OTHER DATA</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70</w:t>
              </w:r>
            </w:hyperlink>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USE OF PROCEEDS</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72</w:t>
              </w:r>
            </w:hyperlink>
          </w:p>
        </w:tc>
      </w:tr>
      <w:tr>
        <w:trPr>
          <w:trHeight w:val="257"/>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DIVIDEND POLICY</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73</w:t>
              </w:r>
            </w:hyperlink>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CAPITALIZATION</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74</w:t>
              </w:r>
            </w:hyperlink>
          </w:p>
        </w:tc>
      </w:tr>
      <w:tr>
        <w:trPr>
          <w:trHeight w:val="257"/>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DILUTION</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77</w:t>
              </w:r>
            </w:hyperlink>
          </w:p>
        </w:tc>
      </w:tr>
      <w:tr>
        <w:trPr>
          <w:trHeight w:val="256"/>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SELECTED CONSOLIDATED FINANCIAL AND OTHER DATA</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80</w:t>
              </w:r>
            </w:hyperlink>
          </w:p>
        </w:tc>
      </w:tr>
      <w:tr>
        <w:trPr>
          <w:trHeight w:val="216"/>
        </w:trPr>
        <w:tc>
          <w:tcPr>
            <w:tcW w:w="6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MANAGEMENT’S DISCUSSION AND ANALYSIS OF FINANCIAL CONDITION AND</w:t>
              </w:r>
            </w:hyperlink>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00" w:type="dxa"/>
            <w:vAlign w:val="bottom"/>
            <w:gridSpan w:val="5"/>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RESULTS OF OPERATIONS</w:t>
              </w:r>
            </w:hyperlink>
          </w:p>
        </w:tc>
        <w:tc>
          <w:tcPr>
            <w:tcW w:w="34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84</w:t>
              </w:r>
            </w:hyperlink>
          </w:p>
        </w:tc>
      </w:tr>
      <w:tr>
        <w:trPr>
          <w:trHeight w:val="20"/>
        </w:trPr>
        <w:tc>
          <w:tcPr>
            <w:tcW w:w="180" w:type="dxa"/>
            <w:vAlign w:val="bottom"/>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BUSINESS</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125</w:t>
              </w:r>
            </w:hyperlink>
          </w:p>
        </w:tc>
      </w:tr>
      <w:tr>
        <w:trPr>
          <w:trHeight w:val="257"/>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MANAGEMENT</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154</w:t>
              </w:r>
            </w:hyperlink>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EXECUTIVE AND DIRECTOR COMPENSATION</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161</w:t>
              </w:r>
            </w:hyperlink>
          </w:p>
        </w:tc>
      </w:tr>
      <w:tr>
        <w:trPr>
          <w:trHeight w:val="256"/>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CERTAIN RELATIONSHIPS AND RELATED-PARTY TRANSACTIONS</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173</w:t>
              </w:r>
            </w:hyperlink>
          </w:p>
        </w:tc>
      </w:tr>
      <w:tr>
        <w:trPr>
          <w:trHeight w:val="257"/>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PRINCIPAL STOCKHOLDERS</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178</w:t>
              </w:r>
            </w:hyperlink>
          </w:p>
        </w:tc>
      </w:tr>
      <w:tr>
        <w:trPr>
          <w:trHeight w:val="257"/>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182</w:t>
              </w:r>
            </w:hyperlink>
          </w:p>
        </w:tc>
      </w:tr>
      <w:tr>
        <w:trPr>
          <w:trHeight w:val="256"/>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191</w:t>
              </w:r>
            </w:hyperlink>
          </w:p>
        </w:tc>
      </w:tr>
      <w:tr>
        <w:trPr>
          <w:trHeight w:val="257"/>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U.S. FEDERAL INCOME TAX CONSIDERATIONS FOR NON-U.S. HOLDERS</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194</w:t>
              </w:r>
            </w:hyperlink>
          </w:p>
        </w:tc>
      </w:tr>
      <w:tr>
        <w:trPr>
          <w:trHeight w:val="270"/>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UNDERWRITING</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196</w:t>
              </w:r>
            </w:hyperlink>
          </w:p>
        </w:tc>
      </w:tr>
      <w:tr>
        <w:trPr>
          <w:trHeight w:val="270"/>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LEGAL MATTERS</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205</w:t>
              </w:r>
            </w:hyperlink>
          </w:p>
        </w:tc>
      </w:tr>
      <w:tr>
        <w:trPr>
          <w:trHeight w:val="270"/>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EXPERTS</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206</w:t>
              </w:r>
            </w:hyperlink>
          </w:p>
        </w:tc>
      </w:tr>
      <w:tr>
        <w:trPr>
          <w:trHeight w:val="270"/>
        </w:trPr>
        <w:tc>
          <w:tcPr>
            <w:tcW w:w="7880" w:type="dxa"/>
            <w:vAlign w:val="bottom"/>
            <w:gridSpan w:val="6"/>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WHERE YOU CAN FIND ADDITIONAL INFORMATION</w:t>
              </w:r>
            </w:hyperlink>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207</w:t>
              </w:r>
            </w:hyperlink>
          </w:p>
        </w:tc>
      </w:tr>
      <w:tr>
        <w:trPr>
          <w:trHeight w:val="270"/>
        </w:trPr>
        <w:tc>
          <w:tcPr>
            <w:tcW w:w="788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F-1</w:t>
              </w:r>
            </w:hyperlink>
          </w:p>
        </w:tc>
      </w:tr>
      <w:tr>
        <w:trPr>
          <w:trHeight w:val="216"/>
        </w:trPr>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-4405630</wp:posOffset>
            </wp:positionV>
            <wp:extent cx="5006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2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with any information or to make any representations other than those contained in this prospectus or in any free writing prospectus we have prepared and filed with the Securities and Exchange Commission (the “SEC”). We and the underwriters take no responsibility for, and can provide no assurance as to the reliability of, any other information that others may give you. This prospectus is an offer to sell shares of Class A common stock only under the circumstances and in jurisdictions where offers and sales are permitted. The information contained in this prospectus is accurate only as of the date of this prospectus (or as of any earlier date as of which such information is provided), regardless of the time of delivery of this prospectus or of any sale of the Class A common stock. Our business, financial condition, results of operations, and prospects may have changed since such date.</w:t>
      </w:r>
    </w:p>
    <w:p>
      <w:pPr>
        <w:spacing w:after="0" w:line="243"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any of the underwriters has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this distribution of this prospectus outside of the United States.</w:t>
      </w:r>
    </w:p>
    <w:p>
      <w:pPr>
        <w:spacing w:after="0" w:line="235" w:lineRule="exact"/>
        <w:rPr>
          <w:sz w:val="20"/>
          <w:szCs w:val="20"/>
          <w:color w:val="auto"/>
        </w:rPr>
      </w:pPr>
    </w:p>
    <w:p>
      <w:pPr>
        <w:jc w:val="both"/>
        <w:ind w:left="1260" w:right="959" w:firstLine="360"/>
        <w:spacing w:after="0" w:line="232" w:lineRule="auto"/>
        <w:rPr>
          <w:sz w:val="20"/>
          <w:szCs w:val="20"/>
          <w:color w:val="auto"/>
        </w:rPr>
      </w:pPr>
      <w:r>
        <w:rPr>
          <w:rFonts w:ascii="Times New Roman" w:cs="Times New Roman" w:eastAsia="Times New Roman" w:hAnsi="Times New Roman"/>
          <w:sz w:val="18"/>
          <w:szCs w:val="18"/>
          <w:color w:val="auto"/>
        </w:rPr>
        <w:t>Through and including ,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0139"/>
          </w:cols>
          <w:pgMar w:left="320" w:top="114" w:right="1440" w:bottom="1440" w:gutter="0" w:footer="0" w:header="0"/>
        </w:sectPr>
      </w:pPr>
    </w:p>
    <w:p>
      <w:pPr>
        <w:spacing w:after="0" w:line="3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8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6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“Affirm,” the “company,” “we,” “our,” “us,” or similar terms refer to Affirm Holdings, Inc. and its subsidiaries. Unless we indicate otherwise or the context otherwise requires all references in this prospectus (i) to “common stock” refer to our Class A common stock and Class B common stock, except that for historical periods it refers to our single class of common stock, and (ii) to “existing common stock” refer to our common stock outstanding immediately prior to this offering.</w:t>
      </w: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Deliver honest financial products that improve lives.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ind w:left="1280" w:right="839" w:firstLine="360"/>
        <w:spacing w:after="0" w:line="258" w:lineRule="auto"/>
        <w:rPr>
          <w:sz w:val="20"/>
          <w:szCs w:val="20"/>
          <w:color w:val="auto"/>
        </w:rPr>
      </w:pPr>
      <w:r>
        <w:rPr>
          <w:rFonts w:ascii="Times New Roman" w:cs="Times New Roman" w:eastAsia="Times New Roman" w:hAnsi="Times New Roman"/>
          <w:sz w:val="18"/>
          <w:szCs w:val="18"/>
          <w:color w:val="auto"/>
        </w:rPr>
        <w:t>We are building the next generation platform for digital and mobile-first commerce. We believe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16" w:lineRule="exact"/>
        <w:rPr>
          <w:sz w:val="20"/>
          <w:szCs w:val="20"/>
          <w:color w:val="auto"/>
        </w:rPr>
      </w:pPr>
    </w:p>
    <w:p>
      <w:pPr>
        <w:ind w:left="1280" w:right="799" w:firstLine="360"/>
        <w:spacing w:after="0" w:line="261" w:lineRule="auto"/>
        <w:rPr>
          <w:sz w:val="20"/>
          <w:szCs w:val="20"/>
          <w:color w:val="auto"/>
        </w:rPr>
      </w:pPr>
      <w:r>
        <w:rPr>
          <w:rFonts w:ascii="Times New Roman" w:cs="Times New Roman" w:eastAsia="Times New Roman" w:hAnsi="Times New Roman"/>
          <w:sz w:val="18"/>
          <w:szCs w:val="18"/>
          <w:color w:val="auto"/>
        </w:rPr>
        <w:t>Legacy payment options, archaic systems, and traditional risk and credit underwriting models can be harmful, deceptive, and restrictive to both consumers and merchants. They are not well-suited for increasingly digital and mobile-first commerce, and are built on legacy infrastructure that does not support the innovation required for modern commerce to evolve and flourish.</w:t>
      </w:r>
    </w:p>
    <w:p>
      <w:pPr>
        <w:spacing w:after="0" w:line="112" w:lineRule="exact"/>
        <w:rPr>
          <w:sz w:val="20"/>
          <w:szCs w:val="20"/>
          <w:color w:val="auto"/>
        </w:rPr>
      </w:pPr>
    </w:p>
    <w:p>
      <w:pPr>
        <w:ind w:left="1280" w:right="1279" w:firstLine="360"/>
        <w:spacing w:after="0" w:line="282" w:lineRule="auto"/>
        <w:rPr>
          <w:sz w:val="20"/>
          <w:szCs w:val="20"/>
          <w:color w:val="auto"/>
        </w:rPr>
      </w:pPr>
      <w:r>
        <w:rPr>
          <w:rFonts w:ascii="Times New Roman" w:cs="Times New Roman" w:eastAsia="Times New Roman" w:hAnsi="Times New Roman"/>
          <w:sz w:val="18"/>
          <w:szCs w:val="18"/>
          <w:color w:val="auto"/>
        </w:rPr>
        <w:t>Our platform addresses these problems. Today, it comprises three core elements: a point-of-sale payment solution for consumers, merchant commerce solutions, and a consumer-focused app.</w:t>
      </w:r>
    </w:p>
    <w:p>
      <w:pPr>
        <w:spacing w:after="0" w:line="81"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Our point-of-sale solution allows consumers to pay for purchases in fixed amounts without deferred interest, hidden fees, or penalties. We empower consumers to pay over time rather than paying for a product entirely upfront. This increases consumers’ purchasing power and gives them more control and flexibility. Our platform facilitates both true 0% APR payment options and interest bearing loans. With 0% APR, consumers pay zero interest and zero additional costs. On the interest bearing loans we facilitate, we charge simple interest, which means consumers pay fixed amounts of interest that they agree to up front, and the interest never compounds. We believe in treating people fairly, which is why consumers never pay more than what was agreed to at checkout, even if they miss a payment. Paying with Affirm not only protects consumers from hidden fees but allows them to avoid traps such as deferred interest.</w:t>
      </w:r>
    </w:p>
    <w:p>
      <w:pPr>
        <w:spacing w:after="0" w:line="121"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We offer merchants highly effective commerce solutions that enhance demand generation and customer acquisition. Our solutions empower merchants to more efficiently promote and sell their products, optimize their customer acquisition strategies, and drive incremental sales. Our flexible payment solutions allow merchants to solve affordability for their customers, providing a revenue accelerator while avoiding discounting and other expensive marketing and promotional channels. We also provide valuable product-level data and insights — information that merchants cannot easily get elsewhere — to better inform their marketing strategies. Our approach allows us to add value throughout the full customer lifecycle, from acquisition, to conversion, to repeat transactions.</w:t>
      </w:r>
    </w:p>
    <w:p>
      <w:pPr>
        <w:spacing w:after="0" w:line="124" w:lineRule="exact"/>
        <w:rPr>
          <w:sz w:val="20"/>
          <w:szCs w:val="20"/>
          <w:color w:val="auto"/>
        </w:rPr>
      </w:pPr>
    </w:p>
    <w:p>
      <w:pPr>
        <w:ind w:left="1280" w:right="779" w:firstLine="360"/>
        <w:spacing w:after="0" w:line="257" w:lineRule="auto"/>
        <w:rPr>
          <w:sz w:val="20"/>
          <w:szCs w:val="20"/>
          <w:color w:val="auto"/>
        </w:rPr>
      </w:pPr>
      <w:r>
        <w:rPr>
          <w:rFonts w:ascii="Times New Roman" w:cs="Times New Roman" w:eastAsia="Times New Roman" w:hAnsi="Times New Roman"/>
          <w:sz w:val="18"/>
          <w:szCs w:val="18"/>
          <w:color w:val="auto"/>
        </w:rPr>
        <w:t>Our consumer-focused app unlocks the full suite of Affirm products for a delightful end-to-end consumer experience. Consumers can use our app to manage payments, open a high-yield savings account, and access a personalized marketplace. Our marketplace serves as a discovery platform which allows consumers to find products and make purchases from partner merchants. In addition our app allows merchants to provide tailored offers based on consumers’ spending patterns, shopping habits, and purchase intent.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79" w:firstLine="360"/>
        <w:spacing w:after="0" w:line="238" w:lineRule="auto"/>
        <w:rPr>
          <w:sz w:val="20"/>
          <w:szCs w:val="20"/>
          <w:color w:val="auto"/>
        </w:rPr>
      </w:pPr>
      <w:r>
        <w:rPr>
          <w:rFonts w:ascii="Times New Roman" w:cs="Times New Roman" w:eastAsia="Times New Roman" w:hAnsi="Times New Roman"/>
          <w:sz w:val="18"/>
          <w:szCs w:val="18"/>
          <w:color w:val="auto"/>
        </w:rPr>
        <w:t>Our business benefits from broader trends in technology, retail, finance, and e-commerce. For example, Gen Z and Millennials, people born between 1981 and 2012, now comprise the largest proportion of the U.S. population and are driving the rapid growth in e- commerce as every element of commerce moves online. The spending power of this new generation of consumers continues to expand significantly, reaching over $2.5 trillion in 2020, according to YPulse. Most importantly, we believe these consumers are also increasingly looking to solutions like “buy now pay later” as superior, more transparent payment options that match their demand for technology and mobile first-solutions. This trend has been accelerated by an erosion of trust in legacy financial institutions as consumers look to mission-driven technology companies for new financial products, according to American Banker.</w:t>
      </w:r>
    </w:p>
    <w:p>
      <w:pPr>
        <w:spacing w:after="0" w:line="110" w:lineRule="exact"/>
        <w:rPr>
          <w:sz w:val="20"/>
          <w:szCs w:val="20"/>
          <w:color w:val="auto"/>
        </w:rPr>
      </w:pPr>
    </w:p>
    <w:p>
      <w:pPr>
        <w:ind w:left="1280" w:right="739" w:firstLine="360"/>
        <w:spacing w:after="0" w:line="239" w:lineRule="auto"/>
        <w:rPr>
          <w:sz w:val="20"/>
          <w:szCs w:val="20"/>
          <w:color w:val="auto"/>
        </w:rPr>
      </w:pPr>
      <w:r>
        <w:rPr>
          <w:rFonts w:ascii="Times New Roman" w:cs="Times New Roman" w:eastAsia="Times New Roman" w:hAnsi="Times New Roman"/>
          <w:sz w:val="18"/>
          <w:szCs w:val="18"/>
          <w:color w:val="auto"/>
        </w:rPr>
        <w:t>We believe our innovative approach, based on trust and our steadfast commitment to our core values, uniquely positions us to define the future of commerce and payments. Our company is predicated on the principles of simplicity, transparency, and putting people first. This distinctive culture sets us apart, as our principles are not just words on a wall, but how we — Affirmers — run our business and design our products. Since our founding in 2012, we have charged $ 0 in late fees for missed payments, we never profit from consumers’ mistakes, and we are transparent in our product offerings. By adhering to these principles, we have built enduring, trust-based relationships with consumers and merchants that we believe will set us up for long-term, sustainable success.</w:t>
      </w:r>
    </w:p>
    <w:p>
      <w:pPr>
        <w:spacing w:after="0" w:line="120" w:lineRule="exact"/>
        <w:rPr>
          <w:sz w:val="20"/>
          <w:szCs w:val="20"/>
          <w:color w:val="auto"/>
        </w:rPr>
      </w:pPr>
    </w:p>
    <w:p>
      <w:pPr>
        <w:ind w:left="1280" w:right="739" w:firstLine="360"/>
        <w:spacing w:after="0" w:line="238" w:lineRule="auto"/>
        <w:rPr>
          <w:sz w:val="20"/>
          <w:szCs w:val="20"/>
          <w:color w:val="auto"/>
        </w:rPr>
      </w:pPr>
      <w:r>
        <w:rPr>
          <w:rFonts w:ascii="Times New Roman" w:cs="Times New Roman" w:eastAsia="Times New Roman" w:hAnsi="Times New Roman"/>
          <w:sz w:val="18"/>
          <w:szCs w:val="18"/>
          <w:color w:val="auto"/>
        </w:rPr>
        <w:t>We believe that technology, underwriting, and managing risk are collectively our key competitive advantage. We believe our proprietary technology platform and data give us a unique advantage in understanding consumers and merchants, as well as pricing risk — which we can almost always accomplish within seconds at checkout. Our approach to risk management is core to our business model, and has been proven to lead to low fraud rates, higher approval rates compared to traditional credit underwriting models, low losses, and highly attractive contribution profit. Our models have been built on more than a billion data points, including data from over 7.5 million loans and over six years of repayments. Furthermore, our risk management models are designed to continuously improve over time, becoming more precise and efficient with each transaction powered by our platform.</w:t>
      </w:r>
    </w:p>
    <w:p>
      <w:pPr>
        <w:spacing w:after="0" w:line="124" w:lineRule="exact"/>
        <w:rPr>
          <w:sz w:val="20"/>
          <w:szCs w:val="20"/>
          <w:color w:val="auto"/>
        </w:rPr>
      </w:pPr>
    </w:p>
    <w:p>
      <w:pPr>
        <w:ind w:left="1280" w:right="759" w:firstLine="360"/>
        <w:spacing w:after="0" w:line="239" w:lineRule="auto"/>
        <w:rPr>
          <w:sz w:val="20"/>
          <w:szCs w:val="20"/>
          <w:color w:val="auto"/>
        </w:rPr>
      </w:pPr>
      <w:r>
        <w:rPr>
          <w:rFonts w:ascii="Times New Roman" w:cs="Times New Roman" w:eastAsia="Times New Roman" w:hAnsi="Times New Roman"/>
          <w:sz w:val="18"/>
          <w:szCs w:val="18"/>
          <w:color w:val="auto"/>
        </w:rPr>
        <w:t>We have already achieved significant scale, but we are just getting started. As of September 30, 2020, more than 6.2 million consumers have completed approximately 17.3 million transactions with over 6,500 merchants on our platform, leading to a total Gross Merchandise Volume, net of refunds (“GMV”) of approximately $ 10.7 billion transacted through our platform since July 1, 2016. Approximately 64% of loans facilitated through our platform during the fiscal year ended June 30, 2020 were taken out by repeat consumers, and our dollar-based merchant retention rate is above 100% across each cohort that joined our platform since 2016. Our Net Promoter Score (“NPS”) score of 78 for the second half of fiscal year 2020 is comparable to some of the world’s most loved brands and far exceeds those of legacy financial institutions.</w:t>
      </w:r>
    </w:p>
    <w:p>
      <w:pPr>
        <w:spacing w:after="0" w:line="106" w:lineRule="exact"/>
        <w:rPr>
          <w:sz w:val="20"/>
          <w:szCs w:val="20"/>
          <w:color w:val="auto"/>
        </w:rPr>
      </w:pPr>
    </w:p>
    <w:p>
      <w:pPr>
        <w:jc w:val="both"/>
        <w:ind w:left="1280" w:right="779" w:firstLine="360"/>
        <w:spacing w:after="0" w:line="242" w:lineRule="auto"/>
        <w:rPr>
          <w:sz w:val="20"/>
          <w:szCs w:val="20"/>
          <w:color w:val="auto"/>
        </w:rPr>
      </w:pPr>
      <w:r>
        <w:rPr>
          <w:rFonts w:ascii="Times New Roman" w:cs="Times New Roman" w:eastAsia="Times New Roman" w:hAnsi="Times New Roman"/>
          <w:sz w:val="18"/>
          <w:szCs w:val="18"/>
          <w:color w:val="auto"/>
        </w:rPr>
        <w:t>For the fiscal years ended June 30, 2019 and 2020, our revenue was approximately $264.4 million and $509.5 million, respectively, representing year-over-year growth of approximately 93%. We incurred a net loss of $120.5 million and $112.6 million for the fiscal years ended June 30, 2019 and 2020, respectively.</w:t>
      </w:r>
    </w:p>
    <w:p>
      <w:pPr>
        <w:spacing w:after="0" w:line="1" w:lineRule="exact"/>
        <w:rPr>
          <w:sz w:val="20"/>
          <w:szCs w:val="20"/>
          <w:color w:val="auto"/>
        </w:rPr>
      </w:pPr>
    </w:p>
    <w:p>
      <w:pPr>
        <w:ind w:left="1280" w:right="799"/>
        <w:spacing w:after="0"/>
        <w:rPr>
          <w:sz w:val="20"/>
          <w:szCs w:val="20"/>
          <w:color w:val="auto"/>
        </w:rPr>
      </w:pPr>
      <w:r>
        <w:rPr>
          <w:rFonts w:ascii="Times New Roman" w:cs="Times New Roman" w:eastAsia="Times New Roman" w:hAnsi="Times New Roman"/>
          <w:sz w:val="18"/>
          <w:szCs w:val="18"/>
          <w:color w:val="auto"/>
        </w:rPr>
        <w:t>For the three months ended September 30, 2019 and 2020, our revenue was approximately $ 87.9 million and $174.0 million, respectively, representing year-over-year growth of approximately 98%. We incurred a net loss of $30.8 million and $15.3 million for the three months ended September 30, 2019 and 2020, respectively.</w:t>
      </w: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62" w:lineRule="exact"/>
        <w:rPr>
          <w:sz w:val="20"/>
          <w:szCs w:val="20"/>
          <w:color w:val="auto"/>
        </w:rPr>
      </w:pPr>
    </w:p>
    <w:p>
      <w:pPr>
        <w:ind w:left="1280" w:right="699" w:firstLine="360"/>
        <w:spacing w:after="0" w:line="266" w:lineRule="auto"/>
        <w:rPr>
          <w:sz w:val="20"/>
          <w:szCs w:val="20"/>
          <w:color w:val="auto"/>
        </w:rPr>
      </w:pPr>
      <w:r>
        <w:rPr>
          <w:rFonts w:ascii="Times New Roman" w:cs="Times New Roman" w:eastAsia="Times New Roman" w:hAnsi="Times New Roman"/>
          <w:sz w:val="18"/>
          <w:szCs w:val="18"/>
          <w:color w:val="auto"/>
        </w:rPr>
        <w:t>There are a number of important industry megatrends and market dynamics that are transforming commerce — the way consumers pay, how merchants sell, and the opportunities that transactions can create.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Rapid growth of e-commerce</w:t>
      </w:r>
    </w:p>
    <w:p>
      <w:pPr>
        <w:spacing w:after="0" w:line="162" w:lineRule="exact"/>
        <w:rPr>
          <w:sz w:val="20"/>
          <w:szCs w:val="20"/>
          <w:color w:val="auto"/>
        </w:rPr>
      </w:pPr>
    </w:p>
    <w:p>
      <w:pPr>
        <w:ind w:left="1280" w:right="779" w:firstLine="360"/>
        <w:spacing w:after="0" w:line="241" w:lineRule="auto"/>
        <w:rPr>
          <w:sz w:val="20"/>
          <w:szCs w:val="20"/>
          <w:color w:val="auto"/>
        </w:rPr>
      </w:pPr>
      <w:r>
        <w:rPr>
          <w:rFonts w:ascii="Times New Roman" w:cs="Times New Roman" w:eastAsia="Times New Roman" w:hAnsi="Times New Roman"/>
          <w:sz w:val="18"/>
          <w:szCs w:val="18"/>
          <w:color w:val="auto"/>
        </w:rPr>
        <w:t>According to eMarketer, global online sales grew 20% to approximately $3.4 trillion in 2019 and are expected to grow to approximately $5.8 trillion by 2023; however, e-commerce still only accounts for 14% of total retail sales. Every element of commerce is moving online, from storefronts, to order fulfilment, to payment and checkout experiences. Gen Z and Millennials are early and frequent adopters of e-commerce and tend to prefer the ease, flexibility, and greater selection offered by shopping online. For example, almost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19"/>
        <w:spacing w:after="0" w:line="250" w:lineRule="auto"/>
        <w:rPr>
          <w:sz w:val="20"/>
          <w:szCs w:val="20"/>
          <w:color w:val="auto"/>
        </w:rPr>
      </w:pPr>
      <w:r>
        <w:rPr>
          <w:rFonts w:ascii="Times New Roman" w:cs="Times New Roman" w:eastAsia="Times New Roman" w:hAnsi="Times New Roman"/>
          <w:sz w:val="18"/>
          <w:szCs w:val="18"/>
          <w:color w:val="auto"/>
        </w:rPr>
        <w:t>70% of Millennials prefer shopping online, according to Statista. In the United States, according to the U.S. Department of Commerce, e -commerce sales as a percentage of total sales jumped from 11.8% to over 16.1% between the first and second calendar quarters of 2020.</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“Buy now pay later” market share expanding</w:t>
      </w:r>
    </w:p>
    <w:p>
      <w:pPr>
        <w:spacing w:after="0" w:line="148" w:lineRule="exact"/>
        <w:rPr>
          <w:sz w:val="20"/>
          <w:szCs w:val="20"/>
          <w:color w:val="auto"/>
        </w:rPr>
      </w:pPr>
    </w:p>
    <w:p>
      <w:pPr>
        <w:ind w:left="1280" w:right="699" w:firstLine="360"/>
        <w:spacing w:after="0" w:line="241" w:lineRule="auto"/>
        <w:rPr>
          <w:sz w:val="20"/>
          <w:szCs w:val="20"/>
          <w:color w:val="auto"/>
        </w:rPr>
      </w:pPr>
      <w:r>
        <w:rPr>
          <w:rFonts w:ascii="Times New Roman" w:cs="Times New Roman" w:eastAsia="Times New Roman" w:hAnsi="Times New Roman"/>
          <w:sz w:val="18"/>
          <w:szCs w:val="18"/>
          <w:color w:val="auto"/>
        </w:rPr>
        <w:t>Consumers increasingly prefer more flexible and innovative digital payment solutions over traditional credit payment options. According to Worldpay’s 2020 Global Payments report, “buy now pay later” is the fastest growing e-commerce payment method globally. In North America, “buy now pay later” market share is expected to triple to 3% of the e-commerce payments market by 2023. In other regions, such as EMEA, “buy now pay later” already accounts for almost 6% of the e-commerce payment market, and is expected to grow to almost 10% by 2023.</w:t>
      </w:r>
    </w:p>
    <w:p>
      <w:pPr>
        <w:spacing w:after="0" w:line="180" w:lineRule="exact"/>
        <w:rPr>
          <w:sz w:val="20"/>
          <w:szCs w:val="20"/>
          <w:color w:val="auto"/>
        </w:rPr>
      </w:pPr>
    </w:p>
    <w:p>
      <w:pPr>
        <w:ind w:left="1280" w:right="1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Gen Z and Millennials losing trust in legacy financial and payment institutions and looking to mission-driven technology companies for new financial products</w:t>
      </w:r>
    </w:p>
    <w:p>
      <w:pPr>
        <w:spacing w:after="0" w:line="90" w:lineRule="exact"/>
        <w:rPr>
          <w:sz w:val="20"/>
          <w:szCs w:val="20"/>
          <w:color w:val="auto"/>
        </w:rPr>
      </w:pPr>
    </w:p>
    <w:p>
      <w:pPr>
        <w:ind w:left="1280" w:right="799" w:firstLine="360"/>
        <w:spacing w:after="0" w:line="242" w:lineRule="auto"/>
        <w:rPr>
          <w:sz w:val="20"/>
          <w:szCs w:val="20"/>
          <w:color w:val="auto"/>
        </w:rPr>
      </w:pPr>
      <w:r>
        <w:rPr>
          <w:rFonts w:ascii="Times New Roman" w:cs="Times New Roman" w:eastAsia="Times New Roman" w:hAnsi="Times New Roman"/>
          <w:sz w:val="18"/>
          <w:szCs w:val="18"/>
          <w:color w:val="auto"/>
        </w:rPr>
        <w:t>We believe a lack of transparency by traditional financial and payments institutions, ranging from hidden penalties, hard to understand “fine print,” and unwanted bundling of products, has led to an erosion of trust and a poor consumer experience. We believe these views are particularly acute for the over</w:t>
      </w:r>
    </w:p>
    <w:p>
      <w:pPr>
        <w:spacing w:after="0" w:line="1" w:lineRule="exact"/>
        <w:rPr>
          <w:sz w:val="20"/>
          <w:szCs w:val="20"/>
          <w:color w:val="auto"/>
        </w:rPr>
      </w:pPr>
    </w:p>
    <w:p>
      <w:pPr>
        <w:jc w:val="both"/>
        <w:ind w:left="1280" w:right="779"/>
        <w:spacing w:after="0" w:line="239" w:lineRule="auto"/>
        <w:rPr>
          <w:sz w:val="20"/>
          <w:szCs w:val="20"/>
          <w:color w:val="auto"/>
        </w:rPr>
      </w:pPr>
      <w:r>
        <w:rPr>
          <w:rFonts w:ascii="Times New Roman" w:cs="Times New Roman" w:eastAsia="Times New Roman" w:hAnsi="Times New Roman"/>
          <w:sz w:val="18"/>
          <w:szCs w:val="18"/>
          <w:color w:val="auto"/>
        </w:rPr>
        <w:t>160 million Gen Z and Millennials in the U.S., many of whom prefer to build trusted relationships with the brands with whom they engage and from whom they buy products and services. For example, according to TD Bank’s Annual Consumer Spending Index, approximately 25% of Millennials do not carry credit cards.</w:t>
      </w:r>
    </w:p>
    <w:p>
      <w:pPr>
        <w:spacing w:after="0" w:line="118" w:lineRule="exact"/>
        <w:rPr>
          <w:sz w:val="20"/>
          <w:szCs w:val="20"/>
          <w:color w:val="auto"/>
        </w:rPr>
      </w:pPr>
    </w:p>
    <w:p>
      <w:pPr>
        <w:ind w:left="1280" w:right="679" w:firstLine="360"/>
        <w:spacing w:after="0" w:line="245" w:lineRule="auto"/>
        <w:rPr>
          <w:sz w:val="20"/>
          <w:szCs w:val="20"/>
          <w:color w:val="auto"/>
        </w:rPr>
      </w:pPr>
      <w:r>
        <w:rPr>
          <w:rFonts w:ascii="Times New Roman" w:cs="Times New Roman" w:eastAsia="Times New Roman" w:hAnsi="Times New Roman"/>
          <w:sz w:val="18"/>
          <w:szCs w:val="18"/>
          <w:color w:val="auto"/>
        </w:rPr>
        <w:t>Consumers are now turning to technology companies they trust: according to a survey conducted by the Harris Poll in 2020, 64% of Americans would consider purchasing or applying for financial products through a technology company’s platform instead of a traditional financial services provider. This sentiment rises to 81% for Americans aged between 18 and 34 years.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Traditional credit and debit cards can hurt consumers</w:t>
      </w:r>
    </w:p>
    <w:p>
      <w:pPr>
        <w:spacing w:after="0" w:line="148" w:lineRule="exact"/>
        <w:rPr>
          <w:sz w:val="20"/>
          <w:szCs w:val="20"/>
          <w:color w:val="auto"/>
        </w:rPr>
      </w:pPr>
    </w:p>
    <w:p>
      <w:pPr>
        <w:ind w:left="1280" w:right="719" w:firstLine="360"/>
        <w:spacing w:after="0" w:line="250" w:lineRule="auto"/>
        <w:rPr>
          <w:sz w:val="20"/>
          <w:szCs w:val="20"/>
          <w:color w:val="auto"/>
        </w:rPr>
      </w:pPr>
      <w:r>
        <w:rPr>
          <w:rFonts w:ascii="Times New Roman" w:cs="Times New Roman" w:eastAsia="Times New Roman" w:hAnsi="Times New Roman"/>
          <w:sz w:val="18"/>
          <w:szCs w:val="18"/>
          <w:color w:val="auto"/>
        </w:rPr>
        <w:t>In 2019, consumers paid approximately $121 billion in credit card interest, $11 billion in overdraft fees, and $3 billion in late fees according to studies from LendingTree, the Center for Responsible Lending, and NerdWallet, respectively.</w:t>
      </w:r>
    </w:p>
    <w:p>
      <w:pPr>
        <w:spacing w:after="0" w:line="109" w:lineRule="exact"/>
        <w:rPr>
          <w:sz w:val="20"/>
          <w:szCs w:val="20"/>
          <w:color w:val="auto"/>
        </w:rPr>
      </w:pPr>
    </w:p>
    <w:p>
      <w:pPr>
        <w:ind w:left="1280" w:right="7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revolving nature of credit cards and the incentives to pay off only minimum balances can succeed in keeping consumers in debt for long periods of time. According to the </w:t>
      </w:r>
      <w:r>
        <w:rPr>
          <w:rFonts w:ascii="Times New Roman" w:cs="Times New Roman" w:eastAsia="Times New Roman" w:hAnsi="Times New Roman"/>
          <w:sz w:val="18"/>
          <w:szCs w:val="18"/>
          <w:i w:val="1"/>
          <w:iCs w:val="1"/>
          <w:color w:val="auto"/>
        </w:rPr>
        <w:t>Federal Reserve</w:t>
      </w:r>
      <w:r>
        <w:rPr>
          <w:rFonts w:ascii="Times New Roman" w:cs="Times New Roman" w:eastAsia="Times New Roman" w:hAnsi="Times New Roman"/>
          <w:sz w:val="18"/>
          <w:szCs w:val="18"/>
          <w:color w:val="auto"/>
        </w:rPr>
        <w:t xml:space="preserve"> , as of June 2020, Americans owed nearly $1 trillion in credit card debt, evidencing the massive amount of consumer debt and the clear need for flexible payment options.</w:t>
      </w:r>
    </w:p>
    <w:p>
      <w:pPr>
        <w:spacing w:after="0" w:line="113" w:lineRule="exact"/>
        <w:rPr>
          <w:sz w:val="20"/>
          <w:szCs w:val="20"/>
          <w:color w:val="auto"/>
        </w:rPr>
      </w:pPr>
    </w:p>
    <w:p>
      <w:pPr>
        <w:ind w:left="1280" w:right="819" w:firstLine="360"/>
        <w:spacing w:after="0" w:line="245" w:lineRule="auto"/>
        <w:rPr>
          <w:sz w:val="20"/>
          <w:szCs w:val="20"/>
          <w:color w:val="auto"/>
        </w:rPr>
      </w:pPr>
      <w:r>
        <w:rPr>
          <w:rFonts w:ascii="Times New Roman" w:cs="Times New Roman" w:eastAsia="Times New Roman" w:hAnsi="Times New Roman"/>
          <w:sz w:val="18"/>
          <w:szCs w:val="18"/>
          <w:color w:val="auto"/>
        </w:rPr>
        <w:t>We believe that debit cards also do not meet the buying needs of many consumers. They are an inflexible method of payment, particularly for consumers contemplating a higher value purchase. Debit cards restrict buying power to a consumer’s account balance, constrain the ability to budget over time, and do not provide the optionality or ability to responsibly access credit.</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Merchants face rising customer acquisition costs, and existing solutions are insufficient</w:t>
      </w:r>
    </w:p>
    <w:p>
      <w:pPr>
        <w:spacing w:after="0" w:line="148" w:lineRule="exact"/>
        <w:rPr>
          <w:sz w:val="20"/>
          <w:szCs w:val="20"/>
          <w:color w:val="auto"/>
        </w:rPr>
      </w:pPr>
    </w:p>
    <w:p>
      <w:pPr>
        <w:ind w:left="1280" w:right="719" w:firstLine="360"/>
        <w:spacing w:after="0"/>
        <w:rPr>
          <w:sz w:val="20"/>
          <w:szCs w:val="20"/>
          <w:color w:val="auto"/>
        </w:rPr>
      </w:pPr>
      <w:r>
        <w:rPr>
          <w:rFonts w:ascii="Times New Roman" w:cs="Times New Roman" w:eastAsia="Times New Roman" w:hAnsi="Times New Roman"/>
          <w:sz w:val="18"/>
          <w:szCs w:val="18"/>
          <w:color w:val="auto"/>
        </w:rPr>
        <w:t>The cost to acquire a customer and the cost to convert a sale are two of the biggest challenges facing merchants, and these costs are rising across almost every channel. Current payment solutions do little to help merchants attract and retain customers, forcing merchants to turn to discounts or promotional gimmicks. Alternative customer acquisition and marketing channels, such as online and social media advertising, are increasingly expensive due to the limited supply of digital ad space. As a result, both brick-and-mortar and online merchants of all sizes are looking to alternative strategies to acquire, convert, and retain customers more efficiently.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legacy offerings</w:t>
      </w:r>
    </w:p>
    <w:p>
      <w:pPr>
        <w:spacing w:after="0" w:line="162" w:lineRule="exact"/>
        <w:rPr>
          <w:sz w:val="20"/>
          <w:szCs w:val="20"/>
          <w:color w:val="auto"/>
        </w:rPr>
      </w:pPr>
    </w:p>
    <w:p>
      <w:pPr>
        <w:ind w:left="1280" w:right="1019" w:firstLine="360"/>
        <w:spacing w:after="0" w:line="266" w:lineRule="auto"/>
        <w:rPr>
          <w:sz w:val="20"/>
          <w:szCs w:val="20"/>
          <w:color w:val="auto"/>
        </w:rPr>
      </w:pPr>
      <w:r>
        <w:rPr>
          <w:rFonts w:ascii="Times New Roman" w:cs="Times New Roman" w:eastAsia="Times New Roman" w:hAnsi="Times New Roman"/>
          <w:sz w:val="18"/>
          <w:szCs w:val="18"/>
          <w:color w:val="auto"/>
        </w:rPr>
        <w:t>For consumers, when it comes to the act of making a purchase, there are a number of shortcomings with existing options:</w:t>
      </w:r>
    </w:p>
    <w:p>
      <w:pPr>
        <w:spacing w:after="0" w:line="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Complex</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Predatory</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Mispriced credit risk</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Inflexible</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Impersonal, frustrating user experience</w:t>
      </w:r>
    </w:p>
    <w:p>
      <w:pPr>
        <w:spacing w:after="0" w:line="158" w:lineRule="exact"/>
        <w:rPr>
          <w:sz w:val="20"/>
          <w:szCs w:val="20"/>
          <w:color w:val="auto"/>
        </w:rPr>
      </w:pPr>
    </w:p>
    <w:p>
      <w:pPr>
        <w:ind w:left="1280" w:right="999" w:firstLine="360"/>
        <w:spacing w:after="0" w:line="282" w:lineRule="auto"/>
        <w:rPr>
          <w:sz w:val="20"/>
          <w:szCs w:val="20"/>
          <w:color w:val="auto"/>
        </w:rPr>
      </w:pPr>
      <w:r>
        <w:rPr>
          <w:rFonts w:ascii="Times New Roman" w:cs="Times New Roman" w:eastAsia="Times New Roman" w:hAnsi="Times New Roman"/>
          <w:sz w:val="18"/>
          <w:szCs w:val="18"/>
          <w:color w:val="auto"/>
        </w:rPr>
        <w:t>For merchants, when it comes to acquiring customers, improving conversions, and increasing order values, there are also a number of shortcomings with existing options:</w:t>
      </w:r>
    </w:p>
    <w:p>
      <w:pPr>
        <w:spacing w:after="0" w:line="54" w:lineRule="exact"/>
        <w:rPr>
          <w:sz w:val="20"/>
          <w:szCs w:val="20"/>
          <w:color w:val="auto"/>
        </w:rPr>
      </w:pPr>
    </w:p>
    <w:p>
      <w:pPr>
        <w:ind w:left="1820" w:hanging="180"/>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engaging and converting customers</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viable consumer-friendly solutions that address unaffordability</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discounts can harm merchants’ brands</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carts</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purchase intelligence</w:t>
      </w:r>
    </w:p>
    <w:p>
      <w:pPr>
        <w:spacing w:after="0" w:line="13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benefits to existing payment networks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62" w:lineRule="exact"/>
        <w:rPr>
          <w:sz w:val="20"/>
          <w:szCs w:val="20"/>
          <w:color w:val="auto"/>
        </w:rPr>
      </w:pPr>
    </w:p>
    <w:p>
      <w:pPr>
        <w:jc w:val="both"/>
        <w:ind w:left="1280" w:right="779" w:firstLine="360"/>
        <w:spacing w:after="0" w:line="266" w:lineRule="auto"/>
        <w:rPr>
          <w:sz w:val="20"/>
          <w:szCs w:val="20"/>
          <w:color w:val="auto"/>
        </w:rPr>
      </w:pPr>
      <w:r>
        <w:rPr>
          <w:rFonts w:ascii="Times New Roman" w:cs="Times New Roman" w:eastAsia="Times New Roman" w:hAnsi="Times New Roman"/>
          <w:sz w:val="18"/>
          <w:szCs w:val="18"/>
          <w:color w:val="auto"/>
        </w:rPr>
        <w:t>We are transforming the way consumers buy and merchants do business through a platform consisting of honest financial products. We started our business with our core pay-over-time solution at checkout, and have since continued to innovate and expand our product suite. And, this is just the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solution for consumers</w:t>
      </w:r>
    </w:p>
    <w:p>
      <w:pPr>
        <w:spacing w:after="0" w:line="117" w:lineRule="exact"/>
        <w:rPr>
          <w:sz w:val="20"/>
          <w:szCs w:val="20"/>
          <w:color w:val="auto"/>
        </w:rPr>
      </w:pPr>
    </w:p>
    <w:p>
      <w:pPr>
        <w:ind w:left="1820" w:right="999" w:hanging="180"/>
        <w:spacing w:after="0" w:line="26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Simple, transparent, and fair. </w:t>
      </w:r>
      <w:r>
        <w:rPr>
          <w:rFonts w:ascii="Times New Roman" w:cs="Times New Roman" w:eastAsia="Times New Roman" w:hAnsi="Times New Roman"/>
          <w:sz w:val="18"/>
          <w:szCs w:val="18"/>
          <w:color w:val="auto"/>
        </w:rPr>
        <w:t>When using our solution,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 more than the 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which is clearly and plainly laid out upfront at checkout. There are no further charges, penalties for early prepayment, or additional fees — even for missed payments.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67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20" w:right="699" w:hanging="180"/>
        <w:spacing w:after="0" w:line="26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Delightful user experience. </w:t>
      </w:r>
      <w:r>
        <w:rPr>
          <w:rFonts w:ascii="Times New Roman" w:cs="Times New Roman" w:eastAsia="Times New Roman" w:hAnsi="Times New Roman"/>
          <w:sz w:val="18"/>
          <w:szCs w:val="18"/>
          <w:color w:val="auto"/>
        </w:rPr>
        <w:t>Our solution provides a fast and straightforward experience at checkout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beyond through our easy-to-use app. For example, returning consumers pay efficiently with one-click. We also never sell the servicing rights to outstanding consumer balances, which allows us to manage the full consumer experience even in delinquency.</w:t>
      </w:r>
    </w:p>
    <w:p>
      <w:pPr>
        <w:spacing w:after="0" w:line="68" w:lineRule="exact"/>
        <w:rPr>
          <w:rFonts w:ascii="Times New Roman" w:cs="Times New Roman" w:eastAsia="Times New Roman" w:hAnsi="Times New Roman"/>
          <w:sz w:val="18"/>
          <w:szCs w:val="18"/>
          <w:color w:val="auto"/>
        </w:rPr>
      </w:pPr>
    </w:p>
    <w:p>
      <w:pPr>
        <w:ind w:left="1820" w:right="659" w:hanging="180"/>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Flexibility and control. </w:t>
      </w:r>
      <w:r>
        <w:rPr>
          <w:rFonts w:ascii="Times New Roman" w:cs="Times New Roman" w:eastAsia="Times New Roman" w:hAnsi="Times New Roman"/>
          <w:sz w:val="18"/>
          <w:szCs w:val="18"/>
          <w:color w:val="auto"/>
        </w:rPr>
        <w:t>Instead of a “one-size-fits-all” approach, our solution empowers consumers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 how they wish to pay, including varying term options (e.g., biweekly, 3, 6, or 12 months) that best fit their needs, on a per-transaction basis.</w:t>
      </w:r>
    </w:p>
    <w:p>
      <w:pPr>
        <w:spacing w:after="0" w:line="62" w:lineRule="exact"/>
        <w:rPr>
          <w:rFonts w:ascii="Times New Roman" w:cs="Times New Roman" w:eastAsia="Times New Roman" w:hAnsi="Times New Roman"/>
          <w:sz w:val="18"/>
          <w:szCs w:val="18"/>
          <w:color w:val="auto"/>
        </w:rPr>
      </w:pPr>
    </w:p>
    <w:p>
      <w:pPr>
        <w:ind w:left="1820" w:right="799" w:hanging="180"/>
        <w:spacing w:after="0" w:line="27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Accurate credit pricing. </w:t>
      </w:r>
      <w:r>
        <w:rPr>
          <w:rFonts w:ascii="Times New Roman" w:cs="Times New Roman" w:eastAsia="Times New Roman" w:hAnsi="Times New Roman"/>
          <w:sz w:val="18"/>
          <w:szCs w:val="18"/>
          <w:color w:val="auto"/>
        </w:rPr>
        <w:t>Our risk model consistently outperforms traditional credit models, enabling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better help eligible consumers finance their purchases and power more transactions on our platform.</w:t>
      </w:r>
    </w:p>
    <w:p>
      <w:pPr>
        <w:spacing w:after="0" w:line="262" w:lineRule="exact"/>
        <w:rPr>
          <w:rFonts w:ascii="Times New Roman" w:cs="Times New Roman" w:eastAsia="Times New Roman" w:hAnsi="Times New Roman"/>
          <w:sz w:val="18"/>
          <w:szCs w:val="18"/>
          <w:color w:val="auto"/>
        </w:rPr>
      </w:pPr>
    </w:p>
    <w:p>
      <w:pPr>
        <w:ind w:left="1820" w:right="679" w:hanging="180"/>
        <w:spacing w:after="0" w:line="26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confidence. </w:t>
      </w:r>
      <w:r>
        <w:rPr>
          <w:rFonts w:ascii="Times New Roman" w:cs="Times New Roman" w:eastAsia="Times New Roman" w:hAnsi="Times New Roman"/>
          <w:sz w:val="18"/>
          <w:szCs w:val="18"/>
          <w:color w:val="auto"/>
        </w:rPr>
        <w:t>We monitor our merchants’ creditworthiness, consumer complaint and dispute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changes in consumer repayment, and other anomalies to give consumers the confidence that merchants integrated with Affirm are committed to delivering honest and delightful experiences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solution for merchants</w:t>
      </w:r>
    </w:p>
    <w:p>
      <w:pPr>
        <w:spacing w:after="0" w:line="117" w:lineRule="exact"/>
        <w:rPr>
          <w:sz w:val="20"/>
          <w:szCs w:val="20"/>
          <w:color w:val="auto"/>
        </w:rPr>
      </w:pPr>
    </w:p>
    <w:p>
      <w:pPr>
        <w:ind w:left="1820" w:right="679" w:hanging="180"/>
        <w:spacing w:after="0" w:line="259"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More customers and better conversion</w:t>
      </w:r>
      <w:r>
        <w:rPr>
          <w:rFonts w:ascii="Times New Roman" w:cs="Times New Roman" w:eastAsia="Times New Roman" w:hAnsi="Times New Roman"/>
          <w:sz w:val="18"/>
          <w:szCs w:val="18"/>
          <w:color w:val="auto"/>
        </w:rPr>
        <w:t>. Our merchants report increased customer conversion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offer Affirm. Our dollar-based merchant retention has consistently exceeded 100% for each cohort of merchants that joined our platform since 2016. According to a survey conducted by Informa Business Intelligence from November 1, 2019 to January 31, 2020, Affirm also approves, on average, 20% more customers than comparable competitor products.</w:t>
      </w:r>
    </w:p>
    <w:p>
      <w:pPr>
        <w:spacing w:after="0" w:line="71" w:lineRule="exact"/>
        <w:rPr>
          <w:rFonts w:ascii="Times New Roman" w:cs="Times New Roman" w:eastAsia="Times New Roman" w:hAnsi="Times New Roman"/>
          <w:sz w:val="18"/>
          <w:szCs w:val="18"/>
          <w:color w:val="auto"/>
        </w:rPr>
      </w:pPr>
    </w:p>
    <w:p>
      <w:pPr>
        <w:ind w:left="1820" w:right="659" w:hanging="180"/>
        <w:spacing w:after="0" w:line="259"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AOV. </w:t>
      </w:r>
      <w:r>
        <w:rPr>
          <w:rFonts w:ascii="Times New Roman" w:cs="Times New Roman" w:eastAsia="Times New Roman" w:hAnsi="Times New Roman"/>
          <w:sz w:val="18"/>
          <w:szCs w:val="18"/>
          <w:color w:val="auto"/>
        </w:rPr>
        <w:t>By solving affordability for consumers, we are able to help merchants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higher net average order value (“AOV”) items. We calculate AOV as our GMV divided by the number of transactions conducted on our platform. According to internal studies we conducted in 2018 and 2019 comparing AOVs before refunds, merchants using Affirm reported 92% and 85% higher AOVs, before refunds respectively, when compared to other payment methods.</w:t>
      </w:r>
    </w:p>
    <w:p>
      <w:pPr>
        <w:spacing w:after="0" w:line="71" w:lineRule="exact"/>
        <w:rPr>
          <w:rFonts w:ascii="Times New Roman" w:cs="Times New Roman" w:eastAsia="Times New Roman" w:hAnsi="Times New Roman"/>
          <w:sz w:val="18"/>
          <w:szCs w:val="18"/>
          <w:color w:val="auto"/>
        </w:rPr>
      </w:pPr>
    </w:p>
    <w:p>
      <w:pPr>
        <w:ind w:left="1820" w:right="899" w:hanging="180"/>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repeat purchase rate. </w:t>
      </w:r>
      <w:r>
        <w:rPr>
          <w:rFonts w:ascii="Times New Roman" w:cs="Times New Roman" w:eastAsia="Times New Roman" w:hAnsi="Times New Roman"/>
          <w:sz w:val="18"/>
          <w:szCs w:val="18"/>
          <w:color w:val="auto"/>
        </w:rPr>
        <w:t>We believe that the frictionless consumer experience and enhanced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buying power facilitated by our platform often lead to improved repeat purchase rates for our</w:t>
      </w:r>
    </w:p>
    <w:p>
      <w:pPr>
        <w:sectPr>
          <w:pgSz w:w="11900" w:h="16838" w:orient="portrait"/>
          <w:cols w:equalWidth="0" w:num="1">
            <w:col w:w="10139"/>
          </w:cols>
          <w:pgMar w:left="320" w:top="114"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1039"/>
        <w:spacing w:after="0" w:line="266" w:lineRule="auto"/>
        <w:rPr>
          <w:sz w:val="20"/>
          <w:szCs w:val="20"/>
          <w:color w:val="auto"/>
        </w:rPr>
      </w:pPr>
      <w:r>
        <w:rPr>
          <w:rFonts w:ascii="Times New Roman" w:cs="Times New Roman" w:eastAsia="Times New Roman" w:hAnsi="Times New Roman"/>
          <w:sz w:val="18"/>
          <w:szCs w:val="18"/>
          <w:color w:val="auto"/>
        </w:rPr>
        <w:t>merchants as they enjoy more satisfied customers. For example, approximately 22% of Affirm consumers from our January 2018 cohort and approximately 20% of Affirm consumers from our January 2019 cohort made repeat purchases at the same merchant within 12 months.</w:t>
      </w:r>
    </w:p>
    <w:p>
      <w:pPr>
        <w:spacing w:after="0" w:line="77" w:lineRule="exact"/>
        <w:rPr>
          <w:sz w:val="20"/>
          <w:szCs w:val="20"/>
          <w:color w:val="auto"/>
        </w:rPr>
      </w:pPr>
    </w:p>
    <w:p>
      <w:pPr>
        <w:ind w:left="1820" w:right="679" w:hanging="180"/>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Better data to inform personalized promotional strategies. </w:t>
      </w:r>
      <w:r>
        <w:rPr>
          <w:rFonts w:ascii="Times New Roman" w:cs="Times New Roman" w:eastAsia="Times New Roman" w:hAnsi="Times New Roman"/>
          <w:sz w:val="18"/>
          <w:szCs w:val="18"/>
          <w:color w:val="auto"/>
        </w:rPr>
        <w:t>We provide merchants with valuable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can use to offer more tailored promotions and offers to consumers, for example through targeted offers in our app.</w:t>
      </w:r>
    </w:p>
    <w:p>
      <w:pPr>
        <w:spacing w:after="0" w:line="89" w:lineRule="exact"/>
        <w:rPr>
          <w:rFonts w:ascii="Times New Roman" w:cs="Times New Roman" w:eastAsia="Times New Roman" w:hAnsi="Times New Roman"/>
          <w:sz w:val="18"/>
          <w:szCs w:val="18"/>
          <w:color w:val="auto"/>
        </w:rPr>
      </w:pPr>
    </w:p>
    <w:p>
      <w:pPr>
        <w:ind w:left="1820" w:right="799" w:hanging="180"/>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Broader target market. </w:t>
      </w:r>
      <w:r>
        <w:rPr>
          <w:rFonts w:ascii="Times New Roman" w:cs="Times New Roman" w:eastAsia="Times New Roman" w:hAnsi="Times New Roman"/>
          <w:sz w:val="18"/>
          <w:szCs w:val="18"/>
          <w:color w:val="auto"/>
        </w:rPr>
        <w:t>We enable merchants to achieve incremental sales and expand their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by including customers who might not want to or be able to pay for an item upfront, but can do so responsibly over time.</w:t>
      </w:r>
    </w:p>
    <w:p>
      <w:pPr>
        <w:spacing w:after="0" w:line="89" w:lineRule="exact"/>
        <w:rPr>
          <w:rFonts w:ascii="Times New Roman" w:cs="Times New Roman" w:eastAsia="Times New Roman" w:hAnsi="Times New Roman"/>
          <w:sz w:val="18"/>
          <w:szCs w:val="18"/>
          <w:color w:val="auto"/>
        </w:rPr>
      </w:pPr>
    </w:p>
    <w:p>
      <w:pPr>
        <w:ind w:left="1820" w:right="719" w:hanging="180"/>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integration. </w:t>
      </w:r>
      <w:r>
        <w:rPr>
          <w:rFonts w:ascii="Times New Roman" w:cs="Times New Roman" w:eastAsia="Times New Roman" w:hAnsi="Times New Roman"/>
          <w:sz w:val="18"/>
          <w:szCs w:val="18"/>
          <w:color w:val="auto"/>
        </w:rPr>
        <w:t>Our direct API, designed for use by developers, allows for site integration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investment. Merchants can easily incorporate our platform into payment and product pages, and we provide a dedicated integration team to ensure that any issues are resolved.</w:t>
      </w:r>
    </w:p>
    <w:p>
      <w:pPr>
        <w:spacing w:after="0" w:line="76" w:lineRule="exact"/>
        <w:rPr>
          <w:rFonts w:ascii="Times New Roman" w:cs="Times New Roman" w:eastAsia="Times New Roman" w:hAnsi="Times New Roman"/>
          <w:sz w:val="18"/>
          <w:szCs w:val="18"/>
          <w:color w:val="auto"/>
        </w:rPr>
      </w:pPr>
    </w:p>
    <w:p>
      <w:pPr>
        <w:ind w:left="1820" w:right="939" w:hanging="180"/>
        <w:spacing w:after="0" w:line="28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Compliant. </w:t>
      </w:r>
      <w:r>
        <w:rPr>
          <w:rFonts w:ascii="Times New Roman" w:cs="Times New Roman" w:eastAsia="Times New Roman" w:hAnsi="Times New Roman"/>
          <w:sz w:val="18"/>
          <w:szCs w:val="18"/>
          <w:color w:val="auto"/>
        </w:rPr>
        <w:t>Once a merchant has integrated our API, we handle the regulatory aspect of the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facilitated through our platform, irrespective of state or jurisdiction.</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62" w:lineRule="exact"/>
        <w:rPr>
          <w:sz w:val="20"/>
          <w:szCs w:val="20"/>
          <w:color w:val="auto"/>
        </w:rPr>
      </w:pPr>
    </w:p>
    <w:p>
      <w:pPr>
        <w:ind w:left="1280" w:right="1019" w:firstLine="360"/>
        <w:spacing w:after="0" w:line="282"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that will continue to contribute to our success.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Strong network effects</w:t>
      </w:r>
    </w:p>
    <w:p>
      <w:pPr>
        <w:spacing w:after="0" w:line="148" w:lineRule="exact"/>
        <w:rPr>
          <w:sz w:val="20"/>
          <w:szCs w:val="20"/>
          <w:color w:val="auto"/>
        </w:rPr>
      </w:pPr>
    </w:p>
    <w:p>
      <w:pPr>
        <w:ind w:left="1280" w:right="1179" w:firstLine="360"/>
        <w:spacing w:after="0" w:line="282" w:lineRule="auto"/>
        <w:rPr>
          <w:sz w:val="20"/>
          <w:szCs w:val="20"/>
          <w:color w:val="auto"/>
        </w:rPr>
      </w:pPr>
      <w:r>
        <w:rPr>
          <w:rFonts w:ascii="Times New Roman" w:cs="Times New Roman" w:eastAsia="Times New Roman" w:hAnsi="Times New Roman"/>
          <w:sz w:val="18"/>
          <w:szCs w:val="18"/>
          <w:color w:val="auto"/>
        </w:rPr>
        <w:t>We benefit from self-reinforcing network effects, which are advantages that compound with each additional consumer and merchant on our network:</w:t>
      </w:r>
    </w:p>
    <w:p>
      <w:pPr>
        <w:spacing w:after="0" w:line="81" w:lineRule="exact"/>
        <w:rPr>
          <w:sz w:val="20"/>
          <w:szCs w:val="20"/>
          <w:color w:val="auto"/>
        </w:rPr>
      </w:pPr>
    </w:p>
    <w:p>
      <w:pPr>
        <w:ind w:left="1820" w:right="759" w:hanging="180"/>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consumers learn about the key benefits of our solution, we believe more and more will choose to use our platform, and our consumer base will continue to grow.</w:t>
      </w:r>
    </w:p>
    <w:p>
      <w:pPr>
        <w:spacing w:after="0" w:line="80" w:lineRule="exact"/>
        <w:rPr>
          <w:rFonts w:ascii="Times New Roman" w:cs="Times New Roman" w:eastAsia="Times New Roman" w:hAnsi="Times New Roman"/>
          <w:sz w:val="18"/>
          <w:szCs w:val="18"/>
          <w:color w:val="auto"/>
        </w:rPr>
      </w:pPr>
    </w:p>
    <w:p>
      <w:pPr>
        <w:ind w:left="1820" w:right="719" w:hanging="180"/>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larger our consumer ecosystem, the more valuable it is to merchants, and the more compelling it is for merchants to offer Affirm as an option.</w:t>
      </w:r>
    </w:p>
    <w:p>
      <w:pPr>
        <w:spacing w:after="0" w:line="67" w:lineRule="exact"/>
        <w:rPr>
          <w:rFonts w:ascii="Times New Roman" w:cs="Times New Roman" w:eastAsia="Times New Roman" w:hAnsi="Times New Roman"/>
          <w:sz w:val="18"/>
          <w:szCs w:val="18"/>
          <w:color w:val="auto"/>
        </w:rPr>
      </w:pPr>
    </w:p>
    <w:p>
      <w:pPr>
        <w:ind w:left="1820" w:right="1059" w:hanging="180"/>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more merchants integrated into our network, the more reasons consumers have to shop with Affirm.</w:t>
      </w:r>
    </w:p>
    <w:p>
      <w:pPr>
        <w:spacing w:after="0" w:line="80" w:lineRule="exact"/>
        <w:rPr>
          <w:rFonts w:ascii="Times New Roman" w:cs="Times New Roman" w:eastAsia="Times New Roman" w:hAnsi="Times New Roman"/>
          <w:sz w:val="18"/>
          <w:szCs w:val="18"/>
          <w:color w:val="auto"/>
        </w:rPr>
      </w:pPr>
    </w:p>
    <w:p>
      <w:pPr>
        <w:ind w:left="1820" w:right="799" w:hanging="180"/>
        <w:spacing w:after="0" w:line="261"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contribution profit improves as our consumer ecosystem expands. For example, the additional data we have on repeat consumers enables us to make better underwriting decisions and therefore generally results in lower provision for credit losses expense. Similarly, repeat users generally have fewer interactions with servicing agents, thereby lowering our processing and servicing costs.</w:t>
      </w:r>
    </w:p>
    <w:p>
      <w:pPr>
        <w:spacing w:after="0" w:line="85" w:lineRule="exact"/>
        <w:rPr>
          <w:rFonts w:ascii="Times New Roman" w:cs="Times New Roman" w:eastAsia="Times New Roman" w:hAnsi="Times New Roman"/>
          <w:sz w:val="18"/>
          <w:szCs w:val="18"/>
          <w:color w:val="auto"/>
        </w:rPr>
      </w:pPr>
    </w:p>
    <w:p>
      <w:pPr>
        <w:ind w:left="1820" w:right="699" w:hanging="180"/>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direct expense efficiency enables us to create even more compelling offers via merchants while maintaining contribution profit as a percentage of GMV, in turn attracting more consumers and merchants to our network.</w:t>
      </w:r>
    </w:p>
    <w:p>
      <w:pPr>
        <w:spacing w:after="0" w:line="108" w:lineRule="exact"/>
        <w:rPr>
          <w:sz w:val="20"/>
          <w:szCs w:val="20"/>
          <w:color w:val="auto"/>
        </w:rPr>
      </w:pPr>
    </w:p>
    <w:p>
      <w:pPr>
        <w:ind w:left="1280" w:right="1099" w:firstLine="360"/>
        <w:spacing w:after="0" w:line="282" w:lineRule="auto"/>
        <w:rPr>
          <w:sz w:val="20"/>
          <w:szCs w:val="20"/>
          <w:color w:val="auto"/>
        </w:rPr>
      </w:pPr>
      <w:r>
        <w:rPr>
          <w:rFonts w:ascii="Times New Roman" w:cs="Times New Roman" w:eastAsia="Times New Roman" w:hAnsi="Times New Roman"/>
          <w:sz w:val="18"/>
          <w:szCs w:val="18"/>
          <w:color w:val="auto"/>
        </w:rPr>
        <w:t>The net result is that we are building a consumer and merchant ecosystem on our platform that we expect to continue to grow and monetize over time.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technology infrastructure</w:t>
      </w:r>
    </w:p>
    <w:p>
      <w:pPr>
        <w:spacing w:after="0" w:line="148"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Technology is at the core of everything we do. Our solutions use the latest in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 As of September 30, 2020, 47% of our employees were in engineering and technology-related roles, reflecting the emphasis we place on technology. The scale of the engineering problems that we are solving, for both consumers and merchants, represents challenges that cannot easily be addressed by standard methods or traditional approaches. For example, we developed, from scratch, our own ledger in order to handle point-in-time reporting on millions of concurrent simple interest obligations with varying terms.</w:t>
      </w:r>
    </w:p>
    <w:p>
      <w:pPr>
        <w:spacing w:after="0" w:line="121" w:lineRule="exact"/>
        <w:rPr>
          <w:sz w:val="20"/>
          <w:szCs w:val="20"/>
          <w:color w:val="auto"/>
        </w:rPr>
      </w:pPr>
    </w:p>
    <w:p>
      <w:pPr>
        <w:ind w:left="1280" w:right="819" w:firstLine="360"/>
        <w:spacing w:after="0" w:line="261" w:lineRule="auto"/>
        <w:rPr>
          <w:sz w:val="20"/>
          <w:szCs w:val="20"/>
          <w:color w:val="auto"/>
        </w:rPr>
      </w:pPr>
      <w:r>
        <w:rPr>
          <w:rFonts w:ascii="Times New Roman" w:cs="Times New Roman" w:eastAsia="Times New Roman" w:hAnsi="Times New Roman"/>
          <w:sz w:val="18"/>
          <w:szCs w:val="18"/>
          <w:color w:val="auto"/>
        </w:rPr>
        <w:t>Our merchant partners can easily integrate Affirm via our direct API. From the smallest direct-to-consumer online brand, to the largest merchants running on mainframe computers, the technical aspects of integrating with Affirm are quick and painless. Full integration can be completed very quickly, as was evidenced by our recent partnership with a merchant, whose high-performance cycling components and</w:t>
      </w:r>
    </w:p>
    <w:p>
      <w:pPr>
        <w:sectPr>
          <w:pgSz w:w="11900" w:h="16838" w:orient="portrait"/>
          <w:cols w:equalWidth="0" w:num="1">
            <w:col w:w="10139"/>
          </w:cols>
          <w:pgMar w:left="320" w:top="114" w:right="1440" w:bottom="1440" w:gutter="0" w:footer="0" w:header="0"/>
          <w:type w:val="continuous"/>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839"/>
        <w:spacing w:after="0" w:line="282" w:lineRule="auto"/>
        <w:rPr>
          <w:sz w:val="20"/>
          <w:szCs w:val="20"/>
          <w:color w:val="auto"/>
        </w:rPr>
      </w:pPr>
      <w:r>
        <w:rPr>
          <w:rFonts w:ascii="Times New Roman" w:cs="Times New Roman" w:eastAsia="Times New Roman" w:hAnsi="Times New Roman"/>
          <w:sz w:val="18"/>
          <w:szCs w:val="18"/>
          <w:color w:val="auto"/>
        </w:rPr>
        <w:t>wheelsets were live on their custom e-commerce platform with an Affirm API integration within two days after signing our merchant agreement.</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Data advantages that compound over time</w:t>
      </w:r>
    </w:p>
    <w:p>
      <w:pPr>
        <w:spacing w:after="0" w:line="148" w:lineRule="exact"/>
        <w:rPr>
          <w:sz w:val="20"/>
          <w:szCs w:val="20"/>
          <w:color w:val="auto"/>
        </w:rPr>
      </w:pPr>
    </w:p>
    <w:p>
      <w:pPr>
        <w:ind w:left="1280" w:right="699" w:firstLine="360"/>
        <w:spacing w:after="0" w:line="258" w:lineRule="auto"/>
        <w:rPr>
          <w:sz w:val="20"/>
          <w:szCs w:val="20"/>
          <w:color w:val="auto"/>
        </w:rPr>
      </w:pPr>
      <w:r>
        <w:rPr>
          <w:rFonts w:ascii="Times New Roman" w:cs="Times New Roman" w:eastAsia="Times New Roman" w:hAnsi="Times New Roman"/>
          <w:sz w:val="18"/>
          <w:szCs w:val="18"/>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 We use application and transaction data to train our model, including data from more than 7.5 million loans and six years of repayments.</w:t>
      </w:r>
    </w:p>
    <w:p>
      <w:pPr>
        <w:spacing w:after="0" w:line="116" w:lineRule="exact"/>
        <w:rPr>
          <w:sz w:val="20"/>
          <w:szCs w:val="20"/>
          <w:color w:val="auto"/>
        </w:rPr>
      </w:pPr>
    </w:p>
    <w:p>
      <w:pPr>
        <w:ind w:left="1280" w:right="739" w:firstLine="360"/>
        <w:spacing w:after="0" w:line="255" w:lineRule="auto"/>
        <w:rPr>
          <w:sz w:val="20"/>
          <w:szCs w:val="20"/>
          <w:color w:val="auto"/>
        </w:rPr>
      </w:pPr>
      <w:r>
        <w:rPr>
          <w:rFonts w:ascii="Times New Roman" w:cs="Times New Roman" w:eastAsia="Times New Roman" w:hAnsi="Times New Roman"/>
          <w:sz w:val="18"/>
          <w:szCs w:val="18"/>
          <w:color w:val="auto"/>
        </w:rPr>
        <w:t>Our technology is built to handle the immense scale of our data-driven operations — we are capable of processing thousands of checkouts per minute. Our machine learning-based risk models are currently calibrated and validated on more than one billion individual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We are also able to access and leverage SKU-level data, which we believe gives us a proprietary data advantage.</w:t>
      </w:r>
    </w:p>
    <w:p>
      <w:pPr>
        <w:spacing w:after="0" w:line="1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Better outcomes generated by our proprietary risk models</w:t>
      </w:r>
    </w:p>
    <w:p>
      <w:pPr>
        <w:spacing w:after="0" w:line="162" w:lineRule="exact"/>
        <w:rPr>
          <w:sz w:val="20"/>
          <w:szCs w:val="20"/>
          <w:color w:val="auto"/>
        </w:rPr>
      </w:pPr>
    </w:p>
    <w:p>
      <w:pPr>
        <w:ind w:left="1280" w:right="739" w:firstLine="360"/>
        <w:spacing w:after="0" w:line="253" w:lineRule="auto"/>
        <w:rPr>
          <w:sz w:val="20"/>
          <w:szCs w:val="20"/>
          <w:color w:val="auto"/>
        </w:rPr>
      </w:pPr>
      <w:r>
        <w:rPr>
          <w:rFonts w:ascii="Times New Roman" w:cs="Times New Roman" w:eastAsia="Times New Roman" w:hAnsi="Times New Roman"/>
          <w:sz w:val="18"/>
          <w:szCs w:val="18"/>
          <w:color w:val="auto"/>
        </w:rPr>
        <w:t>We believe our risk model informs our ability to assess risk better than our competitors. Unlike legacy payment and credit systems, we can assess risk at a transaction level. In other words, our integration with our merchant partners allows us to consider the product that the consumer is purchasing when we assess a credit application. We believe our proprietary risk model has translated this advantage into the ability to increase approval rates without deterring consumers with higher APRs or increasing our rate of expected credit losses. This generally benefits our provision for credit losses on loans we retain, which in turn benefits our contribution profit as a percentage of GMV. Based on a survey conducted by Informa Business Intelligence from November 1, 2019 to January 31, 2020, we approve on average 20% more customers than comparable competitor products. We also believe we are able to price risk with a high degree of accuracy and that our risk model allows us to facilitate a greater volume of transactions from a wider and more diverse segment of consumers.</w:t>
      </w:r>
    </w:p>
    <w:p>
      <w:pPr>
        <w:spacing w:after="0" w:line="329" w:lineRule="exact"/>
        <w:rPr>
          <w:sz w:val="20"/>
          <w:szCs w:val="20"/>
          <w:color w:val="auto"/>
        </w:rPr>
      </w:pPr>
    </w:p>
    <w:p>
      <w:pPr>
        <w:ind w:left="1280" w:right="679" w:firstLine="360"/>
        <w:spacing w:after="0" w:line="258" w:lineRule="auto"/>
        <w:rPr>
          <w:sz w:val="20"/>
          <w:szCs w:val="20"/>
          <w:color w:val="auto"/>
        </w:rPr>
      </w:pPr>
      <w:r>
        <w:rPr>
          <w:rFonts w:ascii="Times New Roman" w:cs="Times New Roman" w:eastAsia="Times New Roman" w:hAnsi="Times New Roman"/>
          <w:sz w:val="18"/>
          <w:szCs w:val="18"/>
          <w:color w:val="auto"/>
        </w:rPr>
        <w:t>Our continuously-learning risk model benefits from increasing scale. As data from new transactions are incorporated into our risk algorithms, we are able to more effectively assess a given credit profile. Our model is robust enough to allow us to assess credit risk at a pre-defined risk level with a high degree of confidence, resulting in a weighted-average quarterly delinquency rate of approximately 1.1% for the thirty-six months ended September 30, 2020.</w:t>
      </w:r>
    </w:p>
    <w:p>
      <w:pPr>
        <w:spacing w:after="0" w:line="116" w:lineRule="exact"/>
        <w:rPr>
          <w:sz w:val="20"/>
          <w:szCs w:val="20"/>
          <w:color w:val="auto"/>
        </w:rPr>
      </w:pPr>
    </w:p>
    <w:p>
      <w:pPr>
        <w:ind w:left="1280" w:right="699" w:firstLine="360"/>
        <w:spacing w:after="0" w:line="255" w:lineRule="auto"/>
        <w:rPr>
          <w:sz w:val="20"/>
          <w:szCs w:val="20"/>
          <w:color w:val="auto"/>
        </w:rPr>
      </w:pPr>
      <w:r>
        <w:rPr>
          <w:rFonts w:ascii="Times New Roman" w:cs="Times New Roman" w:eastAsia="Times New Roman" w:hAnsi="Times New Roman"/>
          <w:sz w:val="18"/>
          <w:szCs w:val="18"/>
          <w:color w:val="auto"/>
        </w:rPr>
        <w:t>Our ability to quickly and accurately assess, price, and manage risk, enables us to generate high quality assets that attract funding sources and generate predictable servicing and interest income as consumers repay over time. Our risk model is designed to comply with our partners’ credit policies and underwriting procedures and has been proven to lead to low fraud rates and higher approval rates compared to traditional credit underwriting models. Taken together, the strong demand for our assets from capital partners increases our gain (loss) on sales of loans and our servicing income, decreases our funding costs, and helps drive our attractive contribution profit.</w:t>
      </w:r>
    </w:p>
    <w:p>
      <w:pPr>
        <w:spacing w:after="0" w:line="121" w:lineRule="exact"/>
        <w:rPr>
          <w:sz w:val="20"/>
          <w:szCs w:val="20"/>
          <w:color w:val="auto"/>
        </w:rPr>
      </w:pPr>
    </w:p>
    <w:p>
      <w:pPr>
        <w:jc w:val="both"/>
        <w:ind w:left="1280" w:right="8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on how our risk model automates the underwriting process for our originating bank partners, see </w:t>
      </w:r>
      <w:r>
        <w:rPr>
          <w:rFonts w:ascii="Times New Roman" w:cs="Times New Roman" w:eastAsia="Times New Roman" w:hAnsi="Times New Roman"/>
          <w:sz w:val="18"/>
          <w:szCs w:val="18"/>
          <w:i w:val="1"/>
          <w:iCs w:val="1"/>
          <w:color w:val="auto"/>
        </w:rPr>
        <w:t>“Business — Regulatory Environment — State licensing requirements and regulation”</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Distinctive culture that sets us apart</w:t>
      </w:r>
    </w:p>
    <w:p>
      <w:pPr>
        <w:spacing w:after="0" w:line="162" w:lineRule="exact"/>
        <w:rPr>
          <w:sz w:val="20"/>
          <w:szCs w:val="20"/>
          <w:color w:val="auto"/>
        </w:rPr>
      </w:pPr>
    </w:p>
    <w:p>
      <w:pPr>
        <w:ind w:left="1280" w:right="679" w:firstLine="360"/>
        <w:spacing w:after="0" w:line="245" w:lineRule="auto"/>
        <w:rPr>
          <w:sz w:val="20"/>
          <w:szCs w:val="20"/>
          <w:color w:val="auto"/>
        </w:rPr>
      </w:pPr>
      <w:r>
        <w:rPr>
          <w:rFonts w:ascii="Times New Roman" w:cs="Times New Roman" w:eastAsia="Times New Roman" w:hAnsi="Times New Roman"/>
          <w:sz w:val="18"/>
          <w:szCs w:val="18"/>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69" w:lineRule="exact"/>
        <w:rPr>
          <w:sz w:val="20"/>
          <w:szCs w:val="20"/>
          <w:color w:val="auto"/>
        </w:rPr>
      </w:pPr>
    </w:p>
    <w:p>
      <w:pPr>
        <w:ind w:left="1820" w:right="699" w:hanging="180"/>
        <w:spacing w:after="0" w:line="260"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People come first: </w:t>
      </w:r>
      <w:r>
        <w:rPr>
          <w:rFonts w:ascii="Times New Roman" w:cs="Times New Roman" w:eastAsia="Times New Roman" w:hAnsi="Times New Roman"/>
          <w:sz w:val="18"/>
          <w:szCs w:val="18"/>
          <w:color w:val="auto"/>
        </w:rPr>
        <w:t>We consider our impact on people’s lives before we think about our own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means that we do not and will not take advantage of our consumers. Unlike much of the industry, we do not capitalize on consumer misfortunes through practices like late fees and deferred or compounding interest. Our success is aligned with our consumers’ success. In fact, we depend on it.</w:t>
      </w:r>
    </w:p>
    <w:p>
      <w:pPr>
        <w:spacing w:after="0" w:line="291" w:lineRule="exact"/>
        <w:rPr>
          <w:rFonts w:ascii="Times New Roman" w:cs="Times New Roman" w:eastAsia="Times New Roman" w:hAnsi="Times New Roman"/>
          <w:sz w:val="18"/>
          <w:szCs w:val="18"/>
          <w:color w:val="auto"/>
        </w:rPr>
      </w:pPr>
    </w:p>
    <w:p>
      <w:pPr>
        <w:ind w:left="1820" w:right="679" w:hanging="180"/>
        <w:spacing w:after="0" w:line="26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fine print: </w:t>
      </w:r>
      <w:r>
        <w:rPr>
          <w:rFonts w:ascii="Times New Roman" w:cs="Times New Roman" w:eastAsia="Times New Roman" w:hAnsi="Times New Roman"/>
          <w:sz w:val="18"/>
          <w:szCs w:val="18"/>
          <w:color w:val="auto"/>
        </w:rPr>
        <w:t>We are transparent and honest — with our consumers and with each other. That is why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hidden fees or tricks associated with the loans facilitated through our platform. What you see is what you get.</w:t>
      </w:r>
    </w:p>
    <w:p>
      <w:pPr>
        <w:spacing w:after="0" w:line="62" w:lineRule="exact"/>
        <w:rPr>
          <w:rFonts w:ascii="Times New Roman" w:cs="Times New Roman" w:eastAsia="Times New Roman" w:hAnsi="Times New Roman"/>
          <w:sz w:val="18"/>
          <w:szCs w:val="18"/>
          <w:color w:val="auto"/>
        </w:rPr>
      </w:pPr>
    </w:p>
    <w:p>
      <w:pPr>
        <w:ind w:left="1820" w:right="919" w:hanging="180"/>
        <w:spacing w:after="0" w:line="286"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on us: </w:t>
      </w:r>
      <w:r>
        <w:rPr>
          <w:rFonts w:ascii="Times New Roman" w:cs="Times New Roman" w:eastAsia="Times New Roman" w:hAnsi="Times New Roman"/>
          <w:sz w:val="18"/>
          <w:szCs w:val="18"/>
          <w:color w:val="auto"/>
        </w:rPr>
        <w:t>We take full accountability for our actions, never shirking responsibility or passing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buck. Affirmers own problems and solutions, and we hold each other accountable.</w:t>
      </w:r>
    </w:p>
    <w:p>
      <w:pPr>
        <w:spacing w:after="0" w:line="46" w:lineRule="exact"/>
        <w:rPr>
          <w:rFonts w:ascii="Times New Roman" w:cs="Times New Roman" w:eastAsia="Times New Roman" w:hAnsi="Times New Roman"/>
          <w:sz w:val="18"/>
          <w:szCs w:val="18"/>
          <w:color w:val="auto"/>
        </w:rPr>
      </w:pPr>
    </w:p>
    <w:p>
      <w:pPr>
        <w:jc w:val="both"/>
        <w:ind w:left="1820" w:right="819" w:hanging="180"/>
        <w:spacing w:after="0" w:line="26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Simpler is better: </w:t>
      </w:r>
      <w:r>
        <w:rPr>
          <w:rFonts w:ascii="Times New Roman" w:cs="Times New Roman" w:eastAsia="Times New Roman" w:hAnsi="Times New Roman"/>
          <w:sz w:val="18"/>
          <w:szCs w:val="18"/>
          <w:color w:val="auto"/>
        </w:rPr>
        <w:t>We make complex things simple and clear. Financial products and payments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traditionally been fraught with complexity. We found a better way, a way that brings consumers the simplicity they need and merchants the results they want.</w:t>
      </w:r>
    </w:p>
    <w:p>
      <w:pPr>
        <w:spacing w:after="0" w:line="62" w:lineRule="exact"/>
        <w:rPr>
          <w:rFonts w:ascii="Times New Roman" w:cs="Times New Roman" w:eastAsia="Times New Roman" w:hAnsi="Times New Roman"/>
          <w:sz w:val="18"/>
          <w:szCs w:val="18"/>
          <w:color w:val="auto"/>
        </w:rPr>
      </w:pPr>
    </w:p>
    <w:p>
      <w:pPr>
        <w:ind w:left="1820" w:right="679" w:hanging="180"/>
        <w:spacing w:after="0" w:line="26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Push the envelope: </w:t>
      </w:r>
      <w:r>
        <w:rPr>
          <w:rFonts w:ascii="Times New Roman" w:cs="Times New Roman" w:eastAsia="Times New Roman" w:hAnsi="Times New Roman"/>
          <w:sz w:val="18"/>
          <w:szCs w:val="18"/>
          <w:color w:val="auto"/>
        </w:rPr>
        <w:t>We never stop innovating, taking smart risks, and raising the bar. Talented people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attracted to Affirm because we empower them to innovate, create robust systems, and take smart risks. This momentum keeps our consumer and merchant network growing and thriving.</w:t>
      </w:r>
    </w:p>
    <w:p>
      <w:pPr>
        <w:spacing w:after="0" w:line="94" w:lineRule="exact"/>
        <w:rPr>
          <w:sz w:val="20"/>
          <w:szCs w:val="20"/>
          <w:color w:val="auto"/>
        </w:rPr>
      </w:pPr>
    </w:p>
    <w:p>
      <w:pPr>
        <w:ind w:left="1280" w:right="719" w:firstLine="360"/>
        <w:spacing w:after="0" w:line="261" w:lineRule="auto"/>
        <w:rPr>
          <w:sz w:val="20"/>
          <w:szCs w:val="20"/>
          <w:color w:val="auto"/>
        </w:rPr>
      </w:pPr>
      <w:r>
        <w:rPr>
          <w:rFonts w:ascii="Times New Roman" w:cs="Times New Roman" w:eastAsia="Times New Roman" w:hAnsi="Times New Roman"/>
          <w:sz w:val="18"/>
          <w:szCs w:val="18"/>
          <w:color w:val="auto"/>
        </w:rPr>
        <w:t>These values have helped us to attract, inspire, and harness the collective talent of exceptional technologists and business people. They have also helped us build durable relationships with merchants and consumers, which have produced high repeat purchase rates, strong consumer and merchant satisfaction, and an industry-leading average NPS of 78 from December 2019 through June 2020.</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Revenue sources</w:t>
      </w:r>
    </w:p>
    <w:p>
      <w:pPr>
        <w:spacing w:after="0" w:line="162"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Our business model is predicated on a deep belief that simplicity, transparency, and putting people first are the keys to building enduring and trusted relationships with our consumers and merchants. This belief has helped us grow the ubiquity of our platform, and we have benefited from positive word-of-mouth as consumers recommend us to others. Our presence at checkout ensures that we remain top-of-mind, allowing us to acquire consumers directly via our merchants and therefore sustain a highly efficient go-to-market strategy. We have also leveraged partnerships to drive growth and merchant expansion. For example, we recently partnered with Shopify on Shop Pay Installments to significantly expand the number of merchants and consumers on our platform.</w:t>
      </w:r>
    </w:p>
    <w:p>
      <w:pPr>
        <w:spacing w:after="0" w:line="124"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Our business model is aligned with the interests of both consumers and merchants — we win when they</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win.</w:t>
      </w:r>
    </w:p>
    <w:p>
      <w:pPr>
        <w:spacing w:after="0" w:line="126"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From merchants, we earn a fee when we help them convert a sale and power a payment. Merchant fees depend on the individual arrangement between us and each merchant and vary based on the terms of the product offering; we generally earn larger merchant fees on 0% APR financing products. For the fiscal year ended June 30, 2020 and for the three months ended September 30, 2020, 0% APR financing represented 43% and 46%, respectively, of total GMV, facilitated through our platform. This structure incentivizes us to help our merchants convert sales and increase AOV through the commerce and technology solutions offered by our platform.</w:t>
      </w:r>
    </w:p>
    <w:p>
      <w:pPr>
        <w:spacing w:after="0" w:line="336" w:lineRule="exact"/>
        <w:rPr>
          <w:sz w:val="20"/>
          <w:szCs w:val="20"/>
          <w:color w:val="auto"/>
        </w:rPr>
      </w:pPr>
    </w:p>
    <w:p>
      <w:pPr>
        <w:ind w:left="1280" w:right="699" w:firstLine="360"/>
        <w:spacing w:after="0" w:line="266"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339"/>
        <w:spacing w:after="0" w:line="266" w:lineRule="auto"/>
        <w:rPr>
          <w:sz w:val="20"/>
          <w:szCs w:val="20"/>
          <w:color w:val="auto"/>
        </w:rPr>
      </w:pPr>
      <w:r>
        <w:rPr>
          <w:rFonts w:ascii="Times New Roman" w:cs="Times New Roman" w:eastAsia="Times New Roman" w:hAnsi="Times New Roman"/>
          <w:sz w:val="18"/>
          <w:szCs w:val="18"/>
          <w:color w:val="auto"/>
        </w:rPr>
        <w:t>the individual arrangement with a merchant. Because consumers are never charged deferred or compounding interest, late fees, or penalties on the loans, we are not incentivized to profit from our consumers’ mistakes or misfortunes.</w:t>
      </w:r>
    </w:p>
    <w:p>
      <w:pPr>
        <w:spacing w:after="0" w:line="95" w:lineRule="exact"/>
        <w:rPr>
          <w:sz w:val="20"/>
          <w:szCs w:val="20"/>
          <w:color w:val="auto"/>
        </w:rPr>
      </w:pPr>
    </w:p>
    <w:p>
      <w:pPr>
        <w:ind w:left="1280" w:right="839" w:firstLine="360"/>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7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62" w:lineRule="exact"/>
        <w:rPr>
          <w:sz w:val="20"/>
          <w:szCs w:val="20"/>
          <w:color w:val="auto"/>
        </w:rPr>
      </w:pPr>
    </w:p>
    <w:p>
      <w:pPr>
        <w:ind w:left="1280" w:right="1179" w:firstLine="360"/>
        <w:spacing w:after="0" w:line="261"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and the consumer selects their preferred repayment option, the substantial majority of loans are funded and issued by Cross River Bank, one of our originating bank partners.</w:t>
      </w:r>
    </w:p>
    <w:p>
      <w:pPr>
        <w:spacing w:after="0" w:line="112" w:lineRule="exact"/>
        <w:rPr>
          <w:sz w:val="20"/>
          <w:szCs w:val="20"/>
          <w:color w:val="auto"/>
        </w:rPr>
      </w:pPr>
    </w:p>
    <w:p>
      <w:pPr>
        <w:ind w:left="1280" w:right="879" w:firstLine="360"/>
        <w:spacing w:after="0" w:line="266"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and across various states in the U.S. Under the self-origination model, we are able to improve our transaction economics.</w:t>
      </w:r>
    </w:p>
    <w:p>
      <w:pPr>
        <w:spacing w:after="0" w:line="95" w:lineRule="exact"/>
        <w:rPr>
          <w:sz w:val="20"/>
          <w:szCs w:val="20"/>
          <w:color w:val="auto"/>
        </w:rPr>
      </w:pPr>
    </w:p>
    <w:p>
      <w:pPr>
        <w:ind w:left="1280" w:right="759" w:firstLine="360"/>
        <w:spacing w:after="0" w:line="257"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we sell to our funding sources. We also do not sell the servicing rights on any of the loans, allowing us to control the consumer experience end-to-end. To allow for flexible staffing to support overflow and seasonal traffic, we also partner with several sub-servicers to manage customer care, first priority collections, and third-party collections in accordance with our policies and procedures.</w:t>
      </w:r>
    </w:p>
    <w:p>
      <w:pPr>
        <w:spacing w:after="0" w:line="40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Efficient capital funding capabilities</w:t>
      </w:r>
    </w:p>
    <w:p>
      <w:pPr>
        <w:spacing w:after="0" w:line="162" w:lineRule="exact"/>
        <w:rPr>
          <w:sz w:val="20"/>
          <w:szCs w:val="20"/>
          <w:color w:val="auto"/>
        </w:rPr>
      </w:pPr>
    </w:p>
    <w:p>
      <w:pPr>
        <w:ind w:left="1280" w:right="899" w:firstLine="360"/>
        <w:spacing w:after="0" w:line="258" w:lineRule="auto"/>
        <w:rPr>
          <w:sz w:val="20"/>
          <w:szCs w:val="20"/>
          <w:color w:val="auto"/>
        </w:rPr>
      </w:pPr>
      <w:r>
        <w:rPr>
          <w:rFonts w:ascii="Times New Roman" w:cs="Times New Roman" w:eastAsia="Times New Roman" w:hAnsi="Times New Roman"/>
          <w:sz w:val="18"/>
          <w:szCs w:val="18"/>
          <w:color w:val="auto"/>
        </w:rPr>
        <w:t>Given our ability to automate our and our originating bank partners’ underwriting processes at checkout and generate high-quality assets at scale, we have successfully attracted a diverse set of funding sources, which has allowed us to scale accordingly as we have increased the transaction volume on our platform. As of September 30, 2020, we had over $4.2 billion in funding capacity from a diverse set of capital partners, and we have funded approximately $10.7 billion of purchases since July 1, 2016.</w:t>
      </w:r>
    </w:p>
    <w:p>
      <w:pPr>
        <w:spacing w:after="0" w:line="116" w:lineRule="exact"/>
        <w:rPr>
          <w:sz w:val="20"/>
          <w:szCs w:val="20"/>
          <w:color w:val="auto"/>
        </w:rPr>
      </w:pPr>
    </w:p>
    <w:p>
      <w:pPr>
        <w:ind w:left="1280" w:right="839" w:firstLine="360"/>
        <w:spacing w:after="0" w:line="258" w:lineRule="auto"/>
        <w:rPr>
          <w:sz w:val="20"/>
          <w:szCs w:val="20"/>
          <w:color w:val="auto"/>
        </w:rPr>
      </w:pPr>
      <w:r>
        <w:rPr>
          <w:rFonts w:ascii="Times New Roman" w:cs="Times New Roman" w:eastAsia="Times New Roman" w:hAnsi="Times New Roman"/>
          <w:sz w:val="18"/>
          <w:szCs w:val="18"/>
          <w:color w:val="auto"/>
        </w:rPr>
        <w:t>By linking our pay-over-time product to a specific consumer, purchase, and merchant, we can target shorter-duration assets. Today our repayment options range from six weeks to 48 months, with an average duration of six months for assets retained on our balance sheet. This high-velocity of repayments creates a multiplier effect on our committed capital, where funding can be recycled quickly, driving our ability to increase transaction volume.</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Consumers</w:t>
      </w:r>
    </w:p>
    <w:p>
      <w:pPr>
        <w:spacing w:after="0" w:line="148" w:lineRule="exact"/>
        <w:rPr>
          <w:sz w:val="20"/>
          <w:szCs w:val="20"/>
          <w:color w:val="auto"/>
        </w:rPr>
      </w:pPr>
    </w:p>
    <w:p>
      <w:pPr>
        <w:ind w:left="1280" w:right="719" w:firstLine="360"/>
        <w:spacing w:after="0" w:line="258" w:lineRule="auto"/>
        <w:rPr>
          <w:sz w:val="20"/>
          <w:szCs w:val="20"/>
          <w:color w:val="auto"/>
        </w:rPr>
      </w:pPr>
      <w:r>
        <w:rPr>
          <w:rFonts w:ascii="Times New Roman" w:cs="Times New Roman" w:eastAsia="Times New Roman" w:hAnsi="Times New Roman"/>
          <w:sz w:val="18"/>
          <w:szCs w:val="18"/>
          <w:color w:val="auto"/>
        </w:rPr>
        <w:t>As of September 30, 2020, over 6.2 million consumers have trusted us to help them pay over time. By utilizing our unique risk model predicated on sophisticated machine learning algorithms, proprietary data, and product-level underwriting, we can serve consumers across the credit spectrum and price risk across credit bands. Consumers on our platform represent a broad cross-section of society, with sizable geographic representation across the U.S. and Canada.</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85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Merchants</w:t>
      </w:r>
    </w:p>
    <w:p>
      <w:pPr>
        <w:spacing w:after="0" w:line="162" w:lineRule="exact"/>
        <w:rPr>
          <w:sz w:val="20"/>
          <w:szCs w:val="20"/>
          <w:color w:val="auto"/>
        </w:rPr>
      </w:pPr>
    </w:p>
    <w:p>
      <w:pPr>
        <w:ind w:left="1280" w:right="659" w:firstLine="360"/>
        <w:spacing w:after="0"/>
        <w:rPr>
          <w:sz w:val="20"/>
          <w:szCs w:val="20"/>
          <w:color w:val="auto"/>
        </w:rPr>
      </w:pPr>
      <w:r>
        <w:rPr>
          <w:rFonts w:ascii="Times New Roman" w:cs="Times New Roman" w:eastAsia="Times New Roman" w:hAnsi="Times New Roman"/>
          <w:sz w:val="18"/>
          <w:szCs w:val="18"/>
          <w:color w:val="auto"/>
        </w:rPr>
        <w:t>Our platform is explicitly designed and engineered to integrate with a wide range of merchants. This is a point of differentiation for us, and we can accommodate and partner with merchants regardless of industry, size, AOV, or customer profile. As of September 30, 2020, we had more than 6,500 merchants integrated on our platform, ranging from small businesses to large enterprises, direct-to-consumer brands, brick-and-mortar stores, and companies with omni-channel presences. Our merchants represent a diverse range of industries, including sporting goods and outdoors, furniture and homewares, travel, apparel, accessories, consumer electronics, and jewelry.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162" w:lineRule="exact"/>
        <w:rPr>
          <w:sz w:val="20"/>
          <w:szCs w:val="20"/>
          <w:color w:val="auto"/>
        </w:rPr>
      </w:pPr>
    </w:p>
    <w:p>
      <w:pPr>
        <w:ind w:left="1280" w:right="659" w:firstLine="360"/>
        <w:spacing w:after="0" w:line="246" w:lineRule="auto"/>
        <w:rPr>
          <w:sz w:val="20"/>
          <w:szCs w:val="20"/>
          <w:color w:val="auto"/>
        </w:rPr>
      </w:pPr>
      <w:r>
        <w:rPr>
          <w:rFonts w:ascii="Times New Roman" w:cs="Times New Roman" w:eastAsia="Times New Roman" w:hAnsi="Times New Roman"/>
          <w:sz w:val="18"/>
          <w:szCs w:val="18"/>
          <w:color w:val="auto"/>
        </w:rPr>
        <w:t>We believe we have a substantial opportunity to increase our share of the e- commerce market, grow our offline business at merchants, and continue to displace customer acquisition and marketing spend by merchants. We also see significant opportunity to develop new products that can define the future of commerce.</w:t>
      </w:r>
    </w:p>
    <w:p>
      <w:pPr>
        <w:spacing w:after="0" w:line="38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148" w:lineRule="exact"/>
        <w:rPr>
          <w:sz w:val="20"/>
          <w:szCs w:val="20"/>
          <w:color w:val="auto"/>
        </w:rPr>
      </w:pPr>
    </w:p>
    <w:p>
      <w:pPr>
        <w:jc w:val="both"/>
        <w:ind w:left="1280" w:right="1079" w:firstLine="360"/>
        <w:spacing w:after="0" w:line="250" w:lineRule="auto"/>
        <w:rPr>
          <w:sz w:val="20"/>
          <w:szCs w:val="20"/>
          <w:color w:val="auto"/>
        </w:rPr>
      </w:pPr>
      <w:r>
        <w:rPr>
          <w:rFonts w:ascii="Times New Roman" w:cs="Times New Roman" w:eastAsia="Times New Roman" w:hAnsi="Times New Roman"/>
          <w:sz w:val="18"/>
          <w:szCs w:val="18"/>
          <w:color w:val="auto"/>
        </w:rPr>
        <w:t>U.S. e-commerce sales were approximately $600 billion in 2019, growing at 16% compared to the previous year, according to the U.S. Census Bureau. We believe we are well-positioned to address this market as more consumers and merchants transact on our platform.</w:t>
      </w:r>
    </w:p>
    <w:p>
      <w:pPr>
        <w:spacing w:after="0" w:line="17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Omni-channel commerce</w:t>
      </w:r>
    </w:p>
    <w:p>
      <w:pPr>
        <w:spacing w:after="0" w:line="162"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Approximately $7.6 trillion was processed by cards at U.S. merchants in 2019, according to The Nilson Report published in May 2020, and e-commerce is only a small portion of this. Given our virtual card</w:t>
      </w:r>
    </w:p>
    <w:p>
      <w:pPr>
        <w:sectPr>
          <w:pgSz w:w="11900" w:h="16838" w:orient="portrait"/>
          <w:cols w:equalWidth="0" w:num="1">
            <w:col w:w="10139"/>
          </w:cols>
          <w:pgMar w:left="320" w:top="114" w:right="1440" w:bottom="1440" w:gutter="0" w:footer="0" w:header="0"/>
          <w:type w:val="continuous"/>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219"/>
        <w:spacing w:after="0" w:line="282" w:lineRule="auto"/>
        <w:rPr>
          <w:sz w:val="20"/>
          <w:szCs w:val="20"/>
          <w:color w:val="auto"/>
        </w:rPr>
      </w:pPr>
      <w:r>
        <w:rPr>
          <w:rFonts w:ascii="Times New Roman" w:cs="Times New Roman" w:eastAsia="Times New Roman" w:hAnsi="Times New Roman"/>
          <w:sz w:val="18"/>
          <w:szCs w:val="18"/>
          <w:color w:val="auto"/>
        </w:rPr>
        <w:t>functionality and the ability for consumers to pay in-store using our app, we believe our platform can ultimately be used to address significant additional offline card spend at merchants.</w:t>
      </w:r>
    </w:p>
    <w:p>
      <w:pPr>
        <w:spacing w:after="0" w:line="81" w:lineRule="exact"/>
        <w:rPr>
          <w:sz w:val="20"/>
          <w:szCs w:val="20"/>
          <w:color w:val="auto"/>
        </w:rPr>
      </w:pPr>
    </w:p>
    <w:p>
      <w:pPr>
        <w:jc w:val="both"/>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As the shift from offline to digital payments accelerates, we believe over time we can also address non-card spend at merchants. This spend is currently served by cash and other legacy payments, and represents a large opportunity globally.</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Merchant marketing</w:t>
      </w:r>
    </w:p>
    <w:p>
      <w:pPr>
        <w:spacing w:after="0" w:line="162" w:lineRule="exact"/>
        <w:rPr>
          <w:sz w:val="20"/>
          <w:szCs w:val="20"/>
          <w:color w:val="auto"/>
        </w:rPr>
      </w:pPr>
    </w:p>
    <w:p>
      <w:pPr>
        <w:ind w:left="1280" w:right="759" w:firstLine="360"/>
        <w:spacing w:after="0" w:line="258" w:lineRule="auto"/>
        <w:rPr>
          <w:sz w:val="20"/>
          <w:szCs w:val="20"/>
          <w:color w:val="auto"/>
        </w:rPr>
      </w:pPr>
      <w:r>
        <w:rPr>
          <w:rFonts w:ascii="Times New Roman" w:cs="Times New Roman" w:eastAsia="Times New Roman" w:hAnsi="Times New Roman"/>
          <w:sz w:val="18"/>
          <w:szCs w:val="18"/>
          <w:color w:val="auto"/>
        </w:rPr>
        <w:t>Customer acquisition is the lifeblood of all merchants; however, many existing channels are expensive and inefficient. We help merchants address customer acquisition challenges through the use of the full breadth of our platform and our valuable data and insights to reduce friction, increase conversions, and optimize sales. As such, we believe we can address a portion of the estimated $1 trillion customer acquisition spend by merchants in the United States, according to The B2B Lead.</w:t>
      </w:r>
    </w:p>
    <w:p>
      <w:pPr>
        <w:spacing w:after="0" w:line="1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New financial products</w:t>
      </w:r>
    </w:p>
    <w:p>
      <w:pPr>
        <w:spacing w:after="0" w:line="162" w:lineRule="exact"/>
        <w:rPr>
          <w:sz w:val="20"/>
          <w:szCs w:val="20"/>
          <w:color w:val="auto"/>
        </w:rPr>
      </w:pPr>
    </w:p>
    <w:p>
      <w:pPr>
        <w:ind w:left="1280" w:right="779" w:firstLine="360"/>
        <w:spacing w:after="0" w:line="259" w:lineRule="auto"/>
        <w:rPr>
          <w:sz w:val="20"/>
          <w:szCs w:val="20"/>
          <w:color w:val="auto"/>
        </w:rPr>
      </w:pPr>
      <w:r>
        <w:rPr>
          <w:rFonts w:ascii="Times New Roman" w:cs="Times New Roman" w:eastAsia="Times New Roman" w:hAnsi="Times New Roman"/>
          <w:sz w:val="18"/>
          <w:szCs w:val="18"/>
          <w:color w:val="auto"/>
        </w:rPr>
        <w:t>Looking forward, our engineering team continues to innovate, building new impactful products as our network grows. For example, in June 2020 we launched a high-yield savings product that offers consumers a better way to save and reach their financial goals. As such, we believe our total opportunity includes offering a range of new financial products, all predicated on our principles of honesty, transparency, and trust.</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48" w:lineRule="exact"/>
        <w:rPr>
          <w:sz w:val="20"/>
          <w:szCs w:val="20"/>
          <w:color w:val="auto"/>
        </w:rPr>
      </w:pPr>
    </w:p>
    <w:p>
      <w:pPr>
        <w:ind w:left="1280" w:right="1179" w:firstLine="360"/>
        <w:spacing w:after="0" w:line="266" w:lineRule="auto"/>
        <w:rPr>
          <w:sz w:val="20"/>
          <w:szCs w:val="20"/>
          <w:color w:val="auto"/>
        </w:rPr>
      </w:pPr>
      <w:r>
        <w:rPr>
          <w:rFonts w:ascii="Times New Roman" w:cs="Times New Roman" w:eastAsia="Times New Roman" w:hAnsi="Times New Roman"/>
          <w:sz w:val="18"/>
          <w:szCs w:val="18"/>
          <w:color w:val="auto"/>
        </w:rPr>
        <w:t>Our multi-pronged growth strategy is designed to continue to build upon the momentum we have generated so far in order to create new opportunities to create even greater value for consumers and merchants.</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Expand To More Higher Frequency Purchases</w:t>
      </w:r>
    </w:p>
    <w:p>
      <w:pPr>
        <w:spacing w:after="0" w:line="162" w:lineRule="exact"/>
        <w:rPr>
          <w:sz w:val="20"/>
          <w:szCs w:val="20"/>
          <w:color w:val="auto"/>
        </w:rPr>
      </w:pPr>
    </w:p>
    <w:p>
      <w:pPr>
        <w:ind w:left="1280" w:right="739" w:firstLine="360"/>
        <w:spacing w:after="0" w:line="258" w:lineRule="auto"/>
        <w:rPr>
          <w:sz w:val="20"/>
          <w:szCs w:val="20"/>
          <w:color w:val="auto"/>
        </w:rPr>
      </w:pPr>
      <w:r>
        <w:rPr>
          <w:rFonts w:ascii="Times New Roman" w:cs="Times New Roman" w:eastAsia="Times New Roman" w:hAnsi="Times New Roman"/>
          <w:sz w:val="18"/>
          <w:szCs w:val="18"/>
          <w:color w:val="auto"/>
        </w:rPr>
        <w:t>We have successfully demonstrated how our solutions can enable and accelerate commerce for larger, more considered purchases. A key principle of our next phase of growth is expanding into higher frequency purchases, which we believe will position us to increase engagement with consumers and merchants. We believe this will lead to increased transaction volume on our platform, as well as the expansion of our consumer and merchant network.</w:t>
      </w:r>
    </w:p>
    <w:p>
      <w:pPr>
        <w:spacing w:after="0" w:line="1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Expand Consumer Reach</w:t>
      </w:r>
    </w:p>
    <w:p>
      <w:pPr>
        <w:spacing w:after="0" w:line="117" w:lineRule="exact"/>
        <w:rPr>
          <w:sz w:val="20"/>
          <w:szCs w:val="20"/>
          <w:color w:val="auto"/>
        </w:rPr>
      </w:pPr>
    </w:p>
    <w:p>
      <w:pPr>
        <w:ind w:left="1820" w:right="839" w:hanging="180"/>
        <w:spacing w:after="0" w:line="25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 more consumers to our network. </w:t>
      </w:r>
      <w:r>
        <w:rPr>
          <w:rFonts w:ascii="Times New Roman" w:cs="Times New Roman" w:eastAsia="Times New Roman" w:hAnsi="Times New Roman"/>
          <w:sz w:val="18"/>
          <w:szCs w:val="18"/>
          <w:color w:val="auto"/>
        </w:rPr>
        <w:t>We plan on expanding our marketing efforts across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channels to increase brand awareness with consumers 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74" w:lineRule="exact"/>
        <w:rPr>
          <w:rFonts w:ascii="Times New Roman" w:cs="Times New Roman" w:eastAsia="Times New Roman" w:hAnsi="Times New Roman"/>
          <w:sz w:val="18"/>
          <w:szCs w:val="18"/>
          <w:color w:val="auto"/>
        </w:rPr>
      </w:pPr>
    </w:p>
    <w:p>
      <w:pPr>
        <w:ind w:left="1820" w:right="1439" w:hanging="180"/>
        <w:spacing w:after="0" w:line="26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repeat use. </w:t>
      </w:r>
      <w:r>
        <w:rPr>
          <w:rFonts w:ascii="Times New Roman" w:cs="Times New Roman" w:eastAsia="Times New Roman" w:hAnsi="Times New Roman"/>
          <w:sz w:val="18"/>
          <w:szCs w:val="18"/>
          <w:color w:val="auto"/>
        </w:rPr>
        <w:t>We aim to continue driving further repeat use of our platform as we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beyond their initial purchase via our tailored series of consumer-centric tools, personalized offerings, and the increased diversity of merchants on our network.</w:t>
      </w:r>
    </w:p>
    <w:p>
      <w:pPr>
        <w:spacing w:after="0" w:line="62" w:lineRule="exact"/>
        <w:rPr>
          <w:rFonts w:ascii="Times New Roman" w:cs="Times New Roman" w:eastAsia="Times New Roman" w:hAnsi="Times New Roman"/>
          <w:sz w:val="18"/>
          <w:szCs w:val="18"/>
          <w:color w:val="auto"/>
        </w:rPr>
      </w:pPr>
    </w:p>
    <w:p>
      <w:pPr>
        <w:ind w:left="1820" w:right="799" w:hanging="180"/>
        <w:spacing w:after="0" w:line="28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on new product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still at the beginning of our product roadmap, and plan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innovate and bring new honest financial products to market for consumers.</w:t>
      </w:r>
    </w:p>
    <w:p>
      <w:pPr>
        <w:spacing w:after="0" w:line="15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Expand Merchant Reach</w:t>
      </w:r>
    </w:p>
    <w:p>
      <w:pPr>
        <w:spacing w:after="0" w:line="117" w:lineRule="exact"/>
        <w:rPr>
          <w:sz w:val="20"/>
          <w:szCs w:val="20"/>
          <w:color w:val="auto"/>
        </w:rPr>
      </w:pPr>
    </w:p>
    <w:p>
      <w:pPr>
        <w:jc w:val="both"/>
        <w:ind w:left="1820" w:right="799" w:hanging="180"/>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Deepen penetration with existing merchants. </w:t>
      </w:r>
      <w:r>
        <w:rPr>
          <w:rFonts w:ascii="Times New Roman" w:cs="Times New Roman" w:eastAsia="Times New Roman" w:hAnsi="Times New Roman"/>
          <w:sz w:val="18"/>
          <w:szCs w:val="18"/>
          <w:color w:val="auto"/>
        </w:rPr>
        <w:t>Today, Affirm transactions represent a small percentage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average transaction volume for our merchants. As more consumers become aware of the ease and transparency of using Affirm and as we proactively build relationships with merchants through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839"/>
        <w:spacing w:after="0" w:line="282" w:lineRule="auto"/>
        <w:rPr>
          <w:sz w:val="20"/>
          <w:szCs w:val="20"/>
          <w:color w:val="auto"/>
        </w:rPr>
      </w:pPr>
      <w:r>
        <w:rPr>
          <w:rFonts w:ascii="Times New Roman" w:cs="Times New Roman" w:eastAsia="Times New Roman" w:hAnsi="Times New Roman"/>
          <w:sz w:val="18"/>
          <w:szCs w:val="18"/>
          <w:color w:val="auto"/>
        </w:rPr>
        <w:t>our dedicated sales and customer success teams, we believe we can significantly increase our share of existing merchants’ overall transaction volumes.</w:t>
      </w:r>
    </w:p>
    <w:p>
      <w:pPr>
        <w:spacing w:after="0" w:line="63" w:lineRule="exact"/>
        <w:rPr>
          <w:sz w:val="20"/>
          <w:szCs w:val="20"/>
          <w:color w:val="auto"/>
        </w:rPr>
      </w:pPr>
    </w:p>
    <w:p>
      <w:pPr>
        <w:ind w:left="1820" w:right="699" w:hanging="180"/>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 the number of our merchant partnerships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we have the opportunity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increase the number of integrated merchants on our network through both our dedicated sales team and B2B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84" w:lineRule="exact"/>
        <w:rPr>
          <w:rFonts w:ascii="Times New Roman" w:cs="Times New Roman" w:eastAsia="Times New Roman" w:hAnsi="Times New Roman"/>
          <w:sz w:val="18"/>
          <w:szCs w:val="18"/>
          <w:color w:val="auto"/>
        </w:rPr>
      </w:pPr>
    </w:p>
    <w:p>
      <w:pPr>
        <w:ind w:left="1820" w:right="779" w:hanging="180"/>
        <w:spacing w:after="0" w:line="268"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merchant feature functionality. </w:t>
      </w:r>
      <w:r>
        <w:rPr>
          <w:rFonts w:ascii="Times New Roman" w:cs="Times New Roman" w:eastAsia="Times New Roman" w:hAnsi="Times New Roman"/>
          <w:sz w:val="18"/>
          <w:szCs w:val="18"/>
          <w:color w:val="auto"/>
        </w:rPr>
        <w:t>As we continue to help merchants increase conversion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AOVs, and customer satisfaction, we plan to build new tools to help them optimize their customer acquisition strategies and achieve even greater results.</w:t>
      </w:r>
    </w:p>
    <w:p>
      <w:pPr>
        <w:spacing w:after="0" w:line="17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Expand to New Markets</w:t>
      </w:r>
    </w:p>
    <w:p>
      <w:pPr>
        <w:spacing w:after="0" w:line="162"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We will continue to evaluate expanding our platform to new markets. Merchants and consumers everywhere can benefit from a more transparent, fair, and honest way to engage in commerce, and we see an opportunity to generate value in many new markets around the world through our platform.</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expect to enter into a $200 million revolving unsecured credit facility arranged by certain syndicate lenders. We anticipate that the borrower under the credit facility will be Affirm, Inc., a wholly owned subsidiary of Affirm Holdings, Inc. Proceeds are expected to be available to us for general corporate purposes, including funding working capital. We have not yet entered into any commitments with respect to such credit facility, and, accordingly, the terms of our financing arrangements have not yet been determined, remain under discussion, and are subject to change, including as a function of market conditions.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PayBright Transaction</w:t>
      </w:r>
    </w:p>
    <w:p>
      <w:pPr>
        <w:spacing w:after="0" w:line="148" w:lineRule="exact"/>
        <w:rPr>
          <w:sz w:val="20"/>
          <w:szCs w:val="20"/>
          <w:color w:val="auto"/>
        </w:rPr>
      </w:pPr>
    </w:p>
    <w:p>
      <w:pPr>
        <w:ind w:left="1280" w:right="679" w:firstLine="360"/>
        <w:spacing w:after="0" w:line="252" w:lineRule="auto"/>
        <w:rPr>
          <w:sz w:val="20"/>
          <w:szCs w:val="20"/>
          <w:color w:val="auto"/>
        </w:rPr>
      </w:pPr>
      <w:r>
        <w:rPr>
          <w:rFonts w:ascii="Times New Roman" w:cs="Times New Roman" w:eastAsia="Times New Roman" w:hAnsi="Times New Roman"/>
          <w:sz w:val="18"/>
          <w:szCs w:val="18"/>
          <w:color w:val="auto"/>
        </w:rPr>
        <w:t>On December 2, 2020, Affirm Canada Holdings Ltd. (“Affirm Canada”), a subsidiary of Affirm Holdings, Inc., and Affirm Holdings, Inc. (solely for purposes of providing the guarantee of Affirm Canada’s obligations under the SPA (as defined herein)) entered into a Stock Purchase Agreement (“SPA”) with PayBright Inc. (“PayBright”), one of Canada’s leading buy now, pay later providers, and the shareholders of PayBright to purchase all of the issued and outstanding stock of PayBright. Under the terms of the SPA, Affirm Canada will acquire PayBright. The purchase price will be comprised of (i) CAD $136 million in cash, (ii) 3,622,526 in shares of our Class A common stock issued to the shareholders of PayBright at closing and (iii) 2,587,519 in shares of our Class A common stock issued in escrow and subject to forfeiture if certain revenue milestones are not met, subject, in each case, to adjustments for cash, indebtedness, transaction expenses and normalized working capital of PayBright at closing. The SPA contains representations, warranties, covenants, closing conditions, and termination rights. The closing of the transaction contemplated by the SPA (the “PayBright Transaction”) is expected to occur in the first quarter of calendar year 2021. The shares of our Class A common stock issued in connection with the PayBright Transaction will be subject to the lock-up agreements described in “</w:t>
      </w:r>
      <w:r>
        <w:rPr>
          <w:rFonts w:ascii="Times New Roman" w:cs="Times New Roman" w:eastAsia="Times New Roman" w:hAnsi="Times New Roman"/>
          <w:sz w:val="18"/>
          <w:szCs w:val="18"/>
          <w:i w:val="1"/>
          <w:iCs w:val="1"/>
          <w:color w:val="auto"/>
        </w:rPr>
        <w:t>Shares Eligible for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0" w:lineRule="exact"/>
        <w:rPr>
          <w:sz w:val="20"/>
          <w:szCs w:val="20"/>
          <w:color w:val="auto"/>
        </w:rPr>
      </w:pPr>
    </w:p>
    <w:p>
      <w:pPr>
        <w:ind w:left="1280" w:right="959" w:firstLine="360"/>
        <w:spacing w:after="0" w:line="26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immediately following this prospectus summary. These risks include, but are not limited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67" w:lineRule="exact"/>
        <w:rPr>
          <w:sz w:val="20"/>
          <w:szCs w:val="20"/>
          <w:color w:val="auto"/>
        </w:rPr>
      </w:pPr>
    </w:p>
    <w:p>
      <w:pPr>
        <w:jc w:val="both"/>
        <w:ind w:left="1820" w:right="1219" w:hanging="180"/>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93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820" w:right="95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820" w:right="71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54" w:lineRule="exact"/>
        <w:rPr>
          <w:rFonts w:ascii="Times New Roman" w:cs="Times New Roman" w:eastAsia="Times New Roman" w:hAnsi="Times New Roman"/>
          <w:sz w:val="18"/>
          <w:szCs w:val="18"/>
          <w:color w:val="auto"/>
        </w:rPr>
      </w:pPr>
    </w:p>
    <w:p>
      <w:pPr>
        <w:ind w:left="1820" w:right="97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our inability to compete successfully would materially and adversely affect our business, results of operations, financial condition, and future prospects.</w:t>
      </w:r>
    </w:p>
    <w:p>
      <w:pPr>
        <w:spacing w:after="0" w:line="67" w:lineRule="exact"/>
        <w:rPr>
          <w:rFonts w:ascii="Times New Roman" w:cs="Times New Roman" w:eastAsia="Times New Roman" w:hAnsi="Times New Roman"/>
          <w:sz w:val="18"/>
          <w:szCs w:val="18"/>
          <w:color w:val="auto"/>
        </w:rPr>
      </w:pPr>
    </w:p>
    <w:p>
      <w:pPr>
        <w:ind w:left="1820" w:right="659" w:hanging="180"/>
        <w:spacing w:after="0" w:line="25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79" w:lineRule="exact"/>
        <w:rPr>
          <w:rFonts w:ascii="Times New Roman" w:cs="Times New Roman" w:eastAsia="Times New Roman" w:hAnsi="Times New Roman"/>
          <w:sz w:val="18"/>
          <w:szCs w:val="18"/>
          <w:color w:val="auto"/>
        </w:rPr>
      </w:pPr>
    </w:p>
    <w:p>
      <w:pPr>
        <w:ind w:left="1820" w:right="699" w:hanging="180"/>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58" w:lineRule="exact"/>
        <w:rPr>
          <w:rFonts w:ascii="Times New Roman" w:cs="Times New Roman" w:eastAsia="Times New Roman" w:hAnsi="Times New Roman"/>
          <w:sz w:val="18"/>
          <w:szCs w:val="18"/>
          <w:color w:val="auto"/>
        </w:rPr>
      </w:pPr>
    </w:p>
    <w:p>
      <w:pPr>
        <w:ind w:left="1820" w:right="959" w:hanging="180"/>
        <w:spacing w:after="0" w:line="275"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ability to work with an originating bank partner to enable effective underwriting of loans facilitated through our platform and accurately price credit risk.</w:t>
      </w:r>
    </w:p>
    <w:p>
      <w:pPr>
        <w:spacing w:after="0" w:line="281" w:lineRule="exact"/>
        <w:rPr>
          <w:rFonts w:ascii="Times New Roman" w:cs="Times New Roman" w:eastAsia="Times New Roman" w:hAnsi="Times New Roman"/>
          <w:sz w:val="18"/>
          <w:szCs w:val="18"/>
          <w:color w:val="auto"/>
        </w:rPr>
      </w:pPr>
    </w:p>
    <w:p>
      <w:pPr>
        <w:jc w:val="both"/>
        <w:ind w:left="1820" w:right="67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67" w:lineRule="exact"/>
        <w:rPr>
          <w:rFonts w:ascii="Times New Roman" w:cs="Times New Roman" w:eastAsia="Times New Roman" w:hAnsi="Times New Roman"/>
          <w:sz w:val="18"/>
          <w:szCs w:val="18"/>
          <w:color w:val="auto"/>
        </w:rPr>
      </w:pPr>
    </w:p>
    <w:p>
      <w:pPr>
        <w:ind w:left="1820" w:right="89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our revenue growth rate, or our growth rate of related key operating metrics, in the future.</w:t>
      </w:r>
    </w:p>
    <w:p>
      <w:pPr>
        <w:spacing w:after="0" w:line="53" w:lineRule="exact"/>
        <w:rPr>
          <w:rFonts w:ascii="Times New Roman" w:cs="Times New Roman" w:eastAsia="Times New Roman" w:hAnsi="Times New Roman"/>
          <w:sz w:val="18"/>
          <w:szCs w:val="18"/>
          <w:color w:val="auto"/>
        </w:rPr>
      </w:pPr>
    </w:p>
    <w:p>
      <w:pPr>
        <w:ind w:left="1820" w:right="81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Founder and Chief Executive Officer could materially and adversely affect our business, results of operations, financial condition, and future prospects.</w:t>
      </w:r>
    </w:p>
    <w:p>
      <w:pPr>
        <w:spacing w:after="0" w:line="53" w:lineRule="exact"/>
        <w:rPr>
          <w:rFonts w:ascii="Times New Roman" w:cs="Times New Roman" w:eastAsia="Times New Roman" w:hAnsi="Times New Roman"/>
          <w:sz w:val="18"/>
          <w:szCs w:val="18"/>
          <w:color w:val="auto"/>
        </w:rPr>
      </w:pPr>
    </w:p>
    <w:p>
      <w:pPr>
        <w:ind w:left="1820" w:right="89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mission to deliver simple, transparent, and fair financial products may conflict with the short term interests of our stockholders.</w:t>
      </w:r>
    </w:p>
    <w:p>
      <w:pPr>
        <w:spacing w:after="0" w:line="53"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1820" w:right="161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and may not fully reflect the underlying performance of our business.</w:t>
      </w:r>
    </w:p>
    <w:p>
      <w:pPr>
        <w:spacing w:after="0" w:line="40" w:lineRule="exact"/>
        <w:rPr>
          <w:rFonts w:ascii="Times New Roman" w:cs="Times New Roman" w:eastAsia="Times New Roman" w:hAnsi="Times New Roman"/>
          <w:sz w:val="18"/>
          <w:szCs w:val="18"/>
          <w:color w:val="auto"/>
        </w:rPr>
      </w:pPr>
    </w:p>
    <w:p>
      <w:pPr>
        <w:ind w:left="1820" w:right="759" w:hanging="180"/>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71" w:lineRule="exact"/>
        <w:rPr>
          <w:rFonts w:ascii="Times New Roman" w:cs="Times New Roman" w:eastAsia="Times New Roman" w:hAnsi="Times New Roman"/>
          <w:sz w:val="18"/>
          <w:szCs w:val="18"/>
          <w:color w:val="auto"/>
        </w:rPr>
      </w:pPr>
    </w:p>
    <w:p>
      <w:pPr>
        <w:ind w:left="1820" w:right="81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actions and compliance issues could subject us to fines, penalties, judgments, remediation costs, and requirements resulting in increased expenses.</w:t>
      </w:r>
    </w:p>
    <w:p>
      <w:pPr>
        <w:spacing w:after="0" w:line="53" w:lineRule="exact"/>
        <w:rPr>
          <w:rFonts w:ascii="Times New Roman" w:cs="Times New Roman" w:eastAsia="Times New Roman" w:hAnsi="Times New Roman"/>
          <w:sz w:val="18"/>
          <w:szCs w:val="18"/>
          <w:color w:val="auto"/>
        </w:rPr>
      </w:pPr>
    </w:p>
    <w:p>
      <w:pPr>
        <w:ind w:left="1820" w:right="153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impacted, to a significant extent, by the general economy and the financial performance of our merchants.</w:t>
      </w:r>
    </w:p>
    <w:p>
      <w:pPr>
        <w:spacing w:after="0" w:line="53" w:lineRule="exact"/>
        <w:rPr>
          <w:rFonts w:ascii="Times New Roman" w:cs="Times New Roman" w:eastAsia="Times New Roman" w:hAnsi="Times New Roman"/>
          <w:sz w:val="18"/>
          <w:szCs w:val="18"/>
          <w:color w:val="auto"/>
        </w:rPr>
      </w:pPr>
    </w:p>
    <w:p>
      <w:pPr>
        <w:ind w:left="1820" w:right="8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collection efforts on delinquent loans are ineffective or unsuccessful, the performance of the loans would be adversely affected.</w:t>
      </w:r>
    </w:p>
    <w:p>
      <w:pPr>
        <w:spacing w:after="0" w:line="53" w:lineRule="exact"/>
        <w:rPr>
          <w:rFonts w:ascii="Times New Roman" w:cs="Times New Roman" w:eastAsia="Times New Roman" w:hAnsi="Times New Roman"/>
          <w:sz w:val="18"/>
          <w:szCs w:val="18"/>
          <w:color w:val="auto"/>
        </w:rPr>
      </w:pPr>
    </w:p>
    <w:p>
      <w:pPr>
        <w:ind w:left="1820" w:right="759" w:hanging="180"/>
        <w:spacing w:after="0" w:line="263"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659" w:hanging="180"/>
        <w:spacing w:after="0" w:line="258"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61" w:lineRule="exact"/>
        <w:rPr>
          <w:rFonts w:ascii="Times New Roman" w:cs="Times New Roman" w:eastAsia="Times New Roman" w:hAnsi="Times New Roman"/>
          <w:sz w:val="18"/>
          <w:szCs w:val="18"/>
          <w:color w:val="auto"/>
        </w:rPr>
      </w:pPr>
    </w:p>
    <w:p>
      <w:pPr>
        <w:ind w:left="1820" w:right="759" w:hanging="180"/>
        <w:spacing w:after="0" w:line="26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67" w:lineRule="exact"/>
        <w:rPr>
          <w:rFonts w:ascii="Times New Roman" w:cs="Times New Roman" w:eastAsia="Times New Roman" w:hAnsi="Times New Roman"/>
          <w:sz w:val="18"/>
          <w:szCs w:val="18"/>
          <w:color w:val="auto"/>
        </w:rPr>
      </w:pPr>
    </w:p>
    <w:p>
      <w:pPr>
        <w:ind w:left="1820" w:right="699" w:hanging="180"/>
        <w:spacing w:after="0" w:line="257"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those stockholders who held our capital stock prior to the completion of this offering (whom we refer to as “our existing stockholders”), including our executive officers, employees and directors</w:t>
      </w:r>
    </w:p>
    <w:p>
      <w:pPr>
        <w:spacing w:after="0" w:line="1" w:lineRule="exact"/>
        <w:rPr>
          <w:sz w:val="20"/>
          <w:szCs w:val="20"/>
          <w:color w:val="auto"/>
        </w:rPr>
      </w:pPr>
    </w:p>
    <w:p>
      <w:pPr>
        <w:ind w:left="1820" w:right="759"/>
        <w:spacing w:after="0" w:line="250" w:lineRule="auto"/>
        <w:rPr>
          <w:sz w:val="20"/>
          <w:szCs w:val="20"/>
          <w:color w:val="auto"/>
        </w:rPr>
      </w:pPr>
      <w:r>
        <w:rPr>
          <w:rFonts w:ascii="Times New Roman" w:cs="Times New Roman" w:eastAsia="Times New Roman" w:hAnsi="Times New Roman"/>
          <w:sz w:val="18"/>
          <w:szCs w:val="18"/>
          <w:color w:val="auto"/>
        </w:rPr>
        <w:t>and their affiliates. This will limit or preclude your ability to influence corporate matters. Immediately following this offering, the holders of our outstanding Class B common stock will hold</w:t>
      </w:r>
    </w:p>
    <w:p>
      <w:pPr>
        <w:spacing w:after="0" w:line="1" w:lineRule="exact"/>
        <w:rPr>
          <w:sz w:val="20"/>
          <w:szCs w:val="20"/>
          <w:color w:val="auto"/>
        </w:rPr>
      </w:pPr>
    </w:p>
    <w:p>
      <w:pPr>
        <w:ind w:left="1820"/>
        <w:spacing w:after="0"/>
        <w:tabs>
          <w:tab w:leader="none" w:pos="330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 of the voting power of our outstanding capital stock, and our existing</w:t>
      </w:r>
    </w:p>
    <w:p>
      <w:pPr>
        <w:spacing w:after="0" w:line="9" w:lineRule="exact"/>
        <w:rPr>
          <w:sz w:val="20"/>
          <w:szCs w:val="20"/>
          <w:color w:val="auto"/>
        </w:rPr>
      </w:pPr>
    </w:p>
    <w:p>
      <w:pPr>
        <w:ind w:left="1820"/>
        <w:spacing w:after="0"/>
        <w:tabs>
          <w:tab w:leader="none" w:pos="5040" w:val="left"/>
        </w:tabs>
        <w:rPr>
          <w:sz w:val="20"/>
          <w:szCs w:val="20"/>
          <w:color w:val="auto"/>
        </w:rPr>
      </w:pPr>
      <w:r>
        <w:rPr>
          <w:rFonts w:ascii="Times New Roman" w:cs="Times New Roman" w:eastAsia="Times New Roman" w:hAnsi="Times New Roman"/>
          <w:sz w:val="18"/>
          <w:szCs w:val="18"/>
          <w:color w:val="auto"/>
        </w:rPr>
        <w:t>stockholders will hold approximately</w:t>
      </w:r>
      <w:r>
        <w:rPr>
          <w:sz w:val="20"/>
          <w:szCs w:val="20"/>
          <w:color w:val="auto"/>
        </w:rPr>
        <w:tab/>
      </w:r>
      <w:r>
        <w:rPr>
          <w:rFonts w:ascii="Times New Roman" w:cs="Times New Roman" w:eastAsia="Times New Roman" w:hAnsi="Times New Roman"/>
          <w:sz w:val="18"/>
          <w:szCs w:val="18"/>
          <w:color w:val="auto"/>
        </w:rPr>
        <w:t>% of the voting power of our outstanding capital stock,</w:t>
      </w:r>
    </w:p>
    <w:p>
      <w:pPr>
        <w:spacing w:after="0" w:line="9" w:lineRule="exact"/>
        <w:rPr>
          <w:sz w:val="20"/>
          <w:szCs w:val="20"/>
          <w:color w:val="auto"/>
        </w:rPr>
      </w:pPr>
    </w:p>
    <w:p>
      <w:pPr>
        <w:ind w:left="1820"/>
        <w:spacing w:after="0"/>
        <w:tabs>
          <w:tab w:leader="none" w:pos="2560" w:val="left"/>
        </w:tabs>
        <w:rPr>
          <w:sz w:val="20"/>
          <w:szCs w:val="20"/>
          <w:color w:val="auto"/>
        </w:rPr>
      </w:pPr>
      <w:r>
        <w:rPr>
          <w:rFonts w:ascii="Times New Roman" w:cs="Times New Roman" w:eastAsia="Times New Roman" w:hAnsi="Times New Roman"/>
          <w:sz w:val="18"/>
          <w:szCs w:val="18"/>
          <w:color w:val="auto"/>
        </w:rPr>
        <w:t>with</w:t>
      </w:r>
      <w:r>
        <w:rPr>
          <w:sz w:val="20"/>
          <w:szCs w:val="20"/>
          <w:color w:val="auto"/>
        </w:rPr>
        <w:tab/>
      </w:r>
      <w:r>
        <w:rPr>
          <w:rFonts w:ascii="Times New Roman" w:cs="Times New Roman" w:eastAsia="Times New Roman" w:hAnsi="Times New Roman"/>
          <w:sz w:val="18"/>
          <w:szCs w:val="18"/>
          <w:color w:val="auto"/>
        </w:rPr>
        <w:t>% held by our executive officers, directors, holders of more than 5% of our outstanding</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capital stock and their affiliates. Further, Max Levchin, our Founder, Chairman and Chief Executive</w:t>
      </w:r>
    </w:p>
    <w:p>
      <w:pPr>
        <w:spacing w:after="0" w:line="9" w:lineRule="exact"/>
        <w:rPr>
          <w:sz w:val="20"/>
          <w:szCs w:val="20"/>
          <w:color w:val="auto"/>
        </w:rPr>
      </w:pPr>
    </w:p>
    <w:p>
      <w:pPr>
        <w:ind w:left="1820" w:right="819"/>
        <w:spacing w:after="0" w:line="260" w:lineRule="auto"/>
        <w:rPr>
          <w:sz w:val="20"/>
          <w:szCs w:val="20"/>
          <w:color w:val="auto"/>
        </w:rPr>
      </w:pPr>
      <w:r>
        <w:rPr>
          <w:rFonts w:ascii="Times New Roman" w:cs="Times New Roman" w:eastAsia="Times New Roman" w:hAnsi="Times New Roman"/>
          <w:sz w:val="18"/>
          <w:szCs w:val="18"/>
          <w:color w:val="auto"/>
        </w:rPr>
        <w:t>Officer, will have voting control over approximately % of the voting power of our outstanding capital stock immediately following this offering.</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162" w:lineRule="exact"/>
        <w:rPr>
          <w:sz w:val="20"/>
          <w:szCs w:val="20"/>
          <w:color w:val="auto"/>
        </w:rPr>
      </w:pPr>
    </w:p>
    <w:p>
      <w:pPr>
        <w:jc w:val="both"/>
        <w:ind w:left="1280" w:right="679" w:firstLine="360"/>
        <w:spacing w:after="0" w:line="242" w:lineRule="auto"/>
        <w:rPr>
          <w:sz w:val="20"/>
          <w:szCs w:val="20"/>
          <w:color w:val="auto"/>
        </w:rPr>
      </w:pPr>
      <w:r>
        <w:rPr>
          <w:rFonts w:ascii="Times New Roman" w:cs="Times New Roman" w:eastAsia="Times New Roman" w:hAnsi="Times New Roman"/>
          <w:sz w:val="18"/>
          <w:szCs w:val="18"/>
          <w:color w:val="auto"/>
        </w:rPr>
        <w:t>We were incorporated in Delaware on June 12, 2019. Prior to our incorporation, we operated under the name Affirm, Inc., our wholly owned subsidiary, which was formed in 2012. Our principal executive offices are located at 650 California Street, San Francisco, CA 94108. Our telephone number is (415) 984-0490.</w:t>
      </w:r>
    </w:p>
    <w:p>
      <w:pPr>
        <w:spacing w:after="0" w:line="1" w:lineRule="exact"/>
        <w:rPr>
          <w:sz w:val="20"/>
          <w:szCs w:val="20"/>
          <w:color w:val="auto"/>
        </w:rPr>
      </w:pPr>
    </w:p>
    <w:p>
      <w:pPr>
        <w:ind w:left="1280" w:right="759"/>
        <w:spacing w:after="0" w:line="238" w:lineRule="auto"/>
        <w:rPr>
          <w:sz w:val="20"/>
          <w:szCs w:val="20"/>
          <w:color w:val="auto"/>
        </w:rPr>
      </w:pPr>
      <w:r>
        <w:rPr>
          <w:rFonts w:ascii="Times New Roman" w:cs="Times New Roman" w:eastAsia="Times New Roman" w:hAnsi="Times New Roman"/>
          <w:sz w:val="18"/>
          <w:szCs w:val="18"/>
          <w:color w:val="auto"/>
        </w:rPr>
        <w:t>Our website address is www.affirm.com.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04" w:lineRule="exact"/>
        <w:rPr>
          <w:sz w:val="20"/>
          <w:szCs w:val="20"/>
          <w:color w:val="auto"/>
        </w:rPr>
      </w:pPr>
    </w:p>
    <w:p>
      <w:pPr>
        <w:ind w:left="1280" w:right="679" w:firstLine="360"/>
        <w:spacing w:after="0" w:line="250" w:lineRule="auto"/>
        <w:rPr>
          <w:sz w:val="20"/>
          <w:szCs w:val="20"/>
          <w:color w:val="auto"/>
        </w:rPr>
      </w:pPr>
      <w:r>
        <w:rPr>
          <w:rFonts w:ascii="Times New Roman" w:cs="Times New Roman" w:eastAsia="Times New Roman" w:hAnsi="Times New Roman"/>
          <w:sz w:val="18"/>
          <w:szCs w:val="18"/>
          <w:color w:val="auto"/>
        </w:rPr>
        <w:t>The Affirm name, our logo, and other trademarks mentioned in this prospectus are the property of Affirm. Trade names, trademarks, and service marks of other companies appearing in this prospectus are the property of their respective holders.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ind w:left="1280" w:right="859" w:firstLine="360"/>
        <w:spacing w:after="0"/>
        <w:rPr>
          <w:sz w:val="20"/>
          <w:szCs w:val="20"/>
          <w:color w:val="auto"/>
        </w:rPr>
      </w:pPr>
      <w:r>
        <w:rPr>
          <w:rFonts w:ascii="Times New Roman" w:cs="Times New Roman" w:eastAsia="Times New Roman" w:hAnsi="Times New Roman"/>
          <w:sz w:val="18"/>
          <w:szCs w:val="18"/>
          <w:color w:val="auto"/>
        </w:rPr>
        <w:t>As a company with less than $1.07 billion in revenue during our most recently completed fiscal year and less than $1.0 billion in issued non-convertible debt securities over the prior three fiscal years, we qualify as an “emerging growth company” as defined in Section 2(a) of the Securities Act of 1933, as amended, (the “Securities Act”), as modified by the Jumpstart Our Business Startups Act of 2012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77" w:lineRule="exact"/>
        <w:rPr>
          <w:sz w:val="20"/>
          <w:szCs w:val="20"/>
          <w:color w:val="auto"/>
        </w:rPr>
      </w:pPr>
    </w:p>
    <w:p>
      <w:pPr>
        <w:ind w:left="1820" w:right="1139" w:hanging="180"/>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present only two years of audited financial statements and only two years of related management’s discussion and analysis in this prospectus;</w:t>
      </w:r>
    </w:p>
    <w:p>
      <w:pPr>
        <w:spacing w:after="0" w:line="40" w:lineRule="exact"/>
        <w:rPr>
          <w:rFonts w:ascii="Times New Roman" w:cs="Times New Roman" w:eastAsia="Times New Roman" w:hAnsi="Times New Roman"/>
          <w:sz w:val="18"/>
          <w:szCs w:val="18"/>
          <w:color w:val="auto"/>
        </w:rPr>
      </w:pPr>
    </w:p>
    <w:p>
      <w:pPr>
        <w:ind w:left="1820" w:right="739" w:hanging="180"/>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on the effectiveness of our internal control over financial reporting pursuant to the Sarbanes-Oxley Act of 2002 the (“Sarbanes-Oxley Act”);</w:t>
      </w:r>
    </w:p>
    <w:p>
      <w:pPr>
        <w:spacing w:after="0" w:line="67" w:lineRule="exact"/>
        <w:rPr>
          <w:rFonts w:ascii="Times New Roman" w:cs="Times New Roman" w:eastAsia="Times New Roman" w:hAnsi="Times New Roman"/>
          <w:sz w:val="18"/>
          <w:szCs w:val="18"/>
          <w:color w:val="auto"/>
        </w:rPr>
      </w:pPr>
    </w:p>
    <w:p>
      <w:pPr>
        <w:ind w:left="1820" w:right="679" w:hanging="180"/>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03" w:lineRule="exact"/>
        <w:rPr>
          <w:rFonts w:ascii="Times New Roman" w:cs="Times New Roman" w:eastAsia="Times New Roman" w:hAnsi="Times New Roman"/>
          <w:sz w:val="18"/>
          <w:szCs w:val="18"/>
          <w:color w:val="auto"/>
        </w:rPr>
      </w:pPr>
    </w:p>
    <w:p>
      <w:pPr>
        <w:ind w:left="1820" w:right="759" w:hanging="180"/>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obtain a non-binding advisory vote on executive compensation or a stockholder approval of any golden parachute arrangements; and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extended transition periods for complying with new or revised accounting standards.</w:t>
      </w:r>
    </w:p>
    <w:p>
      <w:pPr>
        <w:spacing w:after="0" w:line="144" w:lineRule="exact"/>
        <w:rPr>
          <w:sz w:val="20"/>
          <w:szCs w:val="20"/>
          <w:color w:val="auto"/>
        </w:rPr>
      </w:pPr>
    </w:p>
    <w:p>
      <w:pPr>
        <w:ind w:left="1280" w:right="679" w:firstLine="36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total annual gross revenues of at least $1.07 billion; (ii) the date we qualify as a “large accelerated filer,” which means the end of our fiscal year in which we have filed an annual report and the market value of our common stock held by non-affiliates equated or exceeded $700 million as of the prior June 30; (iii) the date on which we have issued more than $1.0 billion in non-convertible debt securities during the prior three-year period; and (iv) the last day of the fiscal year ending after the fifth anniversary of the completion of this offering.</w:t>
      </w:r>
    </w:p>
    <w:p>
      <w:pPr>
        <w:spacing w:after="0" w:line="121" w:lineRule="exact"/>
        <w:rPr>
          <w:sz w:val="20"/>
          <w:szCs w:val="20"/>
          <w:color w:val="auto"/>
        </w:rPr>
      </w:pPr>
    </w:p>
    <w:p>
      <w:pPr>
        <w:ind w:left="1280" w:right="739" w:firstLine="360"/>
        <w:spacing w:after="0" w:line="254" w:lineRule="auto"/>
        <w:rPr>
          <w:sz w:val="20"/>
          <w:szCs w:val="20"/>
          <w:color w:val="auto"/>
        </w:rPr>
      </w:pPr>
      <w:r>
        <w:rPr>
          <w:rFonts w:ascii="Times New Roman" w:cs="Times New Roman" w:eastAsia="Times New Roman" w:hAnsi="Times New Roman"/>
          <w:sz w:val="18"/>
          <w:szCs w:val="18"/>
          <w:color w:val="auto"/>
        </w:rPr>
        <w:t>We may choose to take advantage of some or all of these exemptions until such time that we are no longer an emerging growth company. If we do,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76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139"/>
          </w:cols>
          <w:pgMar w:left="320" w:top="114" w:right="1440" w:bottom="1440" w:gutter="0" w:footer="0" w:header="0"/>
        </w:sectPr>
      </w:pP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11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70" w:lineRule="exact"/>
        <w:rPr>
          <w:sz w:val="20"/>
          <w:szCs w:val="20"/>
          <w:color w:val="auto"/>
        </w:rPr>
      </w:pPr>
    </w:p>
    <w:p>
      <w:pPr>
        <w:ind w:left="1460" w:right="12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w:t>
      </w:r>
    </w:p>
    <w:p>
      <w:pPr>
        <w:spacing w:after="0" w:line="54"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54" w:lineRule="exact"/>
        <w:rPr>
          <w:sz w:val="20"/>
          <w:szCs w:val="20"/>
          <w:color w:val="auto"/>
        </w:rPr>
      </w:pPr>
    </w:p>
    <w:p>
      <w:pPr>
        <w:ind w:left="1460" w:right="400" w:hanging="179"/>
        <w:spacing w:after="0" w:line="282"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w:t>
      </w:r>
    </w:p>
    <w:p>
      <w:pPr>
        <w:spacing w:after="0" w:line="2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ind w:right="799" w:firstLine="655"/>
        <w:spacing w:after="0" w:line="282" w:lineRule="auto"/>
        <w:rPr>
          <w:sz w:val="20"/>
          <w:szCs w:val="20"/>
          <w:color w:val="auto"/>
        </w:rPr>
      </w:pPr>
      <w:r>
        <w:rPr>
          <w:rFonts w:ascii="Times New Roman" w:cs="Times New Roman" w:eastAsia="Times New Roman" w:hAnsi="Times New Roman"/>
          <w:sz w:val="18"/>
          <w:szCs w:val="18"/>
          <w:color w:val="auto"/>
        </w:rPr>
        <w:t>shares (or shares if the underwriters exercise their option to purchase additional shares in full).</w:t>
      </w: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ind w:right="799" w:firstLine="655"/>
        <w:spacing w:after="0" w:line="282" w:lineRule="auto"/>
        <w:rPr>
          <w:sz w:val="20"/>
          <w:szCs w:val="20"/>
          <w:color w:val="auto"/>
        </w:rPr>
      </w:pPr>
      <w:r>
        <w:rPr>
          <w:rFonts w:ascii="Times New Roman" w:cs="Times New Roman" w:eastAsia="Times New Roman" w:hAnsi="Times New Roman"/>
          <w:sz w:val="18"/>
          <w:szCs w:val="18"/>
          <w:color w:val="auto"/>
        </w:rPr>
        <w:t>shares (or shares if the underwriters exercise their option to purchase additional shares in full).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w:t>
      </w:r>
    </w:p>
    <w:p>
      <w:pPr>
        <w:spacing w:after="0" w:line="27" w:lineRule="exact"/>
        <w:rPr>
          <w:sz w:val="20"/>
          <w:szCs w:val="20"/>
          <w:color w:val="auto"/>
        </w:rPr>
      </w:pPr>
    </w:p>
    <w:p>
      <w:pPr>
        <w:ind w:right="839"/>
        <w:spacing w:after="0" w:line="250" w:lineRule="auto"/>
        <w:rPr>
          <w:sz w:val="20"/>
          <w:szCs w:val="20"/>
          <w:color w:val="auto"/>
        </w:rPr>
      </w:pPr>
      <w:r>
        <w:rPr>
          <w:rFonts w:ascii="Times New Roman" w:cs="Times New Roman" w:eastAsia="Times New Roman" w:hAnsi="Times New Roman"/>
          <w:sz w:val="18"/>
          <w:szCs w:val="18"/>
          <w:color w:val="auto"/>
        </w:rPr>
        <w:t>approximately $ (or approximately $ if the underwriters exercise their option to purchase additional shares in full) from the sale of the shares of Class A common stock offered by us in this offering, based on the</w:t>
      </w:r>
    </w:p>
    <w:p>
      <w:pPr>
        <w:spacing w:after="0" w:line="2" w:lineRule="exact"/>
        <w:rPr>
          <w:sz w:val="20"/>
          <w:szCs w:val="20"/>
          <w:color w:val="auto"/>
        </w:rPr>
      </w:pPr>
    </w:p>
    <w:p>
      <w:pPr>
        <w:ind w:right="799"/>
        <w:spacing w:after="0" w:line="253" w:lineRule="auto"/>
        <w:rPr>
          <w:sz w:val="20"/>
          <w:szCs w:val="20"/>
          <w:color w:val="auto"/>
        </w:rPr>
      </w:pPr>
      <w:r>
        <w:rPr>
          <w:rFonts w:ascii="Times New Roman" w:cs="Times New Roman" w:eastAsia="Times New Roman" w:hAnsi="Times New Roman"/>
          <w:sz w:val="18"/>
          <w:szCs w:val="18"/>
          <w:color w:val="auto"/>
        </w:rPr>
        <w:t>assumed initial public offering price of $ per share, the midpoint of the price range set forth on the cover page of this prospectus, and after deducting underwriting discounts and commissions and estimated offering expenses.</w:t>
      </w:r>
    </w:p>
    <w:p>
      <w:pPr>
        <w:spacing w:after="0" w:line="337" w:lineRule="exact"/>
        <w:rPr>
          <w:sz w:val="20"/>
          <w:szCs w:val="20"/>
          <w:color w:val="auto"/>
        </w:rPr>
      </w:pPr>
    </w:p>
    <w:p>
      <w:pPr>
        <w:ind w:right="759"/>
        <w:spacing w:after="0" w:line="242" w:lineRule="auto"/>
        <w:rPr>
          <w:sz w:val="20"/>
          <w:szCs w:val="20"/>
          <w:color w:val="auto"/>
        </w:rPr>
      </w:pPr>
      <w:r>
        <w:rPr>
          <w:rFonts w:ascii="Times New Roman" w:cs="Times New Roman" w:eastAsia="Times New Roman" w:hAnsi="Times New Roman"/>
          <w:sz w:val="18"/>
          <w:szCs w:val="18"/>
          <w:color w:val="auto"/>
        </w:rPr>
        <w:t>We intend to use the anticipated net proceeds from this offering for general corporate purposes, including working capital, sales and marketing, engineering and technology, and corporate development.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77" w:lineRule="exact"/>
        <w:rPr>
          <w:sz w:val="20"/>
          <w:szCs w:val="20"/>
          <w:color w:val="auto"/>
        </w:rPr>
      </w:pPr>
    </w:p>
    <w:p>
      <w:pPr>
        <w:ind w:right="719"/>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will be entitled to one vote per share.</w:t>
      </w:r>
    </w:p>
    <w:p>
      <w:pPr>
        <w:spacing w:after="0" w:line="94" w:lineRule="exact"/>
        <w:rPr>
          <w:sz w:val="20"/>
          <w:szCs w:val="20"/>
          <w:color w:val="auto"/>
        </w:rPr>
      </w:pPr>
    </w:p>
    <w:p>
      <w:pPr>
        <w:sectPr>
          <w:pgSz w:w="11900" w:h="16838" w:orient="portrait"/>
          <w:cols w:equalWidth="0" w:num="2">
            <w:col w:w="4360" w:space="600"/>
            <w:col w:w="5179"/>
          </w:cols>
          <w:pgMar w:left="320" w:top="114" w:right="1440"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8"/>
          <w:szCs w:val="18"/>
          <w:color w:val="auto"/>
        </w:rPr>
        <w:t>Shares of our Class B common stock will be entitled to</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15 votes per share.</w:t>
      </w:r>
    </w:p>
    <w:p>
      <w:pPr>
        <w:spacing w:after="0" w:line="1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holders of our Class A common stock and Class B</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 will generally vote together as a single class</w:t>
      </w:r>
    </w:p>
    <w:p>
      <w:pPr>
        <w:ind w:left="4960"/>
        <w:spacing w:after="0" w:line="234" w:lineRule="auto"/>
        <w:rPr>
          <w:sz w:val="20"/>
          <w:szCs w:val="20"/>
          <w:color w:val="auto"/>
        </w:rPr>
      </w:pPr>
      <w:r>
        <w:rPr>
          <w:rFonts w:ascii="Times New Roman" w:cs="Times New Roman" w:eastAsia="Times New Roman" w:hAnsi="Times New Roman"/>
          <w:sz w:val="18"/>
          <w:szCs w:val="18"/>
          <w:color w:val="auto"/>
        </w:rPr>
        <w:t>on all matters submitted to a vote of our stockholders</w:t>
      </w:r>
    </w:p>
    <w:p>
      <w:pPr>
        <w:ind w:left="4960"/>
        <w:spacing w:after="0" w:line="235" w:lineRule="auto"/>
        <w:rPr>
          <w:sz w:val="20"/>
          <w:szCs w:val="20"/>
          <w:color w:val="auto"/>
        </w:rPr>
      </w:pPr>
      <w:r>
        <w:rPr>
          <w:rFonts w:ascii="Times New Roman" w:cs="Times New Roman" w:eastAsia="Times New Roman" w:hAnsi="Times New Roman"/>
          <w:sz w:val="18"/>
          <w:szCs w:val="18"/>
          <w:color w:val="auto"/>
        </w:rPr>
        <w:t>unless otherwise required by Delaware law or our amended</w:t>
      </w:r>
    </w:p>
    <w:p>
      <w:pPr>
        <w:ind w:left="4960"/>
        <w:spacing w:after="0" w:line="235" w:lineRule="auto"/>
        <w:rPr>
          <w:sz w:val="20"/>
          <w:szCs w:val="20"/>
          <w:color w:val="auto"/>
        </w:rPr>
      </w:pPr>
      <w:r>
        <w:rPr>
          <w:rFonts w:ascii="Times New Roman" w:cs="Times New Roman" w:eastAsia="Times New Roman" w:hAnsi="Times New Roman"/>
          <w:sz w:val="18"/>
          <w:szCs w:val="18"/>
          <w:color w:val="auto"/>
        </w:rPr>
        <w:t xml:space="preserve">and restated certificate of incorporation. See </w:t>
      </w:r>
      <w:r>
        <w:rPr>
          <w:rFonts w:ascii="Times New Roman" w:cs="Times New Roman" w:eastAsia="Times New Roman" w:hAnsi="Times New Roman"/>
          <w:sz w:val="18"/>
          <w:szCs w:val="18"/>
          <w:i w:val="1"/>
          <w:iCs w:val="1"/>
          <w:color w:val="auto"/>
        </w:rPr>
        <w:t>“Description</w:t>
      </w:r>
    </w:p>
    <w:p>
      <w:pPr>
        <w:ind w:left="4960"/>
        <w:spacing w:after="0"/>
        <w:rPr>
          <w:sz w:val="20"/>
          <w:szCs w:val="20"/>
          <w:color w:val="auto"/>
        </w:rPr>
      </w:pPr>
      <w:r>
        <w:rPr>
          <w:rFonts w:ascii="Times New Roman" w:cs="Times New Roman" w:eastAsia="Times New Roman" w:hAnsi="Times New Roman"/>
          <w:sz w:val="18"/>
          <w:szCs w:val="18"/>
          <w:i w:val="1"/>
          <w:iCs w:val="1"/>
          <w:color w:val="auto"/>
        </w:rPr>
        <w:t>of Capital Stock.”</w:t>
      </w:r>
    </w:p>
    <w:p>
      <w:pPr>
        <w:spacing w:after="0" w:line="84"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Concentration of ownership</w:t>
      </w:r>
      <w:r>
        <w:rPr>
          <w:sz w:val="20"/>
          <w:szCs w:val="20"/>
          <w:color w:val="auto"/>
        </w:rPr>
        <w:tab/>
      </w:r>
      <w:r>
        <w:rPr>
          <w:rFonts w:ascii="Times New Roman" w:cs="Times New Roman" w:eastAsia="Times New Roman" w:hAnsi="Times New Roman"/>
          <w:sz w:val="18"/>
          <w:szCs w:val="18"/>
          <w:color w:val="auto"/>
        </w:rPr>
        <w:t>The holders of our outstanding Class B common stock will</w:t>
      </w:r>
    </w:p>
    <w:p>
      <w:pPr>
        <w:spacing w:after="0" w:line="27" w:lineRule="exact"/>
        <w:rPr>
          <w:sz w:val="20"/>
          <w:szCs w:val="20"/>
          <w:color w:val="auto"/>
        </w:rPr>
      </w:pPr>
    </w:p>
    <w:p>
      <w:pPr>
        <w:ind w:left="4960"/>
        <w:spacing w:after="0"/>
        <w:tabs>
          <w:tab w:leader="none" w:pos="6880" w:val="left"/>
        </w:tabs>
        <w:rPr>
          <w:sz w:val="20"/>
          <w:szCs w:val="20"/>
          <w:color w:val="auto"/>
        </w:rPr>
      </w:pPr>
      <w:r>
        <w:rPr>
          <w:rFonts w:ascii="Times New Roman" w:cs="Times New Roman" w:eastAsia="Times New Roman" w:hAnsi="Times New Roman"/>
          <w:sz w:val="18"/>
          <w:szCs w:val="18"/>
          <w:color w:val="auto"/>
        </w:rPr>
        <w:t>hold approximately</w:t>
      </w:r>
      <w:r>
        <w:rPr>
          <w:sz w:val="20"/>
          <w:szCs w:val="20"/>
          <w:color w:val="auto"/>
        </w:rPr>
        <w:tab/>
      </w:r>
      <w:r>
        <w:rPr>
          <w:rFonts w:ascii="Times New Roman" w:cs="Times New Roman" w:eastAsia="Times New Roman" w:hAnsi="Times New Roman"/>
          <w:sz w:val="18"/>
          <w:szCs w:val="18"/>
          <w:color w:val="auto"/>
        </w:rPr>
        <w:t>% of the voting power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outstanding capital stock following this offering and, as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result, will have the ability to control the outcome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matters submitted to our stockholders for approval,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including the election of our directors and the approval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any change in control transaction. See </w:t>
      </w:r>
      <w:r>
        <w:rPr>
          <w:rFonts w:ascii="Times New Roman" w:cs="Times New Roman" w:eastAsia="Times New Roman" w:hAnsi="Times New Roman"/>
          <w:sz w:val="18"/>
          <w:szCs w:val="18"/>
          <w:i w:val="1"/>
          <w:iCs w:val="1"/>
          <w:color w:val="auto"/>
        </w:rPr>
        <w:t>“Principal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“Description of Capital Stock.”</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All shares of Class B common stock will automatically</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convert into shares of Class A common stock upon the</w:t>
      </w:r>
    </w:p>
    <w:p>
      <w:pPr>
        <w:ind w:left="4960"/>
        <w:spacing w:after="0" w:line="234" w:lineRule="auto"/>
        <w:rPr>
          <w:sz w:val="20"/>
          <w:szCs w:val="20"/>
          <w:color w:val="auto"/>
        </w:rPr>
      </w:pPr>
      <w:r>
        <w:rPr>
          <w:rFonts w:ascii="Times New Roman" w:cs="Times New Roman" w:eastAsia="Times New Roman" w:hAnsi="Times New Roman"/>
          <w:sz w:val="18"/>
          <w:szCs w:val="18"/>
          <w:color w:val="auto"/>
        </w:rPr>
        <w:t>earliest to occur of (i) the seven-year anniversary of the</w:t>
      </w:r>
    </w:p>
    <w:p>
      <w:pPr>
        <w:ind w:left="4960"/>
        <w:spacing w:after="0" w:line="235" w:lineRule="auto"/>
        <w:rPr>
          <w:sz w:val="20"/>
          <w:szCs w:val="20"/>
          <w:color w:val="auto"/>
        </w:rPr>
      </w:pPr>
      <w:r>
        <w:rPr>
          <w:rFonts w:ascii="Times New Roman" w:cs="Times New Roman" w:eastAsia="Times New Roman" w:hAnsi="Times New Roman"/>
          <w:sz w:val="18"/>
          <w:szCs w:val="18"/>
          <w:color w:val="auto"/>
        </w:rPr>
        <w:t>closing date of this offering, (ii) the date immediately</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following an annual meeting of our stockholders if neither</w:t>
      </w:r>
    </w:p>
    <w:p>
      <w:pPr>
        <w:sectPr>
          <w:pgSz w:w="11900" w:h="16838" w:orient="portrait"/>
          <w:cols w:equalWidth="0" w:num="1">
            <w:col w:w="10139"/>
          </w:cols>
          <w:pgMar w:left="320" w:top="114" w:right="1440" w:bottom="1440" w:gutter="0" w:footer="0" w:header="0"/>
          <w:type w:val="continuous"/>
        </w:sect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Max Levchin, our Founder, Chairman and Chief Executive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Officer, nor Nellie Levchin, Mr. Levchin’s spouse, is then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serving as one of our officers, employees, directors 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consultants, and neither Mr. Levchin or Mrs. Levchin has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served in such capacities in the six months prior to such</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 (iii) the date on which Mr. Levchin and Mrs. Levchin,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together with their permitted transferees, cease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beneficially own in the aggregate at least 50% of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number of shares of capital stock beneficially owned by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such holders in the aggregate on the closing date of this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offering, or (iv) the death or incapacity of the last to die 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become incapacitated of Mr. Levchin or Mrs. Levchin,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subject to extension for a total period of no longer than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nine months from such incapacitation or death if approved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a majority of the independent directors then in office. In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addition, shares of our Class B common stock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automatically convert into shares of our Class A common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 upon certain transfers by the holders thereof.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 xml:space="preserve">“Description of Capital Stock” </w:t>
      </w:r>
      <w:r>
        <w:rPr>
          <w:rFonts w:ascii="Times New Roman" w:cs="Times New Roman" w:eastAsia="Times New Roman" w:hAnsi="Times New Roman"/>
          <w:sz w:val="18"/>
          <w:szCs w:val="18"/>
          <w:color w:val="auto"/>
        </w:rPr>
        <w:t>for additional information.</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our common stock involves a high degree of</w:t>
      </w:r>
    </w:p>
    <w:p>
      <w:pPr>
        <w:spacing w:after="0" w:line="27" w:lineRule="exact"/>
        <w:rPr>
          <w:sz w:val="20"/>
          <w:szCs w:val="20"/>
          <w:color w:val="auto"/>
        </w:rPr>
      </w:pPr>
    </w:p>
    <w:p>
      <w:pPr>
        <w:ind w:left="4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hyperlink w:anchor="page34">
        <w:r>
          <w:rPr>
            <w:rFonts w:ascii="Times New Roman" w:cs="Times New Roman" w:eastAsia="Times New Roman" w:hAnsi="Times New Roman"/>
            <w:sz w:val="18"/>
            <w:szCs w:val="18"/>
            <w:u w:val="single" w:color="auto"/>
            <w:color w:val="0000EE"/>
          </w:rPr>
          <w:t>26</w:t>
        </w:r>
      </w:hyperlink>
      <w:r>
        <w:rPr>
          <w:rFonts w:ascii="Times New Roman" w:cs="Times New Roman" w:eastAsia="Times New Roman" w:hAnsi="Times New Roman"/>
          <w:sz w:val="18"/>
          <w:szCs w:val="18"/>
          <w:color w:val="auto"/>
        </w:rPr>
        <w:t>, for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deciding to invest in our common stock.</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Proposed Nasdaq symbol</w:t>
      </w:r>
      <w:r>
        <w:rPr>
          <w:sz w:val="20"/>
          <w:szCs w:val="20"/>
          <w:color w:val="auto"/>
        </w:rPr>
        <w:tab/>
      </w:r>
      <w:r>
        <w:rPr>
          <w:rFonts w:ascii="Times New Roman" w:cs="Times New Roman" w:eastAsia="Times New Roman" w:hAnsi="Times New Roman"/>
          <w:sz w:val="18"/>
          <w:szCs w:val="18"/>
          <w:color w:val="auto"/>
        </w:rPr>
        <w:t>“AFRM”.</w:t>
      </w:r>
    </w:p>
    <w:p>
      <w:pPr>
        <w:spacing w:after="0" w:line="1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the number of shares of common stock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 be outstanding after this offering is based on 97,294,525 shares of Class A common stock and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121,400,441 shares of Class B common stock outstanding as of September 30, 2020 on a pro forma basis,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which reflects: (i) 87,651,906 shares of Class A common stock and 113,763,843 shares of Class B common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stock outstanding following (a) the conversion of all outstanding shares of redeemable convertible preferred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stock into shares of our common stock, which will occur immediately prior to the reclassification described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clause (b) below, as if such conversion had occurred on September 30, 2020, (b) the reclassification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each share of our common stock outstanding as of September 30, 2020 (including the shares of common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stock issued upon the conversion of all outstanding shares of redeemable convertible preferred stock</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described in clause (a) above) into ½ share of Class A common stock and ½ share of Class B common stock,</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as if such reclassification had occurred on September 30, 2020, and (c) the issuance of shares of our Class B</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to Mr. Levchin and 2012 MRL Investments LLC, an entity affiliated with Mr. Levchin, in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exchange for all of the Class A common stock held by Mr. Levchin and such entity immediately following</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reclassification described in clause (b) above, as if such exchange and issuance had occurred 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September 30, 2020; (ii) (x) 7,611,598 shares of our Class A common stock and 7,611,598 shares of our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B common stock to be issued upon the exercise of 15,223,197 warrants outstanding as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September 30, 2020 with an exercise price of $0.01 per share, which will be fully vested immediately prior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 the completion of this offering, and (y) 25,000 shares of our Class A common stock and 25,000 shares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our Class B common stock to be issued upon the exercise of 50,000 warrants outstanding and vested as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September 30, 2020 with an exercise price of $3.80 per share, in each case, as if such exercise had occurred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 September 30, 2020; and (iii) 2,006,021 shares of our Class A common stock that are expected to be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issued with respect to Restricted Stock Units (“RSUs”) outstanding as of September 30, 2020, upon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vesting and settlement of such RSUs in connection with the completion of this offering; and, in the case of</w:t>
      </w:r>
    </w:p>
    <w:p>
      <w:pPr>
        <w:spacing w:after="0" w:line="9" w:lineRule="exact"/>
        <w:rPr>
          <w:sz w:val="20"/>
          <w:szCs w:val="20"/>
          <w:color w:val="auto"/>
        </w:rPr>
      </w:pPr>
    </w:p>
    <w:p>
      <w:pPr>
        <w:ind w:left="1280"/>
        <w:spacing w:after="0"/>
        <w:tabs>
          <w:tab w:leader="none" w:pos="5180" w:val="left"/>
        </w:tabs>
        <w:rPr>
          <w:sz w:val="20"/>
          <w:szCs w:val="20"/>
          <w:color w:val="auto"/>
        </w:rPr>
      </w:pPr>
      <w:r>
        <w:rPr>
          <w:rFonts w:ascii="Times New Roman" w:cs="Times New Roman" w:eastAsia="Times New Roman" w:hAnsi="Times New Roman"/>
          <w:sz w:val="18"/>
          <w:szCs w:val="18"/>
          <w:color w:val="auto"/>
        </w:rPr>
        <w:t>the pro forma as adjusted number of shares,</w:t>
      </w:r>
      <w:r>
        <w:rPr>
          <w:sz w:val="20"/>
          <w:szCs w:val="20"/>
          <w:color w:val="auto"/>
        </w:rPr>
        <w:tab/>
      </w:r>
      <w:r>
        <w:rPr>
          <w:rFonts w:ascii="Times New Roman" w:cs="Times New Roman" w:eastAsia="Times New Roman" w:hAnsi="Times New Roman"/>
          <w:sz w:val="18"/>
          <w:szCs w:val="18"/>
          <w:color w:val="auto"/>
        </w:rPr>
        <w:t>shares to be sold in the offering, and excludes:</w:t>
      </w:r>
    </w:p>
    <w:p>
      <w:pPr>
        <w:spacing w:after="0" w:line="99" w:lineRule="exact"/>
        <w:rPr>
          <w:sz w:val="20"/>
          <w:szCs w:val="20"/>
          <w:color w:val="auto"/>
        </w:rPr>
      </w:pPr>
    </w:p>
    <w:p>
      <w:pPr>
        <w:ind w:left="1820" w:right="999" w:hanging="180"/>
        <w:spacing w:after="0" w:line="261"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153,032 shares of our Class A common stock and 153,032 shares of our Class B common stock issuable upon exercise of 306,065 warrants outstanding as of September 30, 2020, which are not automatically exercisable upon the completion of this offering, with a weighted-average exercise price of $0.79 per share;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679" w:hanging="180"/>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41,415,585 shares of our Class A common stock issuable upon the exercise of options to purchase shares of our common stock outstanding as of September 30, 2020, with a weighted-average exercise price of $5.17 per share;</w:t>
      </w:r>
    </w:p>
    <w:p>
      <w:pPr>
        <w:spacing w:after="0" w:line="67" w:lineRule="exact"/>
        <w:rPr>
          <w:rFonts w:ascii="Times New Roman" w:cs="Times New Roman" w:eastAsia="Times New Roman" w:hAnsi="Times New Roman"/>
          <w:sz w:val="18"/>
          <w:szCs w:val="18"/>
          <w:color w:val="auto"/>
        </w:rPr>
      </w:pPr>
    </w:p>
    <w:p>
      <w:pPr>
        <w:ind w:left="1820" w:right="799" w:hanging="180"/>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7,142,676 shares of our Class A common stock issuable upon the vesting of RSUs outstanding as of September 30, 2020 that will not be vested upon completion of this offering;</w:t>
      </w:r>
    </w:p>
    <w:p>
      <w:pPr>
        <w:spacing w:after="0" w:line="53" w:lineRule="exact"/>
        <w:rPr>
          <w:rFonts w:ascii="Times New Roman" w:cs="Times New Roman" w:eastAsia="Times New Roman" w:hAnsi="Times New Roman"/>
          <w:sz w:val="18"/>
          <w:szCs w:val="18"/>
          <w:color w:val="auto"/>
        </w:rPr>
      </w:pPr>
    </w:p>
    <w:p>
      <w:pPr>
        <w:ind w:left="1820" w:right="759" w:hanging="180"/>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15,963,713 shares of our Class A common stock issuable upon the exercise of options to purchase shares of our common stock granted after September 30, 2020 and effective upon the date of pricing of the initial public offering, with an exercise price equal to the initial public offering price;</w:t>
      </w:r>
    </w:p>
    <w:p>
      <w:pPr>
        <w:spacing w:after="0" w:line="67" w:lineRule="exact"/>
        <w:rPr>
          <w:rFonts w:ascii="Times New Roman" w:cs="Times New Roman" w:eastAsia="Times New Roman" w:hAnsi="Times New Roman"/>
          <w:sz w:val="18"/>
          <w:szCs w:val="18"/>
          <w:color w:val="auto"/>
        </w:rPr>
      </w:pPr>
    </w:p>
    <w:p>
      <w:pPr>
        <w:ind w:left="1820" w:right="1199" w:hanging="180"/>
        <w:spacing w:after="0" w:line="261"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7,289,486 shares of our Class A common stock issuable upon the vesting of outstanding RSUs granted after September 30, 2020 (including 334,836 shares of Class A common stock that are expected to be issued upon the vesting and settlement of such RSUs in connection with the completion of this offering);</w:t>
      </w:r>
    </w:p>
    <w:p>
      <w:pPr>
        <w:spacing w:after="0" w:line="71" w:lineRule="exact"/>
        <w:rPr>
          <w:rFonts w:ascii="Times New Roman" w:cs="Times New Roman" w:eastAsia="Times New Roman" w:hAnsi="Times New Roman"/>
          <w:sz w:val="18"/>
          <w:szCs w:val="18"/>
          <w:color w:val="auto"/>
        </w:rPr>
      </w:pPr>
    </w:p>
    <w:p>
      <w:pPr>
        <w:ind w:left="1820" w:right="919" w:hanging="180"/>
        <w:spacing w:after="0" w:line="261" w:lineRule="auto"/>
        <w:tabs>
          <w:tab w:leader="none" w:pos="23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issuable upon the vesting of RSUs granted after September 30, 2020 and effective upon the date of pricing of the initial public offering, calculated</w:t>
      </w:r>
    </w:p>
    <w:p>
      <w:pPr>
        <w:ind w:left="1820" w:right="819"/>
        <w:spacing w:after="0" w:line="255" w:lineRule="auto"/>
        <w:rPr>
          <w:sz w:val="20"/>
          <w:szCs w:val="20"/>
          <w:color w:val="auto"/>
        </w:rPr>
      </w:pPr>
      <w:r>
        <w:rPr>
          <w:rFonts w:ascii="Times New Roman" w:cs="Times New Roman" w:eastAsia="Times New Roman" w:hAnsi="Times New Roman"/>
          <w:sz w:val="18"/>
          <w:szCs w:val="18"/>
          <w:color w:val="auto"/>
        </w:rPr>
        <w:t>based on an assumed initial public offering price of $ per share (which is the midpoint of the estimated offering price range set forth on the cover page of this prospectus, before deducting underwriting discounts and commissions and estimated offering expenses payable by us);</w:t>
      </w:r>
    </w:p>
    <w:p>
      <w:pPr>
        <w:spacing w:after="0" w:line="78" w:lineRule="exact"/>
        <w:rPr>
          <w:sz w:val="20"/>
          <w:szCs w:val="20"/>
          <w:color w:val="auto"/>
        </w:rPr>
      </w:pPr>
    </w:p>
    <w:p>
      <w:pPr>
        <w:jc w:val="both"/>
        <w:ind w:left="1820" w:right="719" w:hanging="180"/>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6,210,045 shares of Class A common stock to be issued in connection with, and contingent upon, the closing of the PayBright Transaction (including 2,587,519 shares of Class A common stock issued in escrow and subject to forfeiture if certain revenue milestones are not met), which we expect to close in the first quarter of calendar year 2021; and</w:t>
      </w:r>
    </w:p>
    <w:p>
      <w:pPr>
        <w:spacing w:after="0" w:line="71" w:lineRule="exact"/>
        <w:rPr>
          <w:rFonts w:ascii="Times New Roman" w:cs="Times New Roman" w:eastAsia="Times New Roman" w:hAnsi="Times New Roman"/>
          <w:sz w:val="18"/>
          <w:szCs w:val="18"/>
          <w:color w:val="auto"/>
        </w:rPr>
      </w:pPr>
    </w:p>
    <w:p>
      <w:pPr>
        <w:ind w:left="1820" w:right="779" w:hanging="180"/>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118,374,202 shares of our Class A common stock reserved for future issuance under our equity compensation plans following the completion of this offering, which number is subject to automatic annual increases under the terms of such equity compensation plans.</w:t>
      </w:r>
    </w:p>
    <w:p>
      <w:pPr>
        <w:spacing w:after="0" w:line="95" w:lineRule="exact"/>
        <w:rPr>
          <w:sz w:val="20"/>
          <w:szCs w:val="20"/>
          <w:color w:val="auto"/>
        </w:rPr>
      </w:pPr>
    </w:p>
    <w:p>
      <w:pPr>
        <w:ind w:left="1280" w:right="143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forgoing, unless we indicate otherwise or the context otherwise requires, all information in this prospectus assumes:</w:t>
      </w:r>
    </w:p>
    <w:p>
      <w:pPr>
        <w:spacing w:after="0" w:line="54" w:lineRule="exact"/>
        <w:rPr>
          <w:sz w:val="20"/>
          <w:szCs w:val="20"/>
          <w:color w:val="auto"/>
        </w:rPr>
      </w:pPr>
    </w:p>
    <w:p>
      <w:pPr>
        <w:ind w:left="1820" w:right="719" w:hanging="180"/>
        <w:spacing w:after="0" w:line="261"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forms of which have been filed as exhibits to the registration statement of which this prospectus forms a part, which will occur immediately following the effectiveness of the registration statement of which this prospectus forms a part;</w:t>
      </w:r>
    </w:p>
    <w:p>
      <w:pPr>
        <w:spacing w:after="0" w:line="71" w:lineRule="exact"/>
        <w:rPr>
          <w:rFonts w:ascii="Times New Roman" w:cs="Times New Roman" w:eastAsia="Times New Roman" w:hAnsi="Times New Roman"/>
          <w:sz w:val="18"/>
          <w:szCs w:val="18"/>
          <w:color w:val="auto"/>
        </w:rPr>
      </w:pPr>
    </w:p>
    <w:p>
      <w:pPr>
        <w:ind w:left="1820" w:right="1019" w:hanging="180"/>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or settlement of outstanding RSUs subsequent to September 30, 2020 (except for those described above that were outstanding as of September 30, 2020 and vest and settle in connection with the completion of this offering); and</w:t>
      </w:r>
    </w:p>
    <w:p>
      <w:pPr>
        <w:spacing w:after="0" w:line="67" w:lineRule="exact"/>
        <w:rPr>
          <w:rFonts w:ascii="Times New Roman" w:cs="Times New Roman" w:eastAsia="Times New Roman" w:hAnsi="Times New Roman"/>
          <w:sz w:val="18"/>
          <w:szCs w:val="18"/>
          <w:color w:val="auto"/>
        </w:rPr>
      </w:pPr>
    </w:p>
    <w:p>
      <w:pPr>
        <w:ind w:left="1820" w:right="879" w:hanging="180"/>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Class A common stock from 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160" w:lineRule="exact"/>
        <w:rPr>
          <w:sz w:val="20"/>
          <w:szCs w:val="20"/>
          <w:color w:val="auto"/>
        </w:rPr>
      </w:pPr>
    </w:p>
    <w:p>
      <w:pPr>
        <w:ind w:left="1280" w:right="7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summary condensed consolidated statement of operations data for the fiscal years ended June 30, 2019 and 2020 have been derived from our audited consolidated financial statements and related notes included elsewhere in this prospectus. The summary condensed consolidated statement of operations data for the three months ended September 30, 2019 and 2020, and the consolidated balance sheet data as of September 30, 2020, have been derived from our unaudited consolidated financial statements and related notes thereto appearing elsewhere in this prospectus. Our unaudited consolidated financial statements have been prepared on the same basis as our audited consolidated financial statements and, in the opinion of management, reflect all adjustments, which consist only of normal recurring adjustments, necessary for the fair presentation of those unaudited condensed consolidated financial statements. Our historical results are not necessarily indicative of the results that may be expected in the future and the results for the</w:t>
      </w:r>
    </w:p>
    <w:p>
      <w:pPr>
        <w:spacing w:after="0" w:line="7" w:lineRule="exact"/>
        <w:rPr>
          <w:sz w:val="20"/>
          <w:szCs w:val="20"/>
          <w:color w:val="auto"/>
        </w:rPr>
      </w:pPr>
    </w:p>
    <w:p>
      <w:pPr>
        <w:ind w:left="1280" w:right="719"/>
        <w:spacing w:after="0" w:line="253" w:lineRule="auto"/>
        <w:rPr>
          <w:sz w:val="20"/>
          <w:szCs w:val="20"/>
          <w:color w:val="auto"/>
        </w:rPr>
      </w:pPr>
      <w:r>
        <w:rPr>
          <w:rFonts w:ascii="Times New Roman" w:cs="Times New Roman" w:eastAsia="Times New Roman" w:hAnsi="Times New Roman"/>
          <w:sz w:val="18"/>
          <w:szCs w:val="18"/>
          <w:i w:val="1"/>
          <w:iCs w:val="1"/>
          <w:color w:val="auto"/>
        </w:rPr>
        <w:t>three months ended September 30, 2020 are not necessarily indicative of the results to be expected for the full year or any other period. You should read the consolidated financial data below in conjunction with the section titled “Management’s Discussion and Analysis of Financial Condition and Results of Operations” and our consolidated financial statements and related notes included elsewhere in this prospectus.</w:t>
      </w:r>
    </w:p>
    <w:p>
      <w:pPr>
        <w:spacing w:after="0" w:line="14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4"/>
                <w:szCs w:val="14"/>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19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5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4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132,363</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$ 256,752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93,265</w:t>
            </w:r>
          </w:p>
        </w:tc>
        <w:tc>
          <w:tcPr>
            <w:tcW w:w="60" w:type="dxa"/>
            <w:vAlign w:val="bottom"/>
          </w:tcPr>
          <w:p>
            <w:pPr>
              <w:spacing w:after="0"/>
              <w:rPr>
                <w:sz w:val="22"/>
                <w:szCs w:val="22"/>
                <w:color w:val="auto"/>
              </w:rPr>
            </w:pPr>
          </w:p>
        </w:tc>
      </w:tr>
      <w:tr>
        <w:trPr>
          <w:trHeight w:val="257"/>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19,340</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5,958</w:t>
            </w:r>
          </w:p>
        </w:tc>
      </w:tr>
      <w:tr>
        <w:trPr>
          <w:trHeight w:val="256"/>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119,404</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186,730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54,237</w:t>
            </w:r>
          </w:p>
        </w:tc>
        <w:tc>
          <w:tcPr>
            <w:tcW w:w="60" w:type="dxa"/>
            <w:vAlign w:val="bottom"/>
          </w:tcPr>
          <w:p>
            <w:pPr>
              <w:spacing w:after="0"/>
              <w:rPr>
                <w:sz w:val="22"/>
                <w:szCs w:val="22"/>
                <w:color w:val="auto"/>
              </w:rPr>
            </w:pPr>
          </w:p>
        </w:tc>
      </w:tr>
      <w:tr>
        <w:trPr>
          <w:trHeight w:val="25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31,907</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22"/>
                <w:szCs w:val="22"/>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16,434</w:t>
            </w:r>
          </w:p>
        </w:tc>
      </w:tr>
      <w:tr>
        <w:trPr>
          <w:trHeight w:val="263"/>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income</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264,367</w:t>
            </w:r>
          </w:p>
        </w:tc>
        <w:tc>
          <w:tcPr>
            <w:tcW w:w="2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$ 509,528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173,978</w:t>
            </w:r>
          </w:p>
        </w:tc>
      </w:tr>
      <w:tr>
        <w:trPr>
          <w:trHeight w:val="257"/>
        </w:trPr>
        <w:tc>
          <w:tcPr>
            <w:tcW w:w="46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73,383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$ 161,452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65,868</w:t>
            </w:r>
          </w:p>
        </w:tc>
      </w:tr>
      <w:tr>
        <w:trPr>
          <w:trHeight w:val="257"/>
        </w:trPr>
        <w:tc>
          <w:tcPr>
            <w:tcW w:w="46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78,025</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105,067</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40,267</w:t>
            </w:r>
          </w:p>
        </w:tc>
        <w:tc>
          <w:tcPr>
            <w:tcW w:w="60" w:type="dxa"/>
            <w:vAlign w:val="bottom"/>
          </w:tcPr>
          <w:p>
            <w:pPr>
              <w:spacing w:after="0"/>
              <w:rPr>
                <w:sz w:val="22"/>
                <w:szCs w:val="22"/>
                <w:color w:val="auto"/>
              </w:rPr>
            </w:pPr>
          </w:p>
        </w:tc>
      </w:tr>
      <w:tr>
        <w:trPr>
          <w:trHeight w:val="25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Funding costs</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32,316</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tcPr>
          <w:p>
            <w:pPr>
              <w:spacing w:after="0"/>
              <w:rPr>
                <w:sz w:val="22"/>
                <w:szCs w:val="22"/>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10,352</w:t>
            </w:r>
          </w:p>
        </w:tc>
      </w:tr>
      <w:tr>
        <w:trPr>
          <w:trHeight w:val="270"/>
        </w:trPr>
        <w:tc>
          <w:tcPr>
            <w:tcW w:w="4660" w:type="dxa"/>
            <w:vAlign w:val="bottom"/>
            <w:tcBorders>
              <w:right w:val="single" w:sz="8" w:color="CCEEFF"/>
            </w:tcBorders>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Processing and servicing</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32,669</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49,831</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13,498</w:t>
            </w:r>
          </w:p>
        </w:tc>
        <w:tc>
          <w:tcPr>
            <w:tcW w:w="60" w:type="dxa"/>
            <w:vAlign w:val="bottom"/>
          </w:tcPr>
          <w:p>
            <w:pPr>
              <w:spacing w:after="0"/>
              <w:rPr>
                <w:sz w:val="23"/>
                <w:szCs w:val="23"/>
                <w:color w:val="auto"/>
              </w:rPr>
            </w:pPr>
          </w:p>
        </w:tc>
      </w:tr>
      <w:tr>
        <w:trPr>
          <w:trHeight w:val="270"/>
        </w:trPr>
        <w:tc>
          <w:tcPr>
            <w:tcW w:w="466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Technology and data analytics</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76,071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122,378</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Pr>
          <w:p>
            <w:pPr>
              <w:spacing w:after="0"/>
              <w:rPr>
                <w:sz w:val="23"/>
                <w:szCs w:val="23"/>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33,768</w:t>
            </w:r>
          </w:p>
        </w:tc>
      </w:tr>
      <w:tr>
        <w:trPr>
          <w:trHeight w:val="270"/>
        </w:trPr>
        <w:tc>
          <w:tcPr>
            <w:tcW w:w="4660" w:type="dxa"/>
            <w:vAlign w:val="bottom"/>
            <w:tcBorders>
              <w:right w:val="single" w:sz="8" w:color="CCEEFF"/>
            </w:tcBorders>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16,863</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25,044</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22,582</w:t>
            </w:r>
          </w:p>
        </w:tc>
        <w:tc>
          <w:tcPr>
            <w:tcW w:w="60" w:type="dxa"/>
            <w:vAlign w:val="bottom"/>
          </w:tcPr>
          <w:p>
            <w:pPr>
              <w:spacing w:after="0"/>
              <w:rPr>
                <w:sz w:val="23"/>
                <w:szCs w:val="23"/>
                <w:color w:val="auto"/>
              </w:rPr>
            </w:pPr>
          </w:p>
        </w:tc>
      </w:tr>
      <w:tr>
        <w:trPr>
          <w:trHeight w:val="283"/>
        </w:trPr>
        <w:tc>
          <w:tcPr>
            <w:tcW w:w="466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121,230</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27,704</w:t>
            </w:r>
          </w:p>
        </w:tc>
        <w:tc>
          <w:tcPr>
            <w:tcW w:w="10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32,266</w:t>
            </w: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66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391,808</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617,318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120,919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218,601</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(127,441)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(44,623)</w:t>
            </w: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29,445</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(120,419)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(15,178)</w:t>
            </w: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(120,455)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(15,275)</w:t>
            </w:r>
          </w:p>
        </w:tc>
      </w:tr>
      <w:tr>
        <w:trPr>
          <w:trHeight w:val="20"/>
        </w:trPr>
        <w:tc>
          <w:tcPr>
            <w:tcW w:w="1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2"/>
        </w:trPr>
        <w:tc>
          <w:tcPr>
            <w:tcW w:w="194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144" w:lineRule="exact"/>
        <w:rPr>
          <w:sz w:val="20"/>
          <w:szCs w:val="20"/>
          <w:color w:val="auto"/>
        </w:rPr>
      </w:pPr>
    </w:p>
    <w:p>
      <w:pPr>
        <w:ind w:left="1280"/>
        <w:spacing w:after="0"/>
        <w:tabs>
          <w:tab w:leader="none" w:pos="1620" w:val="left"/>
        </w:tabs>
        <w:rPr>
          <w:sz w:val="20"/>
          <w:szCs w:val="20"/>
          <w:color w:val="auto"/>
        </w:rPr>
      </w:pPr>
      <w:r>
        <w:rPr>
          <w:rFonts w:ascii="Times New Roman" w:cs="Times New Roman" w:eastAsia="Times New Roman" w:hAnsi="Times New Roman"/>
          <w:sz w:val="18"/>
          <w:szCs w:val="18"/>
          <w:color w:val="auto"/>
        </w:rPr>
        <w:t>(1)</w:t>
        <w:tab/>
        <w:t>Includes stock-based compensation expense as follows: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73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Processing and servicing</w:t>
      </w:r>
    </w:p>
    <w:p>
      <w:pPr>
        <w:spacing w:after="0" w:line="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Technology and data analytics</w:t>
      </w:r>
    </w:p>
    <w:p>
      <w:pPr>
        <w:spacing w:after="0" w:line="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2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90"/>
        </w:trPr>
        <w:tc>
          <w:tcPr>
            <w:tcW w:w="46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3"/>
        </w:trPr>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9"/>
        </w:trPr>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4" w:lineRule="exact"/>
        <w:rPr>
          <w:sz w:val="20"/>
          <w:szCs w:val="20"/>
          <w:color w:val="auto"/>
        </w:rPr>
      </w:pPr>
    </w:p>
    <w:p>
      <w:pPr>
        <w:ind w:left="340" w:hanging="326"/>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132$ 82$(5)$26</w:t>
      </w:r>
    </w:p>
    <w:p>
      <w:pPr>
        <w:spacing w:after="0" w:line="49"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13,91312,285    3,3272,213</w:t>
      </w:r>
    </w:p>
    <w:p>
      <w:pPr>
        <w:spacing w:after="0" w:line="49"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4,1794,040    1,291760</w:t>
      </w:r>
    </w:p>
    <w:p>
      <w:pPr>
        <w:spacing w:after="0" w:line="49"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22,64713,682    3,8123,204</w:t>
      </w:r>
    </w:p>
    <w:p>
      <w:pPr>
        <w:spacing w:after="0" w:line="77" w:lineRule="exact"/>
        <w:rPr>
          <w:sz w:val="20"/>
          <w:szCs w:val="20"/>
          <w:color w:val="auto"/>
        </w:rPr>
      </w:pPr>
    </w:p>
    <w:p>
      <w:pPr>
        <w:ind w:left="20"/>
        <w:spacing w:after="0"/>
        <w:tabs>
          <w:tab w:leader="none" w:pos="820" w:val="left"/>
          <w:tab w:leader="none" w:pos="1640" w:val="left"/>
          <w:tab w:leader="none" w:pos="2380" w:val="left"/>
        </w:tabs>
        <w:rPr>
          <w:sz w:val="20"/>
          <w:szCs w:val="20"/>
          <w:color w:val="auto"/>
        </w:rPr>
      </w:pPr>
      <w:r>
        <w:rPr>
          <w:rFonts w:ascii="Times New Roman" w:cs="Times New Roman" w:eastAsia="Times New Roman" w:hAnsi="Times New Roman"/>
          <w:sz w:val="18"/>
          <w:szCs w:val="18"/>
          <w:u w:val="single" w:color="auto"/>
          <w:color w:val="auto"/>
        </w:rPr>
        <w:t>$40,871</w:t>
        <w:tab/>
        <w:t>$30,089</w:t>
        <w:tab/>
        <w:t>$8,425</w:t>
        <w:tab/>
        <w:t>$6,203</w:t>
      </w:r>
    </w:p>
    <w:p>
      <w:pPr>
        <w:spacing w:after="0" w:line="200" w:lineRule="exact"/>
        <w:rPr>
          <w:sz w:val="20"/>
          <w:szCs w:val="20"/>
          <w:color w:val="auto"/>
        </w:rPr>
      </w:pPr>
    </w:p>
    <w:p>
      <w:pPr>
        <w:sectPr>
          <w:pgSz w:w="11900" w:h="16838" w:orient="portrait"/>
          <w:cols w:equalWidth="0" w:num="2">
            <w:col w:w="5460" w:space="720"/>
            <w:col w:w="3959"/>
          </w:cols>
          <w:pgMar w:left="320" w:top="114" w:right="1440" w:bottom="1440" w:gutter="0" w:footer="0" w:header="0"/>
          <w:type w:val="continuous"/>
        </w:sectPr>
      </w:pPr>
    </w:p>
    <w:p>
      <w:pPr>
        <w:spacing w:after="0" w:line="140"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Actual</w:t>
            </w:r>
            <w:r>
              <w:rPr>
                <w:rFonts w:ascii="Times New Roman" w:cs="Times New Roman" w:eastAsia="Times New Roman" w:hAnsi="Times New Roman"/>
                <w:sz w:val="21"/>
                <w:szCs w:val="21"/>
                <w:b w:val="1"/>
                <w:bCs w:val="1"/>
                <w:color w:val="auto"/>
                <w:vertAlign w:val="superscript"/>
              </w:rPr>
              <w:t>(4)</w:t>
            </w:r>
          </w:p>
        </w:tc>
        <w:tc>
          <w:tcPr>
            <w:tcW w:w="11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21"/>
                <w:szCs w:val="21"/>
                <w:b w:val="1"/>
                <w:bCs w:val="1"/>
                <w:color w:val="auto"/>
                <w:w w:val="97"/>
                <w:vertAlign w:val="superscript"/>
              </w:rPr>
              <w:t>(1)(4)</w:t>
            </w:r>
          </w:p>
        </w:tc>
        <w:tc>
          <w:tcPr>
            <w:tcW w:w="1000" w:type="dxa"/>
            <w:vAlign w:val="bottom"/>
          </w:tcPr>
          <w:p>
            <w:pPr>
              <w:jc w:val="center"/>
              <w:ind w:left="17"/>
              <w:spacing w:after="0" w:line="155" w:lineRule="exact"/>
              <w:rPr>
                <w:sz w:val="20"/>
                <w:szCs w:val="20"/>
                <w:color w:val="auto"/>
              </w:rPr>
            </w:pPr>
            <w:r>
              <w:rPr>
                <w:rFonts w:ascii="Times New Roman" w:cs="Times New Roman" w:eastAsia="Times New Roman" w:hAnsi="Times New Roman"/>
                <w:sz w:val="14"/>
                <w:szCs w:val="14"/>
                <w:b w:val="1"/>
                <w:bCs w:val="1"/>
                <w:color w:val="auto"/>
                <w:w w:val="97"/>
              </w:rPr>
              <w:t>Pro Forma as</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tcPr>
          <w:p>
            <w:pPr>
              <w:jc w:val="center"/>
              <w:ind w:left="37"/>
              <w:spacing w:after="0" w:line="243" w:lineRule="exact"/>
              <w:rPr>
                <w:sz w:val="20"/>
                <w:szCs w:val="20"/>
                <w:color w:val="auto"/>
              </w:rPr>
            </w:pPr>
            <w:r>
              <w:rPr>
                <w:rFonts w:ascii="Times New Roman" w:cs="Times New Roman" w:eastAsia="Times New Roman" w:hAnsi="Times New Roman"/>
                <w:sz w:val="28"/>
                <w:szCs w:val="28"/>
                <w:b w:val="1"/>
                <w:bCs w:val="1"/>
                <w:color w:val="auto"/>
                <w:w w:val="80"/>
                <w:vertAlign w:val="subscript"/>
              </w:rPr>
              <w:t>Adjusted</w:t>
            </w:r>
            <w:r>
              <w:rPr>
                <w:rFonts w:ascii="Times New Roman" w:cs="Times New Roman" w:eastAsia="Times New Roman" w:hAnsi="Times New Roman"/>
                <w:sz w:val="11"/>
                <w:szCs w:val="11"/>
                <w:b w:val="1"/>
                <w:bCs w:val="1"/>
                <w:color w:val="auto"/>
                <w:w w:val="80"/>
              </w:rPr>
              <w:t>(2)(3)(4)</w:t>
            </w:r>
          </w:p>
        </w:tc>
        <w:tc>
          <w:tcPr>
            <w:tcW w:w="0" w:type="dxa"/>
            <w:vAlign w:val="bottom"/>
          </w:tcPr>
          <w:p>
            <w:pPr>
              <w:spacing w:after="0"/>
              <w:rPr>
                <w:sz w:val="1"/>
                <w:szCs w:val="1"/>
                <w:color w:val="auto"/>
              </w:rPr>
            </w:pP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684,423</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  684,423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1,414,157</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1,414,157</w:t>
            </w: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2,250,549</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2,453,483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0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Notes issued by securitization trusts</w:t>
            </w:r>
            <w:r>
              <w:rPr>
                <w:rFonts w:ascii="Times New Roman" w:cs="Times New Roman" w:eastAsia="Times New Roman" w:hAnsi="Times New Roman"/>
                <w:sz w:val="26"/>
                <w:szCs w:val="26"/>
                <w:color w:val="auto"/>
                <w:vertAlign w:val="superscript"/>
              </w:rPr>
              <w:t>(5)</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498,921</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498,921</w:t>
            </w: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698,892</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698,892</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1,327,163</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(348,112)</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1,181,985</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640" w:right="659" w:hanging="360"/>
        <w:spacing w:after="0" w:line="251"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(i) 87,651,906 shares of Class A common stock and 113,763,843 shares of Class B common stock outstanding following (a) the conversion of all outstanding shares of redeemable convertible preferred stock into shares of our common stock, which will occur immediately prior to the reclassification described in clause (b) below, as if such conversion had occurred on September 30, 2020, (b) the reclassification of each share of our common stock outstanding as of September 30, 2020 (including the shares of common stock issued upon the conversion of all outstanding shares of redeemable convertible preferred stock described in clause (a) above) into ½ share of Class A common stock and ½ share of Class B common stock, as if such reclassification had occurred on September 30, 2020, and (c) the issuance of shares of our Class B common stock to Mr. Levchin and 2012 MRL Investments LLC, an entity affiliated with Mr. Levchin, in exchange for all of the Class A common stock held by Mr. Levchin and such entity immediately following the reclassification described in clause (b) above, as if such exchange and issuance had occurred on September 30, 2020; (ii) (x) 7,611,598 shares of our Class A common stock and 7,611,598 shares of our Class B common stock to be issued upon the exercise of 15,223,197 warrants outstanding as of September 30, 2020 with an exercise price of $0.01 per share, which will be fully vested immediately prior to the completion of this offering, and (y) 25,000 shares of our Class A common stock and 25,000 shares of our Class B common stock to be issued upon the exercise of 50,000 warrants outstanding and vested as of September 30, 2020 with an exercise price of $3.80 per share, in each case, as if such exercise had occurred on September 30, 2020; (iii) 2,006,021 shares of our Class A common stock that are expected to be issued with respect to RSUs outstanding as of September 30, 2020, upon the vesting and settlement of such RSUs in connection with the completion of this offering; (iv) the filing and effectiveness of our amended and restated certificate of incorporation in Delaware that will become effective immediately following the effectiveness of the registration statement of which this prospectus forms a part; and (v) the recognition of share-based compensation expense of $16.6 million associated with RSUs for which the service condition was satisfied as of September 30, 2020, and for which the performance condition will be satisfied upon the completion of this offering.</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1640" w:hanging="360"/>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consolidated balance sheet reflects (i) the items described in footnote</w:t>
      </w:r>
    </w:p>
    <w:p>
      <w:pPr>
        <w:spacing w:after="0" w:line="27"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above and (ii) our receipt of estimated net proceeds from the sale of shares of Class A common</w:t>
      </w:r>
    </w:p>
    <w:p>
      <w:pPr>
        <w:spacing w:after="0" w:line="9" w:lineRule="exact"/>
        <w:rPr>
          <w:sz w:val="20"/>
          <w:szCs w:val="20"/>
          <w:color w:val="auto"/>
        </w:rPr>
      </w:pPr>
    </w:p>
    <w:p>
      <w:pPr>
        <w:ind w:left="1640"/>
        <w:spacing w:after="0"/>
        <w:tabs>
          <w:tab w:leader="none" w:pos="7700" w:val="left"/>
        </w:tabs>
        <w:rPr>
          <w:sz w:val="20"/>
          <w:szCs w:val="20"/>
          <w:color w:val="auto"/>
        </w:rPr>
      </w:pPr>
      <w:r>
        <w:rPr>
          <w:rFonts w:ascii="Times New Roman" w:cs="Times New Roman" w:eastAsia="Times New Roman" w:hAnsi="Times New Roman"/>
          <w:sz w:val="18"/>
          <w:szCs w:val="18"/>
          <w:color w:val="auto"/>
        </w:rPr>
        <w:t>stock that we are offering at an assumed initial public offering price of $</w:t>
      </w:r>
      <w:r>
        <w:rPr>
          <w:sz w:val="20"/>
          <w:szCs w:val="20"/>
          <w:color w:val="auto"/>
        </w:rPr>
        <w:tab/>
      </w:r>
      <w:r>
        <w:rPr>
          <w:rFonts w:ascii="Times New Roman" w:cs="Times New Roman" w:eastAsia="Times New Roman" w:hAnsi="Times New Roman"/>
          <w:sz w:val="18"/>
          <w:szCs w:val="18"/>
          <w:color w:val="auto"/>
        </w:rPr>
        <w:t>per share, the midpoint</w:t>
      </w:r>
    </w:p>
    <w:p>
      <w:pPr>
        <w:sectPr>
          <w:pgSz w:w="11900" w:h="16838" w:orient="portrait"/>
          <w:cols w:equalWidth="0" w:num="1">
            <w:col w:w="10139"/>
          </w:cols>
          <w:pgMar w:left="320" w:top="114" w:right="1440" w:bottom="1440" w:gutter="0" w:footer="0" w:header="0"/>
          <w:type w:val="continuous"/>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619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40" w:right="679"/>
        <w:spacing w:after="0" w:line="266" w:lineRule="auto"/>
        <w:rPr>
          <w:sz w:val="20"/>
          <w:szCs w:val="20"/>
          <w:color w:val="auto"/>
        </w:rPr>
      </w:pPr>
      <w:r>
        <w:rPr>
          <w:rFonts w:ascii="Times New Roman" w:cs="Times New Roman" w:eastAsia="Times New Roman" w:hAnsi="Times New Roman"/>
          <w:sz w:val="18"/>
          <w:szCs w:val="18"/>
          <w:color w:val="auto"/>
        </w:rPr>
        <w:t>of the estimated price range set forth on the cover page of this prospectus, after deducting the estimated underwriting discounts and commission and estimated offering expenses.</w:t>
      </w:r>
    </w:p>
    <w:p>
      <w:pPr>
        <w:spacing w:after="0" w:line="14" w:lineRule="exact"/>
        <w:rPr>
          <w:sz w:val="20"/>
          <w:szCs w:val="20"/>
          <w:color w:val="auto"/>
        </w:rPr>
      </w:pPr>
    </w:p>
    <w:p>
      <w:pPr>
        <w:ind w:left="1640" w:right="999" w:hanging="359"/>
        <w:spacing w:after="0" w:line="261" w:lineRule="auto"/>
        <w:tabs>
          <w:tab w:leader="none" w:pos="1620" w:val="left"/>
        </w:tabs>
        <w:rPr>
          <w:sz w:val="20"/>
          <w:szCs w:val="20"/>
          <w:color w:val="auto"/>
        </w:rPr>
      </w:pPr>
      <w:r>
        <w:rPr>
          <w:rFonts w:ascii="Times New Roman" w:cs="Times New Roman" w:eastAsia="Times New Roman" w:hAnsi="Times New Roman"/>
          <w:sz w:val="18"/>
          <w:szCs w:val="18"/>
          <w:color w:val="auto"/>
        </w:rPr>
        <w:t>(3)</w:t>
        <w:tab/>
        <w:t>A $1.00 increase (decrease) in the assumed initial public offering price of $ per share, the midpoint of the estimated price range set forth on the cover page of this prospectus, would increase</w:t>
      </w:r>
    </w:p>
    <w:p>
      <w:pPr>
        <w:ind w:left="1640" w:right="699"/>
        <w:spacing w:after="0" w:line="250" w:lineRule="auto"/>
        <w:rPr>
          <w:sz w:val="20"/>
          <w:szCs w:val="20"/>
          <w:color w:val="auto"/>
        </w:rPr>
      </w:pPr>
      <w:r>
        <w:rPr>
          <w:rFonts w:ascii="Times New Roman" w:cs="Times New Roman" w:eastAsia="Times New Roman" w:hAnsi="Times New Roman"/>
          <w:sz w:val="18"/>
          <w:szCs w:val="18"/>
          <w:color w:val="auto"/>
        </w:rPr>
        <w:t>(decrease) each of cash and cash equivalents and total stockholders’ deficit by $ million, assuming that the number of shares offered by us, as set forth on the cover page of this prospectus, remains the same, and after deducting the estimated underwriting discounts and commissions. Similarly, each increase (decrease) of 1.0 million shares in the number of shares of Class A common stock offered by us would increase (decrease) each of cash and cash equivalents and total stockholders’</w:t>
      </w:r>
    </w:p>
    <w:p>
      <w:pPr>
        <w:spacing w:after="0" w:line="2" w:lineRule="exact"/>
        <w:rPr>
          <w:sz w:val="20"/>
          <w:szCs w:val="20"/>
          <w:color w:val="auto"/>
        </w:rPr>
      </w:pPr>
    </w:p>
    <w:p>
      <w:pPr>
        <w:ind w:left="1640"/>
        <w:spacing w:after="0"/>
        <w:tabs>
          <w:tab w:leader="none" w:pos="3040" w:val="left"/>
        </w:tabs>
        <w:rPr>
          <w:sz w:val="20"/>
          <w:szCs w:val="20"/>
          <w:color w:val="auto"/>
        </w:rPr>
      </w:pPr>
      <w:r>
        <w:rPr>
          <w:rFonts w:ascii="Times New Roman" w:cs="Times New Roman" w:eastAsia="Times New Roman" w:hAnsi="Times New Roman"/>
          <w:sz w:val="18"/>
          <w:szCs w:val="18"/>
          <w:color w:val="auto"/>
        </w:rPr>
        <w:t>deficit by $</w:t>
      </w:r>
      <w:r>
        <w:rPr>
          <w:sz w:val="20"/>
          <w:szCs w:val="20"/>
          <w:color w:val="auto"/>
        </w:rPr>
        <w:tab/>
      </w:r>
      <w:r>
        <w:rPr>
          <w:rFonts w:ascii="Times New Roman" w:cs="Times New Roman" w:eastAsia="Times New Roman" w:hAnsi="Times New Roman"/>
          <w:sz w:val="18"/>
          <w:szCs w:val="18"/>
          <w:color w:val="auto"/>
        </w:rPr>
        <w:t>million.</w:t>
      </w:r>
    </w:p>
    <w:p>
      <w:pPr>
        <w:spacing w:after="0" w:line="58" w:lineRule="exact"/>
        <w:rPr>
          <w:sz w:val="20"/>
          <w:szCs w:val="20"/>
          <w:color w:val="auto"/>
        </w:rPr>
      </w:pPr>
    </w:p>
    <w:p>
      <w:pPr>
        <w:ind w:left="1640" w:hanging="360"/>
        <w:spacing w:after="0"/>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$million of deferred offering costs that had not been paid as of September 30, 2020.</w:t>
      </w:r>
    </w:p>
    <w:p>
      <w:pPr>
        <w:spacing w:after="0" w:line="76" w:lineRule="exact"/>
        <w:rPr>
          <w:rFonts w:ascii="Times New Roman" w:cs="Times New Roman" w:eastAsia="Times New Roman" w:hAnsi="Times New Roman"/>
          <w:sz w:val="18"/>
          <w:szCs w:val="18"/>
          <w:color w:val="auto"/>
        </w:rPr>
      </w:pPr>
    </w:p>
    <w:p>
      <w:pPr>
        <w:ind w:left="1640" w:right="679" w:hanging="360"/>
        <w:spacing w:after="0" w:line="282" w:lineRule="auto"/>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$375.0 million aggregate principal amount of 1.90% fixed rate asset-backed notes due 2025 issued on October 13, 2020 by Affirm Asset Securitization Trust 2020-Z2.</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Key Operating Metrics and Non-GAAP Financial Measures</w:t>
      </w:r>
    </w:p>
    <w:p>
      <w:pPr>
        <w:spacing w:after="0" w:line="162" w:lineRule="exact"/>
        <w:rPr>
          <w:sz w:val="20"/>
          <w:szCs w:val="20"/>
          <w:color w:val="auto"/>
        </w:rPr>
      </w:pPr>
    </w:p>
    <w:p>
      <w:pPr>
        <w:ind w:left="1280" w:right="919" w:firstLine="360"/>
        <w:spacing w:after="0" w:line="245" w:lineRule="auto"/>
        <w:rPr>
          <w:sz w:val="20"/>
          <w:szCs w:val="20"/>
          <w:color w:val="auto"/>
        </w:rPr>
      </w:pPr>
      <w:r>
        <w:rPr>
          <w:rFonts w:ascii="Times New Roman" w:cs="Times New Roman" w:eastAsia="Times New Roman" w:hAnsi="Times New Roman"/>
          <w:sz w:val="18"/>
          <w:szCs w:val="18"/>
          <w:color w:val="auto"/>
        </w:rPr>
        <w:t>We collect and analyze operating and financial data of our business to assess our performance, formulate financial projections, and make strategic decisions. In addition to total revenues, net, operating loss, net loss, and other results under generally accepted accounting principles (“GAAP”), the following table sets forth key operating metrics and non-GAAP financial measures we use to evaluate our business.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Gross Merchandise Volume (GMV) ($)</w:t>
      </w:r>
      <w:r>
        <w:rPr>
          <w:rFonts w:ascii="Times New Roman" w:cs="Times New Roman" w:eastAsia="Times New Roman" w:hAnsi="Times New Roman"/>
          <w:sz w:val="26"/>
          <w:szCs w:val="26"/>
          <w:color w:val="auto"/>
          <w:vertAlign w:val="superscript"/>
        </w:rPr>
        <w:t>(1)</w:t>
      </w:r>
    </w:p>
    <w:p>
      <w:pPr>
        <w:ind w:left="1280"/>
        <w:spacing w:after="0" w:line="216" w:lineRule="auto"/>
        <w:rPr>
          <w:sz w:val="20"/>
          <w:szCs w:val="20"/>
          <w:color w:val="auto"/>
        </w:rPr>
      </w:pPr>
      <w:r>
        <w:rPr>
          <w:rFonts w:ascii="Times New Roman" w:cs="Times New Roman" w:eastAsia="Times New Roman" w:hAnsi="Times New Roman"/>
          <w:sz w:val="18"/>
          <w:szCs w:val="18"/>
          <w:color w:val="auto"/>
        </w:rPr>
        <w:t>Active Consumers</w:t>
      </w:r>
      <w:r>
        <w:rPr>
          <w:rFonts w:ascii="Times New Roman" w:cs="Times New Roman" w:eastAsia="Times New Roman" w:hAnsi="Times New Roman"/>
          <w:sz w:val="26"/>
          <w:szCs w:val="26"/>
          <w:color w:val="auto"/>
          <w:vertAlign w:val="superscript"/>
        </w:rPr>
        <w:t>(2)</w:t>
      </w:r>
    </w:p>
    <w:p>
      <w:pPr>
        <w:ind w:left="1280"/>
        <w:spacing w:after="0" w:line="217" w:lineRule="auto"/>
        <w:rPr>
          <w:sz w:val="20"/>
          <w:szCs w:val="20"/>
          <w:color w:val="auto"/>
        </w:rPr>
      </w:pPr>
      <w:r>
        <w:rPr>
          <w:rFonts w:ascii="Times New Roman" w:cs="Times New Roman" w:eastAsia="Times New Roman" w:hAnsi="Times New Roman"/>
          <w:sz w:val="18"/>
          <w:szCs w:val="18"/>
          <w:color w:val="auto"/>
        </w:rPr>
        <w:t>Transactions per Active Consumer (x)</w:t>
      </w:r>
      <w:r>
        <w:rPr>
          <w:rFonts w:ascii="Times New Roman" w:cs="Times New Roman" w:eastAsia="Times New Roman" w:hAnsi="Times New Roman"/>
          <w:sz w:val="26"/>
          <w:szCs w:val="26"/>
          <w:color w:val="auto"/>
          <w:vertAlign w:val="superscript"/>
        </w:rPr>
        <w:t>(3)</w:t>
      </w:r>
    </w:p>
    <w:p>
      <w:pPr>
        <w:ind w:left="1280"/>
        <w:spacing w:after="0" w:line="217" w:lineRule="auto"/>
        <w:rPr>
          <w:sz w:val="20"/>
          <w:szCs w:val="20"/>
          <w:color w:val="auto"/>
        </w:rPr>
      </w:pPr>
      <w:r>
        <w:rPr>
          <w:rFonts w:ascii="Times New Roman" w:cs="Times New Roman" w:eastAsia="Times New Roman" w:hAnsi="Times New Roman"/>
          <w:sz w:val="18"/>
          <w:szCs w:val="18"/>
          <w:color w:val="auto"/>
        </w:rPr>
        <w:t>Contribution profit ($)</w:t>
      </w:r>
      <w:r>
        <w:rPr>
          <w:rFonts w:ascii="Times New Roman" w:cs="Times New Roman" w:eastAsia="Times New Roman" w:hAnsi="Times New Roman"/>
          <w:sz w:val="26"/>
          <w:szCs w:val="26"/>
          <w:color w:val="auto"/>
          <w:vertAlign w:val="superscript"/>
        </w:rPr>
        <w:t>(4)</w:t>
      </w:r>
    </w:p>
    <w:p>
      <w:pPr>
        <w:ind w:left="1280"/>
        <w:spacing w:after="0"/>
        <w:rPr>
          <w:sz w:val="20"/>
          <w:szCs w:val="20"/>
          <w:color w:val="auto"/>
        </w:rPr>
      </w:pPr>
      <w:r>
        <w:rPr>
          <w:rFonts w:ascii="Times New Roman" w:cs="Times New Roman" w:eastAsia="Times New Roman" w:hAnsi="Times New Roman"/>
          <w:sz w:val="18"/>
          <w:szCs w:val="18"/>
          <w:color w:val="auto"/>
        </w:rPr>
        <w:t>Contribution profit as a percentage of GMV (%)</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90"/>
        </w:trPr>
        <w:tc>
          <w:tcPr>
            <w:tcW w:w="560" w:type="dxa"/>
            <w:vAlign w:val="bottom"/>
          </w:tcPr>
          <w:p>
            <w:pPr>
              <w:spacing w:after="0"/>
              <w:rPr>
                <w:sz w:val="16"/>
                <w:szCs w:val="16"/>
                <w:color w:val="auto"/>
              </w:rPr>
            </w:pPr>
          </w:p>
        </w:tc>
        <w:tc>
          <w:tcPr>
            <w:tcW w:w="13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3"/>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consumer and percent data)</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2,620,059</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4,637,220</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861,306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1,475,929</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2,045</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3,618</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54,395</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160,862</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43,993</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43" w:lineRule="exact"/>
        <w:rPr>
          <w:sz w:val="20"/>
          <w:szCs w:val="20"/>
          <w:color w:val="auto"/>
        </w:rPr>
      </w:pPr>
    </w:p>
    <w:p>
      <w:pPr>
        <w:sectPr>
          <w:pgSz w:w="11900" w:h="16838" w:orient="portrait"/>
          <w:cols w:equalWidth="0" w:num="2">
            <w:col w:w="5280" w:space="720"/>
            <w:col w:w="4139"/>
          </w:cols>
          <w:pgMar w:left="320" w:top="114" w:right="1440" w:bottom="1440" w:gutter="0" w:footer="0" w:header="0"/>
          <w:type w:val="continuous"/>
        </w:sectPr>
      </w:pPr>
    </w:p>
    <w:p>
      <w:pPr>
        <w:spacing w:after="0" w:line="129" w:lineRule="exact"/>
        <w:rPr>
          <w:sz w:val="20"/>
          <w:szCs w:val="20"/>
          <w:color w:val="auto"/>
        </w:rPr>
      </w:pPr>
    </w:p>
    <w:p>
      <w:pPr>
        <w:ind w:left="1640" w:right="719" w:hanging="360"/>
        <w:spacing w:after="0" w:line="282"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GMV as the total dollar amount of all transactions on the Affirm platform during the period, net of refunds.</w:t>
      </w:r>
    </w:p>
    <w:p>
      <w:pPr>
        <w:spacing w:after="0" w:line="13" w:lineRule="exact"/>
        <w:rPr>
          <w:rFonts w:ascii="Times New Roman" w:cs="Times New Roman" w:eastAsia="Times New Roman" w:hAnsi="Times New Roman"/>
          <w:sz w:val="18"/>
          <w:szCs w:val="18"/>
          <w:color w:val="auto"/>
        </w:rPr>
      </w:pPr>
    </w:p>
    <w:p>
      <w:pPr>
        <w:ind w:left="1640" w:right="899" w:hanging="360"/>
        <w:spacing w:after="0" w:line="282"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an active consumer as a consumer who engages in at least one transaction on our platform during the 12 months prior to the measurement date.</w:t>
      </w:r>
    </w:p>
    <w:p>
      <w:pPr>
        <w:spacing w:after="0" w:line="13" w:lineRule="exact"/>
        <w:rPr>
          <w:rFonts w:ascii="Times New Roman" w:cs="Times New Roman" w:eastAsia="Times New Roman" w:hAnsi="Times New Roman"/>
          <w:sz w:val="18"/>
          <w:szCs w:val="18"/>
          <w:color w:val="auto"/>
        </w:rPr>
      </w:pPr>
    </w:p>
    <w:p>
      <w:pPr>
        <w:ind w:left="1640" w:right="1279" w:hanging="360"/>
        <w:spacing w:after="0" w:line="282"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transactions per active consumer as the average number of transactions that an active consumer has conducted on our platform during the 12 months prior to the measurement date.</w:t>
      </w:r>
    </w:p>
    <w:p>
      <w:pPr>
        <w:spacing w:after="0" w:line="13" w:lineRule="exact"/>
        <w:rPr>
          <w:rFonts w:ascii="Times New Roman" w:cs="Times New Roman" w:eastAsia="Times New Roman" w:hAnsi="Times New Roman"/>
          <w:sz w:val="18"/>
          <w:szCs w:val="18"/>
          <w:color w:val="auto"/>
        </w:rPr>
      </w:pPr>
    </w:p>
    <w:p>
      <w:pPr>
        <w:ind w:left="1640" w:right="759" w:hanging="360"/>
        <w:spacing w:after="0" w:line="266"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contribution profit as operating loss plus the following operating expenses that are not closely correlated to, or variable with, the generation of revenue in the period: (i) Technology and data analytics; (ii) Sales and marketing; and (iii) General and administrative expenses.</w:t>
      </w:r>
    </w:p>
    <w:p>
      <w:pPr>
        <w:spacing w:after="0" w:line="27" w:lineRule="exact"/>
        <w:rPr>
          <w:rFonts w:ascii="Times New Roman" w:cs="Times New Roman" w:eastAsia="Times New Roman" w:hAnsi="Times New Roman"/>
          <w:sz w:val="18"/>
          <w:szCs w:val="18"/>
          <w:color w:val="auto"/>
        </w:rPr>
      </w:pPr>
    </w:p>
    <w:p>
      <w:pPr>
        <w:ind w:left="1640" w:right="879" w:hanging="360"/>
        <w:spacing w:after="0" w:line="282"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contribution profit as a percentage of GMV as the contribution profit divided by the GMV for that period.</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Contribution Profit</w:t>
      </w:r>
    </w:p>
    <w:p>
      <w:pPr>
        <w:spacing w:after="0" w:line="162" w:lineRule="exact"/>
        <w:rPr>
          <w:sz w:val="20"/>
          <w:szCs w:val="20"/>
          <w:color w:val="auto"/>
        </w:rPr>
      </w:pPr>
    </w:p>
    <w:p>
      <w:pPr>
        <w:ind w:left="1280" w:right="699" w:firstLine="360"/>
        <w:spacing w:after="0" w:line="242" w:lineRule="auto"/>
        <w:rPr>
          <w:sz w:val="20"/>
          <w:szCs w:val="20"/>
          <w:color w:val="auto"/>
        </w:rPr>
      </w:pPr>
      <w:r>
        <w:rPr>
          <w:rFonts w:ascii="Times New Roman" w:cs="Times New Roman" w:eastAsia="Times New Roman" w:hAnsi="Times New Roman"/>
          <w:sz w:val="18"/>
          <w:szCs w:val="18"/>
          <w:color w:val="auto"/>
        </w:rPr>
        <w:t>Contribution profit is a non- GAAP financial measure that represents the unit economics of transactions facilitated by our platform in the period. We define contribution profit as operating loss plus the following operating expenses that are not closely correlated to, or variable with, the generation of revenue in the period: (i) Technology and data analytics; (ii) Sales and marketing; and (iii) General and administrative expenses.</w:t>
      </w:r>
    </w:p>
    <w:p>
      <w:pPr>
        <w:spacing w:after="0" w:line="326" w:lineRule="exact"/>
        <w:rPr>
          <w:sz w:val="20"/>
          <w:szCs w:val="20"/>
          <w:color w:val="auto"/>
        </w:rPr>
      </w:pPr>
    </w:p>
    <w:p>
      <w:pPr>
        <w:jc w:val="both"/>
        <w:ind w:left="1280" w:right="779" w:firstLine="360"/>
        <w:spacing w:after="0" w:line="266" w:lineRule="auto"/>
        <w:rPr>
          <w:sz w:val="20"/>
          <w:szCs w:val="20"/>
          <w:color w:val="auto"/>
        </w:rPr>
      </w:pPr>
      <w:r>
        <w:rPr>
          <w:rFonts w:ascii="Times New Roman" w:cs="Times New Roman" w:eastAsia="Times New Roman" w:hAnsi="Times New Roman"/>
          <w:sz w:val="18"/>
          <w:szCs w:val="18"/>
          <w:color w:val="auto"/>
        </w:rPr>
        <w:t>The above operating expenses added back to operating loss in the reconciliation to contribution profit represent costs of the design, development, improvement, maintenance, and administration of our platform and business as a whole. Such costs are generally fixed or are not closely correlated with revenues. We add</w:t>
      </w:r>
    </w:p>
    <w:p>
      <w:pPr>
        <w:sectPr>
          <w:pgSz w:w="11900" w:h="16838" w:orient="portrait"/>
          <w:cols w:equalWidth="0" w:num="1">
            <w:col w:w="10139"/>
          </w:cols>
          <w:pgMar w:left="320" w:top="114" w:right="1440" w:bottom="1440" w:gutter="0" w:footer="0" w:header="0"/>
          <w:type w:val="continuous"/>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879"/>
        <w:spacing w:after="0" w:line="258" w:lineRule="auto"/>
        <w:rPr>
          <w:sz w:val="20"/>
          <w:szCs w:val="20"/>
          <w:color w:val="auto"/>
        </w:rPr>
      </w:pPr>
      <w:r>
        <w:rPr>
          <w:rFonts w:ascii="Times New Roman" w:cs="Times New Roman" w:eastAsia="Times New Roman" w:hAnsi="Times New Roman"/>
          <w:sz w:val="18"/>
          <w:szCs w:val="18"/>
          <w:color w:val="auto"/>
        </w:rPr>
        <w:t>back technology and data analytics expenses in the reconciliation to contribution profit because these primarily consist of personnel costs, including salaries and stock-based compensation, and expenses incurred to support our infrastructure, cloud hosting, and operational data inputs to refine our risk scoring model, and we believe these expenses do not represent an incremental unit of cost on a transaction processed on our platform.</w:t>
      </w:r>
    </w:p>
    <w:p>
      <w:pPr>
        <w:spacing w:after="0" w:line="102" w:lineRule="exact"/>
        <w:rPr>
          <w:sz w:val="20"/>
          <w:szCs w:val="20"/>
          <w:color w:val="auto"/>
        </w:rPr>
      </w:pPr>
    </w:p>
    <w:p>
      <w:pPr>
        <w:ind w:left="1280" w:right="699" w:firstLine="360"/>
        <w:spacing w:after="0" w:line="258" w:lineRule="auto"/>
        <w:rPr>
          <w:sz w:val="20"/>
          <w:szCs w:val="20"/>
          <w:color w:val="auto"/>
        </w:rPr>
      </w:pPr>
      <w:r>
        <w:rPr>
          <w:rFonts w:ascii="Times New Roman" w:cs="Times New Roman" w:eastAsia="Times New Roman" w:hAnsi="Times New Roman"/>
          <w:sz w:val="18"/>
          <w:szCs w:val="18"/>
          <w:color w:val="auto"/>
        </w:rPr>
        <w:t>The operating costs that are closely correlated to revenue-generating activities consist of our loss on loan purchase commitment, provision for credit losses, funding costs, and processing and servicing expenses as they vary with the volume of transactions processed on our platform and changes in the balance of loans held for investment on our consolidated balance sheet. Contribution profit as a percentage of GMV is calculated by dividing contribution profit by GMV.</w:t>
      </w:r>
    </w:p>
    <w:p>
      <w:pPr>
        <w:spacing w:after="0" w:line="116"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Our management uses contribution profit and contribution profit as a percentage of GMV in conjunction with financial measures prepared in accordance with GAAP as measures of our operating results, the effectiveness of our business strategy, and the health of our financial performance. When used in conjunction with other GAAP metrics, contribution profit can serve as a useful measure of the economic impact of each dollar of GMV we facilitate on our platform as it takes into account the revenue and direct expenses associated with generating and servicing transactions on our platform. When taken together, the revenues and expenses in our contribution profit metric provide evaluations, among others, of the merchant network demand for our services, the asset quality of transactions originated on our platform and our ability to efficiently service our consumers.</w:t>
      </w:r>
    </w:p>
    <w:p>
      <w:pPr>
        <w:spacing w:after="0" w:line="121" w:lineRule="exact"/>
        <w:rPr>
          <w:sz w:val="20"/>
          <w:szCs w:val="20"/>
          <w:color w:val="auto"/>
        </w:rPr>
      </w:pPr>
    </w:p>
    <w:p>
      <w:pPr>
        <w:ind w:left="1280" w:right="759" w:firstLine="360"/>
        <w:spacing w:after="0" w:line="261" w:lineRule="auto"/>
        <w:rPr>
          <w:sz w:val="20"/>
          <w:szCs w:val="20"/>
          <w:color w:val="auto"/>
        </w:rPr>
      </w:pPr>
      <w:r>
        <w:rPr>
          <w:rFonts w:ascii="Times New Roman" w:cs="Times New Roman" w:eastAsia="Times New Roman" w:hAnsi="Times New Roman"/>
          <w:sz w:val="18"/>
          <w:szCs w:val="18"/>
          <w:color w:val="auto"/>
        </w:rPr>
        <w:t>However, non-GAAP financial information is presented for supplemental informational purposes only, and our use of contribution profit and contribution profit as a percentage of GMV have limitations as analytical tools. Investors should not consider these non-GAAP measures in isolation or as substitutes for analysis of our financial results as reported under GAAP. Some of these limitations are as follows:</w:t>
      </w:r>
    </w:p>
    <w:p>
      <w:pPr>
        <w:spacing w:after="0" w:line="72" w:lineRule="exact"/>
        <w:rPr>
          <w:sz w:val="20"/>
          <w:szCs w:val="20"/>
          <w:color w:val="auto"/>
        </w:rPr>
      </w:pPr>
    </w:p>
    <w:p>
      <w:pPr>
        <w:jc w:val="both"/>
        <w:ind w:left="1820" w:right="1119" w:hanging="180"/>
        <w:spacing w:after="0" w:line="266"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profit is not intended to be a measure of operating profit or loss as it excludes key operating expenses such as technology and data analytics, sales and marketing, and general and administrative expenses; and</w:t>
      </w:r>
    </w:p>
    <w:p>
      <w:pPr>
        <w:spacing w:after="0" w:line="67" w:lineRule="exact"/>
        <w:rPr>
          <w:rFonts w:ascii="Times New Roman" w:cs="Times New Roman" w:eastAsia="Times New Roman" w:hAnsi="Times New Roman"/>
          <w:sz w:val="18"/>
          <w:szCs w:val="18"/>
          <w:color w:val="auto"/>
        </w:rPr>
      </w:pPr>
    </w:p>
    <w:p>
      <w:pPr>
        <w:ind w:left="1820" w:right="859" w:hanging="180"/>
        <w:spacing w:after="0" w:line="266"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contribution profit differently from how we calculate this measure or not at all, which reduces its usefulness as a comparative measure.</w:t>
      </w:r>
    </w:p>
    <w:p>
      <w:pPr>
        <w:spacing w:after="0" w:line="95" w:lineRule="exact"/>
        <w:rPr>
          <w:sz w:val="20"/>
          <w:szCs w:val="20"/>
          <w:color w:val="auto"/>
        </w:rPr>
      </w:pPr>
    </w:p>
    <w:p>
      <w:pPr>
        <w:ind w:left="1280" w:right="699" w:firstLine="360"/>
        <w:spacing w:after="0" w:line="258" w:lineRule="auto"/>
        <w:rPr>
          <w:sz w:val="20"/>
          <w:szCs w:val="20"/>
          <w:color w:val="auto"/>
        </w:rPr>
      </w:pPr>
      <w:r>
        <w:rPr>
          <w:rFonts w:ascii="Times New Roman" w:cs="Times New Roman" w:eastAsia="Times New Roman" w:hAnsi="Times New Roman"/>
          <w:sz w:val="18"/>
          <w:szCs w:val="18"/>
          <w:color w:val="auto"/>
        </w:rPr>
        <w:t>Because of these limitations, contribution profit and contribution profit as a percentage of GMV should be considered along with other operating and financial performance measures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16" w:lineRule="exact"/>
        <w:rPr>
          <w:sz w:val="20"/>
          <w:szCs w:val="20"/>
          <w:color w:val="auto"/>
        </w:rPr>
      </w:pPr>
    </w:p>
    <w:p>
      <w:pPr>
        <w:ind w:left="1280" w:right="10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operating loss to contribution profit for each of the periods indicated: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Operating loss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Add back: Technology and data analytics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Add back: Sales and marketing</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Add back: General and administrative</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6"/>
          <w:szCs w:val="26"/>
          <w:color w:val="auto"/>
          <w:vertAlign w:val="superscript"/>
        </w:rPr>
        <w:t>(1)</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GMV</w:t>
      </w:r>
    </w:p>
    <w:p>
      <w:pPr>
        <w:spacing w:after="0" w:line="5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Contribution profit as a percentage of GMV</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7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20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9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7"/>
                <w:szCs w:val="17"/>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23"/>
        </w:trPr>
        <w:tc>
          <w:tcPr>
            <w:tcW w:w="18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8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(127,441)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(107,790)</w:t>
            </w: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w w:val="98"/>
              </w:rPr>
              <w:t>$ (32,972)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(44,623)</w:t>
            </w:r>
          </w:p>
        </w:tc>
      </w:tr>
      <w:tr>
        <w:trPr>
          <w:trHeight w:val="257"/>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76,071</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122,378</w:t>
            </w: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25,368</w:t>
            </w: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33,768</w:t>
            </w:r>
          </w:p>
        </w:tc>
      </w:tr>
      <w:tr>
        <w:trPr>
          <w:trHeight w:val="256"/>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16,863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25,044</w:t>
            </w: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5,219</w:t>
            </w: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22,582</w:t>
            </w:r>
          </w:p>
        </w:tc>
      </w:tr>
      <w:tr>
        <w:trPr>
          <w:trHeight w:val="256"/>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88,902</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121,230</w:t>
            </w: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27,704</w:t>
            </w: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32,266</w:t>
            </w:r>
          </w:p>
        </w:tc>
      </w:tr>
    </w:tbl>
    <w:p>
      <w:pPr>
        <w:spacing w:after="0" w:line="36" w:lineRule="exact"/>
        <w:rPr>
          <w:sz w:val="20"/>
          <w:szCs w:val="20"/>
          <w:color w:val="auto"/>
        </w:rPr>
      </w:pPr>
    </w:p>
    <w:p>
      <w:pPr>
        <w:jc w:val="both"/>
        <w:ind w:left="20" w:right="659" w:firstLine="6"/>
        <w:spacing w:after="0" w:line="313" w:lineRule="auto"/>
        <w:tabs>
          <w:tab w:leader="none" w:pos="3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54,395 $ 160,862 $ 25,319 $ 43,993 $2,620,059 $4,637,220 $861,306 $1,475,929</w:t>
      </w:r>
    </w:p>
    <w:p>
      <w:pPr>
        <w:jc w:val="right"/>
        <w:ind w:right="499"/>
        <w:spacing w:after="0"/>
        <w:tabs>
          <w:tab w:leader="none" w:pos="2280" w:val="left"/>
          <w:tab w:leader="none" w:pos="1380" w:val="left"/>
          <w:tab w:leader="none" w:pos="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3.0%</w:t>
      </w:r>
    </w:p>
    <w:p>
      <w:pPr>
        <w:spacing w:after="0" w:line="200" w:lineRule="exact"/>
        <w:rPr>
          <w:sz w:val="20"/>
          <w:szCs w:val="20"/>
          <w:color w:val="auto"/>
        </w:rPr>
      </w:pPr>
    </w:p>
    <w:p>
      <w:pPr>
        <w:sectPr>
          <w:pgSz w:w="11900" w:h="16838" w:orient="portrait"/>
          <w:cols w:equalWidth="0" w:num="2">
            <w:col w:w="4980" w:space="720"/>
            <w:col w:w="44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40" w:right="679" w:hanging="360"/>
        <w:spacing w:after="0" w:line="256" w:lineRule="auto"/>
        <w:tabs>
          <w:tab w:leader="none" w:pos="1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profit does not include adjustments related to: (i) the amortization of discount, which is recorded within Interest income in the Consolidated Statements of Operations and Comprehensive Loss; or (ii) the unamortized discount released on loans sold to third party loan buyers, which is released in full at the time of sale and recorded within Gain (loss) on sales of loans in the Consolidated Statements of Operations and Comprehensive Loss. The following table details activity for the discount included in loans held for investment for the periods indicated: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Balance at the beginning of the period</w:t>
      </w:r>
    </w:p>
    <w:p>
      <w:pPr>
        <w:spacing w:after="0" w:line="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Additions from loans purchased, net of refunds</w:t>
      </w:r>
    </w:p>
    <w:p>
      <w:pPr>
        <w:spacing w:after="0" w:line="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Amortization of discount</w:t>
      </w:r>
    </w:p>
    <w:p>
      <w:pPr>
        <w:spacing w:after="0" w:line="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Unamortized discount released on loans sold</w:t>
      </w:r>
    </w:p>
    <w:p>
      <w:pPr>
        <w:spacing w:after="0" w:line="5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Balance at the end of the period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90"/>
        </w:trPr>
        <w:tc>
          <w:tcPr>
            <w:tcW w:w="520" w:type="dxa"/>
            <w:vAlign w:val="bottom"/>
          </w:tcPr>
          <w:p>
            <w:pPr>
              <w:spacing w:after="0"/>
              <w:rPr>
                <w:sz w:val="16"/>
                <w:szCs w:val="16"/>
                <w:color w:val="auto"/>
              </w:rPr>
            </w:pPr>
          </w:p>
        </w:tc>
        <w:tc>
          <w:tcPr>
            <w:tcW w:w="134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3"/>
        </w:trPr>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80" w:hanging="259"/>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5,201   $  13,068   $ 13,068   $ 28,659</w:t>
      </w:r>
    </w:p>
    <w:p>
      <w:pPr>
        <w:spacing w:after="0" w:line="36"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70,700157,42620,20758,143</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(21,833)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(35,251)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(7,406)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r>
      <w:tr>
        <w:trPr>
          <w:trHeight w:val="24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(41,000)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(106,584)</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(12,682)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(15,997)</w:t>
            </w:r>
          </w:p>
        </w:tc>
      </w:tr>
      <w:tr>
        <w:trPr>
          <w:trHeight w:val="237"/>
        </w:trPr>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$ 13,068</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28,659</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$ 13,187</w:t>
            </w: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$ 56,035</w:t>
            </w:r>
          </w:p>
        </w:tc>
        <w:tc>
          <w:tcPr>
            <w:tcW w:w="60" w:type="dxa"/>
            <w:vAlign w:val="bottom"/>
          </w:tcPr>
          <w:p>
            <w:pPr>
              <w:spacing w:after="0"/>
              <w:rPr>
                <w:sz w:val="20"/>
                <w:szCs w:val="20"/>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00" w:space="500"/>
            <w:col w:w="44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right="8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108"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Our continued success is dependent on our ability to expand our merchant base and to grow our merchants’ revenue on our platform. We derive revenue primarily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117"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Our agreements with our merchant partners have terms that range from approximately 12 months to 36 months, and our merchants can generally terminate these agreements without cause upon 30 to 90 days’ prior written notice, although loans facilitated through our platform that are disbursed through single-use virtual cards do not involve a merchant partnership relationship. The termination of one or more of our merchant agreements would result in a reduction in transaction volume and merchant network revenue. In addition,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though we may see potential downswing in these categories if the trends we have seen thus far in the COVID-19 pandemic reverse. If we fail to retain any of our larger merchant partners or a substantial number of our smaller merchant partners, if we do not acquire new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w:t>
      </w:r>
    </w:p>
    <w:p>
      <w:pPr>
        <w:spacing w:after="0" w:line="200" w:lineRule="exact"/>
        <w:rPr>
          <w:sz w:val="20"/>
          <w:szCs w:val="20"/>
          <w:color w:val="auto"/>
        </w:rPr>
      </w:pPr>
    </w:p>
    <w:p>
      <w:pPr>
        <w:spacing w:after="0" w:line="217" w:lineRule="exact"/>
        <w:rPr>
          <w:sz w:val="20"/>
          <w:szCs w:val="20"/>
          <w:color w:val="auto"/>
        </w:rPr>
      </w:pPr>
    </w:p>
    <w:p>
      <w:pPr>
        <w:ind w:left="1260" w:right="7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5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generate repeat use and increased transaction volume from existing consumers and to attract new consumers to our platform. We generate revenue when consumers pay with Affirm at checkout. In addition, as our consumer ecosystem expands, our contribution profit</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benefits, enabling us to create more compelling offers via merchants, in turn attracting more consumers and merchants. If we are not able to continue to grow our base of consumers, we will not be able to continue to grow our merchant network or our business.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our brand and reputation; consumer experience and satisfaction;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200" w:lineRule="exact"/>
        <w:rPr>
          <w:sz w:val="20"/>
          <w:szCs w:val="20"/>
          <w:color w:val="auto"/>
        </w:rPr>
      </w:pPr>
    </w:p>
    <w:p>
      <w:pPr>
        <w:spacing w:after="0" w:line="206"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 consistently high level of consumer satisfaction and trust in our brand, our business, results of operations, financial condition, and future prospects would be materially and adversely affected.</w:t>
      </w:r>
    </w:p>
    <w:p>
      <w:pPr>
        <w:spacing w:after="0" w:line="78"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Offering a better way for consumers to pay is critical to our success. If consumers do not trust our brand or have a positive experience, they will not use our platform. If consumers do not use our platform, we cannot attract or retain merchants. As a result, we have invested heavily in both technology and our support team. If we are unable to maintain a consistently high level of positive consumer experience, we will lose existing consumers and merchants. In addition, our ability to attract new consumers and merchants is highly dependent on our reputation and on positive recommendations from our existing consumers and merchants. Any failure to maintain a consistently high level of consumer service, or a market perception that we do not maintain high-quality consumer service, would adversely affect our reputation and the number of positive consumer and merchant referrals that we receive. As a result, our business, results of operations, financial condition, and future prospects would be materially and adversely affected.</w:t>
      </w:r>
    </w:p>
    <w:p>
      <w:pPr>
        <w:spacing w:after="0" w:line="190" w:lineRule="exact"/>
        <w:rPr>
          <w:sz w:val="20"/>
          <w:szCs w:val="20"/>
          <w:color w:val="auto"/>
        </w:rPr>
      </w:pPr>
    </w:p>
    <w:p>
      <w:pPr>
        <w:ind w:left="12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10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Our top merchant partner, Peloton, represented approximately 28% of our total revenue for the fiscal year ended June 30, 2020 and 30% of our total revenue for the three months ended September 30, 2020. Our top ten merchants in the aggregate represented approximately 35% of our total revenue for the fiscal year ended June 30, 2020 and approximately 37% of our total revenue for the three months ended September 30, 2020. The concentration of a significant portion of our business and transaction volume with a limited number of merchants,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For example, the significance of Peloton in our portfolio has increased as a result of consumer spending trends on home fitness equipment, and there can be no assurance that such trends will continue or that the levels of total revenue and merchant network revenue that we generate from Peloton will continue. The loss of Peloton as a merchant partner, or the loss of any other significant merchant relationships, would materially and adversely affect our business, results of operations, financial condition, and future prospects.</w:t>
      </w:r>
    </w:p>
    <w:p>
      <w:pPr>
        <w:spacing w:after="0" w:line="347"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In addition, a material modification in the financial operations of any significant merchant partner could affect the results of our operations, financial condition, and future prospects. For example, 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subsequent quarterly period. The implementation of such a change began with respect to Peloton in December 2020. This change will delay the merchant capture dates of certain transactions, which will correspondingly delay the</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79"/>
        <w:spacing w:after="0" w:line="282" w:lineRule="auto"/>
        <w:rPr>
          <w:sz w:val="20"/>
          <w:szCs w:val="20"/>
          <w:color w:val="auto"/>
        </w:rPr>
      </w:pPr>
      <w:r>
        <w:rPr>
          <w:rFonts w:ascii="Times New Roman" w:cs="Times New Roman" w:eastAsia="Times New Roman" w:hAnsi="Times New Roman"/>
          <w:sz w:val="18"/>
          <w:szCs w:val="18"/>
          <w:color w:val="auto"/>
        </w:rPr>
        <w:t>GMV and revenue related to these transactions. This implementation in December 2020 will negatively impact our results of operations, primarily in our second and third fiscal quarters of 2021.</w:t>
      </w:r>
    </w:p>
    <w:p>
      <w:pPr>
        <w:spacing w:after="0" w:line="158"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or our growth rate of related key operating metrics, in the future.</w:t>
      </w:r>
    </w:p>
    <w:p>
      <w:pPr>
        <w:spacing w:after="0" w:line="78"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Although our revenue has increased in recent periods, there can be no assurances that revenue will continue to grow, and we expect our revenue growth rate to decline in future periods. In addition, we have grown our GMV by approximately 77% year-over-year since fiscal year ended June 30, 2019, and 626% since fiscal year ended June 30, 2017, and there can be no assurance that we will maintain our GMV growth rate in future periods. Many factors may contribute to declines in our revenue and GMV growth rates, including increased competition, slowing demand for our products from existing and new consumers, transaction volume and mix (particularly with our significant merchant partners), lower sales by our merchants (particularly those with whom we have significant relationships), general economic conditions, a failure by us to continue capitalizing on growth opportunities, changes in the regulatory environment and the maturation of our business, among others. You should not rely on the revenue or key operating metrics for any prior quarterly or annual period as an indication of our future performance. If our revenue growth rate declines, our business, financial condition, and results of operations would be adversely affected.</w:t>
      </w:r>
    </w:p>
    <w:p>
      <w:pPr>
        <w:spacing w:after="0" w:line="186" w:lineRule="exact"/>
        <w:rPr>
          <w:sz w:val="20"/>
          <w:szCs w:val="20"/>
          <w:color w:val="auto"/>
        </w:rPr>
      </w:pPr>
    </w:p>
    <w:p>
      <w:pPr>
        <w:ind w:left="1260" w:right="1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68"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and Klarna, as well as new pay-over-time offerings by legacy financial and payments companies, including those mentioned above. We expect competition to intensify in the future,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face competition in areas such as: flexibility on payment options; duration, simplicity, and transparency of payment terms; reliability and speed in processing applications; underwriting effectiveness; compliance and security; promotional offerings; fees; approval rates; ease-of-use; marketing expertise; service levels; products and services; technological capabilities and integration; customer service; brand and reputation; and consumer and merchant satisfaction.</w:t>
      </w:r>
    </w:p>
    <w:p>
      <w:pPr>
        <w:spacing w:after="0" w:line="343"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Some of our competitors, particularly the credit issuing banks set forth above, are substantially larger than we are, which gives those competitors advantages we do not have, such as a more diversified products, a broader consumer and merchant base,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 Our potential competitors may also have longer operating histories, more extensive and broader consumer and merchant relationships, and greater brand recognition and brand loyalty than we have. For example, more established companies that possess large, existing consumer and merchant bases, substantial financial resources, and established distribution channels could enter the market.</w:t>
      </w:r>
    </w:p>
    <w:p>
      <w:pPr>
        <w:spacing w:after="0" w:line="327"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59"/>
        <w:spacing w:after="0" w:line="266" w:lineRule="auto"/>
        <w:rPr>
          <w:sz w:val="20"/>
          <w:szCs w:val="20"/>
          <w:color w:val="auto"/>
        </w:rPr>
      </w:pPr>
      <w:r>
        <w:rPr>
          <w:rFonts w:ascii="Times New Roman" w:cs="Times New Roman" w:eastAsia="Times New Roman" w:hAnsi="Times New Roman"/>
          <w:sz w:val="18"/>
          <w:szCs w:val="18"/>
          <w:color w:val="auto"/>
        </w:rPr>
        <w:t>using our platform, which would reduce the attractiveness of our platform to other consumers and merchants, and which would materially and adversely affect our business, results of operations, financial condition, and future prospects.</w:t>
      </w:r>
    </w:p>
    <w:p>
      <w:pPr>
        <w:spacing w:after="0" w:line="172" w:lineRule="exact"/>
        <w:rPr>
          <w:sz w:val="20"/>
          <w:szCs w:val="20"/>
          <w:color w:val="auto"/>
        </w:rPr>
      </w:pPr>
    </w:p>
    <w:p>
      <w:pPr>
        <w:ind w:left="1260" w:right="7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105"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We rely on Cross River Bank to originate a substantial majority of the loans facilitated through our platform and to comply with various federal, state, and other laws. Cross River Bank handles a variety of consumer and commercial financing programs. The Cross River Bank loan program agreements have initial three-year terms ending in November 2023, which automatically renew twice for successive one-year terms unless either party provides notice of non-renewal to the other party at least 90 days prior to the end of any such term. In addition, upon the occurrence of certain early termination events, either we or Cross River Bank may terminate the loan program agreements immediately upon written notice to the other party. Our Cross River Bank loan program agreements do not prohibit Cross River Bank from working with our competitors or from offering competing services, and Cross River Bank currently offers loan programs through other competing platforms. Cross River Bank could decide not to work with us for any reason, could make working with us cost-prohibitive, or could decide to enter into an exclusive or more favorable relationship with one or more of our competitors. In addition, Cross River Bank may not perform as expected under our loan program agreements. We could in the future have disagreements or disputes with Cross River Bank, which could negatively impact or threaten our relationship with other originating banks with whom we may seek to partner.</w:t>
      </w:r>
    </w:p>
    <w:p>
      <w:pPr>
        <w:spacing w:after="0" w:line="346"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Cross River Bank is subject to oversight by the FDIC and the State of New Jersey Department of Banking and Insurance and must comply with applicable rules and regulations and examination requirements, including requirements to maintain a certain amount of regulatory capital relative to its outstanding loans. Cross River Bank has been subject to adverse regulatory orders. While such orders were unrelated to, and had no impact on, the loans Cross River Bank originates through our platform, any future adverse orders or regulatory enforcement actions, even if unrelated to our platform, could impose restrictions on Cross River Bank’s ability to continue to originate consumer loans through our platform. We are a service provider to Cross River Bank, and as such, we are subject to audit by Cross River Bank in accordance with FDIC guidance related to management of vendors. We are also subject to the examination and enforcement authority of the FDIC under the Bank Service Company Act.</w:t>
      </w:r>
    </w:p>
    <w:p>
      <w:pPr>
        <w:spacing w:after="0" w:line="12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If Cross River Bank were to suspend, limit, or cease its operations, or if our relationship with Cross River Bank were to otherwise terminate for any reason (including, but not limited to, its failure to comply with regulatory actions), we would need to implement a substantially similar arrangement with another bank, obtain additional state licenses, or curtail our operations. If we need to enter into alternative arrangements with a different bank to replace our existing arrangements, we may not be able to negotiate a comparable alternative arrangement in a timely manner or at all. While we recently entered into an origination program agreement with Celtic Bank, a Utah state-chartered industrial bank whose deposits are insured by the FDIC, Celtic Bank has only originated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loans facilitated through our platform which are not reflected in our financial results for the periods presented in this prospectus, and Celtic Bank is not yet able, and may never be able, to provide meaningful originating bank partner services in the event our relationship with Cross River Bank were adversely impacted.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Cross River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 In the event that our relationship with Cross River Bank were terminated, and we were not able to replace it with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66" w:lineRule="auto"/>
        <w:rPr>
          <w:sz w:val="20"/>
          <w:szCs w:val="20"/>
          <w:color w:val="auto"/>
        </w:rPr>
      </w:pPr>
      <w:r>
        <w:rPr>
          <w:rFonts w:ascii="Times New Roman" w:cs="Times New Roman" w:eastAsia="Times New Roman" w:hAnsi="Times New Roman"/>
          <w:sz w:val="18"/>
          <w:szCs w:val="18"/>
          <w:color w:val="auto"/>
        </w:rPr>
        <w:t>another originating bank in a timely manner, on comparable or more favorable terms, or at all, our business, results of operations, financial condition, and future prospects would be materially and adversely affected.</w:t>
      </w:r>
    </w:p>
    <w:p>
      <w:pPr>
        <w:spacing w:after="0" w:line="158" w:lineRule="exact"/>
        <w:rPr>
          <w:sz w:val="20"/>
          <w:szCs w:val="20"/>
          <w:color w:val="auto"/>
        </w:rPr>
      </w:pPr>
    </w:p>
    <w:p>
      <w:pPr>
        <w:ind w:left="1260" w:right="97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100"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Our high-velocity, capital efficient funding model is integral to the success of our commerce platform. To support this model and the growth of our business, we must maintain a variety of funding arrangements, including warehouse facilities, securitization transactions, and forward flow agreements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pacing w:after="0" w:line="116"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We cannot guarantee that these funding arrangements will continue to be available on favorable terms or at all, and our funding strategy may change over time and depends on the availability of such funding arrangements. For example, disruptions in the credit markets or other factors, including the continued impact of the COVID- 19 pandemic, could adversely affect the availability, diversity, cost, and terms of our funding arrangements. The broad impact of COVID-19 on the financial markets has created uncertainty and volatility in many funding markets and with many funding sources. In addition, our funding sources may reassess their exposure to our industry and either curtail access to uncommitted financing capacity, fail to renew or extend facilities, or impose higher costs to access our funding.</w:t>
      </w:r>
    </w:p>
    <w:p>
      <w:pPr>
        <w:spacing w:after="0" w:line="120"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In addition, there can be no assurances that we would be able to extend or replace our existing funding arrangements at maturity, on reasonable terms or at all. Our debt financing and loan sale forward flow facilities are generally short-term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Further, as the volume of loans facilitated through our platform increases, we may require the expansion of our funding capacity under our existing funding arrangements or the addition of new sources of capital. The availability and diversity of our funding arrangements depends on various factors and are subject to numerous risks, many of which are outside of our control.</w:t>
      </w:r>
    </w:p>
    <w:p>
      <w:pPr>
        <w:spacing w:after="0" w:line="107"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particular, loss rates on consumer loans may increase due to factors such as prevailing interest rates, the rate of unemployment, the level of consumer and business confidence, commercial real estate values, the value of the U.S. dollar, energy prices, changes in consumer and business spending, the number of personal bankruptcies, disruptions in the credit markets, the COVID-19 pandemic, and other factors.</w:t>
      </w:r>
    </w:p>
    <w:p>
      <w:pPr>
        <w:spacing w:after="0" w:line="306"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In the event of a sudden or unexpected shortage of funds in the financial system, we may not be able to maintain necessary levels of funding without incurring high funding costs, a reduction in the term or size of funding instruments, and/or the liquidation of certain assets. In such a case, if we are unable to arrange new or alternative methods of financing on favorable terms, we would have to reduce our transaction volume, which could have a material adverse effect on our business, results of operations, financial condition, cash flows, and future prospects.</w:t>
      </w:r>
    </w:p>
    <w:p>
      <w:pPr>
        <w:spacing w:after="0" w:line="116"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37" w:lineRule="auto"/>
        <w:rPr>
          <w:sz w:val="20"/>
          <w:szCs w:val="20"/>
          <w:color w:val="auto"/>
        </w:rPr>
      </w:pPr>
      <w:r>
        <w:rPr>
          <w:rFonts w:ascii="Times New Roman" w:cs="Times New Roman" w:eastAsia="Times New Roman" w:hAnsi="Times New Roman"/>
          <w:sz w:val="18"/>
          <w:szCs w:val="18"/>
          <w:color w:val="auto"/>
        </w:rPr>
        <w:t>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 parties with whom we do business may incur increased costs or business disruption and this could adversely affect our business relationships with such third parties, which in turn could have a material adverse effect on our business, results of operations, financial condition, cash flows, and future prospects.</w:t>
      </w:r>
    </w:p>
    <w:p>
      <w:pPr>
        <w:spacing w:after="0" w:line="189" w:lineRule="exact"/>
        <w:rPr>
          <w:sz w:val="20"/>
          <w:szCs w:val="20"/>
          <w:color w:val="auto"/>
        </w:rPr>
      </w:pPr>
    </w:p>
    <w:p>
      <w:pPr>
        <w:ind w:left="1260" w:right="10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77" w:lineRule="exact"/>
        <w:rPr>
          <w:sz w:val="20"/>
          <w:szCs w:val="20"/>
          <w:color w:val="auto"/>
        </w:rPr>
      </w:pPr>
    </w:p>
    <w:p>
      <w:pPr>
        <w:ind w:left="1260" w:right="779" w:firstLine="360"/>
        <w:spacing w:after="0" w:line="238" w:lineRule="auto"/>
        <w:rPr>
          <w:sz w:val="20"/>
          <w:szCs w:val="20"/>
          <w:color w:val="auto"/>
        </w:rPr>
      </w:pPr>
      <w:r>
        <w:rPr>
          <w:rFonts w:ascii="Times New Roman" w:cs="Times New Roman" w:eastAsia="Times New Roman" w:hAnsi="Times New Roman"/>
          <w:sz w:val="18"/>
          <w:szCs w:val="18"/>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 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12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12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 parties with whom we contract or otherwise do business. While we continuously update our risk model as new information becomes available to us, any changes to our risk model may be ineffective and the performance of our risk model may decline. Further, our proprietary risk model was built prior to the COVID-19 pandemic, and consequently was not designed to take into account the longer-term impacts of social, economic, and financial disruptions caused by the pandemic. If our risk model does not effectively and accurately model the credit risk of potential loans facilitated through our platform, greater than expected losses may result on such loans and, as a result, our business, results of operations, financial condition, and future prospects could be materially and adversely affected.</w:t>
      </w:r>
    </w:p>
    <w:p>
      <w:pPr>
        <w:spacing w:after="0" w:line="106"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of the credit risk or fraud models we use contain programming or other errors or is ineffective or the data provided by consumers or third parties is incorrect or stale, or if we are unable to obtain accurate data from consumers or third parties (such as credit 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104"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189" w:lineRule="exact"/>
        <w:rPr>
          <w:sz w:val="20"/>
          <w:szCs w:val="20"/>
          <w:color w:val="auto"/>
        </w:rPr>
      </w:pPr>
    </w:p>
    <w:p>
      <w:pPr>
        <w:ind w:left="126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67"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For certain loans facilitated through our platform that we purchase from our originating bank partners, we hold the loan receivables for investment on our balance sheet. We bear the entire credit risk in the event that these consumers default with respect to these loan receivables. In addition, non-performance, or even significant underperformance, of the loan receivables that we own could have an adverse effect on our business.</w:t>
      </w:r>
    </w:p>
    <w:p>
      <w:pPr>
        <w:spacing w:after="0" w:line="326" w:lineRule="exact"/>
        <w:rPr>
          <w:sz w:val="20"/>
          <w:szCs w:val="20"/>
          <w:color w:val="auto"/>
        </w:rPr>
      </w:pPr>
    </w:p>
    <w:p>
      <w:pPr>
        <w:ind w:left="1260" w:right="899" w:firstLine="360"/>
        <w:spacing w:after="0" w:line="241" w:lineRule="auto"/>
        <w:rPr>
          <w:sz w:val="20"/>
          <w:szCs w:val="20"/>
          <w:color w:val="auto"/>
        </w:rPr>
      </w:pPr>
      <w:r>
        <w:rPr>
          <w:rFonts w:ascii="Times New Roman" w:cs="Times New Roman" w:eastAsia="Times New Roman" w:hAnsi="Times New Roman"/>
          <w:sz w:val="18"/>
          <w:szCs w:val="18"/>
          <w:color w:val="auto"/>
        </w:rPr>
        <w:t>Additionally, our funding model relies on a variety of funding arrangements, including warehouse facilities, securitization transactions, and forward flow agreements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180" w:lineRule="exact"/>
        <w:rPr>
          <w:sz w:val="20"/>
          <w:szCs w:val="20"/>
          <w:color w:val="auto"/>
        </w:rPr>
      </w:pPr>
    </w:p>
    <w:p>
      <w:pPr>
        <w:ind w:left="1260" w:right="11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77"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The experience of 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and retain highly skilled employees.</w:t>
      </w:r>
    </w:p>
    <w:p>
      <w:pPr>
        <w:spacing w:after="0" w:line="162"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particularly in the San Francisco Bay Area, is extremely intense.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82" w:lineRule="auto"/>
        <w:rPr>
          <w:sz w:val="20"/>
          <w:szCs w:val="20"/>
          <w:color w:val="auto"/>
        </w:rPr>
      </w:pPr>
      <w:r>
        <w:rPr>
          <w:rFonts w:ascii="Times New Roman" w:cs="Times New Roman" w:eastAsia="Times New Roman" w:hAnsi="Times New Roman"/>
          <w:sz w:val="18"/>
          <w:szCs w:val="18"/>
          <w:color w:val="auto"/>
        </w:rPr>
        <w:t>continue to attract experienced engineering and technology personnel, our business, results of operations, financial condition, and future prospects could be materially and adversely affected.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results depend on more prominent presentation, integration, and support of our platform by our merchants.</w:t>
      </w:r>
    </w:p>
    <w:p>
      <w:pPr>
        <w:spacing w:after="0" w:line="160"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We depend on our merchants, which generally accept most major credit cards and other forms of payment, to present our platform as a payment option and to integrate our platform into their website or in their store, such as by prominently featuring our platform on their websites or in their stores and not just as an option at website checkout. We do not have any recourse against merchants when they do not prominently present our platform as a payment option. The failure by our merchants to effectively present, integrate, and support our platform would have a material and adverse effect on our business, results of operations, financial condition, and future prospects.</w:t>
      </w:r>
    </w:p>
    <w:p>
      <w:pPr>
        <w:spacing w:after="0" w:line="185"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promote, protect, and maintain our brand in a cost-effective manner, we may lose market share and our revenue may decrease.</w:t>
      </w:r>
    </w:p>
    <w:p>
      <w:pPr>
        <w:spacing w:after="0" w:line="91"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 in a cost-effective manner is critical to attracting new and retaining existing merchants and consumers to our platform. Successful promotion of our brand will depend largely on the effectiveness of our marketing efforts and the experience of merchants and consumers.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merchants and consumers to our competitors or be unable to attract new merchants and consumers. Any such loss of existing merchants or consumers, or inability to attract new merchants or consumers, would have an adverse effect on our business and results of operations.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incurred net losses of approximately $120.5 million in the fiscal year ended June 30, 2019 and approximately $112.6 million in the fiscal year ended June 30, 2020. We incurred net losses of approximately $30.1 million and $15.3 million in the three months ended September 30, 2019 and 2020, respectively. As of June 30, 2020, our accumulated deficit was approximately $447.2 million. As of September 30, 2020, our accumulated deficit was approximately $462.4 million. We anticipate that our operating expenses will increase in the foreseeable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Additionally, we may not realize the operating efficiencies we expect to achieve as a result of our acquisition of PayBright. These efforts may prove more expensive than we currently anticipate, and we may not succeed in increasing our revenue sufficiently to offset these higher expenses. We expect to incur additional net losses in the future and may not achieve or maintain profitability on a quarterly or annual basis.</w:t>
      </w:r>
    </w:p>
    <w:p>
      <w:pPr>
        <w:spacing w:after="0" w:line="183" w:lineRule="exact"/>
        <w:rPr>
          <w:sz w:val="20"/>
          <w:szCs w:val="20"/>
          <w:color w:val="auto"/>
        </w:rPr>
      </w:pPr>
    </w:p>
    <w:p>
      <w:pPr>
        <w:ind w:left="12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7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Our quarterly results, including revenue, expenses, GMV, contribution profit, consumer metrics, and other key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or key metrics in future quarters fall</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short of the expectations of our investors and financial analysts, the price of our Class A common stock will be adversely affected.</w:t>
      </w:r>
    </w:p>
    <w:p>
      <w:pPr>
        <w:spacing w:after="0" w:line="81"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mix of products that our merchants offer and our consumers purchase in any period affects our operating results. The mix over any period of time impacts GMV, and margin profile of our results for that period. Differences in product mix relate to different durations, APR mix, and varying proportion of 0% APR versus interest-bearing financings. For example, 0% APR loans that are facilitated through our platform are typically associated with higher merchant network revenue, but do not result in any interest income revenue. These mix shifts are primarily driven by merchant-side activity relating to the marketing of their products, whether the merchant is fully integrated within our network, and general economic conditions affecting consumers’ demand. To the extent that our loan product mix changes to include fewer 0% APR loans that are characterized by higher merchant network revenue, or more shorter-duration, low AOV loans (for example, through our Split Pay offering), we expect that our contribution profit as a percentage of GMV would decline. Other factors that may cause fluctuations in our quarterly results include:</w:t>
      </w:r>
    </w:p>
    <w:p>
      <w:pPr>
        <w:spacing w:after="0" w:line="313" w:lineRule="exact"/>
        <w:rPr>
          <w:sz w:val="20"/>
          <w:szCs w:val="20"/>
          <w:color w:val="auto"/>
        </w:rPr>
      </w:pPr>
    </w:p>
    <w:p>
      <w:pPr>
        <w:ind w:left="1800" w:right="131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new merchants, consumers, and funding sources and maintain existing relationships;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volume, merchandise volume, and mix;</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repeat transaction and fluctuations in usage of our platform, including seasonality;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volume and mix;</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merchant discount rates that we charge to our merchant partners;</w:t>
      </w:r>
    </w:p>
    <w:p>
      <w:pPr>
        <w:spacing w:after="0" w:line="11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related to acquiring merchants, consumers, and funding sources and the maintenance and expansion of our business, operations, and infrastructure;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relationships with our merchant partners;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COVID-19 pandemic;</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loan performance and provision for credit losses;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loan purchase commitments;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emphasis on merchant and consumer experience instead of near-term growth;</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other terms of funding sources, including funding commitments;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dynamics in the industry in which we operate;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stock-based compensation expenses;</w:t>
      </w:r>
    </w:p>
    <w:p>
      <w:pPr>
        <w:spacing w:after="0" w:line="117" w:lineRule="exact"/>
        <w:rPr>
          <w:rFonts w:ascii="Times New Roman" w:cs="Times New Roman" w:eastAsia="Times New Roman" w:hAnsi="Times New Roman"/>
          <w:sz w:val="18"/>
          <w:szCs w:val="18"/>
          <w:color w:val="auto"/>
        </w:rPr>
      </w:pPr>
    </w:p>
    <w:p>
      <w:pPr>
        <w:ind w:left="1800" w:right="129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cyber-attacks, or other actual or perceived security breaches or data privacy violations;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potential outcomes of potential claims or litigation; and</w:t>
      </w:r>
    </w:p>
    <w:p>
      <w:pPr>
        <w:spacing w:after="0" w:line="11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technologies or businesses.</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in the past, and expect to continue to experience, seasonal fluctuations in our revenues.</w:t>
      </w:r>
    </w:p>
    <w:p>
      <w:pPr>
        <w:spacing w:after="0" w:line="148"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We experience seasonality as a result of consumer spending patterns. Historically, our revenues have been strongest during the second quarter of our fiscal year as a result of higher commerce trends during the holiday retail season. Additionally, revenues associated with the purchase of home fitness equipment historically have been strongest in the third quarter of our fiscal year. Adverse events that occur during these months could have a disproportionate effect on our business, results of operations, financial condition, and future prospects.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2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success and growth of our business depends upon our ability to continuously innovate and develop new products and technologies.</w:t>
      </w:r>
    </w:p>
    <w:p>
      <w:pPr>
        <w:spacing w:after="0" w:line="77"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solution is a technology-driven platform that relies on innovation to remain competitive. The process of developing new technologies and products is complex, and we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which could harm our ability to attract consumers and merchants. In addition, we may not be able to effectively implement new technology-driven products and services as quickly as competitors or be successful in marketing these products and services to consumers and merchants. If we are unable to successfully and timely innovate and continue to deliver a superior merchant and consumer experience, the demand for our products and technologies may decrease and our growth, business, results of operations, financial condition, and future prospects could be materially and adversely affected.</w:t>
      </w:r>
    </w:p>
    <w:p>
      <w:pPr>
        <w:spacing w:after="0" w:line="120"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in 2017 a discrepancy between a data signal used in the AI/ML model training data set and in our online decisioning environment for our risk model resulted in the risk model making incorrect decisions in certain specific cases. While the effect of this discrepancy was small and we are continuously taking steps to prevent any errors in the future, errors may arise in the future.</w:t>
      </w:r>
    </w:p>
    <w:p>
      <w:pPr>
        <w:spacing w:after="0" w:line="12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 failures;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which may lead to higher levels of delinquencies or defaults than we have historically experienced.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192" w:lineRule="exact"/>
        <w:rPr>
          <w:sz w:val="20"/>
          <w:szCs w:val="20"/>
          <w:color w:val="auto"/>
        </w:rPr>
      </w:pPr>
    </w:p>
    <w:p>
      <w:pPr>
        <w:ind w:left="12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about us or our industry could adversely affect our business, results of operations, financial condition, and future prospects.</w:t>
      </w:r>
    </w:p>
    <w:p>
      <w:pPr>
        <w:spacing w:after="0" w:line="7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Negative publicity about us or our industry, including the transparency, fairness,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point-of-sale lending platforms for illegal purposes, even if inaccurate, could adversely affect our reputation and the confidence in, and the use of, our platform, which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5" w:lineRule="auto"/>
        <w:rPr>
          <w:sz w:val="20"/>
          <w:szCs w:val="20"/>
          <w:color w:val="auto"/>
        </w:rPr>
      </w:pPr>
      <w:r>
        <w:rPr>
          <w:rFonts w:ascii="Times New Roman" w:cs="Times New Roman" w:eastAsia="Times New Roman" w:hAnsi="Times New Roman"/>
          <w:sz w:val="18"/>
          <w:szCs w:val="18"/>
          <w:color w:val="auto"/>
        </w:rPr>
        <w:t>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177"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7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 parties, especially when updates or new products or services are released. For instance, in 2016 there was a discrepancy between a data signal used in the AI/ML training data set and in our online decisioning environment for our risk model, which resulted in our risk model making incorrect decisions in certain specific cases. While this discrepancy was remedied, and we are continuously taking steps to prevent any errors in the future, errors may arise in the future.</w:t>
      </w:r>
    </w:p>
    <w:p>
      <w:pPr>
        <w:spacing w:after="0" w:line="12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consumers, retain existing consumers, or expand their use of our products and services, which would adversely affect our business, results of operations, financial condition, and future prospects.</w:t>
      </w:r>
    </w:p>
    <w:p>
      <w:pPr>
        <w:spacing w:after="0" w:line="374" w:lineRule="exact"/>
        <w:rPr>
          <w:sz w:val="20"/>
          <w:szCs w:val="20"/>
          <w:color w:val="auto"/>
        </w:rPr>
      </w:pPr>
    </w:p>
    <w:p>
      <w:pPr>
        <w:ind w:left="1260" w:right="65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90"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use vendors, such as our cloud computing web services provider, virtual card processing companies, and third-party software providers, in the operation of our platform. The satisfactory performance, reliability, and availability of our technology and our underlying 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If our arrangement with a vendor is terminated or if there is a lapse of service or damage to its systems or facilities, we could experience interruptions in our ability to operate our 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331"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In addition, we source certain information from third parties. For example, our risk scoring model is based on algorithms that evaluate a number of factors and currently depend on sourcing certain information from third parties, including consumer reporting agencies. In the event that any third-party from which we source information experiences a service disruption, whether as a result of maintenance, natural disasters, terrorism, or security breaches, whether accidental or willful, or other factors, the ability to score and decision loan applications through our platform may be adversely impacted. Additionally, there may be errors contained in the information provided by third parties. This may result in the inability to approve</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otherwise qualified applicants through our platform, which may adversely impact our business by negatively impacting our reputation and reducing our transaction volume.</w:t>
      </w:r>
    </w:p>
    <w:p>
      <w:pPr>
        <w:spacing w:after="0" w:line="81"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To the extent we use or are dependent on any particular third- party data, technology, or software, we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could result in delays in the provisioning of our products and services until equivalent or replacement data, technology, or software is either developed by us, or, if available, is identified, obtained, and integrated, and there is no guarantee that we would be successful in developing, identifying, obtaining, or integrating equivalent or similar data, technology, or software, which could result in the loss or limiting of our products, services, or features available in our products or services.</w:t>
      </w:r>
    </w:p>
    <w:p>
      <w:pPr>
        <w:spacing w:after="0" w:line="31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181" w:lineRule="exact"/>
        <w:rPr>
          <w:sz w:val="20"/>
          <w:szCs w:val="20"/>
          <w:color w:val="auto"/>
        </w:rPr>
      </w:pPr>
    </w:p>
    <w:p>
      <w:pPr>
        <w:ind w:left="1260" w:right="1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merchants fail to fulfill their obligations to consumers or comply with applicable law, we may incur remediation costs.</w:t>
      </w:r>
    </w:p>
    <w:p>
      <w:pPr>
        <w:spacing w:after="0" w:line="9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361" w:lineRule="exact"/>
        <w:rPr>
          <w:sz w:val="20"/>
          <w:szCs w:val="20"/>
          <w:color w:val="auto"/>
        </w:rPr>
      </w:pPr>
    </w:p>
    <w:p>
      <w:pPr>
        <w:ind w:left="1260" w:right="8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vendor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spacing w:after="0" w:line="95"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Consumer Financial Protection Bureau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17"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6" w:lineRule="auto"/>
        <w:rPr>
          <w:sz w:val="20"/>
          <w:szCs w:val="20"/>
          <w:color w:val="auto"/>
        </w:rPr>
      </w:pPr>
      <w:r>
        <w:rPr>
          <w:rFonts w:ascii="Times New Roman" w:cs="Times New Roman" w:eastAsia="Times New Roman" w:hAnsi="Times New Roman"/>
          <w:sz w:val="18"/>
          <w:szCs w:val="18"/>
          <w:color w:val="auto"/>
        </w:rPr>
        <w:t>compliance with applicable laws and regulations), fails to maintain adequate data privacy controls and electronic security systems, or suffers a cyber-attack or other security breach, we could be subject to CFPB, Federal Trade Commission (“FTC”)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10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became unable or unwilling to facilitate the disbursements to merchants and we are unable to reach an agreement with another vendor, such loans would no longer be able to be facilitated through our platform.</w:t>
      </w:r>
    </w:p>
    <w:p>
      <w:pPr>
        <w:spacing w:after="0" w:line="200" w:lineRule="exact"/>
        <w:rPr>
          <w:sz w:val="20"/>
          <w:szCs w:val="20"/>
          <w:color w:val="auto"/>
        </w:rPr>
      </w:pPr>
    </w:p>
    <w:p>
      <w:pPr>
        <w:spacing w:after="0" w:line="204" w:lineRule="exact"/>
        <w:rPr>
          <w:sz w:val="20"/>
          <w:szCs w:val="20"/>
          <w:color w:val="auto"/>
        </w:rPr>
      </w:pPr>
    </w:p>
    <w:p>
      <w:pPr>
        <w:ind w:left="12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regulatory actions, and compliance issues could subject us to fines, penalties, judgments, remediation costs, and requirements resulting in increased expenses.</w:t>
      </w:r>
    </w:p>
    <w:p>
      <w:pPr>
        <w:spacing w:after="0" w:line="91"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spacing w:after="0" w:line="11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arbitrations and other litigation. From time to time, we may also be involved in, or the subject of, reviews, requests for information, investigations, and proceedings (both formal and informal) by state and federal governmental agencies, including banking regulators, the FTC, and the CFPB, regarding our business activities and our qualifications to conduct our business in certain jurisdictions, which could subject us to fines, penalties, obligations to change our business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109"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w:t>
      </w:r>
    </w:p>
    <w:p>
      <w:pPr>
        <w:spacing w:after="0" w:line="3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Risks Related to Our Regulatory Environment.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which may be difficult to sustain and which may place significant demands on our operational, administrative, and financial resources.</w:t>
      </w:r>
    </w:p>
    <w:p>
      <w:pPr>
        <w:spacing w:after="0" w:line="78" w:lineRule="exact"/>
        <w:rPr>
          <w:sz w:val="20"/>
          <w:szCs w:val="20"/>
          <w:color w:val="auto"/>
        </w:rPr>
      </w:pPr>
    </w:p>
    <w:p>
      <w:pPr>
        <w:ind w:left="1260" w:right="899" w:firstLine="360"/>
        <w:spacing w:after="0" w:line="256" w:lineRule="auto"/>
        <w:rPr>
          <w:sz w:val="20"/>
          <w:szCs w:val="20"/>
          <w:color w:val="auto"/>
        </w:rPr>
      </w:pPr>
      <w:r>
        <w:rPr>
          <w:rFonts w:ascii="Times New Roman" w:cs="Times New Roman" w:eastAsia="Times New Roman" w:hAnsi="Times New Roman"/>
          <w:sz w:val="18"/>
          <w:szCs w:val="18"/>
          <w:color w:val="auto"/>
        </w:rPr>
        <w:t>Since we launched our platform in 2014 we have experienced significant transaction volume growth. From fiscal years ended June 30, 2017 to 2020, we experienced total GMV growth of 626%. We have a relatively limited operating history at our current scale, and our growth in recent periods exposes us to increased risks, uncertainties, expenses, and difficulties. If we are unable to maintain at least our current level of operations using cash flow, our business, results of operations, financial condition, and future prospects would be materially and adversely affected.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of our growth, we face significant challenges in:</w:t>
      </w:r>
    </w:p>
    <w:p>
      <w:pPr>
        <w:spacing w:after="0" w:line="117" w:lineRule="exact"/>
        <w:rPr>
          <w:sz w:val="20"/>
          <w:szCs w:val="20"/>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consumers with, and the volume of, loans facilitated through our platform;</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developing relationships with existing merchants and additional merchants;</w:t>
      </w:r>
    </w:p>
    <w:p>
      <w:pPr>
        <w:spacing w:after="0" w:line="11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commitments from our existing and new originating bank partners to provide loans to customers of our merchants;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funding to maintain our operations and future growth;</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financial, business, and risk controls;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or updated information and financial and risk controls and procedures;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complex and evolving regulatory and competitive environments;</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integrating and retaining an appropriate number and technological skill level of qualified employees;</w:t>
      </w:r>
    </w:p>
    <w:p>
      <w:pPr>
        <w:spacing w:after="0" w:line="53"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particularly in the post-COVID-19 environment, training, managing, and appropriately sizing our workforce and other components of our business on a timely and cost-effective basis;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within existing markets;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markets and introducing new solutions;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revise our proprietary risk model;</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maintain, protect, and scale our platform;</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using limited personnel and technology resources; and</w:t>
      </w:r>
    </w:p>
    <w:p>
      <w:pPr>
        <w:spacing w:after="0" w:line="117" w:lineRule="exact"/>
        <w:rPr>
          <w:rFonts w:ascii="Times New Roman" w:cs="Times New Roman" w:eastAsia="Times New Roman" w:hAnsi="Times New Roman"/>
          <w:sz w:val="18"/>
          <w:szCs w:val="18"/>
          <w:color w:val="auto"/>
        </w:rPr>
      </w:pPr>
    </w:p>
    <w:p>
      <w:pPr>
        <w:ind w:left="1800" w:right="131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of our platform and the confidentiality of the information (including personally identifiable information) provided and utilized across our platform.</w:t>
      </w:r>
    </w:p>
    <w:p>
      <w:pPr>
        <w:spacing w:after="0" w:line="81"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We may not be able to manage our expanding operations effectively, and any failure to do so could adversely affect our ability to generate revenue and control our expenses, and would materially and adversely affect our business, results of operations, financial condition, and future prospects.</w:t>
      </w:r>
    </w:p>
    <w:p>
      <w:pPr>
        <w:spacing w:after="0" w:line="172" w:lineRule="exact"/>
        <w:rPr>
          <w:sz w:val="20"/>
          <w:szCs w:val="20"/>
          <w:color w:val="auto"/>
        </w:rPr>
      </w:pPr>
    </w:p>
    <w:p>
      <w:pPr>
        <w:ind w:left="1260" w:right="10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inaccuracies in our key operating metrics may harm our reputation and negatively affect our business.</w:t>
      </w:r>
    </w:p>
    <w:p>
      <w:pPr>
        <w:spacing w:after="0" w:line="91"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We track certain key operating metrics such as GMV, active consumers and transactions per active consumers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could have an adverse effect on our business.</w:t>
      </w:r>
    </w:p>
    <w:p>
      <w:pPr>
        <w:spacing w:after="0" w:line="148"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Increased interest rates may adversely impact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11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Borrowings under certain of our funding arrangements bear an interest rate based on certain tenors of the London interbank offered rate (“LIBOR”) plus a credit spread. In July 2017, the United Kingdom’s Financial Conduct Authority, which regulates LIBOR, announced that, after 2021, it will stop compelling banks to submit rates for the calculation of LIBOR. Some of our funding arrangements contemplate a mechanism for replacing LIBOR with a new benchmark rate (to be agreed upon by us and each applicable financial counterparty) for debt drawn under the arrangements. This mechanism is triggered in the event that LIBOR is no longer published or otherwise available as a benchmark for establishing interest rates for loans. Since the conditions for the implementation of this mechanism have not yet been triggered, we cannot determine with certainty what such replacement rate would be. As a result, we cannot reasonably predict the potential effect of a discontinuation or replacement of LIBOR, other reforms or the establishment of alternative reference rates on our business. The discontinuation, reform, or replacement of LIBOR could result in interest rate increases on our funding arrangements, which could adversely affect our cash flows and operating results.</w:t>
      </w:r>
    </w:p>
    <w:p>
      <w:pPr>
        <w:spacing w:after="0" w:line="361" w:lineRule="exact"/>
        <w:rPr>
          <w:sz w:val="20"/>
          <w:szCs w:val="20"/>
          <w:color w:val="auto"/>
        </w:rPr>
      </w:pPr>
    </w:p>
    <w:p>
      <w:pPr>
        <w:ind w:left="1260" w:right="11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In connection with our securitizations, warehouse credit facilities, and forward flow agreements,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spacing w:after="0" w:line="96"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365" w:lineRule="exact"/>
        <w:rPr>
          <w:sz w:val="20"/>
          <w:szCs w:val="20"/>
          <w:color w:val="auto"/>
        </w:rPr>
      </w:pPr>
    </w:p>
    <w:p>
      <w:pPr>
        <w:ind w:left="1260" w:right="10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revenue is impacted, to a significant extent, by the general economy and the financial performance of our merchants.</w:t>
      </w:r>
    </w:p>
    <w:p>
      <w:pPr>
        <w:spacing w:after="0" w:line="77"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Our business, the consumer financial services industry, and our merchants’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In addition, the COVID-19 pandemic has had, and continues to have, a significant impact on the national economy and the communities in which we operate. While the pandemic’s effect on the macroeconomic environment has yet to be fully determined and could continue for months or years, any prolonged economic downturn with sustained high unemployment rates would lead to decreased retail consumption and may materially decrease our transaction volume or increase defaults and delinquencies. Such effects, if they continue for a prolonged period, would have a material adverse effect on our business, results of operations, financial condition, and future prospects.</w:t>
      </w:r>
    </w:p>
    <w:p>
      <w:pPr>
        <w:spacing w:after="0" w:line="104"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Some of our merchants have experienced a decrease in sales, supply chain disruptions, inventory shortages, and other adverse effects as a result of the COVID -19 pandemic, and the future impact of the COVID- 19 pandemic remains uncertain. The decline of sales by our merchants for any reason will generally result in lower credit sales and, therefore, lower loan volume and associated fee income for us. This risk is particularly acute with respect to our largest merchants.</w:t>
      </w:r>
    </w:p>
    <w:p>
      <w:pPr>
        <w:spacing w:after="0" w:line="118"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In addition, if a merchant closes some or all of its locations (including as a result of COVID-19 mandated closures)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merchant deteriorates significantly or a merchant becomes subject to a bankruptcy proceeding, we may not be able to recover amounts due to us from the merchant.</w:t>
      </w:r>
    </w:p>
    <w:p>
      <w:pPr>
        <w:spacing w:after="0" w:line="388"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heavily concentrated in U.S. consumer credit, and therefore our results are more susceptible to fluctuations in that market than a more diversified company.</w:t>
      </w:r>
    </w:p>
    <w:p>
      <w:pPr>
        <w:spacing w:after="0" w:line="90"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or the specific consumer credit products that we offer (including promotional financing). Our business concentration could have a material adverse effect on our business, results of operations, financial condition, and future prospects.</w:t>
      </w:r>
    </w:p>
    <w:p>
      <w:pPr>
        <w:spacing w:after="0" w:line="181" w:lineRule="exact"/>
        <w:rPr>
          <w:sz w:val="20"/>
          <w:szCs w:val="20"/>
          <w:color w:val="auto"/>
        </w:rPr>
      </w:pPr>
    </w:p>
    <w:p>
      <w:pPr>
        <w:ind w:left="1260" w:right="12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fires, floods, and other natural catastrophic events and to interruption by man-made issues such as strikes.</w:t>
      </w:r>
    </w:p>
    <w:p>
      <w:pPr>
        <w:spacing w:after="0" w:line="7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earthquakes, fires, floods, power losses, telecommunications failures, strikes, health pandemics, and similar events. For example, a significant natural disaster in the San Francisco Bay Area or any other location in which we have offices or facilities, such as an earthquake, fire, or flood,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may occur.</w:t>
      </w:r>
    </w:p>
    <w:p>
      <w:pPr>
        <w:spacing w:after="0" w:line="187" w:lineRule="exact"/>
        <w:rPr>
          <w:sz w:val="20"/>
          <w:szCs w:val="20"/>
          <w:color w:val="auto"/>
        </w:rPr>
      </w:pPr>
    </w:p>
    <w:p>
      <w:pPr>
        <w:ind w:left="126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spacing w:after="0" w:line="67"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Borrowers may not view the loans facilitated through our platform as having the same significance as other credit obligations arising under more traditional circumstances. If a consumer neglects his or her</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0" w:name="page51"/>
    <w:bookmarkEnd w:id="5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19"/>
        <w:spacing w:after="0" w:line="266" w:lineRule="auto"/>
        <w:rPr>
          <w:sz w:val="20"/>
          <w:szCs w:val="20"/>
          <w:color w:val="auto"/>
        </w:rPr>
      </w:pPr>
      <w:r>
        <w:rPr>
          <w:rFonts w:ascii="Times New Roman" w:cs="Times New Roman" w:eastAsia="Times New Roman" w:hAnsi="Times New Roman"/>
          <w:sz w:val="18"/>
          <w:szCs w:val="18"/>
          <w:color w:val="auto"/>
        </w:rPr>
        <w:t>payment obligations on a loan facilitated through our platform or chooses not to repay his or her loan entirely, it will have an adverse effect on our business, results of operations, financial condition, future prospects, and cash flows.</w:t>
      </w:r>
    </w:p>
    <w:p>
      <w:pPr>
        <w:spacing w:after="0" w:line="95"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190"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collection efforts on delinquent loans are ineffective or unsuccessful, the performance of the loans would be adversely affected.</w:t>
      </w:r>
    </w:p>
    <w:p>
      <w:pPr>
        <w:spacing w:after="0" w:line="91"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financial and economic disruptions related to the outbreak of the COVID-19 pandemic than is reflected in our historical experience. In addition, in response to the COVID-19 pandemic, federal and state regulatory agencies issued guidance encouraging leniency with respect to credit obligations and a few states took action to restrict collections activity during the COVID-19 pandemic.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338"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99"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In addition,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183" w:lineRule="exact"/>
        <w:rPr>
          <w:sz w:val="20"/>
          <w:szCs w:val="20"/>
          <w:color w:val="auto"/>
        </w:rPr>
      </w:pPr>
    </w:p>
    <w:p>
      <w:pPr>
        <w:ind w:left="12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impacted our working environment and diverted personnel resources and any prolonged effects of the pandemic may adversely impact our operations and employees.</w:t>
      </w:r>
    </w:p>
    <w:p>
      <w:pPr>
        <w:spacing w:after="0" w:line="91"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have had to expend, and expect to continue to expend, personnel resources to respond to the COVID-19 pandemic, including to develop and implement internal policies and procedures and track changes in laws. Any prolonged diversion of personnel resources may have an adverse effect on our operations. In addition, as a result of the COVID-19 pandemic,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77"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There is risk of fraudulent activity associated with our platform, originating bank partners, consumers, and third 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 offs on the loans facilitated through our platform could be adversely affected if fraudulent activity were to significantly increase.</w:t>
      </w:r>
    </w:p>
    <w:p>
      <w:pPr>
        <w:spacing w:after="0" w:line="324"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388" w:lineRule="exact"/>
        <w:rPr>
          <w:sz w:val="20"/>
          <w:szCs w:val="20"/>
          <w:color w:val="auto"/>
        </w:rPr>
      </w:pPr>
    </w:p>
    <w:p>
      <w:pPr>
        <w:jc w:val="both"/>
        <w:ind w:left="1260" w:right="7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108"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ensure the integrity of our services and to provide features and functionality to our consumers and merchants. The processing of the information we acquire in connection with our consumers’ and merchants’ use of our services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While we and our vendors have taken steps to protect the confidential, proprietary, and sensitive information to which we have access and to prevent data loss, our security measures or those of our vendors could be breached, including as a result of employee theft, exfiltration, misuse or malfeasance, our actions, omissions, or errors, third-party actions, omissions, or errors, unintentional events, or deliberate attacks by cyber criminals, any of which may result in the loss of, or unauthorized access to, our or our consumers’ data, our intellectual property, or other confidential, proprietary, or sensitive business information. Any accidental or willful security breaches or other unauthorized access to our platform or servicing systems could cause confidential, proprietary, or sensitive information to be stolen and used for criminal or other unauthorized purposes. Security breaches or unauthorized access to confidential information could also expose us to liability related to the loss of the information, time-consuming and expensive litigation, and negative publicity. If security measures are breached because of employee theft, exfiltration, misuse or malfeasance, our actions, omissions, or errors, third-party actions, omissions, or errors, unintentional events, deliberate attacks by cyber criminals or otherwise, or if design flaws in our software or systems are exposed and exploited, our relationships with consumers could be damaged, and we could incur significant liability. Although we monitor our systems in order to detect security breaches or instances of unauthorized access to confidential information, there is no guarantee that our monitoring efforts will be effective.</w:t>
      </w:r>
    </w:p>
    <w:p>
      <w:pPr>
        <w:spacing w:after="0" w:line="339"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techniques used to obtain unauthorized, improper, or illegal access to our systems, our or our consumers’ data, or to disable or degrade service or sabotage systems, are constantly evolving, may be difficult to detect quickly, and often are not recognized until after they have been launched against a target. We may be unable to anticipate these techniques, react in a timely manner, or implement adequate preventative or remedial measures. Unauthorized parties have in the past attempted and may in the future attempt to gain access to our systems or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1159"/>
        <w:spacing w:after="0" w:line="250" w:lineRule="auto"/>
        <w:rPr>
          <w:sz w:val="20"/>
          <w:szCs w:val="20"/>
          <w:color w:val="auto"/>
        </w:rPr>
      </w:pPr>
      <w:r>
        <w:rPr>
          <w:rFonts w:ascii="Times New Roman" w:cs="Times New Roman" w:eastAsia="Times New Roman" w:hAnsi="Times New Roman"/>
          <w:sz w:val="18"/>
          <w:szCs w:val="18"/>
          <w:color w:val="auto"/>
        </w:rPr>
        <w:t>consumers’ data or other confidential, proprietary, or sensitive information. Such efforts may be state-sponsored and supported by significant financial and technological resources, making them even more difficult to detect and prevent.</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addition, in certain circumstances we utilize vendors, including cloud service providers, to facilitate the servicing of consumer accounts. Under these arrangements, these vendors require access to certain consumer data for the purpose of servicing the accounts. Because we do 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services.</w:t>
      </w:r>
    </w:p>
    <w:p>
      <w:pPr>
        <w:spacing w:after="0" w:line="306" w:lineRule="exact"/>
        <w:rPr>
          <w:sz w:val="20"/>
          <w:szCs w:val="20"/>
          <w:color w:val="auto"/>
        </w:rPr>
      </w:pPr>
    </w:p>
    <w:p>
      <w:pPr>
        <w:ind w:left="1260" w:right="779" w:firstLine="360"/>
        <w:spacing w:after="0" w:line="238" w:lineRule="auto"/>
        <w:rPr>
          <w:sz w:val="20"/>
          <w:szCs w:val="20"/>
          <w:color w:val="auto"/>
        </w:rPr>
      </w:pPr>
      <w:r>
        <w:rPr>
          <w:rFonts w:ascii="Times New Roman" w:cs="Times New Roman" w:eastAsia="Times New Roman" w:hAnsi="Times New Roman"/>
          <w:sz w:val="18"/>
          <w:szCs w:val="18"/>
          <w:color w:val="auto"/>
        </w:rPr>
        <w:t>Any actual or perceived failure to comply with legal and regulatory requirements applicable to us, including those relating to information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Our originating bank partners also operate in a highly regulated environment, and many laws and regulations that apply directly to our originating bank partners are indirectly applicable to us through our arrangements with our originating bank partners.</w:t>
      </w:r>
    </w:p>
    <w:p>
      <w:pPr>
        <w:spacing w:after="0" w:line="124"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data security measures. Any security breach suffered by us or our vendors, any attack against our service availability, any unauthorized, accidental, or unlawful access or loss of data, or the perception that any such event has occurred, could result in a disruption to our service, litigation, an obligation to notify regulators and affected individuals, the triggering of indemnification and other contractual obligations, regulatory investigations, government fines and penalties, reputational damage, and loss of consumers and ecosystem partners, and our business and operations could be adversely affected.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 Reduced confidence and participation in our platform and our data security measures could also adversely affect a consumer’s willingness to make payments on his or her loan, which could result in reduced collections.</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Internet-based loan origination processes may give rise to greater risks than paper-based processes.</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On behalf of our originating bank partners, we use the Internet to obtain application information and distribute certain legally required notices to applicants for loans, and to obtain electronically signed loan documents in lieu of paper documents with tangible consumer signatures. These processes entail additional risks relative to paper-based loan underwriting processes and procedures, including risks regarding the sufficiency of notice for compliance with consumer protection laws, risks that consumers may challenge the authenticity of loan documents or the validity of electronic signatures and records, and risks that, despite internal controls, unauthorized changes are made to the electronic loan documents.</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Misconduct and errors by our employees, vendors, and service providers could harm our business and reputation.</w:t>
      </w:r>
    </w:p>
    <w:p>
      <w:pPr>
        <w:spacing w:after="0" w:line="16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the risk of misconduct and errors by our employees, vendors, and other service providers.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could be adversely affected if transactions were redirected, misappropriated, or otherwise improperly executed, personal and business information was disclosed to unintended recipients, or an operational breakdown or failure in the processing of other transactions occurred, whether as a result of human error, a purposeful sabotage or a fraudulent manipulation of our operations or systems. In addition, the manner in which we store and use certain personal information and interact with consumers and merchants through our platform is governed by various federal and state laws. If any of our employees, vendors, or service providers take, convert, or misuse funds, documents, or data, or fail to follow protocol when interacting with consumers and merchants, we could be liable for damages and subject to regulatory actions and penalties. We could also be perceived to have facilitated or participated in the illegal misappropriation of funds, documents, or data, or the failure to follow protocol, and therefore be subject to civil or criminal liability. It is not always possible to identify and deter misconduct or errors by employees, vendors, or service providers, and the precautions we take to detect and prevent this activity may not be effective in controlling unknown or unmanaged risks or losses. Any of these occurrences could result in our diminished ability to operate our business, potential liability to consumers and merchants, inability to attract future consumers and merchants, reputational damage, regulatory intervention, and financial harm, which could negatively impact our business, results of operations, financial condition, and future prospects.</w:t>
      </w:r>
    </w:p>
    <w:p>
      <w:pPr>
        <w:spacing w:after="0" w:line="185"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sufficiently obtain, maintain, protect, or enforce our intellectual property and other proprietary rights.</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 parties to protect our intellectual property and other proprietary rights. We own the domain name rights for affirm.com, and, as of September 30, 2020, we owned eight registered trademarks and five trademark applications in the United States, six registered trademarks and ten trademark applications in various foreign jurisdictions, and one issued patent and six pending patent applications in the United States. Nonetheless, the steps we take to obtain, maintain, protect, and enforce our intellectual property and other proprietary rights may be inadequate and, despite our efforts to protect these rights, unauthorized third parties, including our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200" w:lineRule="exact"/>
        <w:rPr>
          <w:sz w:val="20"/>
          <w:szCs w:val="20"/>
          <w:color w:val="auto"/>
        </w:rPr>
      </w:pPr>
    </w:p>
    <w:p>
      <w:pPr>
        <w:spacing w:after="0" w:line="355"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266" w:lineRule="exact"/>
        <w:rPr>
          <w:sz w:val="20"/>
          <w:szCs w:val="20"/>
          <w:color w:val="auto"/>
        </w:rPr>
      </w:pPr>
    </w:p>
    <w:p>
      <w:pPr>
        <w:ind w:left="1260" w:right="859" w:firstLine="360"/>
        <w:spacing w:after="0"/>
        <w:rPr>
          <w:sz w:val="20"/>
          <w:szCs w:val="20"/>
          <w:color w:val="auto"/>
        </w:rPr>
      </w:pPr>
      <w:r>
        <w:rPr>
          <w:rFonts w:ascii="Times New Roman" w:cs="Times New Roman" w:eastAsia="Times New Roman" w:hAnsi="Times New Roman"/>
          <w:sz w:val="18"/>
          <w:szCs w:val="18"/>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181"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intellectual property or other proprietary rights.</w:t>
      </w:r>
    </w:p>
    <w:p>
      <w:pPr>
        <w:spacing w:after="0" w:line="90"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12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327"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41" w:lineRule="auto"/>
        <w:rPr>
          <w:sz w:val="20"/>
          <w:szCs w:val="20"/>
          <w:color w:val="auto"/>
        </w:rPr>
      </w:pPr>
      <w:r>
        <w:rPr>
          <w:rFonts w:ascii="Times New Roman" w:cs="Times New Roman" w:eastAsia="Times New Roman" w:hAnsi="Times New Roman"/>
          <w:sz w:val="18"/>
          <w:szCs w:val="18"/>
          <w:color w:val="auto"/>
        </w:rPr>
        <w:t>infringement claims from competitors, through our ability to bring patent infringement counterclaims using our own patent portfolio. In addition to the previously mentioned impacts of intellectual property -related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80" w:lineRule="exact"/>
        <w:rPr>
          <w:sz w:val="20"/>
          <w:szCs w:val="20"/>
          <w:color w:val="auto"/>
        </w:rPr>
      </w:pPr>
    </w:p>
    <w:p>
      <w:pPr>
        <w:ind w:left="1260" w:right="8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7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Aspects of our platform include software covered by open source licenses. The terms of various open source licenses have not been interpreted by United States courts, and there is a risk that such licenses could be construed in a manner that imposes unanticipated conditions or restrictions on our platform. In such an event, we could be required to re-engineer all or a portion of our technologies, seek licenses from third 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 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spacing w:after="0" w:line="26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347"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mission to deliver simple, transparent, and fair financial products may conflict with the short term interests of our stockholders.</w:t>
      </w:r>
    </w:p>
    <w:p>
      <w:pPr>
        <w:spacing w:after="0" w:line="90"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Our core principle, and the foundation on which we have built our company is to deliver simple, transparent, and fair financial products. Therefore, we have made in the past, and may make in the future, decisions that we believe will benefit our consumers and therefore provide long-term benefits for our business, even if our decision negatively impacts our short-term results of operations. For example, the loans facilitated through our platform do not have deferred or compounding interest and there are no hidden fees or penalties for a missed payment. At many merchants, consumers can qualify for 0% APR financing. Our</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decisions may negatively impact our short-term financial results or not provide the long-term benefits that we expect, in which case the success of our business and results of operations could be harmed.</w:t>
      </w:r>
    </w:p>
    <w:p>
      <w:pPr>
        <w:spacing w:after="0" w:line="158" w:lineRule="exact"/>
        <w:rPr>
          <w:sz w:val="20"/>
          <w:szCs w:val="20"/>
          <w:color w:val="auto"/>
        </w:rPr>
      </w:pPr>
    </w:p>
    <w:p>
      <w:pPr>
        <w:ind w:left="1260" w:right="8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95"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Market opportunity estimates and expectations about market growth included in this prospectus are subject to significant uncertainty and are based on assumptions and estimates that may not prove to be accurate. Even if the markets in which we compete meet the size estimates and growth expectations included in this prospectus, our business could fail to grow for a variety of reasons, which could adversely affect our results of operations. For more information regarding the estimates of market opportunity and the expectations about market growth included in this prospectus, see “</w:t>
      </w:r>
      <w:r>
        <w:rPr>
          <w:rFonts w:ascii="Times New Roman" w:cs="Times New Roman" w:eastAsia="Times New Roman" w:hAnsi="Times New Roman"/>
          <w:sz w:val="18"/>
          <w:szCs w:val="18"/>
          <w:i w:val="1"/>
          <w:iCs w:val="1"/>
          <w:color w:val="auto"/>
        </w:rPr>
        <w:t>Business — Industry Background..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60" w:right="7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seek to grow through future acquisitions, or other strategic investments or alliances, including the acquisition of PayBright, we may not be able to do so effectively.</w:t>
      </w:r>
    </w:p>
    <w:p>
      <w:pPr>
        <w:spacing w:after="0" w:line="9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may in the future seek to grow our business by exploring potential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w:t>
      </w:r>
    </w:p>
    <w:p>
      <w:pPr>
        <w:spacing w:after="0" w:line="30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For example, we may not be successful in closing the PayBright Transaction or integrating PayBright’s business with our business. We expect that the integration process will require significant time and resources, and we may not be able to manage the process successfully. It is possible that we will experience disruption of ours, PayBright's or both companies' ongoing businesses. We may also incur higher than expected costs as a result of the acquisition or experience an overall post-completion process that takes longer than originally anticipated. In addition, at times the attention of certain members of our management and resources may be focused on integration of the businesses of the two companies and diverted from day-to-day business operations, which may disrupt our ongoing business. We expect to incur, certain non-recurring costs in connection with the acquisition of PayBright and integrating our operations with PayBright's including costs to maintain employee morale and to retain key employees. Additionally, potential difficulties we may encounter as part of the integration process in the PayBright Transaction include (i) the challenge of integrating complex systems, operating procedures, regulatory compliance programs, technology, networks and other assets of PayBright in a seamless manner that minimizes any adverse impact on our employees, consumers, merchants, and other business partners; and (ii) potential unknown liabilities, liabilities that are significantly larger than we currently anticipate and unforeseen increased expenses or delays associated with the acquisition, including costs to integrate PayBright that may exceed the costs that we currently anticipate. Accordingly, the contemplated benefits of the PayBright Transaction may not be realized fully, or at all, or may take longer to realize than expected.</w:t>
      </w:r>
    </w:p>
    <w:p>
      <w:pPr>
        <w:spacing w:after="0" w:line="261" w:lineRule="exact"/>
        <w:rPr>
          <w:sz w:val="20"/>
          <w:szCs w:val="20"/>
          <w:color w:val="auto"/>
        </w:rPr>
      </w:pPr>
    </w:p>
    <w:p>
      <w:pPr>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Any delay or failure on our part to identify, negotiate, finance on favorable terms, consummate, and integrate any such acquisition or other strategic investment opportunity (including the PayBright Transaction) could impede our growth.</w:t>
      </w:r>
    </w:p>
    <w:p>
      <w:pPr>
        <w:spacing w:after="0" w:line="109"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There is no assurance that we will be able to manage our expanding operations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an adverse effect on our business, results of operations, financial condition, and future prospects.</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operations internationally would subject us to new challenges and risks.</w:t>
      </w:r>
    </w:p>
    <w:p>
      <w:pPr>
        <w:spacing w:after="0" w:line="148"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We currently operate in the United States and Canada and we may seek to further expand our business internationally, in particular in Canada following the closing of the PayBright Transaction. Managing any international expansion will require us to comply with new regulatory frameworks and additional resources and controls. Any expansion internationally would subject our business to risks associated with international operations, including:</w:t>
      </w:r>
    </w:p>
    <w:p>
      <w:pPr>
        <w:spacing w:after="0" w:line="77" w:lineRule="exact"/>
        <w:rPr>
          <w:sz w:val="20"/>
          <w:szCs w:val="20"/>
          <w:color w:val="auto"/>
        </w:rPr>
      </w:pPr>
    </w:p>
    <w:p>
      <w:pPr>
        <w:ind w:left="1800" w:right="99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proprietary risk algorithms that we use to account for the differences in information available in different jurisdictions on consumers;</w:t>
      </w:r>
    </w:p>
    <w:p>
      <w:pPr>
        <w:spacing w:after="0" w:line="53"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of our platform with applicable business customs, including translation into foreign languages and associated expenses;</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to our established business model;</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support and integrate with local vendors and service providers;</w:t>
      </w:r>
    </w:p>
    <w:p>
      <w:pPr>
        <w:spacing w:after="0" w:line="117" w:lineRule="exact"/>
        <w:rPr>
          <w:rFonts w:ascii="Times New Roman" w:cs="Times New Roman" w:eastAsia="Times New Roman" w:hAnsi="Times New Roman"/>
          <w:sz w:val="18"/>
          <w:szCs w:val="18"/>
          <w:color w:val="auto"/>
        </w:rPr>
      </w:pPr>
    </w:p>
    <w:p>
      <w:pPr>
        <w:ind w:left="1800" w:right="679" w:hanging="178"/>
        <w:spacing w:after="0" w:line="27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vendors and service providers that have greater experience in the local markets than we do or that have pre-existing relationships with potential consumers and investors in those markets;</w:t>
      </w:r>
    </w:p>
    <w:p>
      <w:pPr>
        <w:spacing w:after="0" w:line="281" w:lineRule="exact"/>
        <w:rPr>
          <w:rFonts w:ascii="Times New Roman" w:cs="Times New Roman" w:eastAsia="Times New Roman" w:hAnsi="Times New Roman"/>
          <w:sz w:val="18"/>
          <w:szCs w:val="18"/>
          <w:color w:val="auto"/>
        </w:rPr>
      </w:pPr>
    </w:p>
    <w:p>
      <w:pPr>
        <w:ind w:left="1800" w:right="879" w:hanging="178"/>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54" w:lineRule="exact"/>
        <w:rPr>
          <w:rFonts w:ascii="Times New Roman" w:cs="Times New Roman" w:eastAsia="Times New Roman" w:hAnsi="Times New Roman"/>
          <w:sz w:val="18"/>
          <w:szCs w:val="18"/>
          <w:color w:val="auto"/>
        </w:rPr>
      </w:pPr>
    </w:p>
    <w:p>
      <w:pPr>
        <w:ind w:left="1800" w:right="799" w:hanging="178"/>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potentially conflicting, and changing governmental laws and regulations, including banking, securities, employment, tax, privacy, and data protection laws and regulations, such as the EU General Data Protection Regulation;</w:t>
      </w:r>
    </w:p>
    <w:p>
      <w:pPr>
        <w:spacing w:after="0" w:line="67"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foreign anti-bribery laws, including the Foreign Corrupt Practices Act and the U.K. Anti-Bribery Act;</w:t>
      </w:r>
    </w:p>
    <w:p>
      <w:pPr>
        <w:spacing w:after="0" w:line="53"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payments in multiple foreign currencies and associated foreign currency exposure;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repatriation of earnings;</w:t>
      </w:r>
    </w:p>
    <w:p>
      <w:pPr>
        <w:spacing w:after="0" w:line="117" w:lineRule="exact"/>
        <w:rPr>
          <w:rFonts w:ascii="Times New Roman" w:cs="Times New Roman" w:eastAsia="Times New Roman" w:hAnsi="Times New Roman"/>
          <w:sz w:val="18"/>
          <w:szCs w:val="18"/>
          <w:color w:val="auto"/>
        </w:rPr>
      </w:pPr>
    </w:p>
    <w:p>
      <w:pPr>
        <w:ind w:left="1800" w:right="679" w:hanging="178"/>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spacing w:after="0" w:line="58"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political conditions.</w:t>
      </w:r>
    </w:p>
    <w:p>
      <w:pPr>
        <w:spacing w:after="0" w:line="158"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these risks, any potential future international expansion efforts that we may undertake may not be successful.</w:t>
      </w:r>
    </w:p>
    <w:p>
      <w:pPr>
        <w:spacing w:after="0" w:line="158" w:lineRule="exact"/>
        <w:rPr>
          <w:sz w:val="20"/>
          <w:szCs w:val="20"/>
          <w:color w:val="auto"/>
        </w:rPr>
      </w:pPr>
    </w:p>
    <w:p>
      <w:pPr>
        <w:ind w:left="1260" w:right="75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 over financial reporting in connection with the audit of our financial statements for the fiscal year ended June 30, 2020,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internal control over financial reporting, our ability to accurately and timely report our financial results could be adversely affected.</w:t>
      </w:r>
    </w:p>
    <w:p>
      <w:pPr>
        <w:spacing w:after="0" w:line="11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are not currently required to comply with the rules of the SEC implementing Section 404 of the Sarbanes-Oxley Act of 2002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 over financial reporting. Though we will be required to disclose changes made in our internal controls and procedures on a quarterly basis, we will not be required to make our first annual assessment of our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rPr>
          <w:sz w:val="20"/>
          <w:szCs w:val="20"/>
          <w:color w:val="auto"/>
        </w:rPr>
      </w:pPr>
      <w:r>
        <w:rPr>
          <w:rFonts w:ascii="Times New Roman" w:cs="Times New Roman" w:eastAsia="Times New Roman" w:hAnsi="Times New Roman"/>
          <w:sz w:val="18"/>
          <w:szCs w:val="18"/>
          <w:color w:val="auto"/>
        </w:rPr>
        <w:t>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w:t>
      </w:r>
    </w:p>
    <w:p>
      <w:pPr>
        <w:spacing w:after="0" w:line="31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In connection with the audit of our financial statements for the fiscal year ended June 30, 2020, we and our independent registered public accounting firm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w:t>
      </w:r>
    </w:p>
    <w:p>
      <w:pPr>
        <w:spacing w:after="0" w:line="32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material weakness relates to our general information technology controls, including design and implementation of access and change management controls. This material weakness means that it is possible that our business process controls that depend on the affected information technology systems, or that depend on data or financial reports generated from the affected information technology systems, could be adversely affected. Key components of the COSO framework have not been fully implemented, including control and monitoring activities, and information and communication relating to: (i) electing and developing general control activities over technology to support the achievement of objectives; (ii) electing, developing, and performing ongoing and/or separate evaluations to ascertain whether the components of internal control are present and functioning; and (iii) generating and using relevant, quality information to support the functioning of internal control.</w:t>
      </w:r>
    </w:p>
    <w:p>
      <w:pPr>
        <w:spacing w:after="0" w:line="311"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As of the date of this prospectus this remains a material weakness. As part of our plan to remediate this material weakness, we are performing a full review of user access. We have implemented, and plan to continue to implement, new controls and new processes. We cannot assure you that the measures that we have taken, and that will be taken, to remediate this material weakness will, in fact, remedy the material weakness or will be sufficient to prevent future material weaknesses from occurring. We also cannot assure you that we have identified all of our existing material weaknesses.</w:t>
      </w:r>
    </w:p>
    <w:p>
      <w:pPr>
        <w:spacing w:after="0" w:line="103"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In light of the control deficiencies and the resulting material weakness that was identified, we believe that it is possible that, had we and our independent registered public accounting firm performed an assessment or audit, respectively, of our internal control over financial reporting in accordance with the provisions of the Sarbanes-Oxley Act, additional material weaknesses may have been identified.</w:t>
      </w:r>
    </w:p>
    <w:p>
      <w:pPr>
        <w:spacing w:after="0" w:line="113"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When evaluating our internal control over financial reporting, we may identify material weaknesses that we may not be able to remediate in time to meet the applicable deadline imposed upon us for compliance with the requirements of Section 404. If we are unable to remediate our existing material weakness or identify additional material weaknesses and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2" w:lineRule="exact"/>
        <w:rPr>
          <w:sz w:val="20"/>
          <w:szCs w:val="20"/>
          <w:color w:val="auto"/>
        </w:rPr>
      </w:pPr>
    </w:p>
    <w:p>
      <w:pPr>
        <w:ind w:left="1260" w:right="7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If we discover a material weakness in our internal control over financial reporting that we are unable to remedy or otherwise fail to maintain effective internal control over financial reporting or disclosure controls and procedures, our ability to report our financial results on a timely and accurate basis and the market price of our Class A common stock may be adversely affected.</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Sarbanes- Oxley Act requires, among other things, that we maintain effective internal control over financial reporting and disclosure controls and procedures. In addition to the material weakness in internal</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9" w:name="page60"/>
    <w:bookmarkEnd w:id="5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2" w:lineRule="auto"/>
        <w:rPr>
          <w:sz w:val="20"/>
          <w:szCs w:val="20"/>
          <w:color w:val="auto"/>
        </w:rPr>
      </w:pPr>
      <w:r>
        <w:rPr>
          <w:rFonts w:ascii="Times New Roman" w:cs="Times New Roman" w:eastAsia="Times New Roman" w:hAnsi="Times New Roman"/>
          <w:sz w:val="18"/>
          <w:szCs w:val="18"/>
          <w:color w:val="auto"/>
        </w:rPr>
        <w:t>control over financial reporting identified in connection with the audit of our financial statements for the fiscal year ended June 30, 2020, subsequent testing by us or our independent registered public accounting firm, which has not performed an audit of our internal control over financial reporting, may reveal additional deficiencies in our internal control over financial reporting that are deemed to be material weaknesses. To comply with Section 404,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 Any failure to maintain effective disclosure controls and procedures or internal control over financial reporting could have an adverse effect on our business and operating results, and cause a decline in the price of our Class A common stock.</w:t>
      </w:r>
    </w:p>
    <w:p>
      <w:pPr>
        <w:spacing w:after="0" w:line="200" w:lineRule="exact"/>
        <w:rPr>
          <w:sz w:val="20"/>
          <w:szCs w:val="20"/>
          <w:color w:val="auto"/>
        </w:rPr>
      </w:pPr>
    </w:p>
    <w:p>
      <w:pPr>
        <w:spacing w:after="0" w:line="211" w:lineRule="exact"/>
        <w:rPr>
          <w:sz w:val="20"/>
          <w:szCs w:val="20"/>
          <w:color w:val="auto"/>
        </w:rPr>
      </w:pPr>
    </w:p>
    <w:p>
      <w:pPr>
        <w:ind w:left="1260" w:right="10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76"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Our ability to measure and report our financial position and results of operations is influenced by the need to estimate the impact or outcome of future events on the basis of information available at the time of the issuance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review by our internal valuation and credit loss allowance committee and our asset-liability committee but these processes may not ensure that our judgments and assumptions are correct.</w:t>
      </w:r>
    </w:p>
    <w:p>
      <w:pPr>
        <w:spacing w:after="0" w:line="340"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provide for incurred credit losses based on evaluating known and inherent risks in our loan portfolio. This estimate is highly dependent upon the reasonableness of our assumptions and the predictability of the relationships that drive the results of our valuation methodologies. The method for calculating the best estimate of incurred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pacing w:after="0" w:line="190" w:lineRule="exact"/>
        <w:rPr>
          <w:sz w:val="20"/>
          <w:szCs w:val="20"/>
          <w:color w:val="auto"/>
        </w:rPr>
      </w:pPr>
    </w:p>
    <w:p>
      <w:pPr>
        <w:ind w:left="1260" w:right="1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to constrain our business activities to avoid being deemed an investment company under the Investment Company Act.</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forego attractive opportunities. We may also apply for formal exemptive relief to provide additional clarity on our status under the Investment Company Act. We may not receive such relief on a timely basis, if at all, and such relief may require us to modify or curtail our operations.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federal and state consumer protection laws.</w:t>
      </w:r>
    </w:p>
    <w:p>
      <w:pPr>
        <w:spacing w:after="0" w:line="148"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We must comply with various regulatory regimes, including those applicable to consumer credit transactions. The laws to which we are or may be subject include:</w:t>
      </w:r>
    </w:p>
    <w:p>
      <w:pPr>
        <w:spacing w:after="0" w:line="54" w:lineRule="exact"/>
        <w:rPr>
          <w:sz w:val="20"/>
          <w:szCs w:val="20"/>
          <w:color w:val="auto"/>
        </w:rPr>
      </w:pPr>
    </w:p>
    <w:p>
      <w:pPr>
        <w:ind w:left="1800" w:right="1059" w:hanging="178"/>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that impose requirements related to financial services related requirements, such as loan disclosures and terms, data privacy, credit discrimination, credit reporting, money transmission, recordkeeping, the arranging of loans made by third parties, debt servicing and collection, and unfair or deceptive business practices;</w:t>
      </w:r>
    </w:p>
    <w:p>
      <w:pPr>
        <w:spacing w:after="0" w:line="71" w:lineRule="exact"/>
        <w:rPr>
          <w:rFonts w:ascii="Times New Roman" w:cs="Times New Roman" w:eastAsia="Times New Roman" w:hAnsi="Times New Roman"/>
          <w:sz w:val="18"/>
          <w:szCs w:val="18"/>
          <w:color w:val="auto"/>
        </w:rPr>
      </w:pPr>
    </w:p>
    <w:p>
      <w:pPr>
        <w:ind w:left="1800" w:right="93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which require certain disclosures to consumers regarding the terms and conditions of their loans and credit transactions;</w:t>
      </w:r>
    </w:p>
    <w:p>
      <w:pPr>
        <w:spacing w:after="0" w:line="53" w:lineRule="exact"/>
        <w:rPr>
          <w:rFonts w:ascii="Times New Roman" w:cs="Times New Roman" w:eastAsia="Times New Roman" w:hAnsi="Times New Roman"/>
          <w:sz w:val="18"/>
          <w:szCs w:val="18"/>
          <w:color w:val="auto"/>
        </w:rPr>
      </w:pPr>
    </w:p>
    <w:p>
      <w:pPr>
        <w:ind w:left="1800" w:right="739" w:hanging="178"/>
        <w:spacing w:after="0" w:line="263"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spacing w:after="0" w:line="291" w:lineRule="exact"/>
        <w:rPr>
          <w:rFonts w:ascii="Times New Roman" w:cs="Times New Roman" w:eastAsia="Times New Roman" w:hAnsi="Times New Roman"/>
          <w:sz w:val="18"/>
          <w:szCs w:val="18"/>
          <w:color w:val="auto"/>
        </w:rPr>
      </w:pPr>
    </w:p>
    <w:p>
      <w:pPr>
        <w:ind w:left="1800" w:right="699" w:hanging="178"/>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75" w:lineRule="exact"/>
        <w:rPr>
          <w:rFonts w:ascii="Times New Roman" w:cs="Times New Roman" w:eastAsia="Times New Roman" w:hAnsi="Times New Roman"/>
          <w:sz w:val="18"/>
          <w:szCs w:val="18"/>
          <w:color w:val="auto"/>
        </w:rPr>
      </w:pPr>
    </w:p>
    <w:p>
      <w:pPr>
        <w:ind w:left="1800" w:right="91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(the “FCRA”), as amended by the Fair and Accurate Credit Transactions Act, which promotes the accuracy, fairness, and privacy of information in the files of consumer reporting agencies;</w:t>
      </w:r>
    </w:p>
    <w:p>
      <w:pPr>
        <w:spacing w:after="0" w:line="54" w:lineRule="exact"/>
        <w:rPr>
          <w:rFonts w:ascii="Times New Roman" w:cs="Times New Roman" w:eastAsia="Times New Roman" w:hAnsi="Times New Roman"/>
          <w:sz w:val="18"/>
          <w:szCs w:val="18"/>
          <w:color w:val="auto"/>
        </w:rPr>
      </w:pPr>
    </w:p>
    <w:p>
      <w:pPr>
        <w:ind w:left="1800" w:right="91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and the Telephone Consumer Protection Act, each of which provide guidelines and limitations concerning the conduct of third-party debt collectors in connection with the collection of consumer debts;</w:t>
      </w:r>
    </w:p>
    <w:p>
      <w:pPr>
        <w:spacing w:after="0" w:line="67"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(the “GLBA”), which includes limitations on use and disclosure of nonpublic personal information about a consumer by a financial institution;</w:t>
      </w:r>
    </w:p>
    <w:p>
      <w:pPr>
        <w:spacing w:after="0" w:line="53" w:lineRule="exact"/>
        <w:rPr>
          <w:rFonts w:ascii="Times New Roman" w:cs="Times New Roman" w:eastAsia="Times New Roman" w:hAnsi="Times New Roman"/>
          <w:sz w:val="18"/>
          <w:szCs w:val="18"/>
          <w:color w:val="auto"/>
        </w:rPr>
      </w:pPr>
    </w:p>
    <w:p>
      <w:pPr>
        <w:ind w:left="1800" w:right="99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(the “CCPA”), which includes limitations and requirements surrounding the use, disclosure, and other processing of certain personal information about California residents;</w:t>
      </w:r>
    </w:p>
    <w:p>
      <w:pPr>
        <w:spacing w:after="0" w:line="6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ind w:left="1800" w:right="95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spacing w:after="0" w:line="67" w:lineRule="exact"/>
        <w:rPr>
          <w:rFonts w:ascii="Times New Roman" w:cs="Times New Roman" w:eastAsia="Times New Roman" w:hAnsi="Times New Roman"/>
          <w:sz w:val="18"/>
          <w:szCs w:val="18"/>
          <w:color w:val="auto"/>
        </w:rPr>
      </w:pPr>
    </w:p>
    <w:p>
      <w:pPr>
        <w:ind w:left="1800" w:right="139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67"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spacing w:after="0" w:line="67" w:lineRule="exact"/>
        <w:rPr>
          <w:rFonts w:ascii="Times New Roman" w:cs="Times New Roman" w:eastAsia="Times New Roman" w:hAnsi="Times New Roman"/>
          <w:sz w:val="18"/>
          <w:szCs w:val="18"/>
          <w:color w:val="auto"/>
        </w:rPr>
      </w:pPr>
    </w:p>
    <w:p>
      <w:pPr>
        <w:ind w:left="1800" w:right="79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and similar state laws, which provide disclosure requirements, substantive conduct obligations, and prohibitions on certain behavior relating to loans made to covered borrowers, which include both servicemembers and their dependents;</w:t>
      </w:r>
    </w:p>
    <w:p>
      <w:pPr>
        <w:spacing w:after="0" w:line="67"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which allows active duty military members to suspend or postpone certain civil obligations so that the military member can devote his or her full attention to military duties; and</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939" w:hanging="178"/>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pursuant to the CARES Act, including requirements relating to collection and credit reporting, though many of the implementing regulations under the CARES Act have not yet been issued.</w:t>
      </w:r>
    </w:p>
    <w:p>
      <w:pPr>
        <w:spacing w:after="0" w:line="95"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181" w:lineRule="exact"/>
        <w:rPr>
          <w:sz w:val="20"/>
          <w:szCs w:val="20"/>
          <w:color w:val="auto"/>
        </w:rPr>
      </w:pPr>
    </w:p>
    <w:p>
      <w:pPr>
        <w:ind w:left="1260" w:right="9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9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are subject to extensive regulation, supervision, and examination by federal and state governmental authorities under United States federal and state laws and regulations. We are required to comply with constantly changing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324"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106"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as a facilitator, servicer, or acquirer of consumer credit. The CFPB previously announced that it intends to expand its supervisory authority through the use of “larger participant rules” to cover the markets for consumer installment loans and auto title loans. Were the CFPB to promulgate a rule for the direct supervision of nonbank installment lenders, it is possible that the CFPB could be permitted to conduct periodic examination of our business, which may increase our risk of regulatory or enforcement actions.</w:t>
      </w:r>
    </w:p>
    <w:p>
      <w:pPr>
        <w:spacing w:after="0" w:line="120"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State attorneys general have indicated that they will take a more active role in enforcing consumer protection laws, including through use of Dodd-Frank Act provisions that authorize state attorneys general to enforce certain provisions of federal consumer financial laws and obtain civil money penalties and other relief available to the CFPB. Further, we are regulated by many state regulatory agencies through licensing and other supervisory or enforcement authority, which includes regular examination by state governmental authorities.</w:t>
      </w:r>
    </w:p>
    <w:p>
      <w:pPr>
        <w:spacing w:after="0" w:line="336"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Such regulatory actions could result in penalties and reputational harm to us and a loss of consumers participating in our platform, and our compliance costs and litigation exposure could increase if the CFPB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111"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 addition, the Presidential Administration is expected to bring an increased focus on enforcement of federal consumer protection laws and appoint consumer-oriented regulators at federal agencies such as the CFPB, the OCC and the FDIC. It is possible that regulators in the Presidential Administration could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 impacting our business, operations, and profitability.</w:t>
      </w:r>
    </w:p>
    <w:p>
      <w:pPr>
        <w:spacing w:after="0" w:line="104" w:lineRule="exact"/>
        <w:rPr>
          <w:sz w:val="20"/>
          <w:szCs w:val="20"/>
          <w:color w:val="auto"/>
        </w:rPr>
      </w:pPr>
    </w:p>
    <w:p>
      <w:pPr>
        <w:ind w:left="1260" w:right="959" w:firstLine="360"/>
        <w:spacing w:after="0"/>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181" w:lineRule="exact"/>
        <w:rPr>
          <w:sz w:val="20"/>
          <w:szCs w:val="20"/>
          <w:color w:val="auto"/>
        </w:rPr>
      </w:pPr>
    </w:p>
    <w:p>
      <w:pPr>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08" w:lineRule="exact"/>
        <w:rPr>
          <w:sz w:val="20"/>
          <w:szCs w:val="20"/>
          <w:color w:val="auto"/>
        </w:rPr>
      </w:pPr>
    </w:p>
    <w:p>
      <w:pPr>
        <w:ind w:left="1260" w:right="799" w:firstLine="360"/>
        <w:spacing w:after="0" w:line="239" w:lineRule="auto"/>
        <w:rPr>
          <w:sz w:val="20"/>
          <w:szCs w:val="20"/>
          <w:color w:val="auto"/>
        </w:rPr>
      </w:pPr>
      <w:r>
        <w:rPr>
          <w:rFonts w:ascii="Times New Roman" w:cs="Times New Roman" w:eastAsia="Times New Roman" w:hAnsi="Times New Roman"/>
          <w:sz w:val="18"/>
          <w:szCs w:val="18"/>
          <w:color w:val="auto"/>
        </w:rPr>
        <w:t>A substantial majority of the loans facilitated through our platform are originated through Cross River Bank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In the event of such a challenge or if our arrangements with our originating bank partners were to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12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There are two examples of claims that have been raised that could each, separately or jointly, result in this outcome in some or all states.</w:t>
      </w:r>
    </w:p>
    <w:p>
      <w:pPr>
        <w:spacing w:after="0" w:line="8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First, 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 have been a number of lawsuits in other parts of the country making similar allegations . Under the Federal Interest Rate Authority Rule promulgated by the FDIC, which is the interest rate authority of state -chartered banks (such as our originating bank partners), the interest rate applicable to a loan originated by a state-chartered bank on the date of origination will carry with the commercial paper (loan) irrespective of ownership (i.e., the interest rate is “valid when made”). The OCC issued a similar rule on May 29, 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It is uncertain whether these lawsuits will be effective and whether these or other state attorneys general will file similar suits with respect to any other rule regarding the permissibility of interest rates by the FDIC, OCC or other regulators.</w:t>
      </w:r>
    </w:p>
    <w:p>
      <w:pPr>
        <w:spacing w:after="0" w:line="252"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Second,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w:t>
      </w: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3" w:name="page64"/>
    <w:bookmarkEnd w:id="6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the OCC promulgated a final rulemaking setting forth standards for determining the true lender of a loan issued by a national bank. Under this rule, a national bank that makes a loan is the “true lender” if, as of the date of origination, the bank (i) is named as the lender in the loan agreement or (ii) funds the loan. It is unclear whether the FDIC will promulgate a similar rule for state-chartered banks (such as our originating bank partners), and whether state attorneys general or regulatory agencies will challenge either the OCC’s true lender rule or any potential rule issued by the FDIC on a similar basis.</w:t>
      </w:r>
    </w:p>
    <w:p>
      <w:pPr>
        <w:spacing w:after="0" w:line="293"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Further, it is unclear whether these rules will be given effect by courts and regulators in a manner that actually mitigates risks relating to state interest rate limits and related risks to us, our originating bank partner, any other program participant, or the loans facilitated through our platform. We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or the reduction of interest or principal, or other penalties or damages. Third 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122" w:lineRule="exact"/>
        <w:rPr>
          <w:sz w:val="20"/>
          <w:szCs w:val="20"/>
          <w:color w:val="auto"/>
        </w:rPr>
      </w:pPr>
    </w:p>
    <w:p>
      <w:pPr>
        <w:ind w:left="1260" w:right="739" w:firstLine="360"/>
        <w:spacing w:after="0" w:line="268" w:lineRule="auto"/>
        <w:rPr>
          <w:sz w:val="20"/>
          <w:szCs w:val="20"/>
          <w:color w:val="auto"/>
        </w:rPr>
      </w:pPr>
      <w:r>
        <w:rPr>
          <w:rFonts w:ascii="Times New Roman" w:cs="Times New Roman" w:eastAsia="Times New Roman" w:hAnsi="Times New Roman"/>
          <w:sz w:val="18"/>
          <w:szCs w:val="18"/>
          <w:color w:val="auto"/>
        </w:rPr>
        <w:t>For more information on our originating bank partner model, see “</w:t>
      </w:r>
      <w:r>
        <w:rPr>
          <w:rFonts w:ascii="Times New Roman" w:cs="Times New Roman" w:eastAsia="Times New Roman" w:hAnsi="Times New Roman"/>
          <w:sz w:val="18"/>
          <w:szCs w:val="18"/>
          <w:i w:val="1"/>
          <w:iCs w:val="1"/>
          <w:color w:val="auto"/>
        </w:rPr>
        <w:t>Business — Regulatory Environment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State licensing requirements and regulation.</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loans made by us under our state lending licenses are found to violate applicable state interest rate limits or other provisions of applicable state lending and other laws, it could adversely affect our business, results of operations, financial condition, and future prospects.</w:t>
      </w:r>
    </w:p>
    <w:p>
      <w:pPr>
        <w:spacing w:after="0" w:line="108"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The loans originated by our originating bank partners may not be subject to state licensing and interest rate restrictions. However the loans we may originate on our platform pursuant to our state licenses are subject to state licensing and interest rate restrictions, as well as numerous state requirements regarding consumer protection, interest rate, disclosure, prohibitions on certain activities, and loan term lengths. If the loans we originate pursuant to our state licenses were deemed subject to and in violation of certain state consumer finance or other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an adverse effect on our business, results of operations, financial condition, and future prospects.</w:t>
      </w:r>
    </w:p>
    <w:p>
      <w:pPr>
        <w:spacing w:after="0" w:line="187" w:lineRule="exact"/>
        <w:rPr>
          <w:sz w:val="20"/>
          <w:szCs w:val="20"/>
          <w:color w:val="auto"/>
        </w:rPr>
      </w:pPr>
    </w:p>
    <w:p>
      <w:pPr>
        <w:ind w:left="1260" w:right="65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10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4" w:name="page65"/>
    <w:bookmarkEnd w:id="6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7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Our originating bank partners are subject to federal and state supervision and regulation. Federal regulation of the banking industry, along with tax and accounting laws, regulations, rules, and standards, may limit their operations significantly and control the methods by which it conducts business. In addition, compliance with laws and regulations can be difficult and costly, and changes to laws and regulations can impose additional compliance requirements.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340"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In choosing whether and how to conduct business with us, current and prospective bank partners can be expected to take into account the legal, regulatory, and supervisory regime that applies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our current and prospective bank partners.</w:t>
      </w:r>
    </w:p>
    <w:p>
      <w:pPr>
        <w:spacing w:after="0" w:line="121" w:lineRule="exact"/>
        <w:rPr>
          <w:sz w:val="20"/>
          <w:szCs w:val="20"/>
          <w:color w:val="auto"/>
        </w:rPr>
      </w:pPr>
    </w:p>
    <w:p>
      <w:pPr>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323"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Bank holding companies and financial institutions are extensively regulated and currently face an uncertain regulatory environment. Applicable state and federal laws, regulations, interpretations, including licensing laws and regulations,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and prospective bank partners. Future changes may have an adverse effect on our current and prospective bank partners and, therefore, on us.</w:t>
      </w:r>
    </w:p>
    <w:p>
      <w:pPr>
        <w:spacing w:after="0" w:line="185" w:lineRule="exact"/>
        <w:rPr>
          <w:sz w:val="20"/>
          <w:szCs w:val="20"/>
          <w:color w:val="auto"/>
        </w:rPr>
      </w:pPr>
    </w:p>
    <w:p>
      <w:pPr>
        <w:ind w:left="1260" w:right="10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vendors and our other ongoing third-party business relationships is subject to increasing regulatory requirements and attention.</w:t>
      </w:r>
    </w:p>
    <w:p>
      <w:pPr>
        <w:spacing w:after="0" w:line="91"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regularly use vendors and subcontractors as part of our business. We also depend on our substantial ongoing business relationships with our originating bank partners, merchants, and other third parties. These types of third-party relationships, particularly with our originating bank partners, are subject to increasingly demanding regulatory requirements and oversight by federal bank regulators (such as the Federal Reserve Board, the Office of the Comptroller of the Currency, and the Federal Deposit Insurance Corporation) and the CFPB. The CFPB has enforcement authority with respect to the conduct of third 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w:t>
      </w:r>
    </w:p>
    <w:p>
      <w:pPr>
        <w:spacing w:after="0" w:line="120"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performed appropriately, we could be subject to enforcement actions, including civil money penalties or other administrative or judicial penalties or fines, as well as requirements for consumer remediation.</w:t>
      </w:r>
    </w:p>
    <w:p>
      <w:pPr>
        <w:spacing w:after="0" w:line="158"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7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337"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336" w:lineRule="exact"/>
        <w:rPr>
          <w:sz w:val="20"/>
          <w:szCs w:val="20"/>
          <w:color w:val="auto"/>
        </w:rPr>
      </w:pPr>
    </w:p>
    <w:p>
      <w:pPr>
        <w:jc w:val="both"/>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information collection, sharing, and security practices and their right to “opt out” of the institution’s disclosure of their personal financial information to nonaffiliated third parties (with certain exceptions). Privacy requirements, including notice and opt out requirements, under the GLBA and the FCRA are enforced by the FTC and by the CFPB through UDAAP laws and regulations, and are a standard component of CFPB examinations. State entities also may initiate actions for alleged violations of privacy or security requirements under state law.</w:t>
      </w:r>
    </w:p>
    <w:p>
      <w:pPr>
        <w:spacing w:after="0" w:line="34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Furthermore, an increasing number of state, federal, and international jurisdictions have enacted, or are considering enacting, privacy laws, such as the CCPA, which became effective on January 1, 2020, and the General Data Protection Regulation (“GDPR”), which regulates the collection and use of personal 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United States,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GDPR, and any other applicable state, federal, and international privacy laws, may increase our compliance costs and potential liability.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Our failure, or the failure of any third party with whom we work, to comply with privacy and data protection laws could result in potentially significant regulatory investigations and government actions, litigations, fines, or sanctions, consumer, funding source, bank partner, or merchant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27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356"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pass-through federal obligation to comply with anti-money laundering and anti-terrorism financing laws, and failure to comply with this obligation could have significant adverse consequences for us.</w:t>
      </w:r>
    </w:p>
    <w:p>
      <w:pPr>
        <w:spacing w:after="0" w:line="90"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We maintain an enterprise-wide program designed to enable us to comply with all applicable anti-money laundering and anti-terrorism financing laws and regulations, including the Bank Secrecy Act and the Patriot Act. This program includes policies, procedures, processes, and other internal controls designed to identify, monitor, manage, and mitigate the risk of money laundering and terrorist financing. These controls include procedures and processes to detect and report potentially suspicious transactions, perform consumer due diligence, respond to requests from law enforcement, and meet all recordkeeping and reporting requirements related to particular transactions involving currency or monetary instruments. We are required to maintain this program under our agreements with our originating bank partners, and certain state regulatory agencies have intimated they expect the program to be in place and followed. We cannot provide any assurance that our programs and controls will be effective to ensure compliance with all applicable anti-money laundering and anti-terrorism financing laws and regulations we are required to comply with, and our failure to comply with these laws and regulations could result in a breach and termination of our agreements with our originating bank partners or criticism by state governmental agencies, which would have a material adverse effect on our business, results of operations, financial condition, and future prospects.</w:t>
      </w:r>
    </w:p>
    <w:p>
      <w:pPr>
        <w:spacing w:after="0" w:line="185"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90"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Certain states have adopted laws regulating and requiring licensing, registration, notice filing, or other approval by parties that engage in certain activity regarding consumer finance transactions, including facilitating and assisting such transactions in certain circumstances. Furthermore, certain states and localities have also adopted laws requiring licensing, registration, notice filing, or other approval for consumer debt collection or servicing, and/or purchasing or selling consumer loans. We have also received inquiries from state regulatory agencies regarding requirements to obtain licenses from or register with those states, including</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7" w:name="page68"/>
    <w:bookmarkEnd w:id="6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in states where we have determined that we are not required to obtain such a license or be registered with the state, and we expect to continue to receive such inquiries. The application of some consumer financial licensing laws to our platform and the related activities it performs is unclear. In addition, state licensing requirements may evolve over time, including, in particular, recent trends toward increased licensing requirements and regulation of parties engaged in loan solicitation activities. 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 For example, in July 2020, we entered into a consent order with the Massachusetts Department of Banking to resolve potential concerns regarding state law applicability in connection with a license application submitted by us and obtained certain licenses. We also entered into a settlement agreement with the West Virginia’s Attorney General’s office in July 2020 regarding state law applicability with respect to licensing requirements and interest rates.</w:t>
      </w:r>
    </w:p>
    <w:p>
      <w:pPr>
        <w:spacing w:after="0" w:line="347" w:lineRule="exact"/>
        <w:rPr>
          <w:sz w:val="20"/>
          <w:szCs w:val="20"/>
          <w:color w:val="auto"/>
        </w:rPr>
      </w:pPr>
    </w:p>
    <w:p>
      <w:pPr>
        <w:ind w:left="1260" w:right="8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requirements for our high-yield savings account product, our customers’ deposits may not qualify for FDIC insurance and they may withdraw their funds, which could adversely affect our brand, business, results of operations, financial condition, and future prospects.</w:t>
      </w:r>
    </w:p>
    <w:p>
      <w:pPr>
        <w:spacing w:after="0" w:line="95"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120"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spacing w:after="0" w:line="181" w:lineRule="exact"/>
        <w:rPr>
          <w:sz w:val="20"/>
          <w:szCs w:val="20"/>
          <w:color w:val="auto"/>
        </w:rPr>
      </w:pPr>
    </w:p>
    <w:p>
      <w:pPr>
        <w:ind w:left="1260" w:right="10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been in the past and may in the future be subject to federal and state regulatory inquiries and general litigation regarding our business.</w:t>
      </w:r>
    </w:p>
    <w:p>
      <w:pPr>
        <w:spacing w:after="0" w:line="9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state attorneys general, state financial regulatory agencies, and other state or federal agencies or bodies regarding our platform, including the origination and servicing of consumer loans, practices by merchants or other third parties, and licensing and registration requirements. Any such inquiries or investigations could involve substantial time and expense to analyze and respond to, could divert management’s attention and other resources from running our business, and could lead to public enforcement actions or lawsuits, or result in fines, penalties, injunctive relief, consumer remediation, increased compliance costs, limit the ability to offer certain products or services or engage in certain business practices, damage our reputation, or result in the need to obtain additional licenses that we do not currently possess. Our involvement in any such matters, whether tangential or otherwise and even if the matters are ultimately determined in our favor, could also cause significant harm to our reputation, lead to additional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and/or have an adverse effect on our business, results of operations, financial condition, future prospects, and cash flows.</w:t>
      </w:r>
    </w:p>
    <w:p>
      <w:pPr>
        <w:spacing w:after="0" w:line="99"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188" w:lineRule="exact"/>
        <w:rPr>
          <w:sz w:val="20"/>
          <w:szCs w:val="20"/>
          <w:color w:val="auto"/>
        </w:rPr>
      </w:pPr>
    </w:p>
    <w:p>
      <w:pPr>
        <w:ind w:left="12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Regulatory agencies and consumer advocacy groups are becoming more aggressive in asserting “disparate impact” claims, particularly with respect to credit models that utilize machine learning or other automated underwriting.</w:t>
      </w:r>
    </w:p>
    <w:p>
      <w:pPr>
        <w:spacing w:after="0" w:line="68"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Antidiscrimination statutes, such as the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w:t>
      </w:r>
    </w:p>
    <w:p>
      <w:pPr>
        <w:spacing w:after="0" w:line="11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We face the risk that one or more of the variables included in our loan decisioning model may be invalidated under the disparate impact test, which would require us to revise the loan decisioning model in a manner that might generate lower approval rates or higher credit losses. In addition, our use of machine learning in our models could inadvertently result in a “disparate impact” on protected groups. Although we proactively monitor and test our models for such a disparate impact, we may be unable to identify and eliminate all practices or variables causing the disparate impact.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Class A Common Stock</w:t>
      </w:r>
    </w:p>
    <w:p>
      <w:pPr>
        <w:spacing w:after="0" w:line="225" w:lineRule="exact"/>
        <w:rPr>
          <w:sz w:val="20"/>
          <w:szCs w:val="20"/>
          <w:color w:val="auto"/>
        </w:rPr>
      </w:pPr>
    </w:p>
    <w:p>
      <w:pPr>
        <w:ind w:left="1260" w:right="8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will have the effect of concentrating voting control with those stockholders who held our capital stock prior to the completion of this offering, including our executive officers, employees and directors and their affiliates. This will limit or preclude your ability to influence corporate matters.</w:t>
      </w:r>
    </w:p>
    <w:p>
      <w:pPr>
        <w:spacing w:after="0" w:line="76"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Our Class B common stock will have 15 votes per share, and our Class A common stock, which is the stock we are offering in this offering, will have one vote per share. Because of the 15-to-1 voting ratio between our Class B common stock and our Class A common stock, immediately following the offering, the</w:t>
      </w:r>
    </w:p>
    <w:p>
      <w:pPr>
        <w:spacing w:after="0" w:line="1"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holders of our outstanding Class B common stock will hold approximately % of the voting power of our outstanding capital stock, and our existing stockholders will hold approximately % of the voting power of our outstanding capital stock, with % held by our executive officers, directors, holders of more than</w:t>
      </w:r>
    </w:p>
    <w:p>
      <w:pPr>
        <w:spacing w:after="0" w:line="1" w:lineRule="exact"/>
        <w:rPr>
          <w:sz w:val="20"/>
          <w:szCs w:val="20"/>
          <w:color w:val="auto"/>
        </w:rPr>
      </w:pPr>
    </w:p>
    <w:p>
      <w:pPr>
        <w:ind w:left="1260" w:right="839"/>
        <w:spacing w:after="0" w:line="253" w:lineRule="auto"/>
        <w:rPr>
          <w:sz w:val="20"/>
          <w:szCs w:val="20"/>
          <w:color w:val="auto"/>
        </w:rPr>
      </w:pPr>
      <w:r>
        <w:rPr>
          <w:rFonts w:ascii="Times New Roman" w:cs="Times New Roman" w:eastAsia="Times New Roman" w:hAnsi="Times New Roman"/>
          <w:sz w:val="18"/>
          <w:szCs w:val="18"/>
          <w:color w:val="auto"/>
        </w:rPr>
        <w:t>5% of our outstanding capital stock and their affiliates. Because the holders of our Class B common stock collectively will hold significantly more than a majority of the combined voting power of our capital stock upon the completion of this offering, such holders, acting together, will be able to control all matters submitted to our stockholders for approval.</w:t>
      </w:r>
    </w:p>
    <w:p>
      <w:pPr>
        <w:spacing w:after="0" w:line="121"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As a result, for the foreseeable future, holders of our Class B common stock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that you may feel are in your best interest as one of our stockholders. These holders of our Class B common stock may have interests that differ from yours and may vote in a way with which you disagree and which may be adverse to your interests. This control may adversely affect the trading price of our Class A common stock.</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9" w:name="page70"/>
    <w:bookmarkEnd w:id="6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Further, Max Levchin, our Founder, Chairman and Chief Executive Officer, will have voting control</w:t>
      </w:r>
    </w:p>
    <w:p>
      <w:pPr>
        <w:spacing w:after="0" w:line="27" w:lineRule="exact"/>
        <w:rPr>
          <w:sz w:val="20"/>
          <w:szCs w:val="20"/>
          <w:color w:val="auto"/>
        </w:rPr>
      </w:pPr>
    </w:p>
    <w:p>
      <w:pPr>
        <w:ind w:left="1260" w:right="719"/>
        <w:spacing w:after="0" w:line="255" w:lineRule="auto"/>
        <w:rPr>
          <w:sz w:val="20"/>
          <w:szCs w:val="20"/>
          <w:color w:val="auto"/>
        </w:rPr>
      </w:pPr>
      <w:r>
        <w:rPr>
          <w:rFonts w:ascii="Times New Roman" w:cs="Times New Roman" w:eastAsia="Times New Roman" w:hAnsi="Times New Roman"/>
          <w:sz w:val="18"/>
          <w:szCs w:val="18"/>
          <w:color w:val="auto"/>
        </w:rPr>
        <w:t>over approximately % of the voting power of our outstanding capital stock following this offering. As a stockholder, Mr. Levchin is entitled to vote his shares, and shares over which he has voting control, in his own interests, which may not always be in the interests of our stockholders generally.</w:t>
      </w:r>
    </w:p>
    <w:p>
      <w:pPr>
        <w:spacing w:after="0" w:line="105" w:lineRule="exact"/>
        <w:rPr>
          <w:sz w:val="20"/>
          <w:szCs w:val="20"/>
          <w:color w:val="auto"/>
        </w:rPr>
      </w:pPr>
    </w:p>
    <w:p>
      <w:pPr>
        <w:ind w:left="1260" w:right="779" w:firstLine="360"/>
        <w:spacing w:after="0" w:line="252" w:lineRule="auto"/>
        <w:rPr>
          <w:sz w:val="20"/>
          <w:szCs w:val="20"/>
          <w:color w:val="auto"/>
        </w:rPr>
      </w:pPr>
      <w:r>
        <w:rPr>
          <w:rFonts w:ascii="Times New Roman" w:cs="Times New Roman" w:eastAsia="Times New Roman" w:hAnsi="Times New Roman"/>
          <w:sz w:val="18"/>
          <w:szCs w:val="18"/>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amended and restated certificate of incorporation. In addition, all shares of Class B common stock will automatically convert into shares of Class A common stock on the earliest of (i) the seven-year anniversary of the closing date of this offering,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 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the closing date of this offering, or</w:t>
      </w:r>
    </w:p>
    <w:p>
      <w:pPr>
        <w:spacing w:after="0" w:line="2" w:lineRule="exact"/>
        <w:rPr>
          <w:sz w:val="20"/>
          <w:szCs w:val="20"/>
          <w:color w:val="auto"/>
        </w:rPr>
      </w:pPr>
    </w:p>
    <w:p>
      <w:pPr>
        <w:ind w:left="1260" w:right="679" w:firstLine="2"/>
        <w:spacing w:after="0" w:line="251" w:lineRule="auto"/>
        <w:tabs>
          <w:tab w:leader="none" w:pos="15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death or incapacity of the last to die or become incapacitated of Mr. Levchin subject to extension for a total period of no longer than nine months from such incapacitation or death if approved by a majority of the independent directors then in office. Conversions of Class B common stock to Class A common stock will have the effect, over time, of increasing the relative voting power of those holders of Class B common stock who retain their shares in the long term. If, for example, one or more of our existing stockholders retains a significant portion of their holdings of Class B common stock for an extended period of time, they could, in the future, control a majority of the combined voting power of our outstanding capital stock. See </w:t>
      </w:r>
      <w:r>
        <w:rPr>
          <w:rFonts w:ascii="Times New Roman" w:cs="Times New Roman" w:eastAsia="Times New Roman" w:hAnsi="Times New Roman"/>
          <w:sz w:val="18"/>
          <w:szCs w:val="18"/>
          <w:i w:val="1"/>
          <w:iCs w:val="1"/>
          <w:color w:val="auto"/>
        </w:rPr>
        <w:t xml:space="preserve">“Description of Capital Stock” </w:t>
      </w:r>
      <w:r>
        <w:rPr>
          <w:rFonts w:ascii="Times New Roman" w:cs="Times New Roman" w:eastAsia="Times New Roman" w:hAnsi="Times New Roman"/>
          <w:sz w:val="18"/>
          <w:szCs w:val="18"/>
          <w:color w:val="auto"/>
        </w:rPr>
        <w:t>for additional information.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16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11" w:lineRule="exact"/>
        <w:rPr>
          <w:sz w:val="20"/>
          <w:szCs w:val="20"/>
          <w:color w:val="auto"/>
        </w:rPr>
      </w:pPr>
    </w:p>
    <w:p>
      <w:pPr>
        <w:jc w:val="both"/>
        <w:ind w:left="12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107"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Class A common stock. It is possible that an active trading market for our Class A common stock will not develop or continue or, if developed, that it will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which could cause the value of your investment to decline.</w:t>
      </w:r>
    </w:p>
    <w:p>
      <w:pPr>
        <w:spacing w:after="0" w:line="78"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Class A common stock may be highly volatile and could be subject to wide fluctuations. In addition, the trading volume in our Class A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Class A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Cross River Bank as an originating bank partner or key funding sources or merchants, and changes in our earnings estimates (if provided). Also, the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 You may be unable to resell your shares of Class A common stock at or above the initial public offering price or at all.</w:t>
      </w:r>
    </w:p>
    <w:p>
      <w:pPr>
        <w:spacing w:after="0" w:line="339"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net proceeds from this offering and we may not use them effectively.</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cannot specify with any certainty the particular uses of the net proceeds that we will receive from this offering. Our management will have broad discretion in the application of net proceeds from this offering, including for any of the purposes described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The failure by our management to apply these proceeds effectively could harm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148"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pro forma net tangible book value per share of our common stock immediately following this offering. Therefore, if you purchase shares of our Class A common stock in this offering, based on the midpoint of the price range set forth on the cover page</w:t>
      </w:r>
    </w:p>
    <w:p>
      <w:pPr>
        <w:spacing w:after="0" w:line="1" w:lineRule="exact"/>
        <w:rPr>
          <w:sz w:val="20"/>
          <w:szCs w:val="20"/>
          <w:color w:val="auto"/>
        </w:rPr>
      </w:pPr>
    </w:p>
    <w:p>
      <w:pPr>
        <w:ind w:left="1260"/>
        <w:spacing w:after="0"/>
        <w:tabs>
          <w:tab w:leader="none" w:pos="5040" w:val="left"/>
        </w:tabs>
        <w:rPr>
          <w:sz w:val="20"/>
          <w:szCs w:val="20"/>
          <w:color w:val="auto"/>
        </w:rPr>
      </w:pPr>
      <w:r>
        <w:rPr>
          <w:rFonts w:ascii="Times New Roman" w:cs="Times New Roman" w:eastAsia="Times New Roman" w:hAnsi="Times New Roman"/>
          <w:sz w:val="18"/>
          <w:szCs w:val="18"/>
          <w:color w:val="auto"/>
        </w:rPr>
        <w:t>of this prospectus, and the issuance by us of</w:t>
      </w:r>
      <w:r>
        <w:rPr>
          <w:sz w:val="20"/>
          <w:szCs w:val="20"/>
          <w:color w:val="auto"/>
        </w:rPr>
        <w:tab/>
      </w:r>
      <w:r>
        <w:rPr>
          <w:rFonts w:ascii="Times New Roman" w:cs="Times New Roman" w:eastAsia="Times New Roman" w:hAnsi="Times New Roman"/>
          <w:sz w:val="18"/>
          <w:szCs w:val="18"/>
          <w:color w:val="auto"/>
        </w:rPr>
        <w:t>shares of Class A common stock in this offering, you will</w:t>
      </w:r>
    </w:p>
    <w:p>
      <w:pPr>
        <w:spacing w:after="0" w:line="9" w:lineRule="exact"/>
        <w:rPr>
          <w:sz w:val="20"/>
          <w:szCs w:val="20"/>
          <w:color w:val="auto"/>
        </w:rPr>
      </w:pPr>
    </w:p>
    <w:p>
      <w:pPr>
        <w:ind w:left="1260" w:right="759"/>
        <w:spacing w:after="0" w:line="251" w:lineRule="auto"/>
        <w:rPr>
          <w:sz w:val="20"/>
          <w:szCs w:val="20"/>
          <w:color w:val="auto"/>
        </w:rPr>
      </w:pPr>
      <w:r>
        <w:rPr>
          <w:rFonts w:ascii="Times New Roman" w:cs="Times New Roman" w:eastAsia="Times New Roman" w:hAnsi="Times New Roman"/>
          <w:sz w:val="18"/>
          <w:szCs w:val="18"/>
          <w:color w:val="auto"/>
        </w:rPr>
        <w:t>experience immediate dilution of $ per share, the difference between the price per share you pay for our Class A common stock and the pro forma net tangible book value per share of our common stock as of September 30, 2020. Furthermore, if the underwriters exercise their option to purchase additional shares, if outstanding stock options are exercised or outstanding restricted stock units are settled, if we issue awards to our employees under our equity incentive plans, or if we otherwise issue additional shares of our Class A common stock, you could experience further dilution. As a result of the dilution to investors purchasing shares in this offering, investors may receive less than the purchase price paid in this offering, if anything, in the event of our liquidation.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for additional information.</w:t>
      </w:r>
    </w:p>
    <w:p>
      <w:pPr>
        <w:sectPr>
          <w:pgSz w:w="11900" w:h="16838" w:orient="portrait"/>
          <w:cols w:equalWidth="0" w:num="1">
            <w:col w:w="10139"/>
          </w:cols>
          <w:pgMar w:left="320" w:top="114"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profits and make it more difficult to run our business.</w:t>
      </w:r>
    </w:p>
    <w:p>
      <w:pPr>
        <w:spacing w:after="0" w:line="95"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As a public company, we expect to incur significant legal, accounting, reporting, and other expenses that we have not incurred as a private company, including costs associated with public company reporting requirements and costs of recruiting and retaining non-executive directors. We also have incurred, and will continue to incur, costs associated with compliance with the rules and regulations of the SEC, the listing requirements of Nasdaq,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of directors and board committees and serve as executive officers.</w:t>
      </w:r>
    </w:p>
    <w:p>
      <w:pPr>
        <w:spacing w:after="0" w:line="122" w:lineRule="exact"/>
        <w:rPr>
          <w:sz w:val="20"/>
          <w:szCs w:val="20"/>
          <w:color w:val="auto"/>
        </w:rPr>
      </w:pPr>
    </w:p>
    <w:p>
      <w:pPr>
        <w:jc w:val="both"/>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our Class A common stock, fines, sanctions, and other regulatory action and potentially civil litigation.</w:t>
      </w:r>
    </w:p>
    <w:p>
      <w:pPr>
        <w:spacing w:after="0" w:line="173"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requirements to design, implement, and maintain effective internal controls could have an adverse effect on our business and stock price of our Class A common stock.</w:t>
      </w:r>
    </w:p>
    <w:p>
      <w:pPr>
        <w:spacing w:after="0" w:line="90"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w:t>
      </w:r>
    </w:p>
    <w:p>
      <w:pPr>
        <w:spacing w:after="0" w:line="1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If we are unable to establish and maintain appropriate internal financial reporting controls and procedures, it could cause us to fail to meet our reporting obligations on a timely basis, result in material misstatements in our consolidated financial statements and harm our operating results. In addition, beginning with our second annual report following this offering, we will be required pursuant to SEC rules to furnish a report by management on, among other things, the effectiveness of our internal control over financial reporting. This assessment will need to include disclosure of any material weaknesses identified by our management in internal control over financial reporting. In addition, our independent registered public accounting firm will be required to formally attest to the effectiveness of our internal control over financial reporting pursuant to the SEC rules commencing the later of the year following our first annual report required to be filed with the SEC, or the date we are no longer an “emerging growth company” (as defined in the JOBS Act). See “— </w:t>
      </w:r>
      <w:r>
        <w:rPr>
          <w:rFonts w:ascii="Times New Roman" w:cs="Times New Roman" w:eastAsia="Times New Roman" w:hAnsi="Times New Roman"/>
          <w:sz w:val="18"/>
          <w:szCs w:val="18"/>
          <w:i w:val="1"/>
          <w:iCs w:val="1"/>
          <w:color w:val="auto"/>
        </w:rPr>
        <w:t>We are an ‘emerging growth company,’ as defined under the federal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laws, and we cannot be certain if the reduced disclosure requirements applicable to emerging growth companies will make our Class A common stock less attractive to investors. </w:t>
      </w:r>
      <w:r>
        <w:rPr>
          <w:rFonts w:ascii="Times New Roman" w:cs="Times New Roman" w:eastAsia="Times New Roman" w:hAnsi="Times New Roman"/>
          <w:sz w:val="18"/>
          <w:szCs w:val="18"/>
          <w:color w:val="auto"/>
        </w:rPr>
        <w:t>” Testing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controls may divert our management’s attention from other matters that are important to our business. We may not be able to conclude on an ongoing basis that we have effective internal control over financial reporting in accordance with the SEC rules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cause the price of our Class A common stock to decline and could subject us to investigation or sanctions by the SEC.</w:t>
      </w:r>
    </w:p>
    <w:p>
      <w:pPr>
        <w:spacing w:after="0" w:line="200" w:lineRule="exact"/>
        <w:rPr>
          <w:sz w:val="20"/>
          <w:szCs w:val="20"/>
          <w:color w:val="auto"/>
        </w:rPr>
      </w:pPr>
    </w:p>
    <w:p>
      <w:pPr>
        <w:spacing w:after="0" w:line="332"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under the federal securities laws, and we cannot be certain if the reduced disclosure requirements applicable to emerging growth companies will make our Class A common stock less attractive to investors.</w:t>
      </w:r>
    </w:p>
    <w:p>
      <w:pPr>
        <w:spacing w:after="0" w:line="108"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Securities Act, and we intend to take advantage of certain exemptions from various reporting requirements that are applicable to other public</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5" w:lineRule="auto"/>
        <w:rPr>
          <w:sz w:val="20"/>
          <w:szCs w:val="20"/>
          <w:color w:val="auto"/>
        </w:rPr>
      </w:pPr>
      <w:r>
        <w:rPr>
          <w:rFonts w:ascii="Times New Roman" w:cs="Times New Roman" w:eastAsia="Times New Roman" w:hAnsi="Times New Roman"/>
          <w:sz w:val="18"/>
          <w:szCs w:val="18"/>
          <w:color w:val="auto"/>
        </w:rPr>
        <w:t>companies that are not emerging growth companies, including, among other things, not being required to comply with the auditor attestation requirements of Section 404(b) of the Sarbanes-Oxley Act, an extended transition period provided in the Securities Act for complying with new or revised accounting standards, and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w:t>
      </w:r>
    </w:p>
    <w:p>
      <w:pPr>
        <w:spacing w:after="0" w:line="108"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following the fifth anniversary of the completion of this offering, (ii) the last day of the fiscal year in which we have total annual gross revenues of at least $1.07 billion, (iii) the date on which we have issued more than $1.0 billion in non-convertible debt during the prior three-year period and (iv) the date on which we are deemed to be a large accelerated filer, which means the market value of our common stock that is held by non-affiliates exceeds $700 million as of the prior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If some investors find our Class A common stock less attractive as a result, there may be a less active trading market for our Class A common stock, our stock price may be more volatile and the price of our Class A common stock may decline.</w:t>
      </w:r>
    </w:p>
    <w:p>
      <w:pPr>
        <w:spacing w:after="0" w:line="198" w:lineRule="exact"/>
        <w:rPr>
          <w:sz w:val="20"/>
          <w:szCs w:val="20"/>
          <w:color w:val="auto"/>
        </w:rPr>
      </w:pPr>
    </w:p>
    <w:p>
      <w:pPr>
        <w:ind w:left="12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91" w:lineRule="exact"/>
        <w:rPr>
          <w:sz w:val="20"/>
          <w:szCs w:val="20"/>
          <w:color w:val="auto"/>
        </w:rPr>
      </w:pPr>
    </w:p>
    <w:p>
      <w:pPr>
        <w:ind w:left="1260" w:right="899" w:firstLine="360"/>
        <w:spacing w:after="0" w:line="256" w:lineRule="auto"/>
        <w:rPr>
          <w:sz w:val="20"/>
          <w:szCs w:val="20"/>
          <w:color w:val="auto"/>
        </w:rPr>
      </w:pPr>
      <w:r>
        <w:rPr>
          <w:rFonts w:ascii="Times New Roman" w:cs="Times New Roman" w:eastAsia="Times New Roman" w:hAnsi="Times New Roman"/>
          <w:sz w:val="18"/>
          <w:szCs w:val="18"/>
          <w:color w:val="auto"/>
        </w:rPr>
        <w:t>The price of our Class A common stock could decline if there are substantial sales of our Class A common stock, particularly sales by our directors, executive officers, and significant stockholders, or if there is the perception that these sales could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2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Upon completion of this offering, we will have outstanding shares of Class A common stock on a pro forma basis, based on the number of shares outstanding as of September 30, 2020. All of the shares of Class A common stock sold in this offering will be available for sale in the public market, except that shares held by our affiliates, as defined in Rule 144 under the Securities Act, may only be sold in compliance with Rule 144. Substantially all of our security holders have entered into market standoff agreements with us restricting the sale of any shares of our common stock or will enter into lock-up agreements with the underwriters under which they will agree, subject to certain exceptions, not to sell any shares of our common stock until up to 180 days after the date of this prospectus, as described in “</w:t>
      </w:r>
      <w:r>
        <w:rPr>
          <w:rFonts w:ascii="Times New Roman" w:cs="Times New Roman" w:eastAsia="Times New Roman" w:hAnsi="Times New Roman"/>
          <w:sz w:val="18"/>
          <w:szCs w:val="18"/>
          <w:i w:val="1"/>
          <w:iCs w:val="1"/>
          <w:color w:val="auto"/>
        </w:rPr>
        <w:t>Shares Eligible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Sale.</w:t>
      </w:r>
      <w:r>
        <w:rPr>
          <w:rFonts w:ascii="Times New Roman" w:cs="Times New Roman" w:eastAsia="Times New Roman" w:hAnsi="Times New Roman"/>
          <w:sz w:val="18"/>
          <w:szCs w:val="18"/>
          <w:color w:val="auto"/>
        </w:rPr>
        <w:t>” However, beginning on the date that is 70 days after the date of this prospectus,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by our current and former employees, consultants and independent contractors other than our directors, officers, and greater than 1% stockholders are subject to automatic early release from the lock-up agreements and market standoff agreements upon the occurrence of certain conditions. In addition, with respect to shares held by our current and former employees, consultants and independent contractors other than our directors, officers, and greater than 1% stockholders not released as a result of such early release, if the 180th day after the date of this prospectus occurs within five trading days of a trading black-out period, the lock-up period will expire on the sixth trading day immediately preceding the commencement of the trading black-out period. See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 In addition, Morgan Stanley &amp; Co. LLC and Goldman Sachs &amp; Co. LLC may, in their discretion, permit our stockholders to sell shares prior to the expiration of the restrictive provisions contained in these lock-up agreements.</w:t>
      </w:r>
    </w:p>
    <w:p>
      <w:pPr>
        <w:spacing w:after="0" w:line="327"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After our initial public offering, certain of our stockholders will have rights, subject to some conditions, including the terms of the lock-up agreements with the underwriters, to require us to file registration statements covering their shares that we may file for ourselves or our stockholders. In addition, as of September 30, 2020, we had stock options and RSUs outstanding that, if fully exercised or settled, would result in the issuance of an aggregate of 50,016,087 shares of our Class A common stock. All of the shares of our Class A common stock issuable upon the exercise of stock options and settlement of RSUs, and the shares reserved for future issuance under our equity incentive plans, will be registered for public resale under the Securities Act.</w:t>
      </w: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3" w:name="page74"/>
    <w:bookmarkEnd w:id="7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78"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After this offering and the use of proceeds to us therefrom, we will have an aggregate of shares of Class A common stock authorized but unissued. Our amended and restated certificate of incorporation will authorize us to issue these shares of Class A common stock and rights relating to Class A common stock for the consideration and on the terms and conditions established by our board of directors in its sole discretion, whether in connection with acquisitions or otherwise. Any Class A common stock that we issue, including under any equity incentive plans that we may adopt in the future, would dilute the percentage ownership held by the investors who purchase Class A common stock in this offering.</w:t>
      </w:r>
    </w:p>
    <w:p>
      <w:pPr>
        <w:spacing w:after="0" w:line="121"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6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72" w:lineRule="exact"/>
        <w:rPr>
          <w:sz w:val="20"/>
          <w:szCs w:val="20"/>
          <w:color w:val="auto"/>
        </w:rPr>
      </w:pPr>
    </w:p>
    <w:p>
      <w:pPr>
        <w:ind w:left="12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that will be in effect at the closing of this offering could make a merger, tender offer, or proxy contest difficult, thereby adversely affecting the market price of our common stock.</w:t>
      </w:r>
    </w:p>
    <w:p>
      <w:pPr>
        <w:spacing w:after="0" w:line="94"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309" w:lineRule="exact"/>
        <w:rPr>
          <w:sz w:val="20"/>
          <w:szCs w:val="20"/>
          <w:color w:val="auto"/>
        </w:rPr>
      </w:pPr>
    </w:p>
    <w:p>
      <w:pPr>
        <w:ind w:left="1800" w:right="859" w:hanging="178"/>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pacing w:after="0" w:line="81"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80" w:lineRule="exact"/>
        <w:rPr>
          <w:rFonts w:ascii="Times New Roman" w:cs="Times New Roman" w:eastAsia="Times New Roman" w:hAnsi="Times New Roman"/>
          <w:sz w:val="18"/>
          <w:szCs w:val="18"/>
          <w:color w:val="auto"/>
        </w:rPr>
      </w:pPr>
    </w:p>
    <w:p>
      <w:pPr>
        <w:ind w:left="1800" w:right="1379" w:hanging="178"/>
        <w:spacing w:after="0" w:line="28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will require the approval of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then-outstanding voting power of our capital stock;</w:t>
      </w: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4" w:name="page75"/>
    <w:bookmarkEnd w:id="7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19" w:hanging="178"/>
        <w:spacing w:after="0" w:line="23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will provide that the affirmative vote of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then-outstanding voting power of our capital stock, voting as a single class, is required for stockholders to amend or adopt any provision of our bylaws;</w:t>
      </w:r>
    </w:p>
    <w:p>
      <w:pPr>
        <w:spacing w:after="0" w:line="91" w:lineRule="exact"/>
        <w:rPr>
          <w:rFonts w:ascii="Times New Roman" w:cs="Times New Roman" w:eastAsia="Times New Roman" w:hAnsi="Times New Roman"/>
          <w:sz w:val="18"/>
          <w:szCs w:val="18"/>
          <w:color w:val="auto"/>
        </w:rPr>
      </w:pPr>
    </w:p>
    <w:p>
      <w:pPr>
        <w:ind w:left="1800" w:right="109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only be able to take action at a meeting of stockholders and not by written consent;</w:t>
      </w:r>
    </w:p>
    <w:p>
      <w:pPr>
        <w:spacing w:after="0" w:line="40"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53" w:lineRule="exact"/>
        <w:rPr>
          <w:rFonts w:ascii="Times New Roman" w:cs="Times New Roman" w:eastAsia="Times New Roman" w:hAnsi="Times New Roman"/>
          <w:sz w:val="18"/>
          <w:szCs w:val="18"/>
          <w:color w:val="auto"/>
        </w:rPr>
      </w:pPr>
    </w:p>
    <w:p>
      <w:pPr>
        <w:ind w:left="1800" w:right="67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chairman of the board of directors, our chief executive officer, or a majority of the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will provide that certain litigation against us can only be brought in Delaware;</w:t>
      </w:r>
    </w:p>
    <w:p>
      <w:pPr>
        <w:spacing w:after="0" w:line="53"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stockholder approval of the authorized but unissued shares of our Class A common stock;</w:t>
      </w:r>
    </w:p>
    <w:p>
      <w:pPr>
        <w:spacing w:after="0" w:line="53" w:lineRule="exact"/>
        <w:rPr>
          <w:rFonts w:ascii="Times New Roman" w:cs="Times New Roman" w:eastAsia="Times New Roman" w:hAnsi="Times New Roman"/>
          <w:sz w:val="18"/>
          <w:szCs w:val="18"/>
          <w:color w:val="auto"/>
        </w:rPr>
      </w:pPr>
    </w:p>
    <w:p>
      <w:pPr>
        <w:jc w:val="both"/>
        <w:ind w:left="1800" w:right="91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6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81" w:lineRule="exact"/>
        <w:rPr>
          <w:sz w:val="20"/>
          <w:szCs w:val="20"/>
          <w:color w:val="auto"/>
        </w:rPr>
      </w:pPr>
    </w:p>
    <w:p>
      <w:pPr>
        <w:ind w:left="1260" w:right="879" w:firstLine="360"/>
        <w:spacing w:after="0" w:line="24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0" w:lineRule="exact"/>
        <w:rPr>
          <w:sz w:val="20"/>
          <w:szCs w:val="20"/>
          <w:color w:val="auto"/>
        </w:rPr>
      </w:pPr>
    </w:p>
    <w:p>
      <w:pPr>
        <w:ind w:left="1260" w:right="6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will contain exclusive forum provisions for certain claims, which could limit our stockholders’ ability to obtain a favorable judicial forum for disputes with us or our directors, officers, or employees.</w:t>
      </w:r>
    </w:p>
    <w:p>
      <w:pPr>
        <w:spacing w:after="0" w:line="68"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Our amended and restated bylaws that will be in effect upon completion of this offering, to the fullest extent permitted by law, will provide that, unless we consent in writing to the selection of an alternative forum, the Court of Chancery of the State of Delaware will be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2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will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5" w:name="page76"/>
    <w:bookmarkEnd w:id="7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99"/>
        <w:spacing w:after="0" w:line="245" w:lineRule="auto"/>
        <w:rPr>
          <w:sz w:val="20"/>
          <w:szCs w:val="20"/>
          <w:color w:val="auto"/>
        </w:rPr>
      </w:pPr>
      <w:r>
        <w:rPr>
          <w:rFonts w:ascii="Times New Roman" w:cs="Times New Roman" w:eastAsia="Times New Roman" w:hAnsi="Times New Roman"/>
          <w:sz w:val="18"/>
          <w:szCs w:val="18"/>
          <w:color w:val="auto"/>
        </w:rPr>
        <w:t>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0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bylaws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17"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374"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91"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You should carefully evaluate all of the information in this prospectus. We have in the past received, and may continue to receive, media coverage, including coverage that is not directly attributable to statements made by our officers and employees,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w:t>
      </w:r>
    </w:p>
    <w:p>
      <w:pPr>
        <w:spacing w:after="0" w:line="180"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 stock price and trading volume of our Class A common stock could decline.</w:t>
      </w:r>
    </w:p>
    <w:p>
      <w:pPr>
        <w:spacing w:after="0" w:line="78"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 stock price of our Class A common stock would likely decline. If one or more of these analysts cease coverage of our company or fail to publish reports on us regularly, demand for our stock could decrease, which might cause the stock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6" w:name="page77"/>
    <w:bookmarkEnd w:id="7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16"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54" w:lineRule="exact"/>
        <w:rPr>
          <w:sz w:val="20"/>
          <w:szCs w:val="20"/>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grow our relationships with consumers and merchants;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consumer and merchant reach;</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uncertainties affecting markets in which we operate and economic volatility that could adversely impact our business, including the COVID-19 pandemic;</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our industry against current and future competitors;</w:t>
      </w:r>
    </w:p>
    <w:p>
      <w:pPr>
        <w:spacing w:after="0" w:line="117"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modified, or new laws and regulations applicable to our business, and potential harm to our business as a result of those laws and regulations;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revenues and maintain levels of revenue growth;</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funding sources;</w:t>
      </w:r>
    </w:p>
    <w:p>
      <w:pPr>
        <w:spacing w:after="0" w:line="117" w:lineRule="exact"/>
        <w:rPr>
          <w:rFonts w:ascii="Times New Roman" w:cs="Times New Roman" w:eastAsia="Times New Roman" w:hAnsi="Times New Roman"/>
          <w:sz w:val="18"/>
          <w:szCs w:val="18"/>
          <w:color w:val="auto"/>
        </w:rPr>
      </w:pPr>
    </w:p>
    <w:p>
      <w:pPr>
        <w:ind w:left="1800" w:right="1099" w:hanging="178"/>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and key operating metrics, including as a result of Peloton's change in merchant capture date;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enhance, and protect our brand;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share of the e-commerce sales and omni-channel commerce markets;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customer acquisition spend by merchants in the United States;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build new impactful products;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to more high frequency purchases;</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close the PayBright Transaction and to integrate PayBright and any future acquisitions into our operations;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revolving unsecured credit facility;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associated with content and privacy of data of our consumers;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to new markets;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total addressable market;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net proceeds from this offering.</w:t>
      </w:r>
    </w:p>
    <w:p>
      <w:pPr>
        <w:spacing w:after="0" w:line="15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94"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106"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This prospectus contains estimates and information concerning our industry, including market position and the size and growth rates of the markets in which we participate, that are based on industry publications and reports or other publicly available information, and our business and platform, that is based on third-party surveys commissioned by us and our internal sources. This information involves a number of assumptions and limitations,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third-party surveys commissioned by us, while believed by us to be reliable, are based on limited sample sizes and have not been independently verified by us.</w:t>
      </w:r>
    </w:p>
    <w:p>
      <w:pPr>
        <w:spacing w:after="0" w:line="337"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While we are not aware of any misstatements regarding any industry or similar data presented herein, such data involve risks and uncertainties and are subject to change based on various factors, including those discussed under the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sections in this prospectus.</w:t>
      </w:r>
    </w:p>
    <w:p>
      <w:pPr>
        <w:spacing w:after="0" w:line="11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Certain information in the text of this prospectus is contained in independent industry publications. The source of these independent industry publications is provided below:</w:t>
      </w:r>
    </w:p>
    <w:p>
      <w:pPr>
        <w:spacing w:after="0" w:line="54" w:lineRule="exact"/>
        <w:rPr>
          <w:sz w:val="20"/>
          <w:szCs w:val="20"/>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Global Ecommerce June 2020;</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Nilson Report: Issue 1176 May 2020;</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Worldpay: Global Payments Report January 2020;</w:t>
      </w:r>
    </w:p>
    <w:p>
      <w:pPr>
        <w:spacing w:after="0" w:line="117" w:lineRule="exact"/>
        <w:rPr>
          <w:rFonts w:ascii="Times New Roman" w:cs="Times New Roman" w:eastAsia="Times New Roman" w:hAnsi="Times New Roman"/>
          <w:sz w:val="18"/>
          <w:szCs w:val="18"/>
          <w:color w:val="auto"/>
        </w:rPr>
      </w:pPr>
    </w:p>
    <w:p>
      <w:pPr>
        <w:ind w:left="1800" w:right="1099" w:hanging="178"/>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Poll survey: available at https://martechseries.com/analytics/b2b-data/ondots-harris-poll-reveals-consumers-open-receiving-financial-services-tech-companies/ #:~:text=According%20to%20the%20survey%2C%2064,those%20ages%2018%20to%2034;</w:t>
      </w:r>
    </w:p>
    <w:p>
      <w:pPr>
        <w:spacing w:after="0" w:line="6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 for Responsible Lending: available at https://www.responsiblelending.org/media/new-overdraft-report-urges-congress-regulators-banks-halt-burdensome-bank-fees-threaten;</w:t>
      </w:r>
    </w:p>
    <w:p>
      <w:pPr>
        <w:spacing w:after="0" w:line="53"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Statista: available at: https://www.statista.com/statistics/242512/online-retail-visitors-in-the-us-by-age-group/;</w:t>
      </w:r>
    </w:p>
    <w:p>
      <w:pPr>
        <w:spacing w:after="0" w:line="67" w:lineRule="exact"/>
        <w:rPr>
          <w:rFonts w:ascii="Times New Roman" w:cs="Times New Roman" w:eastAsia="Times New Roman" w:hAnsi="Times New Roman"/>
          <w:sz w:val="18"/>
          <w:szCs w:val="18"/>
          <w:color w:val="auto"/>
        </w:rPr>
      </w:pPr>
    </w:p>
    <w:p>
      <w:pPr>
        <w:ind w:left="1800" w:right="14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Paysafe: available at: https://www.paysafe.com/blog/is-generation-z-shaping-the-future-of-payments/;</w:t>
      </w:r>
    </w:p>
    <w:p>
      <w:pPr>
        <w:spacing w:after="0" w:line="53"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LendingTree: available at: https://www.magnifymoney.com/blog/news/u-s-credit-card-debt-by-the-numbers628618371/;</w:t>
      </w:r>
    </w:p>
    <w:p>
      <w:pPr>
        <w:spacing w:after="0" w:line="53"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NerdWallet: available at: https://www.nerdwallet.com/blog/credit-card-data/2019-consumer-credit-card-report/#footnote-one;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B2B Lead: 101 B2B Marketing and Sales Tips, Volume Four: Marketing and Sales Alignment;</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YPulse: available at https://www.ypulse.com/article/2020/01/09/millennials-gen-z-teens-combined-spending-power-is-nearly-3-trillion-in-2020/;</w:t>
      </w:r>
    </w:p>
    <w:p>
      <w:pPr>
        <w:spacing w:after="0" w:line="53"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Banker: available at https://www.americanbanker.com/opinion/banks-are-running-out-of-time-to-regain-public-trust;</w:t>
      </w:r>
    </w:p>
    <w:p>
      <w:pPr>
        <w:spacing w:after="0" w:line="53"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Statista: available at https://www.statista.com/statistics/992517/buy-now-pay-later-digital-payment-use-generation-australia/;</w:t>
      </w:r>
    </w:p>
    <w:p>
      <w:pPr>
        <w:spacing w:after="0" w:line="53" w:lineRule="exact"/>
        <w:rPr>
          <w:rFonts w:ascii="Times New Roman" w:cs="Times New Roman" w:eastAsia="Times New Roman" w:hAnsi="Times New Roman"/>
          <w:sz w:val="18"/>
          <w:szCs w:val="18"/>
          <w:color w:val="auto"/>
        </w:rPr>
      </w:pPr>
    </w:p>
    <w:p>
      <w:pPr>
        <w:ind w:left="1800" w:right="1459" w:hanging="178"/>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Knoema: available at https://knoema.com/infographics/egyydzc/us-population-by-age-and-generation-in-2020;</w:t>
      </w:r>
    </w:p>
    <w:p>
      <w:pPr>
        <w:spacing w:after="0" w:line="53" w:lineRule="exact"/>
        <w:rPr>
          <w:rFonts w:ascii="Times New Roman" w:cs="Times New Roman" w:eastAsia="Times New Roman" w:hAnsi="Times New Roman"/>
          <w:sz w:val="18"/>
          <w:szCs w:val="18"/>
          <w:color w:val="auto"/>
        </w:rPr>
      </w:pPr>
    </w:p>
    <w:p>
      <w:pPr>
        <w:ind w:left="1800" w:right="1019" w:hanging="178"/>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TD Bank’s Annual Consumer Spending Index: available at https://www.prnewswire.com/news-releases/td-banks-annual-consumer-spending-index-reveals-credit-knowledge-gap-exists-among-millennials-300810766.html; and</w:t>
      </w:r>
    </w:p>
    <w:p>
      <w:pPr>
        <w:spacing w:after="0" w:line="8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available at https://www.census.gov/retail/ecommerce/historic_releases.html.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Information contained on or accessible through the websites referenced above is not a part of this prospectus and the inclusion of the website addresses referenced above in this prospectus are inactive textual references only.</w:t>
      </w:r>
    </w:p>
    <w:p>
      <w:pPr>
        <w:spacing w:after="0" w:line="95"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In addition, certain information in this prospectus is based on a survey commissioned by us that was conducted by Informa Business Intelligence from November 1, 2019 to January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0" w:name="page81"/>
    <w:bookmarkEnd w:id="8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shares of our Class A common stock in this</w:t>
      </w:r>
    </w:p>
    <w:p>
      <w:pPr>
        <w:spacing w:after="0" w:line="27" w:lineRule="exact"/>
        <w:rPr>
          <w:sz w:val="20"/>
          <w:szCs w:val="20"/>
          <w:color w:val="auto"/>
        </w:rPr>
      </w:pPr>
    </w:p>
    <w:p>
      <w:pPr>
        <w:ind w:left="1260"/>
        <w:spacing w:after="0"/>
        <w:tabs>
          <w:tab w:leader="none" w:pos="4260" w:val="left"/>
        </w:tabs>
        <w:rPr>
          <w:sz w:val="20"/>
          <w:szCs w:val="20"/>
          <w:color w:val="auto"/>
        </w:rPr>
      </w:pPr>
      <w:r>
        <w:rPr>
          <w:rFonts w:ascii="Times New Roman" w:cs="Times New Roman" w:eastAsia="Times New Roman" w:hAnsi="Times New Roman"/>
          <w:sz w:val="18"/>
          <w:szCs w:val="18"/>
          <w:color w:val="auto"/>
        </w:rPr>
        <w:t>offering will be approximately $</w:t>
      </w:r>
      <w:r>
        <w:rPr>
          <w:sz w:val="20"/>
          <w:szCs w:val="20"/>
          <w:color w:val="auto"/>
        </w:rPr>
        <w:tab/>
      </w:r>
      <w:r>
        <w:rPr>
          <w:rFonts w:ascii="Times New Roman" w:cs="Times New Roman" w:eastAsia="Times New Roman" w:hAnsi="Times New Roman"/>
          <w:sz w:val="18"/>
          <w:szCs w:val="18"/>
          <w:color w:val="auto"/>
        </w:rPr>
        <w:t>million, based on the assumed initial public offering price of</w:t>
      </w:r>
    </w:p>
    <w:p>
      <w:pPr>
        <w:spacing w:after="0" w:line="9" w:lineRule="exact"/>
        <w:rPr>
          <w:sz w:val="20"/>
          <w:szCs w:val="20"/>
          <w:color w:val="auto"/>
        </w:rPr>
      </w:pPr>
    </w:p>
    <w:p>
      <w:pPr>
        <w:jc w:val="both"/>
        <w:ind w:left="1260" w:right="899" w:firstLine="2"/>
        <w:spacing w:after="0" w:line="250" w:lineRule="auto"/>
        <w:tabs>
          <w:tab w:leader="none" w:pos="19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price range set forth on the cover page of this prospectus, and after deducting underwriting discounts and commissions and estimated offering expenses payable by us. If the underwriters exercise their option to purchase additional shares in full, we estimate that the net proceeds</w:t>
      </w:r>
    </w:p>
    <w:p>
      <w:pPr>
        <w:spacing w:after="0" w:line="1" w:lineRule="exact"/>
        <w:rPr>
          <w:rFonts w:ascii="Times New Roman" w:cs="Times New Roman" w:eastAsia="Times New Roman" w:hAnsi="Times New Roman"/>
          <w:sz w:val="18"/>
          <w:szCs w:val="18"/>
          <w:color w:val="auto"/>
        </w:rPr>
      </w:pPr>
    </w:p>
    <w:p>
      <w:pPr>
        <w:ind w:left="1260" w:right="12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approximately $ million, after deducting underwriting discounts and commissions and estimated offering expenses payable by us.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would increase or decrease,</w:t>
      </w:r>
    </w:p>
    <w:p>
      <w:pPr>
        <w:spacing w:after="0" w:line="27" w:lineRule="exact"/>
        <w:rPr>
          <w:sz w:val="20"/>
          <w:szCs w:val="20"/>
          <w:color w:val="auto"/>
        </w:rPr>
      </w:pPr>
    </w:p>
    <w:p>
      <w:pPr>
        <w:jc w:val="both"/>
        <w:ind w:left="1260" w:right="1199"/>
        <w:spacing w:after="0" w:line="255" w:lineRule="auto"/>
        <w:rPr>
          <w:sz w:val="20"/>
          <w:szCs w:val="20"/>
          <w:color w:val="auto"/>
        </w:rPr>
      </w:pPr>
      <w:r>
        <w:rPr>
          <w:rFonts w:ascii="Times New Roman" w:cs="Times New Roman" w:eastAsia="Times New Roman" w:hAnsi="Times New Roman"/>
          <w:sz w:val="18"/>
          <w:szCs w:val="18"/>
          <w:color w:val="auto"/>
        </w:rPr>
        <w:t>respectively, the net proceeds to us by approximately $ million, assuming the number of shares offered by us, as set forth on the cover page of this prospectus, remains the same and after deducting underwriting discounts and commissions.</w:t>
      </w:r>
    </w:p>
    <w:p>
      <w:pPr>
        <w:spacing w:after="0" w:line="11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and to create a public market for our Class A common stock.</w:t>
      </w:r>
    </w:p>
    <w:p>
      <w:pPr>
        <w:spacing w:after="0" w:line="81"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for general corporate purposes, including working capital, sales and marketing, engineering and technology, and corporate development.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cannot specify with certainty the particular uses for the net proceeds from this offering.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Accordingly, we will have broad discretion over the uses of the net proceeds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1" w:name="page82"/>
    <w:bookmarkEnd w:id="8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The amounts available to us to pay cash dividends are restricted by covenants in or other terms of our existing and future funding agreements, other debt, or preferred securities. The declaration and payment of dividends will be at the discretion of our board of directors and will depend on various factors, including our results of operations, financial condition, cash requirements, prospects, and other factors deemed relevant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2" w:name="page83"/>
    <w:bookmarkEnd w:id="8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2020, as follows:</w:t>
      </w:r>
    </w:p>
    <w:p>
      <w:pPr>
        <w:spacing w:after="0" w:line="81" w:lineRule="exact"/>
        <w:rPr>
          <w:sz w:val="20"/>
          <w:szCs w:val="20"/>
          <w:color w:val="auto"/>
        </w:rPr>
      </w:pPr>
    </w:p>
    <w:p>
      <w:pPr>
        <w:ind w:left="1800" w:hanging="178"/>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800" w:right="699" w:hanging="178"/>
        <w:spacing w:after="0" w:line="25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(1) 87,651,906 shares of Class A common stock and 113,763,843 shares of Class B common stock outstanding following (a) the conversion of all outstanding shares of redeemable convertible preferred stock into shares of our common stock, which will occur immediately prior to the reclassification described in clause (b) below, as if such conversion had occurred on September 30, 2020, (b) the reclassification of each share of our common stock outstanding as of September 30, 2020 (including the shares of common stock issued upon the conversion of all outstanding shares of redeemable convertible preferred stock described in clause (a) above) into ½ share of Class A common stock and ½ share of Class B common stock, as if such reclassification had occurred on September 30, 2020, and (c) the issuance of shares of our Class B common stock to Mr. Levchin and 2012 MRL Investments LLC, an entity affiliated with Mr. Levchin, in exchange for all of the Class A common stock held by Mr. Levchin and such entity immediately following the reclassification described in clause (b) above, as if such exchange and issuance had occurred on September 30, 2020; (2) (x) 7,611,598 shares of our Class A common stock and 7,611,598 shares of our Class B common stock to be issued upon the exercise of 15,223,197 warrants outstanding as of September 30, 2020 with an exercise price of $0.01 per share, which will be fully vested immediately prior to the completion of this offering, and (y) 25,000 shares of our Class A common stock and 25,000 shares of our Class B common stock to be issued upon the exercise of 50,000 warrants outstanding and vested as of September 30, 2020 with an exercise price of $3.80 per share, in each case, as if such exercise had occurred on September 30, 2020;</w:t>
      </w:r>
    </w:p>
    <w:p>
      <w:pPr>
        <w:spacing w:after="0" w:line="210" w:lineRule="exact"/>
        <w:rPr>
          <w:rFonts w:ascii="Times New Roman" w:cs="Times New Roman" w:eastAsia="Times New Roman" w:hAnsi="Times New Roman"/>
          <w:sz w:val="18"/>
          <w:szCs w:val="18"/>
          <w:color w:val="auto"/>
        </w:rPr>
      </w:pPr>
    </w:p>
    <w:p>
      <w:pPr>
        <w:ind w:left="1800" w:right="7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2,006,021 shares of our Class A common stock that are expected to be issued with respect to RSUs outstanding as of September 30, 2020, upon the vesting and settlement of such RSUs in connection with the completion of this offering; (4) the filing and effectiveness of our amended and restated certificate of incorporation in Delaware that will become effective immediately following the effectiveness of the registration statement of which this prospectus forms a part; and (5) the recognition of share-based compensation expense of $16.6 million associated with RSUs for which the service condition was satisfied as of September 30, 2020, and for which the performance condition will be satisfied upon the completion of this offering, which has been reflected as an increase to additional paid-in capital and accumulated deficit (these RSUs are excluded from the pro forma and pro forma as adjusted information set forth in the table below because the underlying shares of Class A common stock will be issued subsequent to the completion of this offering); and</w:t>
      </w:r>
    </w:p>
    <w:p>
      <w:pPr>
        <w:ind w:left="1800" w:hanging="178"/>
        <w:spacing w:after="0" w:line="190" w:lineRule="auto"/>
        <w:tabs>
          <w:tab w:leader="none" w:pos="18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 (1) the pro forma adjustments set forth above and</w:t>
      </w:r>
    </w:p>
    <w:p>
      <w:pPr>
        <w:spacing w:after="0" w:line="196" w:lineRule="exact"/>
        <w:rPr>
          <w:sz w:val="20"/>
          <w:szCs w:val="20"/>
          <w:color w:val="auto"/>
        </w:rPr>
      </w:pPr>
    </w:p>
    <w:p>
      <w:pPr>
        <w:ind w:left="1800" w:right="899"/>
        <w:spacing w:after="0" w:line="261" w:lineRule="auto"/>
        <w:rPr>
          <w:sz w:val="20"/>
          <w:szCs w:val="20"/>
          <w:color w:val="auto"/>
        </w:rPr>
      </w:pPr>
      <w:r>
        <w:rPr>
          <w:rFonts w:ascii="Times New Roman" w:cs="Times New Roman" w:eastAsia="Times New Roman" w:hAnsi="Times New Roman"/>
          <w:sz w:val="18"/>
          <w:szCs w:val="18"/>
          <w:color w:val="auto"/>
        </w:rPr>
        <w:t>(2) the sale by us of shares of Class A common stock in this offering at the assumed initial public offering price of $ per share, which is the midpoint of the estimated offering price</w:t>
      </w:r>
    </w:p>
    <w:p>
      <w:pPr>
        <w:ind w:left="1800" w:right="999"/>
        <w:spacing w:after="0" w:line="253" w:lineRule="auto"/>
        <w:rPr>
          <w:sz w:val="20"/>
          <w:szCs w:val="20"/>
          <w:color w:val="auto"/>
        </w:rPr>
      </w:pPr>
      <w:r>
        <w:rPr>
          <w:rFonts w:ascii="Times New Roman" w:cs="Times New Roman" w:eastAsia="Times New Roman" w:hAnsi="Times New Roman"/>
          <w:sz w:val="18"/>
          <w:szCs w:val="18"/>
          <w:color w:val="auto"/>
        </w:rPr>
        <w:t>range set forth on the cover page of this prospectus, and our receipt of the estimated net proceeds from this offering after deducting the underwriting discounts and commissions and estimated offering expenses payable by us (assuming no exercise of the underwriters’ option to purchase additional shares from us).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adjusted based on the actual initial public offering price and other terms of this offering determined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pricing. You should read this table in conjunction with the information contained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Selected Consolidated Financial and Other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3" w:name="page84"/>
    <w:bookmarkEnd w:id="8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600"/>
        <w:spacing w:after="0" w:line="284" w:lineRule="auto"/>
        <w:rPr>
          <w:sz w:val="20"/>
          <w:szCs w:val="20"/>
          <w:color w:val="auto"/>
        </w:rPr>
      </w:pP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as well as our consolidated financial statements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notes thereto included elsewhere in this prospectus.</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7"/>
              </w:rPr>
              <w:t>As of September 30, 2020</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Pro Forma As Adjusted</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thousands, except share and per share data)</w:t>
            </w:r>
          </w:p>
        </w:tc>
        <w:tc>
          <w:tcPr>
            <w:tcW w:w="0" w:type="dxa"/>
            <w:vAlign w:val="bottom"/>
          </w:tcPr>
          <w:p>
            <w:pPr>
              <w:spacing w:after="0"/>
              <w:rPr>
                <w:sz w:val="1"/>
                <w:szCs w:val="1"/>
                <w:color w:val="auto"/>
              </w:rPr>
            </w:pPr>
          </w:p>
        </w:tc>
      </w:tr>
      <w:tr>
        <w:trPr>
          <w:trHeight w:val="248"/>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684,423</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684,423</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gridSpan w:val="3"/>
            <w:vMerge w:val="restart"/>
          </w:tcPr>
          <w:p>
            <w:pPr>
              <w:spacing w:after="0" w:line="223" w:lineRule="exact"/>
              <w:rPr>
                <w:sz w:val="20"/>
                <w:szCs w:val="20"/>
                <w:color w:val="auto"/>
              </w:rPr>
            </w:pPr>
            <w:r>
              <w:rPr>
                <w:rFonts w:ascii="Times New Roman" w:cs="Times New Roman" w:eastAsia="Times New Roman" w:hAnsi="Times New Roman"/>
                <w:sz w:val="17"/>
                <w:szCs w:val="17"/>
                <w:color w:val="auto"/>
              </w:rPr>
              <w:t>Notes issued by securitization trusts</w:t>
            </w:r>
            <w:r>
              <w:rPr>
                <w:rFonts w:ascii="Times New Roman" w:cs="Times New Roman" w:eastAsia="Times New Roman" w:hAnsi="Times New Roman"/>
                <w:sz w:val="25"/>
                <w:szCs w:val="25"/>
                <w:color w:val="auto"/>
                <w:vertAlign w:val="superscript"/>
              </w:rPr>
              <w:t>(1)</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498,921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498,921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$0.00001 par value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 149,860,292 shares authorized, 148,384,433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no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pro forma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1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1,327,163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$0.00001 par value per share, 287,000,000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53,031,446 shares issued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no shares authorized, no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pro forma and pro forma as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par value $0.00001 per share: no</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shares authorized, issued and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w:t>
            </w: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authorized,</w:t>
            </w: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shares issued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outstanding, pro forma; and</w:t>
            </w:r>
          </w:p>
        </w:tc>
        <w:tc>
          <w:tcPr>
            <w:tcW w:w="17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w:t>
            </w:r>
          </w:p>
        </w:tc>
        <w:tc>
          <w:tcPr>
            <w:tcW w:w="36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 forma as adjusted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par value $0.00001 per share: no</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issued and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w:t>
            </w:r>
          </w:p>
        </w:tc>
        <w:tc>
          <w:tcPr>
            <w:tcW w:w="1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authorized,</w:t>
            </w:r>
          </w:p>
        </w:tc>
        <w:tc>
          <w:tcPr>
            <w:tcW w:w="1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shares issued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pro forma; and pro forma as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1,660,898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(479,019)</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(348,112)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1,181,985</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gridSpan w:val="3"/>
          </w:tcPr>
          <w:p>
            <w:pPr>
              <w:spacing w:after="0" w:line="250" w:lineRule="exact"/>
              <w:rPr>
                <w:sz w:val="20"/>
                <w:szCs w:val="20"/>
                <w:color w:val="auto"/>
              </w:rPr>
            </w:pPr>
            <w:r>
              <w:rPr>
                <w:rFonts w:ascii="Times New Roman" w:cs="Times New Roman" w:eastAsia="Times New Roman" w:hAnsi="Times New Roman"/>
                <w:sz w:val="18"/>
                <w:szCs w:val="18"/>
                <w:color w:val="auto"/>
              </w:rPr>
              <w:t>Total capitalization</w:t>
            </w:r>
            <w:r>
              <w:rPr>
                <w:rFonts w:ascii="Times New Roman" w:cs="Times New Roman" w:eastAsia="Times New Roman" w:hAnsi="Times New Roman"/>
                <w:sz w:val="26"/>
                <w:szCs w:val="26"/>
                <w:color w:val="auto"/>
                <w:vertAlign w:val="superscript"/>
              </w:rPr>
              <w:t>(2)</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1,477,972</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1,680,906</w:t>
            </w:r>
          </w:p>
        </w:tc>
        <w:tc>
          <w:tcPr>
            <w:tcW w:w="120" w:type="dxa"/>
            <w:vAlign w:val="bottom"/>
          </w:tcPr>
          <w:p>
            <w:pPr>
              <w:spacing w:after="0"/>
              <w:rPr>
                <w:sz w:val="21"/>
                <w:szCs w:val="2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-453390</wp:posOffset>
            </wp:positionV>
            <wp:extent cx="2489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-453390</wp:posOffset>
            </wp:positionV>
            <wp:extent cx="45605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-4379595</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-4379595</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97" w:lineRule="exact"/>
        <w:rPr>
          <w:sz w:val="20"/>
          <w:szCs w:val="20"/>
          <w:color w:val="auto"/>
        </w:rPr>
      </w:pPr>
    </w:p>
    <w:p>
      <w:pPr>
        <w:ind w:left="1620" w:right="1280" w:hanging="358"/>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$375.0 million aggregate principal amount of 1.90% fixed rate asset-backed notes due 2025 issued on October 13, 2020 by Affirm Asset Securitization Trust 2020-Z2.</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funding debt.</w:t>
      </w:r>
    </w:p>
    <w:p>
      <w:pPr>
        <w:spacing w:after="0" w:line="144" w:lineRule="exact"/>
        <w:rPr>
          <w:sz w:val="20"/>
          <w:szCs w:val="20"/>
          <w:color w:val="auto"/>
        </w:rPr>
      </w:pPr>
    </w:p>
    <w:p>
      <w:pPr>
        <w:ind w:left="1260" w:right="1400" w:firstLine="360"/>
        <w:spacing w:after="0" w:line="257"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would increase (decrease) pro forma as adjusted cash and cash equivalents, additional paid-in capital, total stockholders’ equity (deficit), and total capitalization by approximately $ million, assuming that the</w:t>
      </w:r>
    </w:p>
    <w:p>
      <w:pPr>
        <w:spacing w:after="0" w:line="1" w:lineRule="exact"/>
        <w:rPr>
          <w:sz w:val="20"/>
          <w:szCs w:val="20"/>
          <w:color w:val="auto"/>
        </w:rPr>
      </w:pPr>
    </w:p>
    <w:p>
      <w:pPr>
        <w:ind w:left="1260" w:right="1720"/>
        <w:spacing w:after="0" w:line="260" w:lineRule="auto"/>
        <w:rPr>
          <w:sz w:val="20"/>
          <w:szCs w:val="20"/>
          <w:color w:val="auto"/>
        </w:rPr>
      </w:pPr>
      <w:r>
        <w:rPr>
          <w:rFonts w:ascii="Times New Roman" w:cs="Times New Roman" w:eastAsia="Times New Roman" w:hAnsi="Times New Roman"/>
          <w:sz w:val="18"/>
          <w:szCs w:val="18"/>
          <w:color w:val="auto"/>
        </w:rPr>
        <w:t>number of shares offered by us, as set forth on the cover of this prospectus, remains the same and after deducting underwriting discounts and commissions and estimated offering expenses payable by us.</w:t>
      </w:r>
    </w:p>
    <w:p>
      <w:pPr>
        <w:spacing w:after="0" w:line="114" w:lineRule="exact"/>
        <w:rPr>
          <w:sz w:val="20"/>
          <w:szCs w:val="20"/>
          <w:color w:val="auto"/>
        </w:rPr>
      </w:pPr>
    </w:p>
    <w:p>
      <w:pPr>
        <w:ind w:left="1260" w:right="1500" w:firstLine="360"/>
        <w:spacing w:after="0" w:line="257" w:lineRule="auto"/>
        <w:rPr>
          <w:sz w:val="20"/>
          <w:szCs w:val="20"/>
          <w:color w:val="auto"/>
        </w:rPr>
      </w:pPr>
      <w:r>
        <w:rPr>
          <w:rFonts w:ascii="Times New Roman" w:cs="Times New Roman" w:eastAsia="Times New Roman" w:hAnsi="Times New Roman"/>
          <w:sz w:val="18"/>
          <w:szCs w:val="18"/>
          <w:color w:val="auto"/>
        </w:rPr>
        <w:t>If the underwriters’ option to purchase additional shares from us were exercised in full, pro forma as adjusted cash and cash equivalents, additional paid-in-capital, total stockholders’ equity (deficit), total capitalization, and shares of Class A common stock outstanding as of September 30, 2020 would be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and</w:t>
            </w:r>
          </w:p>
        </w:tc>
        <w:tc>
          <w:tcPr>
            <w:tcW w:w="586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rPr>
              <w:t>shares respectively.</w:t>
            </w:r>
          </w:p>
        </w:tc>
      </w:tr>
      <w:tr>
        <w:trPr>
          <w:trHeight w:val="765"/>
        </w:trPr>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6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75</w:t>
            </w:r>
          </w:p>
        </w:tc>
      </w:tr>
      <w:tr>
        <w:trPr>
          <w:trHeight w:val="399"/>
        </w:trPr>
        <w:tc>
          <w:tcPr>
            <w:tcW w:w="1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84" w:name="page85"/>
    <w:bookmarkEnd w:id="8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The pro forma and pro forma as adjusted number of shares of common stock to be outstanding after this offering is based on 97,294,525 shares of Class A common stock and 121,400,441 shares of Class B common stock outstanding as of September 30, 2020 on a pro forma basis and excludes:</w:t>
      </w:r>
    </w:p>
    <w:p>
      <w:pPr>
        <w:spacing w:after="0" w:line="68" w:lineRule="exact"/>
        <w:rPr>
          <w:sz w:val="20"/>
          <w:szCs w:val="20"/>
          <w:color w:val="auto"/>
        </w:rPr>
      </w:pPr>
    </w:p>
    <w:p>
      <w:pPr>
        <w:ind w:left="1800" w:right="1019" w:hanging="178"/>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153,032 shares of our Class A common stock and 153,032 shares of our Class B common stock issuable upon exercise of 306,065 warrants outstanding as of September 30, 2020, which are not automatically exercisable upon the completion of this offering, with a weighted-average exercise price of $0.79 per share;</w:t>
      </w:r>
    </w:p>
    <w:p>
      <w:pPr>
        <w:spacing w:after="0" w:line="71"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41,415,585 shares of our Class A common stock issuable upon the exercise of options to purchase shares of our common stock outstanding as of September 30, 2020, with a weighted-average exercise price of $5.17 per share;</w:t>
      </w:r>
    </w:p>
    <w:p>
      <w:pPr>
        <w:spacing w:after="0" w:line="67"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7,142,676 shares of our Class A common stock issuable upon the vesting of RSUs outstanding as of September 30, 2020 that will not be vested upon completion of this offering;</w:t>
      </w:r>
    </w:p>
    <w:p>
      <w:pPr>
        <w:spacing w:after="0" w:line="53" w:lineRule="exact"/>
        <w:rPr>
          <w:rFonts w:ascii="Times New Roman" w:cs="Times New Roman" w:eastAsia="Times New Roman" w:hAnsi="Times New Roman"/>
          <w:sz w:val="18"/>
          <w:szCs w:val="18"/>
          <w:color w:val="auto"/>
        </w:rPr>
      </w:pPr>
    </w:p>
    <w:p>
      <w:pPr>
        <w:ind w:left="1800" w:right="779" w:hanging="178"/>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15,963,713 shares of our Class A common stock issuable upon the exercise of options to purchase shares of our common stock granted after September 30, 2020 and effective upon the date of pricing of the initial public offering, with an exercise price equal to the initial public offering price;</w:t>
      </w:r>
    </w:p>
    <w:p>
      <w:pPr>
        <w:spacing w:after="0" w:line="67" w:lineRule="exact"/>
        <w:rPr>
          <w:rFonts w:ascii="Times New Roman" w:cs="Times New Roman" w:eastAsia="Times New Roman" w:hAnsi="Times New Roman"/>
          <w:sz w:val="18"/>
          <w:szCs w:val="18"/>
          <w:color w:val="auto"/>
        </w:rPr>
      </w:pPr>
    </w:p>
    <w:p>
      <w:pPr>
        <w:ind w:left="1800" w:right="1219" w:hanging="178"/>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7,289,486 shares of our Class A common stock issuable upon the vesting of outstanding RSUs granted after September 30, 2020 (including 334,836 shares of Class A common stock that are expected to be issued upon the vesting and settlement of such RSUs in connection with the completion of this offering);</w:t>
      </w:r>
    </w:p>
    <w:p>
      <w:pPr>
        <w:spacing w:after="0" w:line="71" w:lineRule="exact"/>
        <w:rPr>
          <w:rFonts w:ascii="Times New Roman" w:cs="Times New Roman" w:eastAsia="Times New Roman" w:hAnsi="Times New Roman"/>
          <w:sz w:val="18"/>
          <w:szCs w:val="18"/>
          <w:color w:val="auto"/>
        </w:rPr>
      </w:pPr>
    </w:p>
    <w:p>
      <w:pPr>
        <w:ind w:left="1800" w:right="939" w:hanging="178"/>
        <w:spacing w:after="0" w:line="261" w:lineRule="auto"/>
        <w:tabs>
          <w:tab w:leader="none" w:pos="24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issuable upon the vesting of RSUs granted after September 30, 2020 and effective upon the date of pricing of the initial public offering, calculated</w:t>
      </w:r>
    </w:p>
    <w:p>
      <w:pPr>
        <w:ind w:left="1800" w:right="839"/>
        <w:spacing w:after="0" w:line="255" w:lineRule="auto"/>
        <w:rPr>
          <w:sz w:val="20"/>
          <w:szCs w:val="20"/>
          <w:color w:val="auto"/>
        </w:rPr>
      </w:pPr>
      <w:r>
        <w:rPr>
          <w:rFonts w:ascii="Times New Roman" w:cs="Times New Roman" w:eastAsia="Times New Roman" w:hAnsi="Times New Roman"/>
          <w:sz w:val="18"/>
          <w:szCs w:val="18"/>
          <w:color w:val="auto"/>
        </w:rPr>
        <w:t>based on an assumed initial public offering price of $ per share (which is the midpoint of the estimated offering price range set forth on the cover page of this prospectus, before deducting underwriting discounts and commissions and estimated offering expenses payable by us);</w:t>
      </w:r>
    </w:p>
    <w:p>
      <w:pPr>
        <w:spacing w:after="0" w:line="78" w:lineRule="exact"/>
        <w:rPr>
          <w:sz w:val="20"/>
          <w:szCs w:val="20"/>
          <w:color w:val="auto"/>
        </w:rPr>
      </w:pPr>
    </w:p>
    <w:p>
      <w:pPr>
        <w:jc w:val="both"/>
        <w:ind w:left="1800" w:right="719" w:hanging="178"/>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6,210,045 shares of Class A common stock to be issued in connection with, and contingent upon, the closing of the PayBright Transaction (including 2,587,519 shares of Class A common stock issued in escrow and subject to forfeiture if certain revenue milestones are not met), which we expect to close in first quarter of calendar year 2021; and</w:t>
      </w:r>
    </w:p>
    <w:p>
      <w:pPr>
        <w:spacing w:after="0" w:line="71" w:lineRule="exact"/>
        <w:rPr>
          <w:rFonts w:ascii="Times New Roman" w:cs="Times New Roman" w:eastAsia="Times New Roman" w:hAnsi="Times New Roman"/>
          <w:sz w:val="18"/>
          <w:szCs w:val="18"/>
          <w:color w:val="auto"/>
        </w:rPr>
      </w:pPr>
    </w:p>
    <w:p>
      <w:pPr>
        <w:ind w:left="1800" w:right="799" w:hanging="178"/>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118,374,202 shares of our Class A common stock reserved for future issuance under our equity compensation plans following the completion of this offering, which number is subject to automatic annual increases under the terms of such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5" w:name="page86"/>
    <w:bookmarkEnd w:id="8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1260" w:right="1380" w:firstLine="360"/>
        <w:spacing w:after="0" w:line="242" w:lineRule="auto"/>
        <w:rPr>
          <w:sz w:val="20"/>
          <w:szCs w:val="20"/>
          <w:color w:val="auto"/>
        </w:rPr>
      </w:pPr>
      <w:r>
        <w:rPr>
          <w:rFonts w:ascii="Times New Roman" w:cs="Times New Roman" w:eastAsia="Times New Roman" w:hAnsi="Times New Roman"/>
          <w:sz w:val="18"/>
          <w:szCs w:val="18"/>
          <w:color w:val="auto"/>
        </w:rPr>
        <w:t>If you invest in our Class A common stock, your ownership interest will be diluted to the extent of the difference between the initial public offering price per share of our Class A common stock in this offering and the pro forma as adjusted net tangible book value per share of our common stock after this offering.</w:t>
      </w:r>
    </w:p>
    <w:p>
      <w:pPr>
        <w:spacing w:after="0" w:line="1" w:lineRule="exact"/>
        <w:rPr>
          <w:sz w:val="20"/>
          <w:szCs w:val="20"/>
          <w:color w:val="auto"/>
        </w:rPr>
      </w:pPr>
    </w:p>
    <w:p>
      <w:pPr>
        <w:jc w:val="both"/>
        <w:ind w:left="1260" w:right="1380"/>
        <w:spacing w:after="0" w:line="243" w:lineRule="auto"/>
        <w:rPr>
          <w:sz w:val="20"/>
          <w:szCs w:val="20"/>
          <w:color w:val="auto"/>
        </w:rPr>
      </w:pPr>
      <w:r>
        <w:rPr>
          <w:rFonts w:ascii="Times New Roman" w:cs="Times New Roman" w:eastAsia="Times New Roman" w:hAnsi="Times New Roman"/>
          <w:sz w:val="18"/>
          <w:szCs w:val="18"/>
          <w:color w:val="auto"/>
        </w:rPr>
        <w:t>Dilution results from the fact that the per share offering price of our Class A common stock is substantially in excess of the pro forma net tangible book value per share attributable to our existing stockholders.</w:t>
      </w:r>
    </w:p>
    <w:p>
      <w:pPr>
        <w:spacing w:after="0" w:line="114" w:lineRule="exact"/>
        <w:rPr>
          <w:sz w:val="20"/>
          <w:szCs w:val="20"/>
          <w:color w:val="auto"/>
        </w:rPr>
      </w:pPr>
    </w:p>
    <w:p>
      <w:pPr>
        <w:ind w:left="1260" w:right="1640" w:firstLine="360"/>
        <w:spacing w:after="0" w:line="246" w:lineRule="auto"/>
        <w:rPr>
          <w:sz w:val="20"/>
          <w:szCs w:val="20"/>
          <w:color w:val="auto"/>
        </w:rPr>
      </w:pPr>
      <w:r>
        <w:rPr>
          <w:rFonts w:ascii="Times New Roman" w:cs="Times New Roman" w:eastAsia="Times New Roman" w:hAnsi="Times New Roman"/>
          <w:sz w:val="18"/>
          <w:szCs w:val="18"/>
          <w:color w:val="auto"/>
        </w:rPr>
        <w:t>Our historical net tangible book value (deficit) as of September 30, 2020 was $ (405.3) million or $(7.64) per share of existing common stock. Our pro forma net tangible book value as of September 30,</w:t>
      </w:r>
    </w:p>
    <w:p>
      <w:pPr>
        <w:ind w:left="1260"/>
        <w:spacing w:after="0" w:line="235" w:lineRule="auto"/>
        <w:tabs>
          <w:tab w:leader="none" w:pos="2560" w:val="left"/>
          <w:tab w:leader="none" w:pos="3300" w:val="left"/>
        </w:tabs>
        <w:rPr>
          <w:sz w:val="20"/>
          <w:szCs w:val="20"/>
          <w:color w:val="auto"/>
        </w:rPr>
      </w:pPr>
      <w:r>
        <w:rPr>
          <w:rFonts w:ascii="Times New Roman" w:cs="Times New Roman" w:eastAsia="Times New Roman" w:hAnsi="Times New Roman"/>
          <w:sz w:val="18"/>
          <w:szCs w:val="18"/>
          <w:color w:val="auto"/>
        </w:rPr>
        <w:t>2020, was $</w:t>
      </w:r>
      <w:r>
        <w:rPr>
          <w:sz w:val="20"/>
          <w:szCs w:val="20"/>
          <w:color w:val="auto"/>
        </w:rPr>
        <w:tab/>
      </w:r>
      <w:r>
        <w:rPr>
          <w:rFonts w:ascii="Times New Roman" w:cs="Times New Roman" w:eastAsia="Times New Roman" w:hAnsi="Times New Roman"/>
          <w:sz w:val="18"/>
          <w:szCs w:val="18"/>
          <w:color w:val="auto"/>
        </w:rPr>
        <w:t>or $</w:t>
      </w:r>
      <w:r>
        <w:rPr>
          <w:sz w:val="20"/>
          <w:szCs w:val="20"/>
          <w:color w:val="auto"/>
        </w:rPr>
        <w:tab/>
      </w:r>
      <w:r>
        <w:rPr>
          <w:rFonts w:ascii="Times New Roman" w:cs="Times New Roman" w:eastAsia="Times New Roman" w:hAnsi="Times New Roman"/>
          <w:sz w:val="18"/>
          <w:szCs w:val="18"/>
          <w:color w:val="auto"/>
        </w:rPr>
        <w:t>per share of common stock. Pro forma net tangible book value per share</w:t>
      </w:r>
    </w:p>
    <w:p>
      <w:pPr>
        <w:ind w:left="1260"/>
        <w:spacing w:after="0" w:line="235" w:lineRule="auto"/>
        <w:rPr>
          <w:sz w:val="20"/>
          <w:szCs w:val="20"/>
          <w:color w:val="auto"/>
        </w:rPr>
      </w:pPr>
      <w:r>
        <w:rPr>
          <w:rFonts w:ascii="Times New Roman" w:cs="Times New Roman" w:eastAsia="Times New Roman" w:hAnsi="Times New Roman"/>
          <w:sz w:val="18"/>
          <w:szCs w:val="18"/>
          <w:color w:val="auto"/>
        </w:rPr>
        <w:t>represents the amount of our total tangible assets less total liabilities, divided by the aggregate number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shares of our common stock outstanding as of September 30, 2020, on a pro forma basis, after giving effect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to: (1) 87,651,906 shares of Class A common stock and 113,763,843 shares of Class B common stock</w:t>
      </w:r>
    </w:p>
    <w:p>
      <w:pPr>
        <w:ind w:left="1260"/>
        <w:spacing w:after="0" w:line="235" w:lineRule="auto"/>
        <w:rPr>
          <w:sz w:val="20"/>
          <w:szCs w:val="20"/>
          <w:color w:val="auto"/>
        </w:rPr>
      </w:pPr>
      <w:r>
        <w:rPr>
          <w:rFonts w:ascii="Times New Roman" w:cs="Times New Roman" w:eastAsia="Times New Roman" w:hAnsi="Times New Roman"/>
          <w:sz w:val="18"/>
          <w:szCs w:val="18"/>
          <w:color w:val="auto"/>
        </w:rPr>
        <w:t>outstanding following (a) the conversion of all outstanding shares of redeemable convertible preferred stock</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into shares of our common stock, which will occur immediately prior to the reclassification described in</w:t>
      </w:r>
    </w:p>
    <w:p>
      <w:pPr>
        <w:ind w:left="1260"/>
        <w:spacing w:after="0" w:line="235" w:lineRule="auto"/>
        <w:rPr>
          <w:sz w:val="20"/>
          <w:szCs w:val="20"/>
          <w:color w:val="auto"/>
        </w:rPr>
      </w:pPr>
      <w:r>
        <w:rPr>
          <w:rFonts w:ascii="Times New Roman" w:cs="Times New Roman" w:eastAsia="Times New Roman" w:hAnsi="Times New Roman"/>
          <w:sz w:val="18"/>
          <w:szCs w:val="18"/>
          <w:color w:val="auto"/>
        </w:rPr>
        <w:t>clause (b) below, as if such conversion had occurred on September 30, 2020, (b) the reclassification of each</w:t>
      </w:r>
    </w:p>
    <w:p>
      <w:pPr>
        <w:ind w:left="1260"/>
        <w:spacing w:after="0" w:line="235" w:lineRule="auto"/>
        <w:rPr>
          <w:sz w:val="20"/>
          <w:szCs w:val="20"/>
          <w:color w:val="auto"/>
        </w:rPr>
      </w:pPr>
      <w:r>
        <w:rPr>
          <w:rFonts w:ascii="Times New Roman" w:cs="Times New Roman" w:eastAsia="Times New Roman" w:hAnsi="Times New Roman"/>
          <w:sz w:val="18"/>
          <w:szCs w:val="18"/>
          <w:color w:val="auto"/>
        </w:rPr>
        <w:t>share of our common stock outstanding as of September 30, 2020 (including the shares of common stock</w:t>
      </w:r>
    </w:p>
    <w:p>
      <w:pPr>
        <w:ind w:left="1260"/>
        <w:spacing w:after="0" w:line="234" w:lineRule="auto"/>
        <w:rPr>
          <w:sz w:val="20"/>
          <w:szCs w:val="20"/>
          <w:color w:val="auto"/>
        </w:rPr>
      </w:pPr>
      <w:r>
        <w:rPr>
          <w:rFonts w:ascii="Times New Roman" w:cs="Times New Roman" w:eastAsia="Times New Roman" w:hAnsi="Times New Roman"/>
          <w:sz w:val="18"/>
          <w:szCs w:val="18"/>
          <w:color w:val="auto"/>
        </w:rPr>
        <w:t>issued upon the conversion of all outstanding shares of redeemable convertible preferred stock described in</w:t>
      </w:r>
    </w:p>
    <w:p>
      <w:pPr>
        <w:ind w:left="1260"/>
        <w:spacing w:after="0" w:line="235" w:lineRule="auto"/>
        <w:rPr>
          <w:sz w:val="20"/>
          <w:szCs w:val="20"/>
          <w:color w:val="auto"/>
        </w:rPr>
      </w:pPr>
      <w:r>
        <w:rPr>
          <w:rFonts w:ascii="Times New Roman" w:cs="Times New Roman" w:eastAsia="Times New Roman" w:hAnsi="Times New Roman"/>
          <w:sz w:val="18"/>
          <w:szCs w:val="18"/>
          <w:color w:val="auto"/>
        </w:rPr>
        <w:t>clause (a) above) into ½ share of Class A common stock and ½ share of Class B common stock, as if such</w:t>
      </w:r>
    </w:p>
    <w:p>
      <w:pPr>
        <w:ind w:left="1260"/>
        <w:spacing w:after="0" w:line="235" w:lineRule="auto"/>
        <w:rPr>
          <w:sz w:val="20"/>
          <w:szCs w:val="20"/>
          <w:color w:val="auto"/>
        </w:rPr>
      </w:pPr>
      <w:r>
        <w:rPr>
          <w:rFonts w:ascii="Times New Roman" w:cs="Times New Roman" w:eastAsia="Times New Roman" w:hAnsi="Times New Roman"/>
          <w:sz w:val="18"/>
          <w:szCs w:val="18"/>
          <w:color w:val="auto"/>
        </w:rPr>
        <w:t>reclassification had occurred on September 30, 2020, and (c) the issuance of shares of our Class B common</w:t>
      </w:r>
    </w:p>
    <w:p>
      <w:pPr>
        <w:ind w:left="1260"/>
        <w:spacing w:after="0" w:line="235" w:lineRule="auto"/>
        <w:rPr>
          <w:sz w:val="20"/>
          <w:szCs w:val="20"/>
          <w:color w:val="auto"/>
        </w:rPr>
      </w:pPr>
      <w:r>
        <w:rPr>
          <w:rFonts w:ascii="Times New Roman" w:cs="Times New Roman" w:eastAsia="Times New Roman" w:hAnsi="Times New Roman"/>
          <w:sz w:val="18"/>
          <w:szCs w:val="18"/>
          <w:color w:val="auto"/>
        </w:rPr>
        <w:t>stock to Mr. Levchin and 2012 MRL Investments LLC, an entity affiliated with Mr. Levchin, in exchange</w:t>
      </w:r>
    </w:p>
    <w:p>
      <w:pPr>
        <w:ind w:left="1260"/>
        <w:spacing w:after="0" w:line="235" w:lineRule="auto"/>
        <w:rPr>
          <w:sz w:val="20"/>
          <w:szCs w:val="20"/>
          <w:color w:val="auto"/>
        </w:rPr>
      </w:pPr>
      <w:r>
        <w:rPr>
          <w:rFonts w:ascii="Times New Roman" w:cs="Times New Roman" w:eastAsia="Times New Roman" w:hAnsi="Times New Roman"/>
          <w:sz w:val="18"/>
          <w:szCs w:val="18"/>
          <w:color w:val="auto"/>
        </w:rPr>
        <w:t>for all of the Class A common stock held by Mr. Levchin and such entity immediately following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reclassification described in clause (b) above, as if such exchange and issuance had occurred on</w:t>
      </w:r>
    </w:p>
    <w:p>
      <w:pPr>
        <w:ind w:left="1260"/>
        <w:spacing w:after="0" w:line="235" w:lineRule="auto"/>
        <w:rPr>
          <w:sz w:val="20"/>
          <w:szCs w:val="20"/>
          <w:color w:val="auto"/>
        </w:rPr>
      </w:pPr>
      <w:r>
        <w:rPr>
          <w:rFonts w:ascii="Times New Roman" w:cs="Times New Roman" w:eastAsia="Times New Roman" w:hAnsi="Times New Roman"/>
          <w:sz w:val="18"/>
          <w:szCs w:val="18"/>
          <w:color w:val="auto"/>
        </w:rPr>
        <w:t>September 30, 2020; (2) (x) 7,611,598 shares of our Class A common stock and 7,611,598 shares of our</w:t>
      </w:r>
    </w:p>
    <w:p>
      <w:pPr>
        <w:ind w:left="1260"/>
        <w:spacing w:after="0" w:line="235" w:lineRule="auto"/>
        <w:rPr>
          <w:sz w:val="20"/>
          <w:szCs w:val="20"/>
          <w:color w:val="auto"/>
        </w:rPr>
      </w:pPr>
      <w:r>
        <w:rPr>
          <w:rFonts w:ascii="Times New Roman" w:cs="Times New Roman" w:eastAsia="Times New Roman" w:hAnsi="Times New Roman"/>
          <w:sz w:val="18"/>
          <w:szCs w:val="18"/>
          <w:color w:val="auto"/>
        </w:rPr>
        <w:t>Class B common stock to be issued upon the exercise of 15,223,197 warrants outstanding as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September 30, 2020 with an exercise price of $0.01 per share, which will be fully vested immediately prior</w:t>
      </w:r>
    </w:p>
    <w:p>
      <w:pPr>
        <w:ind w:left="1260"/>
        <w:spacing w:after="0" w:line="235" w:lineRule="auto"/>
        <w:rPr>
          <w:sz w:val="20"/>
          <w:szCs w:val="20"/>
          <w:color w:val="auto"/>
        </w:rPr>
      </w:pPr>
      <w:r>
        <w:rPr>
          <w:rFonts w:ascii="Times New Roman" w:cs="Times New Roman" w:eastAsia="Times New Roman" w:hAnsi="Times New Roman"/>
          <w:sz w:val="18"/>
          <w:szCs w:val="18"/>
          <w:color w:val="auto"/>
        </w:rPr>
        <w:t>to the completion of this offering, and (y) 25,000 shares of our Class A common stock and 25,000 shares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our Class B common stock to be issued upon the exercise of 50,000 warrants outstanding and vested as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September 30, 2020 with an exercise price of $3.80 per share, in each case, as if such exercise had occurred</w:t>
      </w:r>
    </w:p>
    <w:p>
      <w:pPr>
        <w:ind w:left="1260"/>
        <w:spacing w:after="0" w:line="235" w:lineRule="auto"/>
        <w:rPr>
          <w:sz w:val="20"/>
          <w:szCs w:val="20"/>
          <w:color w:val="auto"/>
        </w:rPr>
      </w:pPr>
      <w:r>
        <w:rPr>
          <w:rFonts w:ascii="Times New Roman" w:cs="Times New Roman" w:eastAsia="Times New Roman" w:hAnsi="Times New Roman"/>
          <w:sz w:val="18"/>
          <w:szCs w:val="18"/>
          <w:color w:val="auto"/>
        </w:rPr>
        <w:t>on September 30, 2020; (3) 2,006,021 shares of our Class A common stock that are expected to be issued</w:t>
      </w:r>
    </w:p>
    <w:p>
      <w:pPr>
        <w:ind w:left="1260"/>
        <w:spacing w:after="0" w:line="235" w:lineRule="auto"/>
        <w:rPr>
          <w:sz w:val="20"/>
          <w:szCs w:val="20"/>
          <w:color w:val="auto"/>
        </w:rPr>
      </w:pPr>
      <w:r>
        <w:rPr>
          <w:rFonts w:ascii="Times New Roman" w:cs="Times New Roman" w:eastAsia="Times New Roman" w:hAnsi="Times New Roman"/>
          <w:sz w:val="18"/>
          <w:szCs w:val="18"/>
          <w:color w:val="auto"/>
        </w:rPr>
        <w:t>with respect to RSUs outstanding as of September 30, 2020, upon the vesting and settlement of such RSUs</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 connection with the completion of this offering; (4) the filing and effectiveness of our amended and</w:t>
      </w:r>
    </w:p>
    <w:p>
      <w:pPr>
        <w:ind w:left="1260"/>
        <w:spacing w:after="0" w:line="235" w:lineRule="auto"/>
        <w:rPr>
          <w:sz w:val="20"/>
          <w:szCs w:val="20"/>
          <w:color w:val="auto"/>
        </w:rPr>
      </w:pPr>
      <w:r>
        <w:rPr>
          <w:rFonts w:ascii="Times New Roman" w:cs="Times New Roman" w:eastAsia="Times New Roman" w:hAnsi="Times New Roman"/>
          <w:sz w:val="18"/>
          <w:szCs w:val="18"/>
          <w:color w:val="auto"/>
        </w:rPr>
        <w:t>restated certificate of incorporation in Delaware that will become effective immediately following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effectiveness of the registration statement of which this prospectus forms a part; and (5) the recognition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share-based compensation expense of $16.6 million associated with RSUs for which the service condition</w:t>
      </w:r>
    </w:p>
    <w:p>
      <w:pPr>
        <w:ind w:left="1260"/>
        <w:spacing w:after="0" w:line="235" w:lineRule="auto"/>
        <w:rPr>
          <w:sz w:val="20"/>
          <w:szCs w:val="20"/>
          <w:color w:val="auto"/>
        </w:rPr>
      </w:pPr>
      <w:r>
        <w:rPr>
          <w:rFonts w:ascii="Times New Roman" w:cs="Times New Roman" w:eastAsia="Times New Roman" w:hAnsi="Times New Roman"/>
          <w:sz w:val="18"/>
          <w:szCs w:val="18"/>
          <w:color w:val="auto"/>
        </w:rPr>
        <w:t>was satisfied as of September 30, 2020, and for which the performance condition will be satisfied upon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completion of this offering, which has been reflected as an increase to additional paid-in capital and</w:t>
      </w: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24" w:lineRule="exact"/>
        <w:rPr>
          <w:sz w:val="20"/>
          <w:szCs w:val="20"/>
          <w:color w:val="auto"/>
        </w:rPr>
      </w:pPr>
    </w:p>
    <w:p>
      <w:pPr>
        <w:ind w:left="1260" w:right="1360" w:firstLine="360"/>
        <w:spacing w:after="0" w:line="246" w:lineRule="auto"/>
        <w:rPr>
          <w:sz w:val="20"/>
          <w:szCs w:val="20"/>
          <w:color w:val="auto"/>
        </w:rPr>
      </w:pPr>
      <w:r>
        <w:rPr>
          <w:rFonts w:ascii="Times New Roman" w:cs="Times New Roman" w:eastAsia="Times New Roman" w:hAnsi="Times New Roman"/>
          <w:sz w:val="18"/>
          <w:szCs w:val="18"/>
          <w:color w:val="auto"/>
        </w:rPr>
        <w:t>After giving effect to the sale of the shares of our Class A common stock in this offering, at an assumed initial public offering price of $ per share, the midpoint of the range set forth on the cover</w:t>
      </w:r>
    </w:p>
    <w:p>
      <w:pPr>
        <w:spacing w:after="0" w:line="1" w:lineRule="exact"/>
        <w:rPr>
          <w:sz w:val="20"/>
          <w:szCs w:val="20"/>
          <w:color w:val="auto"/>
        </w:rPr>
      </w:pPr>
    </w:p>
    <w:p>
      <w:pPr>
        <w:ind w:left="1260" w:right="1700"/>
        <w:spacing w:after="0" w:line="234" w:lineRule="auto"/>
        <w:rPr>
          <w:sz w:val="20"/>
          <w:szCs w:val="20"/>
          <w:color w:val="auto"/>
        </w:rPr>
      </w:pPr>
      <w:r>
        <w:rPr>
          <w:rFonts w:ascii="Times New Roman" w:cs="Times New Roman" w:eastAsia="Times New Roman" w:hAnsi="Times New Roman"/>
          <w:sz w:val="18"/>
          <w:szCs w:val="18"/>
          <w:color w:val="auto"/>
        </w:rPr>
        <w:t>page of this prospectus after deducting underwriting discounts and commissions and offering expenses payable by us, our pro forma net tangible book value as of September 30, 2020 would have been</w:t>
      </w:r>
    </w:p>
    <w:tbl>
      <w:tblPr>
        <w:tblLayout w:type="fixed"/>
        <w:tblInd w:w="0" w:type="dxa"/>
        <w:tblCellMar>
          <w:top w:w="0" w:type="dxa"/>
          <w:left w:w="0" w:type="dxa"/>
          <w:bottom w:w="0" w:type="dxa"/>
          <w:right w:w="0" w:type="dxa"/>
        </w:tblCellMar>
      </w:tblPr>
      <w:tr>
        <w:trPr>
          <w:trHeight w:val="184"/>
        </w:trPr>
        <w:tc>
          <w:tcPr>
            <w:tcW w:w="2760" w:type="dxa"/>
            <w:vAlign w:val="bottom"/>
            <w:gridSpan w:val="2"/>
          </w:tcPr>
          <w:p>
            <w:pPr>
              <w:ind w:left="1260"/>
              <w:spacing w:after="0" w:line="184" w:lineRule="exact"/>
              <w:rPr>
                <w:sz w:val="20"/>
                <w:szCs w:val="20"/>
                <w:color w:val="auto"/>
              </w:rPr>
            </w:pPr>
            <w:r>
              <w:rPr>
                <w:rFonts w:ascii="Times New Roman" w:cs="Times New Roman" w:eastAsia="Times New Roman" w:hAnsi="Times New Roman"/>
                <w:sz w:val="18"/>
                <w:szCs w:val="18"/>
                <w:color w:val="auto"/>
              </w:rPr>
              <w:t>approximately $</w:t>
            </w:r>
          </w:p>
        </w:tc>
        <w:tc>
          <w:tcPr>
            <w:tcW w:w="192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or approximately $</w:t>
            </w:r>
          </w:p>
        </w:tc>
        <w:tc>
          <w:tcPr>
            <w:tcW w:w="4800" w:type="dxa"/>
            <w:vAlign w:val="bottom"/>
            <w:gridSpan w:val="7"/>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per share of common stock. This represents an immediate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gridSpan w:val="4"/>
          </w:tcPr>
          <w:p>
            <w:pPr>
              <w:ind w:left="1260"/>
              <w:spacing w:after="0" w:line="202" w:lineRule="exact"/>
              <w:rPr>
                <w:sz w:val="20"/>
                <w:szCs w:val="20"/>
                <w:color w:val="auto"/>
              </w:rPr>
            </w:pPr>
            <w:r>
              <w:rPr>
                <w:rFonts w:ascii="Times New Roman" w:cs="Times New Roman" w:eastAsia="Times New Roman" w:hAnsi="Times New Roman"/>
                <w:sz w:val="18"/>
                <w:szCs w:val="18"/>
                <w:color w:val="auto"/>
              </w:rPr>
              <w:t>increase in pro forma net tangible book value to existing stockholders of $</w:t>
            </w:r>
          </w:p>
        </w:tc>
        <w:tc>
          <w:tcPr>
            <w:tcW w:w="2080" w:type="dxa"/>
            <w:vAlign w:val="bottom"/>
            <w:gridSpan w:val="6"/>
          </w:tcPr>
          <w:p>
            <w:pPr>
              <w:jc w:val="right"/>
              <w:ind w:right="820"/>
              <w:spacing w:after="0" w:line="202" w:lineRule="exact"/>
              <w:rPr>
                <w:sz w:val="20"/>
                <w:szCs w:val="20"/>
                <w:color w:val="auto"/>
              </w:rPr>
            </w:pPr>
            <w:r>
              <w:rPr>
                <w:rFonts w:ascii="Times New Roman" w:cs="Times New Roman" w:eastAsia="Times New Roman" w:hAnsi="Times New Roman"/>
                <w:sz w:val="18"/>
                <w:szCs w:val="18"/>
                <w:color w:val="auto"/>
              </w:rPr>
              <w:t>per share and an</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3"/>
          </w:tcPr>
          <w:p>
            <w:pPr>
              <w:ind w:left="1260"/>
              <w:spacing w:after="0" w:line="202" w:lineRule="exact"/>
              <w:rPr>
                <w:sz w:val="20"/>
                <w:szCs w:val="20"/>
                <w:color w:val="auto"/>
              </w:rPr>
            </w:pPr>
            <w:r>
              <w:rPr>
                <w:rFonts w:ascii="Times New Roman" w:cs="Times New Roman" w:eastAsia="Times New Roman" w:hAnsi="Times New Roman"/>
                <w:sz w:val="18"/>
                <w:szCs w:val="18"/>
                <w:color w:val="auto"/>
              </w:rPr>
              <w:t>immediate dilution to new investors of $</w:t>
            </w:r>
          </w:p>
        </w:tc>
        <w:tc>
          <w:tcPr>
            <w:tcW w:w="4800" w:type="dxa"/>
            <w:vAlign w:val="bottom"/>
            <w:gridSpan w:val="7"/>
          </w:tcPr>
          <w:p>
            <w:pPr>
              <w:jc w:val="right"/>
              <w:ind w:right="480"/>
              <w:spacing w:after="0" w:line="202" w:lineRule="exact"/>
              <w:rPr>
                <w:sz w:val="20"/>
                <w:szCs w:val="20"/>
                <w:color w:val="auto"/>
              </w:rPr>
            </w:pPr>
            <w:r>
              <w:rPr>
                <w:rFonts w:ascii="Times New Roman" w:cs="Times New Roman" w:eastAsia="Times New Roman" w:hAnsi="Times New Roman"/>
                <w:sz w:val="18"/>
                <w:szCs w:val="18"/>
                <w:color w:val="auto"/>
              </w:rPr>
              <w:t>per share. The following table illustrates this per share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dilution:</w:t>
            </w:r>
          </w:p>
        </w:tc>
        <w:tc>
          <w:tcPr>
            <w:tcW w:w="1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60" w:type="dxa"/>
            <w:vAlign w:val="bottom"/>
            <w:vMerge w:val="restart"/>
          </w:tcPr>
          <w:p>
            <w:pPr>
              <w:spacing w:after="0"/>
              <w:rPr>
                <w:sz w:val="14"/>
                <w:szCs w:val="14"/>
                <w:color w:val="auto"/>
              </w:rPr>
            </w:pPr>
          </w:p>
        </w:tc>
        <w:tc>
          <w:tcPr>
            <w:tcW w:w="3420" w:type="dxa"/>
            <w:vAlign w:val="bottom"/>
            <w:gridSpan w:val="2"/>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60" w:type="dxa"/>
            <w:vAlign w:val="bottom"/>
            <w:vMerge w:val="continue"/>
          </w:tcPr>
          <w:p>
            <w:pPr>
              <w:spacing w:after="0"/>
              <w:rPr>
                <w:sz w:val="15"/>
                <w:szCs w:val="15"/>
                <w:color w:val="auto"/>
              </w:rPr>
            </w:pPr>
          </w:p>
        </w:tc>
        <w:tc>
          <w:tcPr>
            <w:tcW w:w="3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6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per share attributable to pro forma adjustments</w:t>
            </w: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11.87</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6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6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220" w:type="dxa"/>
            <w:vAlign w:val="bottom"/>
            <w:vMerge w:val="restart"/>
            <w:shd w:val="clear" w:color="auto" w:fill="CCEEFF"/>
          </w:tcPr>
          <w:p>
            <w:pPr>
              <w:spacing w:after="0"/>
              <w:rPr>
                <w:sz w:val="20"/>
                <w:szCs w:val="2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participating in this offering</w:t>
            </w:r>
          </w:p>
        </w:tc>
        <w:tc>
          <w:tcPr>
            <w:tcW w:w="27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140" w:type="dxa"/>
            <w:vAlign w:val="bottom"/>
            <w:gridSpan w:val="3"/>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1260" w:type="dxa"/>
            <w:vAlign w:val="bottom"/>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jc w:val="right"/>
              <w:ind w:right="1870"/>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-865505</wp:posOffset>
            </wp:positionV>
            <wp:extent cx="49206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2061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86" w:name="page87"/>
    <w:bookmarkEnd w:id="8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 $ 1.00 increase (decrease) in the assumed initial public offering price of $ per share would increase (decrease) our pro forma as adjusted net tangible book value by approximately $ or approximately $ per share, and the dilution in pro forma as adjusted net tangible book value per share to investors in this offering by approximately $ per share, assuming the number of shares offering by</w:t>
      </w:r>
    </w:p>
    <w:p>
      <w:pPr>
        <w:spacing w:after="0" w:line="2" w:lineRule="exact"/>
        <w:rPr>
          <w:sz w:val="20"/>
          <w:szCs w:val="20"/>
          <w:color w:val="auto"/>
        </w:rPr>
      </w:pPr>
    </w:p>
    <w:p>
      <w:pPr>
        <w:ind w:left="1260" w:right="919"/>
        <w:spacing w:after="0" w:line="238" w:lineRule="auto"/>
        <w:rPr>
          <w:sz w:val="20"/>
          <w:szCs w:val="20"/>
          <w:color w:val="auto"/>
        </w:rPr>
      </w:pPr>
      <w:r>
        <w:rPr>
          <w:rFonts w:ascii="Times New Roman" w:cs="Times New Roman" w:eastAsia="Times New Roman" w:hAnsi="Times New Roman"/>
          <w:sz w:val="18"/>
          <w:szCs w:val="18"/>
          <w:color w:val="auto"/>
        </w:rPr>
        <w:t>us, as set forth on the cover page of this prospectus, remains the same and after deducting underwriting discounts and commissions and estimated offering expenses payable by us. This pro forma information is illustrative only, and following the completion of this offering, will be adjusted based on the actual initial public offering price and other terms of this offering determined at pricing.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pro forma net tangible</w:t>
      </w:r>
    </w:p>
    <w:p>
      <w:pPr>
        <w:spacing w:after="0" w:line="16" w:lineRule="exact"/>
        <w:rPr>
          <w:sz w:val="20"/>
          <w:szCs w:val="20"/>
          <w:color w:val="auto"/>
        </w:rPr>
      </w:pPr>
    </w:p>
    <w:p>
      <w:pPr>
        <w:ind w:left="1260" w:right="899"/>
        <w:spacing w:after="0"/>
        <w:rPr>
          <w:sz w:val="20"/>
          <w:szCs w:val="20"/>
          <w:color w:val="auto"/>
        </w:rPr>
      </w:pPr>
      <w:r>
        <w:rPr>
          <w:rFonts w:ascii="Times New Roman" w:cs="Times New Roman" w:eastAsia="Times New Roman" w:hAnsi="Times New Roman"/>
          <w:sz w:val="18"/>
          <w:szCs w:val="18"/>
          <w:color w:val="auto"/>
        </w:rPr>
        <w:t>book value per share of our common stock after giving effect to this offering would be $ per share, and the dilution in net tangible book value per share to investors in this offering would be $ per share.</w:t>
      </w:r>
    </w:p>
    <w:p>
      <w:pPr>
        <w:spacing w:after="0" w:line="268" w:lineRule="exact"/>
        <w:rPr>
          <w:sz w:val="20"/>
          <w:szCs w:val="20"/>
          <w:color w:val="auto"/>
        </w:rPr>
      </w:pPr>
    </w:p>
    <w:p>
      <w:pPr>
        <w:ind w:left="1260" w:right="859" w:firstLine="360"/>
        <w:spacing w:after="0"/>
        <w:rPr>
          <w:sz w:val="20"/>
          <w:szCs w:val="20"/>
          <w:color w:val="auto"/>
        </w:rPr>
      </w:pPr>
      <w:r>
        <w:rPr>
          <w:rFonts w:ascii="Times New Roman" w:cs="Times New Roman" w:eastAsia="Times New Roman" w:hAnsi="Times New Roman"/>
          <w:sz w:val="18"/>
          <w:szCs w:val="18"/>
          <w:color w:val="auto"/>
        </w:rPr>
        <w:t>The following table sets forth, on a pro forma as adjusted basis, the differences between existing stockholders and new investors with respect to the number of shares of common stock purchased from us, the total consideration paid, and the average price per share of our common stock paid by existing stockholders. The calculation with respect to shares of Class A common stock purchased by new investors</w:t>
      </w:r>
    </w:p>
    <w:p>
      <w:pPr>
        <w:ind w:left="1260"/>
        <w:spacing w:after="0" w:line="237" w:lineRule="auto"/>
        <w:tabs>
          <w:tab w:leader="none" w:pos="4900" w:val="left"/>
        </w:tabs>
        <w:rPr>
          <w:sz w:val="20"/>
          <w:szCs w:val="20"/>
          <w:color w:val="auto"/>
        </w:rPr>
      </w:pPr>
      <w:r>
        <w:rPr>
          <w:rFonts w:ascii="Times New Roman" w:cs="Times New Roman" w:eastAsia="Times New Roman" w:hAnsi="Times New Roman"/>
          <w:sz w:val="18"/>
          <w:szCs w:val="18"/>
          <w:color w:val="auto"/>
        </w:rPr>
        <w:t>in this offering reflects the issuance of</w:t>
      </w:r>
      <w:r>
        <w:rPr>
          <w:sz w:val="20"/>
          <w:szCs w:val="20"/>
          <w:color w:val="auto"/>
        </w:rPr>
        <w:tab/>
      </w:r>
      <w:r>
        <w:rPr>
          <w:rFonts w:ascii="Times New Roman" w:cs="Times New Roman" w:eastAsia="Times New Roman" w:hAnsi="Times New Roman"/>
          <w:sz w:val="18"/>
          <w:szCs w:val="18"/>
          <w:color w:val="auto"/>
        </w:rPr>
        <w:t>shares of our Class A common stock in this offering at an</w:t>
      </w:r>
    </w:p>
    <w:p>
      <w:pPr>
        <w:ind w:left="1260" w:right="899"/>
        <w:spacing w:after="0" w:line="239" w:lineRule="auto"/>
        <w:rPr>
          <w:sz w:val="20"/>
          <w:szCs w:val="20"/>
          <w:color w:val="auto"/>
        </w:rPr>
      </w:pPr>
      <w:r>
        <w:rPr>
          <w:rFonts w:ascii="Times New Roman" w:cs="Times New Roman" w:eastAsia="Times New Roman" w:hAnsi="Times New Roman"/>
          <w:sz w:val="18"/>
          <w:szCs w:val="18"/>
          <w:color w:val="auto"/>
        </w:rPr>
        <w:t>assumed initial public offering price of $ per share, which is the midpoint of the estimated offering price range set forth on the cover page of this prospectus, before deducting underwriting discounts and commissions and estimated offering expenses payable by us.</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42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1"/>
              </w:rPr>
              <w:t>Percent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1"/>
              </w:rPr>
              <w:t>Percent</w:t>
            </w: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-496570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-496570</wp:posOffset>
            </wp:positionV>
            <wp:extent cx="4663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number of shares of</w:t>
      </w:r>
    </w:p>
    <w:p>
      <w:pPr>
        <w:spacing w:after="0" w:line="16" w:lineRule="exact"/>
        <w:rPr>
          <w:sz w:val="20"/>
          <w:szCs w:val="20"/>
          <w:color w:val="auto"/>
        </w:rPr>
      </w:pPr>
    </w:p>
    <w:p>
      <w:pPr>
        <w:ind w:left="1260" w:right="1339"/>
        <w:spacing w:after="0" w:line="243" w:lineRule="auto"/>
        <w:rPr>
          <w:sz w:val="20"/>
          <w:szCs w:val="20"/>
          <w:color w:val="auto"/>
        </w:rPr>
      </w:pPr>
      <w:r>
        <w:rPr>
          <w:rFonts w:ascii="Times New Roman" w:cs="Times New Roman" w:eastAsia="Times New Roman" w:hAnsi="Times New Roman"/>
          <w:sz w:val="18"/>
          <w:szCs w:val="18"/>
          <w:color w:val="auto"/>
        </w:rPr>
        <w:t>our common stock held by new investors will increase to % of the total number of shares of our common stock outstanding after this offering.</w:t>
      </w:r>
    </w:p>
    <w:p>
      <w:pPr>
        <w:spacing w:after="0" w:line="47"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settle, new options or RSUs are issued under our equity compensation plans, or we issue additional shares of common stock or convertible debt in the future, investors participating in this offering will experience further dilution.</w:t>
      </w:r>
    </w:p>
    <w:p>
      <w:pPr>
        <w:spacing w:after="0" w:line="55" w:lineRule="exact"/>
        <w:rPr>
          <w:sz w:val="20"/>
          <w:szCs w:val="20"/>
          <w:color w:val="auto"/>
        </w:rPr>
      </w:pPr>
    </w:p>
    <w:p>
      <w:pPr>
        <w:jc w:val="both"/>
        <w:ind w:left="1260" w:right="999" w:firstLine="360"/>
        <w:spacing w:after="0" w:line="250" w:lineRule="auto"/>
        <w:rPr>
          <w:sz w:val="20"/>
          <w:szCs w:val="20"/>
          <w:color w:val="auto"/>
        </w:rPr>
      </w:pPr>
      <w:r>
        <w:rPr>
          <w:rFonts w:ascii="Times New Roman" w:cs="Times New Roman" w:eastAsia="Times New Roman" w:hAnsi="Times New Roman"/>
          <w:sz w:val="18"/>
          <w:szCs w:val="18"/>
          <w:color w:val="auto"/>
        </w:rPr>
        <w:t>The pro forma and pro forma as adjusted number of shares of common stock to be outstanding after this offering is based on 97,294,525 shares of Class A common stock and 121,400,441 shares of Class B common stock outstanding as of September 30, 2020 on a pro forma basis and excludes:</w:t>
      </w:r>
    </w:p>
    <w:p>
      <w:pPr>
        <w:spacing w:after="0" w:line="69" w:lineRule="exact"/>
        <w:rPr>
          <w:sz w:val="20"/>
          <w:szCs w:val="20"/>
          <w:color w:val="auto"/>
        </w:rPr>
      </w:pPr>
    </w:p>
    <w:p>
      <w:pPr>
        <w:ind w:left="1800" w:right="1019" w:hanging="178"/>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153,032 shares of our Class A common stock and 153,032 shares of our Class B common stock issuable upon exercise of 306,065 warrants outstanding as of September 30, 2020, which are not automatically exercisable upon the completion of this offering, with a weighted-average exercise price of $0.79 per share;</w:t>
      </w:r>
    </w:p>
    <w:p>
      <w:pPr>
        <w:spacing w:after="0" w:line="58"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41,415,585 shares of our Class A common stock issuable upon the exercise of options to purchase shares of our common stock outstanding as of September 30, 2020, with a weighted-average exercise price of $5.17 per share;</w:t>
      </w:r>
    </w:p>
    <w:p>
      <w:pPr>
        <w:spacing w:after="0" w:line="67"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7,142,676 shares of our Class A common stock issuable upon the vesting of RSUs outstanding as of September 30, 2020 that will not be vested upon completion of this offering;</w:t>
      </w:r>
    </w:p>
    <w:p>
      <w:pPr>
        <w:spacing w:after="0" w:line="53" w:lineRule="exact"/>
        <w:rPr>
          <w:rFonts w:ascii="Times New Roman" w:cs="Times New Roman" w:eastAsia="Times New Roman" w:hAnsi="Times New Roman"/>
          <w:sz w:val="18"/>
          <w:szCs w:val="18"/>
          <w:color w:val="auto"/>
        </w:rPr>
      </w:pPr>
    </w:p>
    <w:p>
      <w:pPr>
        <w:ind w:left="1800" w:right="779" w:hanging="178"/>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15,963,713 shares of our Class A common stock issuable upon the exercise of options to purchase shares of our common stock granted after September 30, 2020 and effective upon the date of pricing of the initial public offering, with an exercise price equal to the initial public offering price;</w:t>
      </w:r>
    </w:p>
    <w:p>
      <w:pPr>
        <w:spacing w:after="0" w:line="67" w:lineRule="exact"/>
        <w:rPr>
          <w:rFonts w:ascii="Times New Roman" w:cs="Times New Roman" w:eastAsia="Times New Roman" w:hAnsi="Times New Roman"/>
          <w:sz w:val="18"/>
          <w:szCs w:val="18"/>
          <w:color w:val="auto"/>
        </w:rPr>
      </w:pPr>
    </w:p>
    <w:p>
      <w:pPr>
        <w:ind w:left="1800" w:right="1219" w:hanging="178"/>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7,289,486 shares of our Class A common stock issuable upon the vesting of outstanding RSUs granted after September 30, 2020 (including 334,836 shares of Class A common stock that are expected to be issued upon the vesting and settlement of such RSUs in connection with the completion of this offering);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7" w:name="page88"/>
    <w:bookmarkEnd w:id="8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939" w:hanging="178"/>
        <w:spacing w:after="0" w:line="261" w:lineRule="auto"/>
        <w:tabs>
          <w:tab w:leader="none" w:pos="24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issuable upon the vesting of RSUs granted after September 30, 2020 and effective upon the date of pricing of the initial public offering, calculated</w:t>
      </w:r>
    </w:p>
    <w:p>
      <w:pPr>
        <w:ind w:left="1800" w:right="839"/>
        <w:spacing w:after="0" w:line="255" w:lineRule="auto"/>
        <w:rPr>
          <w:sz w:val="20"/>
          <w:szCs w:val="20"/>
          <w:color w:val="auto"/>
        </w:rPr>
      </w:pPr>
      <w:r>
        <w:rPr>
          <w:rFonts w:ascii="Times New Roman" w:cs="Times New Roman" w:eastAsia="Times New Roman" w:hAnsi="Times New Roman"/>
          <w:sz w:val="18"/>
          <w:szCs w:val="18"/>
          <w:color w:val="auto"/>
        </w:rPr>
        <w:t>based on an assumed initial public offering price of $ per share (which is the midpoint of the estimated offering price range set forth on the cover page of this prospectus, before deducting underwriting discounts and commissions and estimated offering expenses payable by us);</w:t>
      </w:r>
    </w:p>
    <w:p>
      <w:pPr>
        <w:spacing w:after="0" w:line="78" w:lineRule="exact"/>
        <w:rPr>
          <w:sz w:val="20"/>
          <w:szCs w:val="20"/>
          <w:color w:val="auto"/>
        </w:rPr>
      </w:pPr>
    </w:p>
    <w:p>
      <w:pPr>
        <w:jc w:val="both"/>
        <w:ind w:left="1800" w:right="719" w:hanging="178"/>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6,210,045 shares of Class A common stock to be issued in connection with, and contingent upon, the closing of the PayBright Transaction (including 2,587,519 shares of Class A common stock issued in escrow and subject to forfeiture if certain revenue milestones are not met), which we expect to close in first quarter of calendar year 2021; and</w:t>
      </w:r>
    </w:p>
    <w:p>
      <w:pPr>
        <w:spacing w:after="0" w:line="71" w:lineRule="exact"/>
        <w:rPr>
          <w:rFonts w:ascii="Times New Roman" w:cs="Times New Roman" w:eastAsia="Times New Roman" w:hAnsi="Times New Roman"/>
          <w:sz w:val="18"/>
          <w:szCs w:val="18"/>
          <w:color w:val="auto"/>
        </w:rPr>
      </w:pPr>
    </w:p>
    <w:p>
      <w:pPr>
        <w:ind w:left="1800" w:right="799" w:hanging="178"/>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118,374,202 shares of our Class A common stock reserved for future issuance under our equity compensation plans following the completion of this offering, which number is subject to automatic annual increases under the terms of such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8" w:name="page89"/>
    <w:bookmarkEnd w:id="8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OTHER DATA</w:t>
      </w:r>
    </w:p>
    <w:p>
      <w:pPr>
        <w:spacing w:after="0" w:line="146" w:lineRule="exact"/>
        <w:rPr>
          <w:sz w:val="20"/>
          <w:szCs w:val="20"/>
          <w:color w:val="auto"/>
        </w:rPr>
      </w:pPr>
    </w:p>
    <w:p>
      <w:pPr>
        <w:ind w:left="1260" w:right="1300" w:firstLine="360"/>
        <w:spacing w:after="0" w:line="237" w:lineRule="auto"/>
        <w:rPr>
          <w:sz w:val="20"/>
          <w:szCs w:val="20"/>
          <w:color w:val="auto"/>
        </w:rPr>
      </w:pPr>
      <w:r>
        <w:rPr>
          <w:rFonts w:ascii="Times New Roman" w:cs="Times New Roman" w:eastAsia="Times New Roman" w:hAnsi="Times New Roman"/>
          <w:sz w:val="18"/>
          <w:szCs w:val="18"/>
          <w:i w:val="1"/>
          <w:iCs w:val="1"/>
          <w:color w:val="auto"/>
        </w:rPr>
        <w:t>The following summary consolidated statement of operations data for the fiscal years ended June 30, 2019 and 2020, and the consolidated balance sheet data as of June 30, 2019 and 2020, have been derived from our audited consolidated financial statements and related notes included elsewhere in this prospectus. The summary consolidated statement of operations data for the three months ended September 30, 2019 and 2020, and the consolidated balance sheet data as of September 30, 2020, have been derived from our unaudited condensed consolidated financial statements and related notes thereto appearing elsewhere in this prospectus. Our unaudited condensed consolidated financial statements have been prepared on the same basis as our audited consolidated financial statements and, in the opinion of management, reflect all adjustments, which consist only of normal recurring adjustments, necessary for the fair presentation of those unaudited condensed consolidated financial statements. Our historical results are not necessarily indicative of the results that may be expected in the future and the results for the three months ended September 30, 2020 are not necessarily indicative of the results to be expected for the full year or any other period. You should read the consolidated financial data below in conjunction with the section titled “Management’s Discussion and Analysis of Financial Condition and Results of Operations” and our consolidated financial statements and related notes included elsewhere in this prospectus. Our historical results are not necessarily indicative of the results to be expected for any other period in the future.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5"/>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Fiscal Year Ended June 30,</w:t>
            </w:r>
          </w:p>
        </w:tc>
        <w:tc>
          <w:tcPr>
            <w:tcW w:w="200" w:type="dxa"/>
            <w:vAlign w:val="bottom"/>
          </w:tcPr>
          <w:p>
            <w:pPr>
              <w:spacing w:after="0"/>
              <w:rPr>
                <w:sz w:val="16"/>
                <w:szCs w:val="16"/>
                <w:color w:val="auto"/>
              </w:rPr>
            </w:pPr>
          </w:p>
        </w:tc>
        <w:tc>
          <w:tcPr>
            <w:tcW w:w="3040" w:type="dxa"/>
            <w:vAlign w:val="bottom"/>
            <w:gridSpan w:val="5"/>
          </w:tcPr>
          <w:p>
            <w:pPr>
              <w:jc w:val="right"/>
              <w:ind w:right="1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network revenue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256,752</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93,265</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186,730</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income</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9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 net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264,367</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509,528</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87,947</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173,978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73,383</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161,452</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9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105,067</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Funding costs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80" w:type="dxa"/>
            <w:vAlign w:val="bottom"/>
            <w:tcBorders>
              <w:right w:val="single" w:sz="8" w:color="CCEEFF"/>
            </w:tcBorders>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Processing and servicing</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49,831</w:t>
            </w: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Technology and data analytics</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122,378</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80" w:type="dxa"/>
            <w:vAlign w:val="bottom"/>
            <w:tcBorders>
              <w:right w:val="single" w:sz="8" w:color="CCEEFF"/>
            </w:tcBorders>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3980" w:type="dxa"/>
            <w:vAlign w:val="bottom"/>
            <w:tcBorders>
              <w:bottom w:val="single" w:sz="8" w:color="CCEEFF"/>
            </w:tcBorders>
            <w:gridSpan w:val="2"/>
          </w:tcPr>
          <w:p>
            <w:pPr>
              <w:ind w:left="180"/>
              <w:spacing w:after="0" w:line="297"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121,230</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391,808</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617,318</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120,919</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(127,441)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(32,972)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(44,623)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(4,432)</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(120,419)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(30,699)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(15,178)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(120,455)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(30,795)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return to preferred stockholders on</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260" w:type="dxa"/>
            <w:vAlign w:val="bottom"/>
          </w:tcPr>
          <w:p>
            <w:pPr>
              <w:spacing w:after="0"/>
              <w:rPr>
                <w:sz w:val="21"/>
                <w:szCs w:val="21"/>
                <w:color w:val="auto"/>
              </w:rPr>
            </w:pPr>
          </w:p>
        </w:tc>
        <w:tc>
          <w:tcPr>
            <w:tcW w:w="3820" w:type="dxa"/>
            <w:vAlign w:val="bottom"/>
            <w:vMerge w:val="continue"/>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(14,113)</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(13,205)</w:t>
            </w:r>
          </w:p>
        </w:tc>
        <w:tc>
          <w:tcPr>
            <w:tcW w:w="200" w:type="dxa"/>
            <w:vAlign w:val="bottom"/>
            <w:shd w:val="clear" w:color="auto" w:fill="CCEEFF"/>
          </w:tcPr>
          <w:p>
            <w:pPr>
              <w:spacing w:after="0"/>
              <w:rPr>
                <w:sz w:val="21"/>
                <w:szCs w:val="2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26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(134,568)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(30,699)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980" w:type="dxa"/>
            <w:vAlign w:val="bottom"/>
            <w:tcBorders>
              <w:top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398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7"/>
        </w:trPr>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-1473835</wp:posOffset>
            </wp:positionV>
            <wp:extent cx="93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-1473835</wp:posOffset>
            </wp:positionV>
            <wp:extent cx="93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-1473835</wp:posOffset>
            </wp:positionV>
            <wp:extent cx="32315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-1851025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-1851025</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-1851025</wp:posOffset>
            </wp:positionV>
            <wp:extent cx="3231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-2228215</wp:posOffset>
            </wp:positionV>
            <wp:extent cx="93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-2228215</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-2228215</wp:posOffset>
            </wp:positionV>
            <wp:extent cx="32315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-2605405</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-2605405</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-2605405</wp:posOffset>
            </wp:positionV>
            <wp:extent cx="32315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-3882390</wp:posOffset>
            </wp:positionV>
            <wp:extent cx="93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-3882390</wp:posOffset>
            </wp:positionV>
            <wp:extent cx="93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-3882390</wp:posOffset>
            </wp:positionV>
            <wp:extent cx="3231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-5262880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-5262880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-5262880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89" w:name="page90"/>
    <w:bookmarkEnd w:id="8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11"/>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1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2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7"/>
                <w:szCs w:val="17"/>
                <w:color w:val="auto"/>
              </w:rPr>
            </w:pPr>
          </w:p>
        </w:tc>
        <w:tc>
          <w:tcPr>
            <w:tcW w:w="8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540" w:type="dxa"/>
            <w:vAlign w:val="bottom"/>
            <w:gridSpan w:val="1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47,345,328</w:t>
            </w:r>
          </w:p>
        </w:tc>
        <w:tc>
          <w:tcPr>
            <w:tcW w:w="18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47,856,720</w:t>
            </w:r>
          </w:p>
        </w:tc>
        <w:tc>
          <w:tcPr>
            <w:tcW w:w="40" w:type="dxa"/>
            <w:vAlign w:val="bottom"/>
          </w:tcPr>
          <w:p>
            <w:pPr>
              <w:spacing w:after="0"/>
              <w:rPr>
                <w:sz w:val="22"/>
                <w:szCs w:val="22"/>
                <w:color w:val="auto"/>
              </w:rPr>
            </w:pPr>
          </w:p>
        </w:tc>
        <w:tc>
          <w:tcPr>
            <w:tcW w:w="1240" w:type="dxa"/>
            <w:vAlign w:val="bottom"/>
            <w:gridSpan w:val="8"/>
          </w:tcPr>
          <w:p>
            <w:pPr>
              <w:jc w:val="right"/>
              <w:ind w:right="208"/>
              <w:spacing w:after="0"/>
              <w:rPr>
                <w:sz w:val="20"/>
                <w:szCs w:val="20"/>
                <w:color w:val="auto"/>
              </w:rPr>
            </w:pPr>
            <w:r>
              <w:rPr>
                <w:rFonts w:ascii="Times New Roman" w:cs="Times New Roman" w:eastAsia="Times New Roman" w:hAnsi="Times New Roman"/>
                <w:sz w:val="18"/>
                <w:szCs w:val="18"/>
                <w:color w:val="auto"/>
              </w:rPr>
              <w:t>48,403,021</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64,778,024</w:t>
            </w:r>
          </w:p>
        </w:tc>
        <w:tc>
          <w:tcPr>
            <w:tcW w:w="6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47,345,328</w:t>
            </w:r>
          </w:p>
        </w:tc>
        <w:tc>
          <w:tcPr>
            <w:tcW w:w="18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47,856,720</w:t>
            </w:r>
          </w:p>
        </w:tc>
        <w:tc>
          <w:tcPr>
            <w:tcW w:w="40" w:type="dxa"/>
            <w:vAlign w:val="bottom"/>
            <w:shd w:val="clear" w:color="auto" w:fill="CCEEFF"/>
          </w:tcPr>
          <w:p>
            <w:pPr>
              <w:spacing w:after="0"/>
              <w:rPr>
                <w:sz w:val="22"/>
                <w:szCs w:val="22"/>
                <w:color w:val="auto"/>
              </w:rPr>
            </w:pPr>
          </w:p>
        </w:tc>
        <w:tc>
          <w:tcPr>
            <w:tcW w:w="1240" w:type="dxa"/>
            <w:vAlign w:val="bottom"/>
            <w:gridSpan w:val="8"/>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48,403,021</w:t>
            </w:r>
          </w:p>
        </w:tc>
        <w:tc>
          <w:tcPr>
            <w:tcW w:w="9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68,256,189</w:t>
            </w:r>
          </w:p>
        </w:tc>
        <w:tc>
          <w:tcPr>
            <w:tcW w:w="60" w:type="dxa"/>
            <w:vAlign w:val="bottom"/>
          </w:tcPr>
          <w:p>
            <w:pPr>
              <w:spacing w:after="0"/>
              <w:rPr>
                <w:sz w:val="22"/>
                <w:szCs w:val="22"/>
                <w:color w:val="auto"/>
              </w:rPr>
            </w:pP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stockholders (unaudited):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(0.09)</w:t>
            </w:r>
          </w:p>
        </w:tc>
        <w:tc>
          <w:tcPr>
            <w:tcW w:w="60" w:type="dxa"/>
            <w:vAlign w:val="bottom"/>
          </w:tcPr>
          <w:p>
            <w:pPr>
              <w:spacing w:after="0"/>
              <w:rPr>
                <w:sz w:val="22"/>
                <w:szCs w:val="22"/>
                <w:color w:val="auto"/>
              </w:rPr>
            </w:pPr>
          </w:p>
        </w:tc>
      </w:tr>
      <w:tr>
        <w:trPr>
          <w:trHeight w:val="25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8"/>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common shares</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(unaudited):</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171,764,609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206,495,264</w:t>
            </w:r>
          </w:p>
        </w:tc>
        <w:tc>
          <w:tcPr>
            <w:tcW w:w="6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171,764,609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209,973,429</w:t>
            </w:r>
          </w:p>
        </w:tc>
        <w:tc>
          <w:tcPr>
            <w:tcW w:w="60" w:type="dxa"/>
            <w:vAlign w:val="bottom"/>
          </w:tcPr>
          <w:p>
            <w:pPr>
              <w:spacing w:after="0"/>
              <w:rPr>
                <w:sz w:val="22"/>
                <w:szCs w:val="22"/>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29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99"/>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6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90"/>
        </w:trPr>
        <w:tc>
          <w:tcPr>
            <w:tcW w:w="1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6"/>
                <w:szCs w:val="16"/>
                <w:color w:val="auto"/>
              </w:rPr>
            </w:pPr>
          </w:p>
        </w:tc>
        <w:tc>
          <w:tcPr>
            <w:tcW w:w="130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1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servicing</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5"/>
              </w:rPr>
              <w:t>(5)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2"/>
                <w:szCs w:val="22"/>
                <w:color w:val="auto"/>
              </w:rPr>
            </w:pPr>
          </w:p>
        </w:tc>
      </w:tr>
      <w:tr>
        <w:trPr>
          <w:trHeight w:val="25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12,285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2,213</w:t>
            </w:r>
          </w:p>
        </w:tc>
        <w:tc>
          <w:tcPr>
            <w:tcW w:w="6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22"/>
                <w:szCs w:val="22"/>
                <w:color w:val="auto"/>
              </w:rPr>
            </w:pPr>
          </w:p>
        </w:tc>
      </w:tr>
      <w:tr>
        <w:trPr>
          <w:trHeight w:val="263"/>
        </w:trPr>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gridSpan w:val="2"/>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13,682</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3,204</w:t>
            </w:r>
          </w:p>
        </w:tc>
        <w:tc>
          <w:tcPr>
            <w:tcW w:w="60" w:type="dxa"/>
            <w:vAlign w:val="bottom"/>
          </w:tcPr>
          <w:p>
            <w:pPr>
              <w:spacing w:after="0"/>
              <w:rPr>
                <w:sz w:val="22"/>
                <w:szCs w:val="22"/>
                <w:color w:val="auto"/>
              </w:rPr>
            </w:pPr>
          </w:p>
        </w:tc>
      </w:tr>
      <w:tr>
        <w:trPr>
          <w:trHeight w:val="25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40,871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30,089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8,425</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6,203</w:t>
            </w:r>
          </w:p>
        </w:tc>
        <w:tc>
          <w:tcPr>
            <w:tcW w:w="60" w:type="dxa"/>
            <w:vAlign w:val="bottom"/>
          </w:tcPr>
          <w:p>
            <w:pPr>
              <w:spacing w:after="0"/>
              <w:rPr>
                <w:sz w:val="22"/>
                <w:szCs w:val="22"/>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3"/>
        </w:trPr>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24"/>
                <w:szCs w:val="24"/>
                <w:color w:val="auto"/>
              </w:rPr>
            </w:pPr>
          </w:p>
        </w:tc>
        <w:tc>
          <w:tcPr>
            <w:tcW w:w="130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As of September 30,</w:t>
            </w: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39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320,448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267,059</w:t>
            </w:r>
          </w:p>
        </w:tc>
        <w:tc>
          <w:tcPr>
            <w:tcW w:w="1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684,423</w:t>
            </w:r>
          </w:p>
        </w:tc>
        <w:tc>
          <w:tcPr>
            <w:tcW w:w="60" w:type="dxa"/>
            <w:vAlign w:val="bottom"/>
          </w:tcPr>
          <w:p>
            <w:pPr>
              <w:spacing w:after="0"/>
              <w:rPr>
                <w:sz w:val="22"/>
                <w:szCs w:val="22"/>
                <w:color w:val="auto"/>
              </w:rPr>
            </w:pPr>
          </w:p>
        </w:tc>
      </w:tr>
      <w:tr>
        <w:trPr>
          <w:trHeight w:val="25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735,414</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1,034,312</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1,414,157</w:t>
            </w:r>
          </w:p>
        </w:tc>
        <w:tc>
          <w:tcPr>
            <w:tcW w:w="60" w:type="dxa"/>
            <w:vAlign w:val="bottom"/>
          </w:tcPr>
          <w:p>
            <w:pPr>
              <w:spacing w:after="0"/>
              <w:rPr>
                <w:sz w:val="22"/>
                <w:szCs w:val="22"/>
                <w:color w:val="auto"/>
              </w:rPr>
            </w:pPr>
          </w:p>
        </w:tc>
      </w:tr>
      <w:tr>
        <w:trPr>
          <w:trHeight w:val="27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spacing w:after="0"/>
              <w:rPr>
                <w:sz w:val="23"/>
                <w:szCs w:val="23"/>
                <w:color w:val="auto"/>
              </w:rPr>
            </w:pPr>
          </w:p>
        </w:tc>
        <w:tc>
          <w:tcPr>
            <w:tcW w:w="1000" w:type="dxa"/>
            <w:vAlign w:val="bottom"/>
            <w:gridSpan w:val="4"/>
          </w:tcPr>
          <w:p>
            <w:pPr>
              <w:jc w:val="right"/>
              <w:ind w:right="79"/>
              <w:spacing w:after="0"/>
              <w:rPr>
                <w:sz w:val="20"/>
                <w:szCs w:val="20"/>
                <w:color w:val="auto"/>
              </w:rPr>
            </w:pPr>
            <w:r>
              <w:rPr>
                <w:rFonts w:ascii="Times New Roman" w:cs="Times New Roman" w:eastAsia="Times New Roman" w:hAnsi="Times New Roman"/>
                <w:sz w:val="18"/>
                <w:szCs w:val="18"/>
                <w:color w:val="auto"/>
              </w:rPr>
              <w:t>1,148,505</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7"/>
              </w:rPr>
              <w:t>1,402,251</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w w:val="97"/>
              </w:rPr>
              <w:t>2,250,549</w:t>
            </w:r>
          </w:p>
        </w:tc>
        <w:tc>
          <w:tcPr>
            <w:tcW w:w="60" w:type="dxa"/>
            <w:vAlign w:val="bottom"/>
          </w:tcPr>
          <w:p>
            <w:pPr>
              <w:spacing w:after="0"/>
              <w:rPr>
                <w:sz w:val="23"/>
                <w:szCs w:val="23"/>
                <w:color w:val="auto"/>
              </w:rPr>
            </w:pPr>
          </w:p>
        </w:tc>
      </w:tr>
      <w:tr>
        <w:trPr>
          <w:trHeight w:val="284"/>
        </w:trPr>
        <w:tc>
          <w:tcPr>
            <w:tcW w:w="39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Notes issued by securitization trusts</w:t>
            </w:r>
            <w:r>
              <w:rPr>
                <w:rFonts w:ascii="Times New Roman" w:cs="Times New Roman" w:eastAsia="Times New Roman" w:hAnsi="Times New Roman"/>
                <w:sz w:val="26"/>
                <w:szCs w:val="26"/>
                <w:color w:val="auto"/>
                <w:vertAlign w:val="superscript"/>
              </w:rPr>
              <w:t>(1)</w:t>
            </w:r>
          </w:p>
        </w:tc>
        <w:tc>
          <w:tcPr>
            <w:tcW w:w="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498,921</w:t>
            </w:r>
          </w:p>
        </w:tc>
        <w:tc>
          <w:tcPr>
            <w:tcW w:w="60" w:type="dxa"/>
            <w:vAlign w:val="bottom"/>
          </w:tcPr>
          <w:p>
            <w:pPr>
              <w:spacing w:after="0"/>
              <w:rPr>
                <w:sz w:val="24"/>
                <w:szCs w:val="24"/>
                <w:color w:val="auto"/>
              </w:rPr>
            </w:pPr>
          </w:p>
        </w:tc>
      </w:tr>
      <w:tr>
        <w:trPr>
          <w:trHeight w:val="27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569,234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817,926</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698,892</w:t>
            </w:r>
          </w:p>
        </w:tc>
        <w:tc>
          <w:tcPr>
            <w:tcW w:w="60" w:type="dxa"/>
            <w:vAlign w:val="bottom"/>
          </w:tcPr>
          <w:p>
            <w:pPr>
              <w:spacing w:after="0"/>
              <w:rPr>
                <w:sz w:val="23"/>
                <w:szCs w:val="23"/>
                <w:color w:val="auto"/>
              </w:rPr>
            </w:pPr>
          </w:p>
        </w:tc>
      </w:tr>
      <w:tr>
        <w:trPr>
          <w:trHeight w:val="27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798,074</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804,170</w:t>
            </w: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1,327,163</w:t>
            </w:r>
          </w:p>
        </w:tc>
        <w:tc>
          <w:tcPr>
            <w:tcW w:w="60" w:type="dxa"/>
            <w:vAlign w:val="bottom"/>
          </w:tcPr>
          <w:p>
            <w:pPr>
              <w:spacing w:after="0"/>
              <w:rPr>
                <w:sz w:val="23"/>
                <w:szCs w:val="23"/>
                <w:color w:val="auto"/>
              </w:rPr>
            </w:pPr>
          </w:p>
        </w:tc>
      </w:tr>
      <w:tr>
        <w:trPr>
          <w:trHeight w:val="27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w w:val="99"/>
              </w:rPr>
              <w:t>(263,414)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(367,096)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5"/>
          </w:tcPr>
          <w:p>
            <w:pPr>
              <w:jc w:val="right"/>
              <w:ind w:right="72"/>
              <w:spacing w:after="0"/>
              <w:rPr>
                <w:sz w:val="20"/>
                <w:szCs w:val="20"/>
                <w:color w:val="auto"/>
              </w:rPr>
            </w:pPr>
            <w:r>
              <w:rPr>
                <w:rFonts w:ascii="Times New Roman" w:cs="Times New Roman" w:eastAsia="Times New Roman" w:hAnsi="Times New Roman"/>
                <w:sz w:val="18"/>
                <w:szCs w:val="18"/>
                <w:color w:val="auto"/>
              </w:rPr>
              <w:t>(348,112)</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-5742940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-5742940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-5742940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-2167890</wp:posOffset>
            </wp:positionV>
            <wp:extent cx="17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-2167890</wp:posOffset>
            </wp:positionV>
            <wp:extent cx="154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-2167890</wp:posOffset>
            </wp:positionV>
            <wp:extent cx="43973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-2956560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-2956560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-2956560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-1508125</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-1508125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right="699" w:hanging="358"/>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$375.0 million aggregate principal amount of 1.90% fixed rate asset-backed notes due 2025 issued on October 13, 2020 by Affirm Asset Securitization Trust 2020-Z2.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Operating Metrics and Non-GAAP Financial Measures</w:t>
      </w:r>
    </w:p>
    <w:p>
      <w:pPr>
        <w:spacing w:after="0" w:line="162"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We collect and analyze operating and financial data of our business to assess our performance, formulate financial projections, and make strategic decisions. In addition to total revenues, net, operating loss, net loss, and other results under GAAP, the following table sets forth key operating metrics and non-GAAP financial measures we use to evaluate our business.</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Gross Merchandise Volume (GMV)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-171450</wp:posOffset>
            </wp:positionV>
            <wp:extent cx="52120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6" w:lineRule="auto"/>
        <w:rPr>
          <w:sz w:val="20"/>
          <w:szCs w:val="20"/>
          <w:color w:val="auto"/>
        </w:rPr>
      </w:pPr>
      <w:r>
        <w:rPr>
          <w:rFonts w:ascii="Times New Roman" w:cs="Times New Roman" w:eastAsia="Times New Roman" w:hAnsi="Times New Roman"/>
          <w:sz w:val="18"/>
          <w:szCs w:val="18"/>
          <w:color w:val="auto"/>
        </w:rPr>
        <w:t>Active Consumers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Times New Roman" w:cs="Times New Roman" w:eastAsia="Times New Roman" w:hAnsi="Times New Roman"/>
          <w:sz w:val="18"/>
          <w:szCs w:val="18"/>
          <w:color w:val="auto"/>
        </w:rPr>
        <w:t>Transactions per Active Consumer (x)</w:t>
      </w:r>
      <w:r>
        <w:rPr>
          <w:rFonts w:ascii="Times New Roman" w:cs="Times New Roman" w:eastAsia="Times New Roman" w:hAnsi="Times New Roman"/>
          <w:sz w:val="26"/>
          <w:szCs w:val="26"/>
          <w:color w:val="auto"/>
          <w:vertAlign w:val="superscript"/>
        </w:rPr>
        <w:t>(3)</w:t>
      </w:r>
    </w:p>
    <w:p>
      <w:pPr>
        <w:ind w:left="1260"/>
        <w:spacing w:after="0" w:line="217" w:lineRule="auto"/>
        <w:rPr>
          <w:sz w:val="20"/>
          <w:szCs w:val="20"/>
          <w:color w:val="auto"/>
        </w:rPr>
      </w:pPr>
      <w:r>
        <w:rPr>
          <w:rFonts w:ascii="Times New Roman" w:cs="Times New Roman" w:eastAsia="Times New Roman" w:hAnsi="Times New Roman"/>
          <w:sz w:val="18"/>
          <w:szCs w:val="18"/>
          <w:color w:val="auto"/>
        </w:rPr>
        <w:t>Contribution profit ($)</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Contribution profit as a percentage of GMV (%)</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118110</wp:posOffset>
            </wp:positionV>
            <wp:extent cx="1234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90"/>
        </w:trPr>
        <w:tc>
          <w:tcPr>
            <w:tcW w:w="560" w:type="dxa"/>
            <w:vAlign w:val="bottom"/>
          </w:tcPr>
          <w:p>
            <w:pPr>
              <w:spacing w:after="0"/>
              <w:rPr>
                <w:sz w:val="16"/>
                <w:szCs w:val="16"/>
                <w:color w:val="auto"/>
              </w:rPr>
            </w:pPr>
          </w:p>
        </w:tc>
        <w:tc>
          <w:tcPr>
            <w:tcW w:w="13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3"/>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consumer and percent data)</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2,620,059</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4,637,220</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861,306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1,475,929</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2,045</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3,618</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54,395</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160,862</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43,993</w:t>
            </w:r>
          </w:p>
        </w:tc>
      </w:tr>
      <w:tr>
        <w:trPr>
          <w:trHeight w:val="270"/>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30" w:lineRule="exact"/>
        <w:rPr>
          <w:sz w:val="20"/>
          <w:szCs w:val="20"/>
          <w:color w:val="auto"/>
        </w:rPr>
      </w:pPr>
    </w:p>
    <w:p>
      <w:pPr>
        <w:sectPr>
          <w:pgSz w:w="11900" w:h="16838" w:orient="portrait"/>
          <w:cols w:equalWidth="0" w:num="2">
            <w:col w:w="5260" w:space="720"/>
            <w:col w:w="4159"/>
          </w:cols>
          <w:pgMar w:left="320" w:top="114" w:right="1440" w:bottom="1440" w:gutter="0" w:footer="0" w:header="0"/>
        </w:sectPr>
      </w:pPr>
    </w:p>
    <w:p>
      <w:pPr>
        <w:spacing w:after="0" w:line="129" w:lineRule="exact"/>
        <w:rPr>
          <w:sz w:val="20"/>
          <w:szCs w:val="20"/>
          <w:color w:val="auto"/>
        </w:rPr>
      </w:pPr>
    </w:p>
    <w:p>
      <w:pPr>
        <w:ind w:left="1620" w:right="739" w:hanging="358"/>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GMV as the total dollar amount of all transactions on the Affirm platform during the period, net of refunds.</w:t>
      </w:r>
    </w:p>
    <w:p>
      <w:pPr>
        <w:spacing w:after="0" w:line="80" w:lineRule="exact"/>
        <w:rPr>
          <w:rFonts w:ascii="Times New Roman" w:cs="Times New Roman" w:eastAsia="Times New Roman" w:hAnsi="Times New Roman"/>
          <w:sz w:val="18"/>
          <w:szCs w:val="18"/>
          <w:color w:val="auto"/>
        </w:rPr>
      </w:pPr>
    </w:p>
    <w:p>
      <w:pPr>
        <w:ind w:left="1620" w:right="919" w:hanging="358"/>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an active consumer as a consumer who engages in at least one transaction on our platform during the 12 months prior to the measurement date.</w:t>
      </w:r>
    </w:p>
    <w:p>
      <w:pPr>
        <w:spacing w:after="0" w:line="94" w:lineRule="exact"/>
        <w:rPr>
          <w:rFonts w:ascii="Times New Roman" w:cs="Times New Roman" w:eastAsia="Times New Roman" w:hAnsi="Times New Roman"/>
          <w:sz w:val="18"/>
          <w:szCs w:val="18"/>
          <w:color w:val="auto"/>
        </w:rPr>
      </w:pPr>
    </w:p>
    <w:p>
      <w:pPr>
        <w:ind w:left="1620" w:right="1279" w:hanging="358"/>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transactions per active consumer as the average number of transactions that an active consumer has conducted on our platform during the 12 months prior to the measurement date.</w:t>
      </w:r>
    </w:p>
    <w:p>
      <w:pPr>
        <w:spacing w:after="0" w:line="80" w:lineRule="exact"/>
        <w:rPr>
          <w:rFonts w:ascii="Times New Roman" w:cs="Times New Roman" w:eastAsia="Times New Roman" w:hAnsi="Times New Roman"/>
          <w:sz w:val="18"/>
          <w:szCs w:val="18"/>
          <w:color w:val="auto"/>
        </w:rPr>
      </w:pPr>
    </w:p>
    <w:p>
      <w:pPr>
        <w:ind w:left="1620" w:right="779" w:hanging="358"/>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contribution profit as operating loss plus the following operating expenses that are not closely correlated to, or variable with, the generation of revenue in the period: (i) Technology and data analytics; (ii) Sales and marketing; and (iii) General and administrative expenses.</w:t>
      </w:r>
    </w:p>
    <w:p>
      <w:pPr>
        <w:spacing w:after="0" w:line="94" w:lineRule="exact"/>
        <w:rPr>
          <w:rFonts w:ascii="Times New Roman" w:cs="Times New Roman" w:eastAsia="Times New Roman" w:hAnsi="Times New Roman"/>
          <w:sz w:val="18"/>
          <w:szCs w:val="18"/>
          <w:color w:val="auto"/>
        </w:rPr>
      </w:pPr>
    </w:p>
    <w:p>
      <w:pPr>
        <w:ind w:left="1620" w:right="899" w:hanging="358"/>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contribution profit as a percentage of GMV as the contribution profit divided by the GMV for that period.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Contribution Profit</w:t>
      </w:r>
    </w:p>
    <w:p>
      <w:pPr>
        <w:spacing w:after="0" w:line="162"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Contribution profit is a non- GAAP financial measure that represents the unit economics of transactions facilitated by our platform in the period. We define contribution profit as operating loss plus the following operating expenses that are not closely correlated to, or variable with, the generation of revenue in the period: (i) Technology and data analytics; (ii) Sales and marketing; and (iii) General and administrative expenses.</w:t>
      </w:r>
    </w:p>
    <w:p>
      <w:pPr>
        <w:spacing w:after="0" w:line="326"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The above operating expenses added back to operating loss in the reconciliation to contribution profit represent costs of the design, development, improvement, maintenance, and administration of our platform and business as a whole. Such costs are generally fixed or are not closely correlated with revenues. We add back technology and data analytics expenses in the reconciliation to contribution profit because these primarily consist of personnel costs, including salaries and stock-based compensation, and expenses incurred to support our infrastructure, cloud hosting, and operational data inputs to refine our risk scoring model, and we believe these expenses do not represent an incremental unit of cost on a transaction processed on our platform.</w:t>
      </w:r>
    </w:p>
    <w:p>
      <w:pPr>
        <w:spacing w:after="0" w:line="30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The operating costs that are closely correlated to revenue-generating activities consist of our loss on loan purchase commitment, provision for credit losses, funding costs, and processing and servicing expenses as they vary with the volume of transactions processed on our platform and changes in the balance of loans held for investment on our consolidated balance sheet. Contribution profit as a percentage of GMV is calculated by dividing contribution profit by GMV.</w:t>
      </w:r>
    </w:p>
    <w:p>
      <w:pPr>
        <w:spacing w:after="0" w:line="117"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Our management uses contribution profit and contribution profit as a percentage of GMV in conjunction with financial measures prepared in accordance with GAAP as measures of our operating results, the effectiveness of our business strategy, and the health of our financial performance. When used in conjunction with other GAAP metrics, contribution profit can serve as a useful measure of the economic impact of each dollar of GMV we facilitate on our platform as it takes into account the revenue and direct expenses associated with generating and servicing transactions on our platform. When taken together, the revenues and expenses in our contribution profit metric provide evaluations, among others, of the merchant network demand for our services, the asset quality of transactions originated on our platform and our ability to efficiently service our consumers.</w:t>
      </w:r>
    </w:p>
    <w:p>
      <w:pPr>
        <w:sectPr>
          <w:pgSz w:w="11900" w:h="16838" w:orient="portrait"/>
          <w:cols w:equalWidth="0" w:num="1">
            <w:col w:w="10139"/>
          </w:cols>
          <w:pgMar w:left="320" w:top="114" w:right="1440" w:bottom="1440" w:gutter="0" w:footer="0" w:header="0"/>
          <w:type w:val="continuous"/>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60" w:firstLine="360"/>
        <w:spacing w:after="0" w:line="261" w:lineRule="auto"/>
        <w:rPr>
          <w:sz w:val="20"/>
          <w:szCs w:val="20"/>
          <w:color w:val="auto"/>
        </w:rPr>
      </w:pPr>
      <w:r>
        <w:rPr>
          <w:rFonts w:ascii="Times New Roman" w:cs="Times New Roman" w:eastAsia="Times New Roman" w:hAnsi="Times New Roman"/>
          <w:sz w:val="18"/>
          <w:szCs w:val="18"/>
          <w:color w:val="auto"/>
        </w:rPr>
        <w:t>However, non-GAAP financial information is presented for supplemental informational purposes only, and our use of contribution profit and contribution profit as a percentage of GMV have limitations as analytical tools. Investors should not consider these non-GAAP measures in isolation or as substitutes for analysis of our financial results as reported under GAAP. Some of these limitations are as follows:</w:t>
      </w:r>
    </w:p>
    <w:p>
      <w:pPr>
        <w:spacing w:after="0" w:line="72" w:lineRule="exact"/>
        <w:rPr>
          <w:sz w:val="20"/>
          <w:szCs w:val="20"/>
          <w:color w:val="auto"/>
        </w:rPr>
      </w:pPr>
    </w:p>
    <w:p>
      <w:pPr>
        <w:jc w:val="both"/>
        <w:ind w:left="1800" w:right="1720" w:hanging="178"/>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profit is not intended to be a measure of operating profit or loss as it excludes key operating expenses such as technology and data analytics, sales and marketing, and general and administrative expenses; and</w:t>
      </w:r>
    </w:p>
    <w:p>
      <w:pPr>
        <w:spacing w:after="0" w:line="67" w:lineRule="exact"/>
        <w:rPr>
          <w:rFonts w:ascii="Times New Roman" w:cs="Times New Roman" w:eastAsia="Times New Roman" w:hAnsi="Times New Roman"/>
          <w:sz w:val="18"/>
          <w:szCs w:val="18"/>
          <w:color w:val="auto"/>
        </w:rPr>
      </w:pPr>
    </w:p>
    <w:p>
      <w:pPr>
        <w:ind w:left="1800" w:right="1440" w:hanging="178"/>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contribution profit differently from how we calculate this measure or not at all, which reduces its usefulness as a comparative measure.</w:t>
      </w:r>
    </w:p>
    <w:p>
      <w:pPr>
        <w:spacing w:after="0" w:line="95" w:lineRule="exact"/>
        <w:rPr>
          <w:sz w:val="20"/>
          <w:szCs w:val="20"/>
          <w:color w:val="auto"/>
        </w:rPr>
      </w:pPr>
    </w:p>
    <w:p>
      <w:pPr>
        <w:ind w:left="1260" w:right="1300" w:firstLine="360"/>
        <w:spacing w:after="0" w:line="258" w:lineRule="auto"/>
        <w:rPr>
          <w:sz w:val="20"/>
          <w:szCs w:val="20"/>
          <w:color w:val="auto"/>
        </w:rPr>
      </w:pPr>
      <w:r>
        <w:rPr>
          <w:rFonts w:ascii="Times New Roman" w:cs="Times New Roman" w:eastAsia="Times New Roman" w:hAnsi="Times New Roman"/>
          <w:sz w:val="18"/>
          <w:szCs w:val="18"/>
          <w:color w:val="auto"/>
        </w:rPr>
        <w:t>Because of these limitations, contribution profit and contribution profit as a percentage of GMV should be considered along with other operating and financial performance measures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16" w:lineRule="exact"/>
        <w:rPr>
          <w:sz w:val="20"/>
          <w:szCs w:val="20"/>
          <w:color w:val="auto"/>
        </w:rPr>
      </w:pPr>
    </w:p>
    <w:p>
      <w:pPr>
        <w:ind w:left="1260" w:right="16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operating loss to contribution profit for each of the periods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19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8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1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1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0"/>
        </w:trPr>
        <w:tc>
          <w:tcPr>
            <w:tcW w:w="1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57"/>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(127,441)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(107,790)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140" w:type="dxa"/>
            <w:vAlign w:val="bottom"/>
          </w:tcPr>
          <w:p>
            <w:pPr>
              <w:spacing w:after="0"/>
              <w:rPr>
                <w:sz w:val="22"/>
                <w:szCs w:val="22"/>
                <w:color w:val="auto"/>
              </w:rPr>
            </w:pPr>
          </w:p>
        </w:tc>
      </w:tr>
      <w:tr>
        <w:trPr>
          <w:trHeight w:val="256"/>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back: Technology and data analytics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140" w:type="dxa"/>
            <w:vAlign w:val="bottom"/>
          </w:tcPr>
          <w:p>
            <w:pPr>
              <w:spacing w:after="0"/>
              <w:rPr>
                <w:sz w:val="22"/>
                <w:szCs w:val="22"/>
                <w:color w:val="auto"/>
              </w:rPr>
            </w:pPr>
          </w:p>
        </w:tc>
      </w:tr>
      <w:tr>
        <w:trPr>
          <w:trHeight w:val="256"/>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Sales and marketing</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40" w:type="dxa"/>
            <w:vAlign w:val="bottom"/>
          </w:tcPr>
          <w:p>
            <w:pPr>
              <w:spacing w:after="0"/>
              <w:rPr>
                <w:sz w:val="22"/>
                <w:szCs w:val="22"/>
                <w:color w:val="auto"/>
              </w:rPr>
            </w:pPr>
          </w:p>
        </w:tc>
      </w:tr>
      <w:tr>
        <w:trPr>
          <w:trHeight w:val="263"/>
        </w:trPr>
        <w:tc>
          <w:tcPr>
            <w:tcW w:w="4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Add back: General and administrative</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140" w:type="dxa"/>
            <w:vAlign w:val="bottom"/>
          </w:tcPr>
          <w:p>
            <w:pPr>
              <w:spacing w:after="0"/>
              <w:rPr>
                <w:sz w:val="22"/>
                <w:szCs w:val="22"/>
                <w:color w:val="auto"/>
              </w:rPr>
            </w:pPr>
          </w:p>
        </w:tc>
      </w:tr>
      <w:tr>
        <w:trPr>
          <w:trHeight w:val="284"/>
        </w:trPr>
        <w:tc>
          <w:tcPr>
            <w:tcW w:w="4140" w:type="dxa"/>
            <w:vAlign w:val="bottom"/>
            <w:tcBorders>
              <w:bottom w:val="single" w:sz="8" w:color="CCEEFF"/>
            </w:tcBorders>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54,395</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43,993</w:t>
            </w:r>
          </w:p>
        </w:tc>
        <w:tc>
          <w:tcPr>
            <w:tcW w:w="140" w:type="dxa"/>
            <w:vAlign w:val="bottom"/>
          </w:tcPr>
          <w:p>
            <w:pPr>
              <w:spacing w:after="0"/>
              <w:rPr>
                <w:sz w:val="24"/>
                <w:szCs w:val="24"/>
                <w:color w:val="auto"/>
              </w:rPr>
            </w:pPr>
          </w:p>
        </w:tc>
      </w:tr>
      <w:tr>
        <w:trPr>
          <w:trHeight w:val="257"/>
        </w:trPr>
        <w:tc>
          <w:tcPr>
            <w:tcW w:w="41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GMV</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2,620,059</w:t>
            </w:r>
          </w:p>
        </w:tc>
        <w:tc>
          <w:tcPr>
            <w:tcW w:w="2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4,637,220</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861,306</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1,475,929</w:t>
            </w:r>
          </w:p>
        </w:tc>
        <w:tc>
          <w:tcPr>
            <w:tcW w:w="140" w:type="dxa"/>
            <w:vAlign w:val="bottom"/>
          </w:tcPr>
          <w:p>
            <w:pPr>
              <w:spacing w:after="0"/>
              <w:rPr>
                <w:sz w:val="22"/>
                <w:szCs w:val="22"/>
                <w:color w:val="auto"/>
              </w:rPr>
            </w:pPr>
          </w:p>
        </w:tc>
      </w:tr>
      <w:tr>
        <w:trPr>
          <w:trHeight w:val="263"/>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profit as a percentage of GMV</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08"/>
        </w:trPr>
        <w:tc>
          <w:tcPr>
            <w:tcW w:w="1940" w:type="dxa"/>
            <w:vAlign w:val="bottom"/>
            <w:tcBorders>
              <w:top w:val="single" w:sz="8" w:color="CCEEFF"/>
              <w:bottom w:val="single" w:sz="8" w:color="auto"/>
            </w:tcBorders>
          </w:tcPr>
          <w:p>
            <w:pPr>
              <w:spacing w:after="0"/>
              <w:rPr>
                <w:sz w:val="9"/>
                <w:szCs w:val="9"/>
                <w:color w:val="auto"/>
              </w:rPr>
            </w:pPr>
          </w:p>
        </w:tc>
        <w:tc>
          <w:tcPr>
            <w:tcW w:w="220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-265430</wp:posOffset>
            </wp:positionV>
            <wp:extent cx="521208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-633730</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-633730</wp:posOffset>
            </wp:positionV>
            <wp:extent cx="1460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-633730</wp:posOffset>
            </wp:positionV>
            <wp:extent cx="3437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-1448435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-1448435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-1448435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1260" w:hanging="358"/>
        <w:spacing w:after="0" w:line="25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profit does not include adjustments related to: (i) the amortization of discount, which is recorded within Interest income in the Consolidated Statements of Operations and Comprehensive Loss; or (ii) the unamortized discount released on loans sold to third party loan buyers, which is released in full at the time of sale and recorded within Gain (loss) on sales of loans in the Consolidated Statements of Operations and Comprehensive Loss. The following table details activity for the discount included in loans held for investment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0" w:type="dxa"/>
            <w:vAlign w:val="bottom"/>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0" w:type="dxa"/>
            <w:vAlign w:val="bottom"/>
            <w:gridSpan w:val="4"/>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$ 13,068</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$ 28,659</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Additions from loans purchased, net of refunds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157,426</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10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(21,833)</w:t>
            </w: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(35,251)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(41,000)</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(106,584)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(12,682)</w:t>
            </w:r>
          </w:p>
        </w:tc>
        <w:tc>
          <w:tcPr>
            <w:tcW w:w="19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(15,997)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$ 13,187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$ 56,035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-899160</wp:posOffset>
            </wp:positionV>
            <wp:extent cx="1454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-899160</wp:posOffset>
            </wp:positionV>
            <wp:extent cx="42259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-1713865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-1713865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-1713865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92" w:name="page93"/>
    <w:bookmarkEnd w:id="9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included elsewhere in this prospectus.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 are to Cross River Bank.</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We are building the next generation platform for digital and mobile-first commerce. We believe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16"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Our point-of-sale solution allows consumers to pay for purchases in fixed amounts without deferred interest, hidden fees, or penalties. We empower consumers to pay over time rather than paying for a product entirely upfront. This increases consumers’ purchasing power and gives them more control and flexibility. Our platform facilitates both true 0% APR payment options and interest bearing loans. On the merchant side, we offer commerce solutions that are highly effective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marketing strategies. Finally, our consumer-focused app unlocks the full suite of Affirm products for a delightful end-to-end consumer experience. Consumers can use our app to manage payments, open a high-yield savings account, and access a personalized marketplace.</w:t>
      </w:r>
    </w:p>
    <w:p>
      <w:pPr>
        <w:spacing w:after="0" w:line="111" w:lineRule="exact"/>
        <w:rPr>
          <w:sz w:val="20"/>
          <w:szCs w:val="20"/>
          <w:color w:val="auto"/>
        </w:rPr>
      </w:pPr>
    </w:p>
    <w:p>
      <w:pPr>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12"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getting to risk scoring and pricing faster, more efficiently, and with a higher degree of confidence. We also prioritize building our own technology and investing in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27" w:lineRule="exact"/>
        <w:rPr>
          <w:sz w:val="20"/>
          <w:szCs w:val="20"/>
          <w:color w:val="auto"/>
        </w:rPr>
      </w:pPr>
    </w:p>
    <w:p>
      <w:pPr>
        <w:ind w:left="1260" w:right="819" w:firstLine="360"/>
        <w:spacing w:after="0" w:line="259" w:lineRule="auto"/>
        <w:rPr>
          <w:sz w:val="20"/>
          <w:szCs w:val="20"/>
          <w:color w:val="auto"/>
        </w:rPr>
      </w:pPr>
      <w:r>
        <w:rPr>
          <w:rFonts w:ascii="Times New Roman" w:cs="Times New Roman" w:eastAsia="Times New Roman" w:hAnsi="Times New Roman"/>
          <w:sz w:val="18"/>
          <w:szCs w:val="18"/>
          <w:color w:val="auto"/>
        </w:rPr>
        <w:t>We have achieved significant growth in recent periods. For the fiscal years ended June 30, 2019 and 2020, our total revenues, net were approximately $264.4 million and $509.5 million, respectively, representing year-over-year growth of approximately 93%. We incurred net losses of $120.5 million and $112.6 million for the fiscal years ended June 30, 2019 and 2020, respectively. For the three months ended September 30, 2019</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3" w:name="page94"/>
    <w:bookmarkEnd w:id="9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50" w:lineRule="auto"/>
        <w:rPr>
          <w:sz w:val="20"/>
          <w:szCs w:val="20"/>
          <w:color w:val="auto"/>
        </w:rPr>
      </w:pPr>
      <w:r>
        <w:rPr>
          <w:rFonts w:ascii="Times New Roman" w:cs="Times New Roman" w:eastAsia="Times New Roman" w:hAnsi="Times New Roman"/>
          <w:sz w:val="18"/>
          <w:szCs w:val="18"/>
          <w:color w:val="auto"/>
        </w:rPr>
        <w:t>and 2020, our total revenues, net were approximately $87.9 million and $174.0 million, respectively. We incurred net losses of $30.8 million and $15.3 million for the three months ended September 30, 2019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80645</wp:posOffset>
            </wp:positionV>
            <wp:extent cx="5083175" cy="42005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83175"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combination of our differentiated product offering, efficient go-to-market strategy, and strong monetization engine has resulted in fast growth and compelling contribution profit.</w:t>
      </w:r>
    </w:p>
    <w:p>
      <w:pPr>
        <w:spacing w:after="0" w:line="37" w:lineRule="exact"/>
        <w:rPr>
          <w:sz w:val="20"/>
          <w:szCs w:val="20"/>
          <w:color w:val="auto"/>
        </w:rPr>
      </w:pPr>
    </w:p>
    <w:p>
      <w:pPr>
        <w:ind w:left="1800" w:right="759" w:hanging="178"/>
        <w:spacing w:after="0" w:line="259"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 GMV growth. </w:t>
      </w:r>
      <w:r>
        <w:rPr>
          <w:rFonts w:ascii="Times New Roman" w:cs="Times New Roman" w:eastAsia="Times New Roman" w:hAnsi="Times New Roman"/>
          <w:sz w:val="18"/>
          <w:szCs w:val="18"/>
          <w:color w:val="auto"/>
        </w:rPr>
        <w:t>With limited marketing investment to date, we have grown our GMV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77% year-over-year from fiscal year ended June 30, 2019, and 626% since fiscal year ended June 30, 2017, to $4.6 billion as of June 30, 2020. During the three months ended September 30, 2020, GMV was $1.5 billion, which represented 71% growth over the three months ended September 30, 2019.</w:t>
      </w:r>
    </w:p>
    <w:p>
      <w:pPr>
        <w:spacing w:after="0" w:line="30" w:lineRule="exact"/>
        <w:rPr>
          <w:rFonts w:ascii="Times New Roman" w:cs="Times New Roman" w:eastAsia="Times New Roman" w:hAnsi="Times New Roman"/>
          <w:sz w:val="18"/>
          <w:szCs w:val="18"/>
          <w:color w:val="auto"/>
        </w:rPr>
      </w:pPr>
    </w:p>
    <w:p>
      <w:pPr>
        <w:ind w:left="1800" w:right="1019" w:hanging="178"/>
        <w:spacing w:after="0" w:line="259"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consumer engagement. </w:t>
      </w:r>
      <w:r>
        <w:rPr>
          <w:rFonts w:ascii="Times New Roman" w:cs="Times New Roman" w:eastAsia="Times New Roman" w:hAnsi="Times New Roman"/>
          <w:sz w:val="18"/>
          <w:szCs w:val="18"/>
          <w:color w:val="auto"/>
        </w:rPr>
        <w:t>The number of active consumers on our platform grew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77% year-over-year from fiscal year ended June 30, 2019 to the fiscal year ended June 30, 2020, while the number of transactions per active consumer has increased for each year since fiscal year ended June 30, 2017. During the three months ended September 30, 2020, the number of active consumers grew 63% compared to the three months ended September 30, 2019.</w:t>
      </w:r>
    </w:p>
    <w:p>
      <w:pPr>
        <w:spacing w:after="0" w:line="30" w:lineRule="exact"/>
        <w:rPr>
          <w:rFonts w:ascii="Times New Roman" w:cs="Times New Roman" w:eastAsia="Times New Roman" w:hAnsi="Times New Roman"/>
          <w:sz w:val="18"/>
          <w:szCs w:val="18"/>
          <w:color w:val="auto"/>
        </w:rPr>
      </w:pPr>
    </w:p>
    <w:p>
      <w:pPr>
        <w:ind w:left="1800" w:right="699" w:hanging="178"/>
        <w:spacing w:after="0" w:line="259"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repeat purchases. </w:t>
      </w:r>
      <w:r>
        <w:rPr>
          <w:rFonts w:ascii="Times New Roman" w:cs="Times New Roman" w:eastAsia="Times New Roman" w:hAnsi="Times New Roman"/>
          <w:sz w:val="18"/>
          <w:szCs w:val="18"/>
          <w:color w:val="auto"/>
        </w:rPr>
        <w:t>Across all monthly cohorts since July 2016, newly acquired consumers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make two transactions within their first 12 months. On certain products characterized by low AOV, across all monthly cohorts since July 2016, consumers who are repeat purchasers after</w:t>
      </w:r>
    </w:p>
    <w:p>
      <w:pPr>
        <w:ind w:left="1800" w:right="6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have on average made over 10 purchases within their first year. In addition, when examining the most recent consumer cohort to complete 12 months on our platform for which we have data available as of the date of this prospectus (i.e., the October 2019 cohort), after making their first transaction, repeat consumers spent an additional $2,200 on average on our platform within the next 12 months.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right="759" w:hanging="178"/>
        <w:spacing w:after="0" w:line="268"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Expanded merchant network. </w:t>
      </w:r>
      <w:r>
        <w:rPr>
          <w:rFonts w:ascii="Times New Roman" w:cs="Times New Roman" w:eastAsia="Times New Roman" w:hAnsi="Times New Roman"/>
          <w:sz w:val="18"/>
          <w:szCs w:val="18"/>
          <w:color w:val="auto"/>
        </w:rPr>
        <w:t>We have also continued to scale the breadth and reach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30, 2019 to June 30, 2020, our merchant base expanded by 84%. As of September 30, 2020, our merchant base increased an additional 15% from June 30, 2020.</w:t>
      </w:r>
    </w:p>
    <w:p>
      <w:pPr>
        <w:spacing w:after="0" w:line="62" w:lineRule="exact"/>
        <w:rPr>
          <w:rFonts w:ascii="Times New Roman" w:cs="Times New Roman" w:eastAsia="Times New Roman" w:hAnsi="Times New Roman"/>
          <w:sz w:val="18"/>
          <w:szCs w:val="18"/>
          <w:color w:val="auto"/>
        </w:rPr>
      </w:pPr>
    </w:p>
    <w:p>
      <w:pPr>
        <w:jc w:val="both"/>
        <w:ind w:left="1800" w:right="1039" w:hanging="178"/>
        <w:spacing w:after="0" w:line="26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Impressive dollar-based merchant retention. </w:t>
      </w:r>
      <w:r>
        <w:rPr>
          <w:rFonts w:ascii="Times New Roman" w:cs="Times New Roman" w:eastAsia="Times New Roman" w:hAnsi="Times New Roman"/>
          <w:sz w:val="18"/>
          <w:szCs w:val="18"/>
          <w:color w:val="auto"/>
        </w:rPr>
        <w:t>Our dollar-based merchant retention has consistently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exceeded 100% for each cohort of merchants that joined the Affirm platform since 2016. Dollar-based merchant retention represents the GMV generated by a cohort of merchants during a given year, relative to the GMV generated in the prior year, by the same cohort of merchants.</w:t>
      </w:r>
    </w:p>
    <w:p>
      <w:pPr>
        <w:spacing w:after="0" w:line="68" w:lineRule="exact"/>
        <w:rPr>
          <w:rFonts w:ascii="Times New Roman" w:cs="Times New Roman" w:eastAsia="Times New Roman" w:hAnsi="Times New Roman"/>
          <w:sz w:val="18"/>
          <w:szCs w:val="18"/>
          <w:color w:val="auto"/>
        </w:rPr>
      </w:pPr>
    </w:p>
    <w:p>
      <w:pPr>
        <w:ind w:left="1800" w:right="939" w:hanging="178"/>
        <w:spacing w:after="0" w:line="263"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Compelling contribution profit. </w:t>
      </w:r>
      <w:r>
        <w:rPr>
          <w:rFonts w:ascii="Times New Roman" w:cs="Times New Roman" w:eastAsia="Times New Roman" w:hAnsi="Times New Roman"/>
          <w:sz w:val="18"/>
          <w:szCs w:val="18"/>
          <w:color w:val="auto"/>
        </w:rPr>
        <w:t>Our platform has demonstrated increasingly attractive contribution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 From fiscal years ended June 30, 2019 to June 30, 2020, our contribution profit as</w:t>
      </w:r>
    </w:p>
    <w:p>
      <w:pPr>
        <w:jc w:val="both"/>
        <w:ind w:left="1800" w:right="6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GMV grew from 2.1% to 3.5%. For the three months ended September 30, 2020, our contribution profit as a percentage of GMV grew from 2.9% to 3.0% compared with the three months ended September 30, 2019.</w:t>
      </w:r>
    </w:p>
    <w:p>
      <w:pPr>
        <w:spacing w:after="0" w:line="11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Our business was designed to scale efficiently. Our low consumer acquisition costs and partnerships with banks and other funding relationships have allowed us to remain equity capital efficient. Since July 1, 2016, we have processed approximately $10.7 billion of GMV on our platform. As of June 30, 2020, we had over $3.3 billion in funding capacity from a diverse set of capital partners, including through our warehouse facilities and forward flow agreements. As of September 30, 2020, this funding capacity increased to over $4.2 billion with the introduction of our securitization trusts as well as increases in capacity for some of our existing warehouse facilities.</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Through the diversity of these funding relationships, the equity capital required to build our total platform portfolio has declined from approximately 15% of the total platform portfolio as of June 30, 2018, to approximately 9% as of June 30, 2020, to approximately 8% as of September 30, 2020. We define our total platform portfolio as the unpaid principal balance outstanding of all loans facilitated through our platform as of the balance sheet date, including both those loans held for investment and those loans owned by third-parties. This amount totaled $1.4 billion, $2.5 billion, and $2.9 billion as of June 30, 2019, June 30, 2020, and September 30, 2020, respectively. Additionally, we define the equity capital required as the balance of loans held for investment plus loans held for sale less funding debt, per our consolidated balance sheet numbers for equity capital. This amount totaled $169.6 million, $220.4 million, and $200.4 million as of June 30, 2019, June 30, 2020, and September 30, 2020, respectively. Additionally, equity capital required as a percent of total annual GMV was less than 5% for the fiscal year ended June 30, 2020 as well as for the twelve months ended September 30, 2020.</w:t>
      </w:r>
    </w:p>
    <w:p>
      <w:pPr>
        <w:spacing w:after="0" w:line="12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We have focused on growing our platform and plan to continue making investments to drive future growth. We believe that our continued success will depend on many factors, including our ability to expand our consumer and merchant base, help our merchants grow their revenue on our platform, and develop new innovative solutions to establish the ubiquity of our network and breadth of our platform. We expect to use the proceeds from this offering to fund these and other growth strategies.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6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From merchants, we earn a fee when we help them convert a sale and power a payment. While merchant fees depend on the individual arrangement between us and each merchant and vary based on the terms of the product offering, we generally earn larger merchant fees on 0% APR financing products. For the fiscal year ended June 30, 2020 and for the three months ended September 30, 2020, 0% APR financing represented 43% and 46%, respectively, of total GMV facilitated through our platform. Through the commerce and technology solution offering by our platform, this structure incentivizes us to help our merchants convert sales and increase AOV.</w:t>
      </w:r>
    </w:p>
    <w:p>
      <w:pPr>
        <w:spacing w:after="0" w:line="10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59"/>
        <w:spacing w:after="0" w:line="282" w:lineRule="auto"/>
        <w:rPr>
          <w:sz w:val="20"/>
          <w:szCs w:val="20"/>
          <w:color w:val="auto"/>
        </w:rPr>
      </w:pPr>
      <w:r>
        <w:rPr>
          <w:rFonts w:ascii="Times New Roman" w:cs="Times New Roman" w:eastAsia="Times New Roman" w:hAnsi="Times New Roman"/>
          <w:sz w:val="18"/>
          <w:szCs w:val="18"/>
          <w:color w:val="auto"/>
        </w:rPr>
        <w:t>compounding interest, late fees, or penalties on the loans, we are not incentivized to profit from our consumers’ hardships.</w:t>
      </w:r>
    </w:p>
    <w:p>
      <w:pPr>
        <w:spacing w:after="0" w:line="81"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their preferred repayment option. The substantial majority of these loans are funded and issued by our originating bank partners.</w:t>
      </w:r>
    </w:p>
    <w:p>
      <w:pPr>
        <w:spacing w:after="0" w:line="108"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substantial majority of the loans facilitated through our platform are originated through one originating bank partner, Cross River Bank, an FDIC-insured New Jersey state chartered bank. Our partnership with Cross River Bank allows us to benefit from Cross River Bank’s ability to originate loans under its banking licenses while complying with various federal, state, and other laws. Under this arrangement, we must comply with Cross River Bank’s credit policies and underwriting procedures, and Cross River Bank maintains ultimate authority to decide whether to originate a loan. When Cross River Bank originates a loan, it funds the loan out of its own funds and may subsequently offer and sell the loan to us. Pursuant to our agreements with Cross River Bank, we are obligated to purchase the loans originated through our platform that Cross River Bank offers us and our obligation is secured by cash deposits. To date, we have purchased all of the loans facilitated through our platform and originated by our originating bank partner. When we purchase a loan from Cross River Bank, the purchase price is equal to the outstanding principal balance of the loan, plus a fee and any accrued interest. Cross River Bank also retains an interest in the loans purchased by us through a loan performance fee that is payable on the aggregate principal amount of a loan that is paid by a consumer. While we recently entered into an origination program agreement with Celtic Bank, a Utah state-chartered industrial bank whose deposits are insured by the FDIC, Celtic Bank has originated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loans facilitated through our platform which are not reflected in our financial results for the periods presented in this prospectus, and Celtic Bank is not yet able to provide meaningful originating bank partner services.</w:t>
      </w:r>
    </w:p>
    <w:p>
      <w:pPr>
        <w:spacing w:after="0" w:line="32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and across various states in the U.S. We started originating loans directly in Canada in October 2019 and, through September 30, 2020, we had originated $36.0 million of loans in Canada. As of September 30, 2020, we had directly originated less than $0.1 million of loans in the U.S. pursuant to our state licenses. Under the self-origination model, we are able to improve our transaction economics.</w:t>
      </w:r>
    </w:p>
    <w:p>
      <w:pPr>
        <w:spacing w:after="0" w:line="116"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6" w:name="page97"/>
    <w:bookmarkEnd w:id="9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47663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92065"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Our Funding Sources</w:t>
      </w:r>
    </w:p>
    <w:p>
      <w:pPr>
        <w:spacing w:after="0" w:line="16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utilize warehouse facilities (such as banks and other financial institutions)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Operating Metrics and Non-GAAP Financial Measures</w:t>
      </w:r>
    </w:p>
    <w:p>
      <w:pPr>
        <w:spacing w:after="0" w:line="16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We collect and analyze operating and financial data of our business to assess our performance, formulate financial projections, and make strategic decisions. In addition to revenue, net (loss) income, and other results under generally accepted accounting principles (“GAAP”), the following table sets forth key operating metrics and non-GAAP financial measures we use to evaluate our business.</w:t>
      </w: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7" w:name="page98"/>
    <w:bookmarkEnd w:id="9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Merchandise Volume (GMV)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-144780</wp:posOffset>
            </wp:positionV>
            <wp:extent cx="474916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Active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26035</wp:posOffset>
            </wp:positionV>
            <wp:extent cx="474916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Transactions per Active Consumer (x)</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Loss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26035</wp:posOffset>
            </wp:positionV>
            <wp:extent cx="474916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Contribution profit ($)</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Contribution profit as a percentage of GMV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90"/>
        </w:trPr>
        <w:tc>
          <w:tcPr>
            <w:tcW w:w="560" w:type="dxa"/>
            <w:vAlign w:val="bottom"/>
          </w:tcPr>
          <w:p>
            <w:pPr>
              <w:spacing w:after="0"/>
              <w:rPr>
                <w:sz w:val="16"/>
                <w:szCs w:val="16"/>
                <w:color w:val="auto"/>
              </w:rPr>
            </w:pPr>
          </w:p>
        </w:tc>
        <w:tc>
          <w:tcPr>
            <w:tcW w:w="13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3"/>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2117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consumer and percent data)</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2,620,059</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4,637,220</w:t>
            </w:r>
          </w:p>
        </w:tc>
        <w:tc>
          <w:tcPr>
            <w:tcW w:w="2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861,306</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1,475,929</w:t>
            </w:r>
          </w:p>
        </w:tc>
        <w:tc>
          <w:tcPr>
            <w:tcW w:w="60" w:type="dxa"/>
            <w:vAlign w:val="bottom"/>
          </w:tcPr>
          <w:p>
            <w:pPr>
              <w:spacing w:after="0"/>
              <w:rPr>
                <w:sz w:val="20"/>
                <w:szCs w:val="20"/>
                <w:color w:val="auto"/>
              </w:rPr>
            </w:pPr>
          </w:p>
        </w:tc>
      </w:tr>
      <w:tr>
        <w:trPr>
          <w:trHeight w:val="263"/>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60" w:type="dxa"/>
            <w:vAlign w:val="bottom"/>
          </w:tcPr>
          <w:p>
            <w:pPr>
              <w:spacing w:after="0"/>
              <w:rPr>
                <w:sz w:val="22"/>
                <w:szCs w:val="22"/>
                <w:color w:val="auto"/>
              </w:rPr>
            </w:pPr>
          </w:p>
        </w:tc>
      </w:tr>
      <w:tr>
        <w:trPr>
          <w:trHeight w:val="263"/>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2"/>
                <w:szCs w:val="22"/>
                <w:color w:val="auto"/>
              </w:rPr>
            </w:pPr>
          </w:p>
        </w:tc>
      </w:tr>
      <w:tr>
        <w:trPr>
          <w:trHeight w:val="264"/>
        </w:trPr>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(127,441)</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(107,790)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(32,972)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(44,623)</w:t>
            </w:r>
          </w:p>
        </w:tc>
      </w:tr>
      <w:tr>
        <w:trPr>
          <w:trHeight w:val="263"/>
        </w:trPr>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54,395</w:t>
            </w:r>
          </w:p>
        </w:tc>
        <w:tc>
          <w:tcPr>
            <w:tcW w:w="24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160,862</w:t>
            </w:r>
          </w:p>
        </w:tc>
        <w:tc>
          <w:tcPr>
            <w:tcW w:w="24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24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43,993</w:t>
            </w:r>
          </w:p>
        </w:tc>
        <w:tc>
          <w:tcPr>
            <w:tcW w:w="60" w:type="dxa"/>
            <w:vAlign w:val="bottom"/>
          </w:tcPr>
          <w:p>
            <w:pPr>
              <w:spacing w:after="0"/>
              <w:rPr>
                <w:sz w:val="22"/>
                <w:szCs w:val="22"/>
                <w:color w:val="auto"/>
              </w:rPr>
            </w:pPr>
          </w:p>
        </w:tc>
      </w:tr>
      <w:tr>
        <w:trPr>
          <w:trHeight w:val="263"/>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2">
            <w:col w:w="5260" w:space="360"/>
            <w:col w:w="4519"/>
          </w:cols>
          <w:pgMar w:left="320" w:top="114" w:right="1440" w:bottom="1440" w:gutter="0" w:footer="0" w:header="0"/>
          <w:type w:val="continuous"/>
        </w:sectPr>
      </w:pP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GMV</w:t>
      </w:r>
    </w:p>
    <w:p>
      <w:pPr>
        <w:spacing w:after="0" w:line="160"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fiscal year ended June 30, 2020, GMV was $4.6 billion, which represented an increase of approximately 77% as compared to $2.6 billion for the fiscal year ended June 30, 2019. For the three months ended September 30, 2020, GMV was $1.5 billion, which represented an increase of approximately 71% as compared to $0.9 billion for the three months ended September 30, 2019.</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Active Consumers</w:t>
      </w:r>
    </w:p>
    <w:p>
      <w:pPr>
        <w:spacing w:after="0" w:line="160"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June 30, 2020, we had 3.6 million active consumers, representing an increase of approximately 77% as compared to June 30, 2019. As of September 30, 2020, we had 3.9 million active consumers, representing an increase of approximately 63% as compared to September 30, 2019.</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Transactions per Active Consumer</w:t>
      </w:r>
    </w:p>
    <w:p>
      <w:pPr>
        <w:spacing w:after="0" w:line="146"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w:t>
      </w:r>
    </w:p>
    <w:p>
      <w:pPr>
        <w:spacing w:after="0" w:line="1" w:lineRule="exact"/>
        <w:rPr>
          <w:sz w:val="20"/>
          <w:szCs w:val="20"/>
          <w:color w:val="auto"/>
        </w:rPr>
      </w:pPr>
    </w:p>
    <w:p>
      <w:pPr>
        <w:jc w:val="both"/>
        <w:ind w:left="1260" w:right="799"/>
        <w:spacing w:after="0" w:line="253" w:lineRule="auto"/>
        <w:rPr>
          <w:sz w:val="20"/>
          <w:szCs w:val="20"/>
          <w:color w:val="auto"/>
        </w:rPr>
      </w:pPr>
      <w:r>
        <w:rPr>
          <w:rFonts w:ascii="Times New Roman" w:cs="Times New Roman" w:eastAsia="Times New Roman" w:hAnsi="Times New Roman"/>
          <w:sz w:val="18"/>
          <w:szCs w:val="18"/>
          <w:color w:val="auto"/>
        </w:rPr>
        <w:t>12 months prior to the measurement date. As of June 30, 2020, we had approximately 2.1 transactions per active consumer, representing an increase of 5% as compared to June 30, 2019. As of September 30, 2020, we had approximately 2.2 transactions per active consumer, representing an increase of 8% as compared to September 30, 2019.</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160" w:lineRule="exact"/>
        <w:rPr>
          <w:sz w:val="20"/>
          <w:szCs w:val="20"/>
          <w:color w:val="auto"/>
        </w:rPr>
      </w:pPr>
    </w:p>
    <w:p>
      <w:pPr>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For the fiscal years ended June 30, 2019 and 2020, operating loss was approximately $127.4 million and $107.8 million, respectively. This represented a decrease of approximately 15%, driven primarily by significant revenue growth and lower growth in almost all operating expenses, especially provision for credit losses and general and administrative expenses.</w:t>
      </w:r>
    </w:p>
    <w:p>
      <w:pPr>
        <w:spacing w:after="0" w:line="11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2019 and 2020, operating loss was approximately $33.0 million and $44.6 million, respectively, representing an increase of approximately 35%. As a percentage of revenues, operating loss decreased from 37% to 26%, respectively. The increase in operating loss was primarily driven by an increase in sales and marketing costs due to amortization expense of $14.3 million associated with our Shopify Inc. commercial agreement asset. Excluding the effects of this amortization, operating expenses grew 69% while revenues grew 98% from the three months ended September 30, 2019 to the three months ended September 30, 2020.</w:t>
      </w:r>
    </w:p>
    <w:p>
      <w:pPr>
        <w:sectPr>
          <w:pgSz w:w="11900" w:h="16838" w:orient="portrait"/>
          <w:cols w:equalWidth="0" w:num="1">
            <w:col w:w="10139"/>
          </w:cols>
          <w:pgMar w:left="320" w:top="114" w:right="1440" w:bottom="1440" w:gutter="0" w:footer="0" w:header="0"/>
          <w:type w:val="continuous"/>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Contribution Profit</w:t>
      </w:r>
    </w:p>
    <w:p>
      <w:pPr>
        <w:spacing w:after="0" w:line="14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Contribution profit is a non- GAAP financial measure. We define contribution profit as GAAP operating loss plus the following costs that are not closely correlated to and variable with the generation of that revenue: (i) technology and data analytics, (ii) sales and marketing, and (iii) general and administrative expenses. We use contribution profit to measure the unit economics of transactions facilitated by our platform in the period.</w:t>
      </w:r>
    </w:p>
    <w:p>
      <w:pPr>
        <w:spacing w:after="0" w:line="32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Contribution profit has limitations as a financial measure, should be considered as supplemental in nature, and is not meant as a substitute for the related financial information prepared in accordance with GAAP. These limitations include the fact that other companies, including companies in our industry, may calculate contribution profit differently from how we calculate this measure, which reduces its usefulness as a comparative measure. See “</w:t>
      </w:r>
      <w:r>
        <w:rPr>
          <w:rFonts w:ascii="Times New Roman" w:cs="Times New Roman" w:eastAsia="Times New Roman" w:hAnsi="Times New Roman"/>
          <w:sz w:val="18"/>
          <w:szCs w:val="18"/>
          <w:i w:val="1"/>
          <w:iCs w:val="1"/>
          <w:color w:val="auto"/>
        </w:rPr>
        <w:t>Selected Consolidated Financial and Other Data — Key Operating Metrics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Non-GAAP Financial Measures</w:t>
      </w:r>
      <w:r>
        <w:rPr>
          <w:rFonts w:ascii="Times New Roman" w:cs="Times New Roman" w:eastAsia="Times New Roman" w:hAnsi="Times New Roman"/>
          <w:sz w:val="18"/>
          <w:szCs w:val="18"/>
          <w:color w:val="auto"/>
        </w:rPr>
        <w:t>” for more information and for a reconciliation of operating loss,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directly comparable financial measure calculated and presented in accordance with GAAP, to contribution profit.</w:t>
      </w:r>
    </w:p>
    <w:p>
      <w:pPr>
        <w:spacing w:after="0" w:line="320" w:lineRule="exact"/>
        <w:rPr>
          <w:sz w:val="20"/>
          <w:szCs w:val="20"/>
          <w:color w:val="auto"/>
        </w:rPr>
      </w:pPr>
    </w:p>
    <w:p>
      <w:pPr>
        <w:jc w:val="both"/>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For the fiscal years ended June 30, 2019 and 2020, contribution profit was approximately $54.4 million and $160.9 million, respectively. This represented an increase of approximately 196%. For the three months ended September 30, 2019 and 2020, contribution profit was approximately $25.3 million and $44.0 million, respectively. This represented an increase of approximately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99695</wp:posOffset>
            </wp:positionV>
            <wp:extent cx="4817745" cy="31286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1774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Contribution Profit as a Percentage of GMV</w:t>
      </w:r>
    </w:p>
    <w:p>
      <w:pPr>
        <w:spacing w:after="0" w:line="146"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We define contribution profit as percentage of GMV as the contribution profit divided by the GMV. Our contribution profit as a percentage of GMV is a function of the mix of the volume we facilitate on our platform, the funding strategy we employ, the fees we charge our merchants, the interest we charge our consumers, provision for credit losses, funding costs on loans we do not sell, and processing and servicing costs. Our contribution profit as a percentage of GMV was 3.5% for the fiscal year ended June 30, 2020. Our contribution profit as a percentage of GMV increased from 2.1% to 3.5% for the fiscal year ended June 30, 2020 as compared to the fiscal year ended June 30, 2019, predominantly driven by cost efficiencies. For the three months ended September 30, 2020, our contribution profit as a percentage of GMV was 3.0%, an increase from 2.9% for the three months ended September 30, 2019, due primarily to significant growth in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38" w:lineRule="auto"/>
        <w:rPr>
          <w:sz w:val="20"/>
          <w:szCs w:val="20"/>
          <w:color w:val="auto"/>
        </w:rPr>
      </w:pPr>
      <w:r>
        <w:rPr>
          <w:rFonts w:ascii="Times New Roman" w:cs="Times New Roman" w:eastAsia="Times New Roman" w:hAnsi="Times New Roman"/>
          <w:sz w:val="18"/>
          <w:szCs w:val="18"/>
          <w:color w:val="auto"/>
        </w:rPr>
        <w:t>merchant network revenues exceeding costs, and partially due to a relative increase in high AOV loans during the period. We expect this metric to fluctuate from quarter to quarter due to seasonality and mix-shift among low AOV, high AOV, interest bearing, and 0% APR loans. For example, high AOV, 0% APR loans, which are typically characterized by higher merchant network revenue, generally increase our contribution profit as a percentage of GMV, and shorter-duration loans (for example through our Split Pay offering) generally tend to reduce our contribution profit as a percentage of GMV. We expect that our contribution profit as a percentage of GMV will decline in the medium term to the extent that a greater portion of our GMV comes from our Split Pay and other low-AOV offerings. Accordingly, we manage this metric on both an in-period and a trailing 12 month basis.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Continued Growth of Digital Commerce and Pay Over Time Solutions</w:t>
      </w:r>
    </w:p>
    <w:p>
      <w:pPr>
        <w:spacing w:after="0" w:line="148"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As the number and volume of commerce transactions taking place online continue to rapidly increase, e-commerce is becoming a larger proportion of total retail spend. Consumers — Gen Z and Millennials in particular — want the flexibility, ease, and choice offered by shopping online. We have observed that consumers also increasingly prefer more flexible and innovative digital payment options, including pay-over-time solutions. Combined with the continued growth in mobile devices, this trend is expected to continue. Merchants are responding to this by meeting consumers where they want to shop via online storefronts, omni-channel strategies, and diverse payment options.</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We believe that as commerce becomes increasingly digital, we will have an even greater opportunity to power more transactions, and this will have a meaningful impact on our financial performance. For example, for the three months ended September 30, 2020 more than 90% of our GMV was processed online. We believe that the growth of digital commerce means more merchants will want to offer Affirm as a payment option, more consumers will want to try Affirm, and existing merchants and consumers will make repeated use of our platform.</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Adoption of Our Technology-Driven Platform</w:t>
      </w:r>
    </w:p>
    <w:p>
      <w:pPr>
        <w:spacing w:after="0" w:line="16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growth trends in integrated merchants and consumers on our platform are critical variables directly affecting our revenue and financial results. We benefit from network effects, strong brand affinity, and the growing demand for pay- over-time payment solutions to help organically drive consumer and merchant engagement. In addition, we believe we will continue to see increased adoption as we innovate and invest in our platform.</w:t>
      </w:r>
    </w:p>
    <w:p>
      <w:pPr>
        <w:spacing w:after="0" w:line="1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believe we can continue to expand the number of merchants on our platform as merchants become aware of the customer acquisition benefits associated with offering Affirm as a payment option. We intend to proactively build relationships with additional merchants through our dedicated sales and marketing efforts. We anticipate that partnerships, such as our recent partnerships with Shopify and Adyen, will also be important sources of merchant adoption because they provide us with access to merchants. As we scale our merchant base through brand recognition and merchant satisfaction, more consumers will have a reason to choose Affirm as their payment option.</w:t>
      </w:r>
    </w:p>
    <w:p>
      <w:pPr>
        <w:spacing w:after="0" w:line="117"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are focused on continuing to grow our base of consumers through innovation and the facilitation of fair, transparent, and honest financial products. We have historically acquired consumers through merchants offering our solution as a better way to pay. Increasingly, we are seeing further direct adoption through our Affirm app, which is a customized marketplace for consumers’ commerce needs. The more consumers transact on our platform and the better the quality of their engagement, the more value is created for merchants, leading to greater merchant integration and strengthening the network effects of our business.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Expanding Usage from Existing Consumers and Merchants</w:t>
      </w:r>
    </w:p>
    <w:p>
      <w:pPr>
        <w:spacing w:after="0" w:line="162" w:lineRule="exact"/>
        <w:rPr>
          <w:sz w:val="20"/>
          <w:szCs w:val="20"/>
          <w:color w:val="auto"/>
        </w:rPr>
      </w:pPr>
    </w:p>
    <w:p>
      <w:pPr>
        <w:jc w:val="both"/>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We believe there is a significant opportunity to increase the volume on our platform through existing consumers and merchants. Our network lends itself to a natural expansion strategy for both consumers and merchants, which we enhance with our own data-driven insights and personalized recommendations.</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For consumers, delivering a superior experience encourages repeat usage of Affirm. We create an easy and personalized experience for our consumers within the Affirm app to aid search and discovery and drive transactions for merchants. The contribution profit on repeat consumers is improved due to the lower cost of underwriting, servicing, and increased likelihood of repayment. We believe we have an opportunity to serve more repeat consumers through Split Pay and other low-AOV offerings.</w:t>
      </w:r>
    </w:p>
    <w:p>
      <w:pPr>
        <w:spacing w:after="0" w:line="102"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For merchants, we have demonstrated the strong value proposition of our network through larger AOVs. According to internal studies we conducted in 2018 and 2019 comparing AOVs before refunds, merchants using Affirm reported 92% and 85% higher AOVs before refunds, respectively, when compared to other payment methods. We believe we also increase customer conversion for merchants, leading to strong merchant retention rates as evidenced by our dollar-based merchant expansion rate that has consistently exceeded 100% since 2016. We believe that sustaining this value proposition will allow us to continue expanding revenue from existing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122555</wp:posOffset>
            </wp:positionV>
            <wp:extent cx="5083175" cy="43033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83175"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162"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securitizations, whole loan forward flow arrangements, and partnerships with banks. Given the short duration and superior performance of our assets, funding can be recycled quickly, resulting in a high-velocity, capital efficient funding model. We have reduced the percentage of our equity capital required to fund our total platform portfolio from approximately 15% as of June 30, 2018, to approximately 9% as of June 30, 2020, to</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99"/>
        <w:spacing w:after="0" w:line="282" w:lineRule="auto"/>
        <w:rPr>
          <w:sz w:val="20"/>
          <w:szCs w:val="20"/>
          <w:color w:val="auto"/>
        </w:rPr>
      </w:pPr>
      <w:r>
        <w:rPr>
          <w:rFonts w:ascii="Times New Roman" w:cs="Times New Roman" w:eastAsia="Times New Roman" w:hAnsi="Times New Roman"/>
          <w:sz w:val="18"/>
          <w:szCs w:val="18"/>
          <w:color w:val="auto"/>
        </w:rPr>
        <w:t>approximately 8% as of September 30, 2020. The mix of on-balance sheet and off-balance sheet funding will also impact our results in any given period.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mix of products that our merchants offer and our consumers purchase in any period affects our operating results. The mix impacts GMV, the contribution profit, and margin profile of our results for that period. Differences in product mix relate to different loan durations, APR mix, and varying proportion of 0% APR versus interest-bearing financings. For example, our low AOV products generally benefit from shorter duration, but also have lower contribution profit when compared to high AOV products. These mix shifts are driven in part by merchant-side activity relating to the marketing of their products, whether the merchant is fully integrated within our network, and general economic conditions affecting consumer demand. In addition, we expect that our commercial agreement with Shopify to offer Shop Pay Installments and our recent Split Pay offering will increase the mix of our shorter duration, low AOV products. Differences in the mix of high versus low AOV will also impact our results, including affecting average frequency of transactions per active consumer and our contribution profit as a percentage of GMV, which we expect will decline in the medium term to the extent that a greater portion of our GMV comes from these and other low-AOV offerings.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Price Credit Risk</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Any deterioration in the performance of our loans would adversely affect our contribution profit. Loan repayment underperformance would negatively impact our interest-related income and gain-on-sale income. Additionally, incremental charge-offs may adversely affect future risk analysis, growth of our GMV, and the amount of provisions we will need to take. However, our ability to effectively price credit risk is what we believe to be one of our core competitive advantages and the flexibility of our risk model allows us to respond quickly to any changes in our loans’ performance. Repayments are high-velocity, with an average duration of six months, allowing us to quickly adapt and mitigate risk.</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Investment</w:t>
      </w:r>
    </w:p>
    <w:p>
      <w:pPr>
        <w:spacing w:after="0" w:line="162"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have historically relied on positive word of mouth and consumers’ recommendations to grow the ubiquity of our platform. We plan to invest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 and Industry Trends</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Our results of operations are impacted by the relative strength of the overall economy and its effect on unemployment, consumer spending behavior, and consumer demand for financing-enabled commerce. Our merchants’ underlying business activities are also linked to the macroeconomic environment. For our top merchant partners, particularly Peloton, fluctuations in general economic conditions and consumer spending behavior that impact sales of products by our merchants will generally result in lower credit sales and, therefore, lower loan volume and associated fee income for us. For example, the significance of Peloton in our portfolio has increased as a result of consumer spending trends on home fitness equipment, and there can be no assurance that such trends will continue or that the levels of total revenue and merchant network revenue that we generate from Peloton will continue.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revenues as a result of consumer spending patterns. Historically, our revenues have been strongest during the second quarter of our fiscal year due to increases in retail commerce during the holiday season. Additionally, revenues associated with the purchase of home</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fitness equipment historically have been strongest in the third quarter of our fiscal year. Adverse events that occur during these months could have a disproportionate effect on our financial results for the fiscal year.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48"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COVID-19 pandemic has had, and continues to have, a significant impact on the U.S. economy and the markets in which we operate. Our positive performance during this period demonstrates the value and effectiveness of our platform, the resilience of our business model, and the capabilities of our risk management and underwriting approach. However, certain of the COVID-19 related trends underlying that positive performance, in particular the significant revenue generated from certain types of merchants, may not continue at current levels.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Merchant Partners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have a diversified set of merchant partners across industries, which allows us to maximize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While we have benefited as a result of such consumer spending trends, there can be no assurance that such trends will continue or that the levels of total revenue and merchant network revenue that we generate from merchants in fitness equipment, home office products, and home furnishings industries will continue. The decline of sales by our merchants for any reason will generally result in lower credit sales and, therefore, lower loan volume and associated fee income for us.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Dynamic Changes to Risk Model</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decreases across both charge-offs and delinquencies. Our proprietary risk model was not designed to take into account the longer-term impacts of social, economic, and financial disruptions caused by the COVID-19 pandemic, and while we continuously make refinements to our risk model as new information becomes available to us, any changes to our risk model may be ineffective and the performance of our risk model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83175" cy="40290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8317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Increased Repayment Communications</w:t>
      </w:r>
    </w:p>
    <w:p>
      <w:pPr>
        <w:spacing w:after="0" w:line="162" w:lineRule="exact"/>
        <w:rPr>
          <w:sz w:val="20"/>
          <w:szCs w:val="20"/>
          <w:color w:val="auto"/>
        </w:rPr>
      </w:pPr>
    </w:p>
    <w:p>
      <w:pPr>
        <w:jc w:val="both"/>
        <w:ind w:left="1260" w:right="999" w:firstLine="360"/>
        <w:spacing w:after="0" w:line="250" w:lineRule="auto"/>
        <w:rPr>
          <w:sz w:val="20"/>
          <w:szCs w:val="20"/>
          <w:color w:val="auto"/>
        </w:rPr>
      </w:pPr>
      <w:r>
        <w:rPr>
          <w:rFonts w:ascii="Times New Roman" w:cs="Times New Roman" w:eastAsia="Times New Roman" w:hAnsi="Times New Roman"/>
          <w:sz w:val="18"/>
          <w:szCs w:val="18"/>
          <w:color w:val="auto"/>
        </w:rPr>
        <w:t>We increased the frequency of our repayment communications with consumers, which we primarily conduct through SMS text and email, in order to collect additional servicing performance data. We also implemented more comprehensive self-service payment options to free up agent capacity.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Consumer Relief</w:t>
      </w:r>
    </w:p>
    <w:p>
      <w:pPr>
        <w:spacing w:after="0" w:line="162"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We initiated a payment deferral program to better assist consumers whose financial standing may have been impacted by COVID-19. We offered eligible consumers the option to pause payments by 30, 60, or</w:t>
      </w:r>
    </w:p>
    <w:p>
      <w:pPr>
        <w:spacing w:after="0" w:line="1" w:lineRule="exact"/>
        <w:rPr>
          <w:sz w:val="20"/>
          <w:szCs w:val="20"/>
          <w:color w:val="auto"/>
        </w:rPr>
      </w:pPr>
    </w:p>
    <w:p>
      <w:pPr>
        <w:ind w:left="1260" w:right="779"/>
        <w:spacing w:after="0" w:line="236" w:lineRule="auto"/>
        <w:rPr>
          <w:sz w:val="20"/>
          <w:szCs w:val="20"/>
          <w:color w:val="auto"/>
        </w:rPr>
      </w:pPr>
      <w:r>
        <w:rPr>
          <w:rFonts w:ascii="Times New Roman" w:cs="Times New Roman" w:eastAsia="Times New Roman" w:hAnsi="Times New Roman"/>
          <w:sz w:val="18"/>
          <w:szCs w:val="18"/>
          <w:color w:val="auto"/>
        </w:rPr>
        <w:t>90 days. Eligibility was determined by a proactive indication of hardship due to the pandemic, no existing loan being more than 60 days overdue, and other factors. During this period, loans in the payment deferral program were not considered to be delinquent. Approximately 63,000 loans were modified through this program as of September 30, 2020, with an aggregate principal balance of $18.9 million of the total platform portfolio. The percent of our total platform portfolio that was in deferral peaked at approximately 0.85% of consumer balances in May 2020, and has declined through August 31, 2020. As of September 30, 2020, 0.12% of our serviced portfolio was in deferral.</w:t>
      </w:r>
    </w:p>
    <w:p>
      <w:pPr>
        <w:spacing w:after="0" w:line="108"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We believe that our modification percentage has been materially lower than other players in the space. When compared to other forms of financing — such as mortgages, student loans, and auto loans — the transactions on our platform tend to have lower AOV, resulting in lower monthly repayments, which we believe positions us higher on consumers’ repayment priorities. As of September 30, 2020, approximately 54% of our consumers who exited our payment deferral program rolled into current status by making at least one payment, and over 20% fully settled their outstanding balance during the deferral period. However, it is possible that a higher percentage of consumers may seek protections offered by our deferral program or other new or existing debtor relief laws in the future.</w:t>
      </w:r>
    </w:p>
    <w:p>
      <w:pPr>
        <w:sectPr>
          <w:pgSz w:w="11900" w:h="16838" w:orient="portrait"/>
          <w:cols w:equalWidth="0" w:num="1">
            <w:col w:w="10139"/>
          </w:cols>
          <w:pgMar w:left="320" w:top="114"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Stable Credit Performance to Date</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Because of the relatively short duration of our pay-over-time products, of the monthly loan vintages originated before the pandemic began in March 2020, only 19% remained on our balance sheet by the end of September 2020. As of September 30, 2020, our delinquency rates, as a percentage of our loan portfolio, and excluding the impact of our payment deferral program, were approximately 66% lower as compared to September 30, 2019. In addition, as of September 30, 2020, our gross charge-offs, as a percentage of our loan portfolio, and excluding the impact of our payment deferral program, were approximately 48% lower as compared to September 30, 2019.</w:t>
      </w:r>
    </w:p>
    <w:p>
      <w:pPr>
        <w:spacing w:after="0" w:line="117"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We cannot guarantee that our credit performance will remain stable and any prolonged economic downturn with sustained high unemployment rates as a result of the pandemic could materially increase defaults and delinquencies. In addition, despite our stable credit performance, disruptions in the credit markets or other factors caused by the continued impact of the COVID-19 pandemic could adversely affect the availability, diversity, cost, and terms of our funding arrangements.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Stressed Allowance Model</w:t>
      </w:r>
    </w:p>
    <w:p>
      <w:pPr>
        <w:spacing w:after="0" w:line="162"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 of loans held for investment from 8.9% as of February 29, 2020, to 14.8% as of March 31, 2020. In the months subsequent to this, we have seen stronger than expected repayment history in the portfolio resulting in a release of the allowance. As of June 30, 2020 and September 30, 2020, the allowance for credit losses as a percentage of loans held for investment decreased to 9.2% and 8.8%, respectively, which is generally consistent with prior periods. Should macroeconomic factors or expected losses change, we may increase or decrease the allowance for credit losses.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Business Continuity</w:t>
      </w:r>
    </w:p>
    <w:p>
      <w:pPr>
        <w:spacing w:after="0" w:line="148"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We rolled out work-from-home capabilities at Affirm within weeks of the onset of the pandemic, and have monitored the work-from-home rollout at sub-servicers and other critical vendors. We increased the number of servicing and customer care agents in order to accommodate higher inbound call volume. Due to the seasonal nature of our business, we have experience in rapidly increasing the number of agents. We were able to complete these transitions with minimal disruption to the daily operations of our business.</w:t>
      </w:r>
    </w:p>
    <w:p>
      <w:pPr>
        <w:spacing w:after="0" w:line="117"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Even so, we have had to expend, and expect to continue to expend, personnel resources to respond to the COVID-19 pandemic and any prolonged diversion of personnel resources may have an adverse effect on our operations.</w:t>
      </w:r>
    </w:p>
    <w:p>
      <w:pPr>
        <w:spacing w:after="0" w:line="107" w:lineRule="exact"/>
        <w:rPr>
          <w:sz w:val="20"/>
          <w:szCs w:val="20"/>
          <w:color w:val="auto"/>
        </w:rPr>
      </w:pPr>
    </w:p>
    <w:p>
      <w:pPr>
        <w:ind w:left="1260" w:right="11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For more information on the risks related to the COVID-19 pandemic, see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Industry”</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Merchant network revenue. </w:t>
      </w:r>
      <w:r>
        <w:rPr>
          <w:rFonts w:ascii="Times New Roman" w:cs="Times New Roman" w:eastAsia="Times New Roman" w:hAnsi="Times New Roman"/>
          <w:sz w:val="18"/>
          <w:szCs w:val="18"/>
          <w:color w:val="auto"/>
        </w:rPr>
        <w:t>Merchant partners are charged a fee on each transaction processed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 platform. The fees vary depending on the individual arrangement between us and each merchant and vary based on the terms of the product offering. The fee is recognized as earned when the terms of the executed merchant agreement have been fulfilled and the merchant successfully confirms the transaction. In each of the fiscal years ended June 30, 2019 and 2020, we generated 50% of our revenue from merchant network fees. During the three months ended September 30, 2019 and 2020, we generated 41% and 54% of our revenue, respectively, from merchant network fees.</w:t>
      </w:r>
    </w:p>
    <w:p>
      <w:pPr>
        <w:spacing w:after="0" w:line="117"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Virtual card network revenue. </w:t>
      </w:r>
      <w:r>
        <w:rPr>
          <w:rFonts w:ascii="Times New Roman" w:cs="Times New Roman" w:eastAsia="Times New Roman" w:hAnsi="Times New Roman"/>
          <w:sz w:val="18"/>
          <w:szCs w:val="18"/>
          <w:color w:val="auto"/>
        </w:rPr>
        <w:t>A smaller portion of our revenue comes from our Virtual Card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partner with issuer processors for the creation of virtual debit cards used by customers at checkout. Consumers can apply at affirm.com or through the Affirm app and, upon approval, receive a single-use virtual debit card to be used for their purchase online or offline at a non-integrated merchant. The merchants are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rPr>
          <w:sz w:val="20"/>
          <w:szCs w:val="20"/>
          <w:color w:val="auto"/>
        </w:rPr>
      </w:pPr>
      <w:r>
        <w:rPr>
          <w:rFonts w:ascii="Times New Roman" w:cs="Times New Roman" w:eastAsia="Times New Roman" w:hAnsi="Times New Roman"/>
          <w:sz w:val="18"/>
          <w:szCs w:val="18"/>
          <w:color w:val="auto"/>
        </w:rPr>
        <w:t>charged interchange fees for virtual debit card transactions by the issuer processors, as with all debit card purchases, and the issuer processor shares a portion of this revenue with us. This revenue is recognized as a percentage of both our loan volume transacted on the payment processor network and net interchange income, and this revenue is presented net of associated processing fees. In the fiscal years ended June 30, 2019 and 2020, we generated 3% and 4% of our revenue, respectively, from virtual card network fees. During the three months ended September 30, 2019 and 2020, we generated 4% and 3% of our revenue, respectively, from virtual card network fees.</w:t>
      </w:r>
    </w:p>
    <w:p>
      <w:pPr>
        <w:spacing w:after="0" w:line="10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We also earn revenue through interest earned on the loans purchased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originating bank partner.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purchase of a loan from our originating bank partner. Discounts and premiums are accreted or amortized over the life of the loan using the effective interest method. In the fiscal years ended June 30, 2019 and 2020, we generated 45% and 37% of our revenue, respectively, from interest income. During the three months ended, September 30, 2019 and 2020, we generated 46% and 31% of our revenue, respectively, from interest income.</w:t>
      </w:r>
    </w:p>
    <w:p>
      <w:pPr>
        <w:spacing w:after="0" w:line="315" w:lineRule="exact"/>
        <w:rPr>
          <w:sz w:val="20"/>
          <w:szCs w:val="20"/>
          <w:color w:val="auto"/>
        </w:rPr>
      </w:pPr>
    </w:p>
    <w:p>
      <w:pPr>
        <w:ind w:left="1620"/>
        <w:spacing w:after="0"/>
        <w:tabs>
          <w:tab w:leader="none" w:pos="3960" w:val="left"/>
        </w:tabs>
        <w:rPr>
          <w:sz w:val="20"/>
          <w:szCs w:val="20"/>
          <w:color w:val="auto"/>
        </w:rPr>
      </w:pPr>
      <w:r>
        <w:rPr>
          <w:rFonts w:ascii="Times New Roman" w:cs="Times New Roman" w:eastAsia="Times New Roman" w:hAnsi="Times New Roman"/>
          <w:sz w:val="18"/>
          <w:szCs w:val="18"/>
          <w:i w:val="1"/>
          <w:iCs w:val="1"/>
          <w:color w:val="auto"/>
        </w:rPr>
        <w:t>Gain (loss) on sales of loans.</w:t>
      </w:r>
      <w:r>
        <w:rPr>
          <w:sz w:val="20"/>
          <w:szCs w:val="20"/>
          <w:color w:val="auto"/>
        </w:rPr>
        <w:tab/>
      </w:r>
      <w:r>
        <w:rPr>
          <w:rFonts w:ascii="Times New Roman" w:cs="Times New Roman" w:eastAsia="Times New Roman" w:hAnsi="Times New Roman"/>
          <w:sz w:val="18"/>
          <w:szCs w:val="18"/>
          <w:color w:val="auto"/>
        </w:rPr>
        <w:t>We sell a portion of the loans we purchase from our originating bank</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partner to third-party investors through our platform. We recognize a gain or loss on sale of such loans 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difference between the proceeds received, adjusted for initial recognition of servicing assets and</w:t>
      </w:r>
    </w:p>
    <w:p>
      <w:pPr>
        <w:ind w:left="1260"/>
        <w:spacing w:after="0" w:line="235" w:lineRule="auto"/>
        <w:rPr>
          <w:sz w:val="20"/>
          <w:szCs w:val="20"/>
          <w:color w:val="auto"/>
        </w:rPr>
      </w:pPr>
      <w:r>
        <w:rPr>
          <w:rFonts w:ascii="Times New Roman" w:cs="Times New Roman" w:eastAsia="Times New Roman" w:hAnsi="Times New Roman"/>
          <w:sz w:val="18"/>
          <w:szCs w:val="18"/>
          <w:color w:val="auto"/>
        </w:rPr>
        <w:t>liabilities obtained at the date of sale, and the carrying value of the loan. During the fiscal year ended</w:t>
      </w:r>
    </w:p>
    <w:p>
      <w:pPr>
        <w:ind w:left="1260"/>
        <w:spacing w:after="0" w:line="235" w:lineRule="auto"/>
        <w:rPr>
          <w:sz w:val="20"/>
          <w:szCs w:val="20"/>
          <w:color w:val="auto"/>
        </w:rPr>
      </w:pPr>
      <w:r>
        <w:rPr>
          <w:rFonts w:ascii="Times New Roman" w:cs="Times New Roman" w:eastAsia="Times New Roman" w:hAnsi="Times New Roman"/>
          <w:sz w:val="18"/>
          <w:szCs w:val="18"/>
          <w:color w:val="auto"/>
        </w:rPr>
        <w:t>June 30, 2019, loss on sale of loans negatively impacted our revenue by less than 1%. During the fiscal year</w:t>
      </w:r>
    </w:p>
    <w:p>
      <w:pPr>
        <w:ind w:left="1260"/>
        <w:spacing w:after="0" w:line="235" w:lineRule="auto"/>
        <w:rPr>
          <w:sz w:val="20"/>
          <w:szCs w:val="20"/>
          <w:color w:val="auto"/>
        </w:rPr>
      </w:pPr>
      <w:r>
        <w:rPr>
          <w:rFonts w:ascii="Times New Roman" w:cs="Times New Roman" w:eastAsia="Times New Roman" w:hAnsi="Times New Roman"/>
          <w:sz w:val="18"/>
          <w:szCs w:val="18"/>
          <w:color w:val="auto"/>
        </w:rPr>
        <w:t>ended June 30, 2020, we generated 6% of our revenue from gain on sales of loans. During the three months</w:t>
      </w:r>
    </w:p>
    <w:p>
      <w:pPr>
        <w:ind w:left="1260"/>
        <w:spacing w:after="0" w:line="235" w:lineRule="auto"/>
        <w:rPr>
          <w:sz w:val="20"/>
          <w:szCs w:val="20"/>
          <w:color w:val="auto"/>
        </w:rPr>
      </w:pPr>
      <w:r>
        <w:rPr>
          <w:rFonts w:ascii="Times New Roman" w:cs="Times New Roman" w:eastAsia="Times New Roman" w:hAnsi="Times New Roman"/>
          <w:sz w:val="18"/>
          <w:szCs w:val="18"/>
          <w:color w:val="auto"/>
        </w:rPr>
        <w:t>ended September 30, 2019 and 2020, we generated 7% and 9% of our revenue, respectively, from gain on</w:t>
      </w:r>
    </w:p>
    <w:p>
      <w:pPr>
        <w:ind w:left="1260"/>
        <w:spacing w:after="0"/>
        <w:rPr>
          <w:sz w:val="20"/>
          <w:szCs w:val="20"/>
          <w:color w:val="auto"/>
        </w:rPr>
      </w:pPr>
      <w:r>
        <w:rPr>
          <w:rFonts w:ascii="Times New Roman" w:cs="Times New Roman" w:eastAsia="Times New Roman" w:hAnsi="Times New Roman"/>
          <w:sz w:val="18"/>
          <w:szCs w:val="18"/>
          <w:color w:val="auto"/>
        </w:rPr>
        <w:t>sales of loans.</w:t>
      </w:r>
    </w:p>
    <w:p>
      <w:pPr>
        <w:spacing w:after="0" w:line="122"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Servicing income. </w:t>
      </w:r>
      <w:r>
        <w:rPr>
          <w:rFonts w:ascii="Times New Roman" w:cs="Times New Roman" w:eastAsia="Times New Roman" w:hAnsi="Times New Roman"/>
          <w:sz w:val="18"/>
          <w:szCs w:val="18"/>
          <w:color w:val="auto"/>
        </w:rPr>
        <w:t>We earn a specified fee from providing professional services to manage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portfolios on behalf of our third-party loan owners. Under the servicing agreements with our capital markets partners, we are entitled to collect servicing fees on the loans that we service, which are paid monthly based upon an annual fixed percentage of the outstanding loan portfolio balance. In the fiscal years ended June 30, 2019 and 2020, we generated 2% and 3% of our revenue, respectively, from servicing fees. During each of the three months ended September 30, 2019 and 2020, we generated 2% of our revenue from servicing fees.</w:t>
      </w:r>
    </w:p>
    <w:p>
      <w:pPr>
        <w:spacing w:after="0" w:line="105"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onboarding of new merchants, the mix of 0% APR loans versus interest-bearing loans with simple interest, type and mix of products that our merchants offer to their customers, the rate of repeat transactions, transaction volume, and seasonality of or fluctuations in usage of our platform.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Our operating expenses consist of the loss on our loan purchase commitment made to our originating bank partner,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117"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At June 30, 2020, we had 893 employees compared to 637 at June 30, 2019. During the fiscal year ended June 30, 2020, we increased our headcount and personnel related costs across our business in order to support our growth expansion strategy. At September 30, 2020, we had 916 employees. We expect headcount to continue to increase in fiscal 2021 given our focus on growth and expansion.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46"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purchase loans from our originating bank partner that are processed through our platform and our originating bank partner puts back to us. Under the terms of the agreement with our originating bank</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42" w:lineRule="auto"/>
        <w:rPr>
          <w:sz w:val="20"/>
          <w:szCs w:val="20"/>
          <w:color w:val="auto"/>
        </w:rPr>
      </w:pPr>
      <w:r>
        <w:rPr>
          <w:rFonts w:ascii="Times New Roman" w:cs="Times New Roman" w:eastAsia="Times New Roman" w:hAnsi="Times New Roman"/>
          <w:sz w:val="18"/>
          <w:szCs w:val="18"/>
          <w:color w:val="auto"/>
        </w:rPr>
        <w:t>partner, we are generally required to pay the principal amount plus accrued interest for such loans and the loan origination fee. In certain instances, our originating bank partner originates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4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and our historical net charge-off and loss experience.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6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Funding costs consists of the interest expense we incur on our borrowings, and amortization of fees and other costs incurred in connection with our funding.</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160"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expenses. Additional expenses include salaries and personnel-related costs of our customer care team, and allocated overhead.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46"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and personnel-related costs of our engineering and product employees as well as our credit and analytics employees who develop our proprietary risk model. Additional expenses include platform infrastructure and hosting costs, third-party data acquisition expenses, expenses related to the development of new types of products and technologies and maintenance of existing technology assets, amortization of capitalized internal-use software costs related to our technology platform, and allocated overhead. For the fiscal years ended June 30, 2019 and 2020, $12.6 million and $17.1 million, respectively, of salaries and personnel costs that relate to the creation of internally- developed software were capitalized into property, equipment and software, net on the consolidated balance sheets, and amortized into technology and data analytics expense over the useful life of the developed software. During the three months ended September 30, 2019 and 2020, $4.0 million and $5.1 million, respectively, of salaries and personnel costs that relate to the creation of internally-developed software were capitalized into property, equipment and software, net on our consolidated balance sheets.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0"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Sales and marketing expense consists primarily of salaries and personnel-related costs, as well as costs of general marketing and promotional activities, promotional event programs, sponsorships, and allocated overhead. In July 2020, we recognized an asset in connection with a commercial agreement with Shopify Inc. in which we granted warrants in exchange for the benefit of acquiring new merchant partners. This asset represents the probable future economic benefit to be realized over the four- year expected benefit period and is valued based on the fair value of the warrants at the grant date. This value is amortized on a straight-line basis over the four-year period into sales and marketing expense, due to the nature of the expected benefit. We expect that our sales and marketing expense will increase as a percentage of revenue as we expand our sales and marketing efforts to drive our growth, expansion, and diversification.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firstLine="360"/>
        <w:spacing w:after="0" w:line="257" w:lineRule="auto"/>
        <w:rPr>
          <w:sz w:val="20"/>
          <w:szCs w:val="20"/>
          <w:color w:val="auto"/>
        </w:rPr>
      </w:pPr>
      <w:r>
        <w:rPr>
          <w:rFonts w:ascii="Times New Roman" w:cs="Times New Roman" w:eastAsia="Times New Roman" w:hAnsi="Times New Roman"/>
          <w:sz w:val="18"/>
          <w:szCs w:val="18"/>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4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earned on our money market funds included in cash and cash equivalents and restricted cash, and gains and losses incurred on both our constant maturity swaps and as related to bifurcated derivatives associated with our convertible debt.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income tax expense consists of U.S. federal and state income taxes and income taxes in certain provinces of Canada in which we conduct business. Through June 30, 2020, we had not been required to pay any material U.S. federal or state income taxes nor any foreign income taxes because of accumulated net operating losses. At June 30, 2019 and 2020, we had federal and state net operating loss carryforwards of approximately $199.2 million and $130.4 million, and $280.1 million and $292.6 million, respectively, with some expiring beginning in 2032. At September 30, 2020, we had federal and state net operating loss carryforwards of approximately $325.5 million and $348.3 million, respectively. Substantially all of our net operating loss carryforwards were subject to a valuation allowance as of June 30, 2020 and September 30, 2020.</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consolidated financial statements and notes included elsewhere in this prospectus. The following table sets forth our consolidated statements of operations data for the fiscal years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6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2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7"/>
                <w:szCs w:val="17"/>
                <w:color w:val="auto"/>
              </w:rPr>
            </w:pPr>
          </w:p>
        </w:tc>
        <w:tc>
          <w:tcPr>
            <w:tcW w:w="92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7"/>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194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Merchant network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$ 132,363</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$ 256,752</w:t>
            </w:r>
          </w:p>
        </w:tc>
        <w:tc>
          <w:tcPr>
            <w:tcW w:w="1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$ 93,265</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19,340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5,958</w:t>
            </w:r>
          </w:p>
        </w:tc>
        <w:tc>
          <w:tcPr>
            <w:tcW w:w="6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119,404</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186,730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31,907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Servicing income</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14,799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w:t>
            </w:r>
          </w:p>
        </w:tc>
        <w:tc>
          <w:tcPr>
            <w:tcW w:w="6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$ 264,367</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$ 509,528</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$173,978</w:t>
            </w:r>
          </w:p>
        </w:tc>
        <w:tc>
          <w:tcPr>
            <w:tcW w:w="6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4640" w:type="dxa"/>
            <w:vAlign w:val="bottom"/>
            <w:tcBorders>
              <w:top w:val="single" w:sz="8" w:color="CCEEFF"/>
            </w:tcBorders>
            <w:gridSpan w:val="2"/>
          </w:tcPr>
          <w:p>
            <w:pPr>
              <w:spacing w:after="0" w:line="27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6"/>
                <w:szCs w:val="26"/>
                <w:color w:val="auto"/>
                <w:vertAlign w:val="superscript"/>
              </w:rPr>
              <w:t>(1)</w:t>
            </w:r>
          </w:p>
        </w:tc>
        <w:tc>
          <w:tcPr>
            <w:tcW w:w="6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73,383</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$ 161,452</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$ 65,868</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78,025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105,067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Funding costs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32,316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Processing and servicing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49,831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6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76,071</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25,044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64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60" w:type="dxa"/>
            <w:vAlign w:val="bottom"/>
          </w:tcPr>
          <w:p>
            <w:pPr>
              <w:spacing w:after="0"/>
              <w:rPr>
                <w:sz w:val="22"/>
                <w:szCs w:val="22"/>
                <w:color w:val="auto"/>
              </w:rPr>
            </w:pPr>
          </w:p>
        </w:tc>
      </w:tr>
      <w:tr>
        <w:trPr>
          <w:trHeight w:val="263"/>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$ 391,808</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$ 617,318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120,919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218,601</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$(127,441)</w:t>
            </w: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$(107,790)</w:t>
            </w:r>
          </w:p>
        </w:tc>
        <w:tc>
          <w:tcPr>
            <w:tcW w:w="9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(32,972)</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(44,623)</w:t>
            </w:r>
          </w:p>
        </w:tc>
        <w:tc>
          <w:tcPr>
            <w:tcW w:w="60" w:type="dxa"/>
            <w:vAlign w:val="bottom"/>
          </w:tcPr>
          <w:p>
            <w:pPr>
              <w:spacing w:after="0"/>
              <w:rPr>
                <w:sz w:val="22"/>
                <w:szCs w:val="22"/>
                <w:color w:val="auto"/>
              </w:rPr>
            </w:pPr>
          </w:p>
        </w:tc>
      </w:tr>
      <w:tr>
        <w:trPr>
          <w:trHeight w:val="277"/>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$(120,419)</w:t>
            </w: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$(112,222)</w:t>
            </w:r>
          </w:p>
        </w:tc>
        <w:tc>
          <w:tcPr>
            <w:tcW w:w="9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(30,699)</w:t>
            </w: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(15,178)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$(120,455)</w:t>
            </w: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$(112,598)</w:t>
            </w:r>
          </w:p>
        </w:tc>
        <w:tc>
          <w:tcPr>
            <w:tcW w:w="9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(30,795)</w:t>
            </w: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(15,275)</w:t>
            </w:r>
          </w:p>
        </w:tc>
        <w:tc>
          <w:tcPr>
            <w:tcW w:w="60" w:type="dxa"/>
            <w:vAlign w:val="bottom"/>
          </w:tcPr>
          <w:p>
            <w:pPr>
              <w:spacing w:after="0"/>
              <w:rPr>
                <w:sz w:val="24"/>
                <w:szCs w:val="24"/>
                <w:color w:val="auto"/>
              </w:rPr>
            </w:pPr>
          </w:p>
        </w:tc>
      </w:tr>
      <w:tr>
        <w:trPr>
          <w:trHeight w:val="121"/>
        </w:trPr>
        <w:tc>
          <w:tcPr>
            <w:tcW w:w="20" w:type="dxa"/>
            <w:vAlign w:val="bottom"/>
          </w:tcPr>
          <w:p>
            <w:pPr>
              <w:spacing w:after="0"/>
              <w:rPr>
                <w:sz w:val="10"/>
                <w:szCs w:val="10"/>
                <w:color w:val="auto"/>
              </w:rPr>
            </w:pPr>
          </w:p>
        </w:tc>
        <w:tc>
          <w:tcPr>
            <w:tcW w:w="1920" w:type="dxa"/>
            <w:vAlign w:val="bottom"/>
            <w:tcBorders>
              <w:top w:val="single" w:sz="8" w:color="CCEEFF"/>
              <w:bottom w:val="single" w:sz="8" w:color="auto"/>
            </w:tcBorders>
          </w:tcPr>
          <w:p>
            <w:pPr>
              <w:spacing w:after="0"/>
              <w:rPr>
                <w:sz w:val="10"/>
                <w:szCs w:val="10"/>
                <w:color w:val="auto"/>
              </w:rPr>
            </w:pPr>
          </w:p>
        </w:tc>
        <w:tc>
          <w:tcPr>
            <w:tcW w:w="27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37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Amounts include stock-based compensation as follows: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23"/>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2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servicing</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82</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26</w:t>
            </w:r>
          </w:p>
        </w:tc>
        <w:tc>
          <w:tcPr>
            <w:tcW w:w="60" w:type="dxa"/>
            <w:vAlign w:val="bottom"/>
          </w:tcPr>
          <w:p>
            <w:pPr>
              <w:spacing w:after="0"/>
              <w:rPr>
                <w:sz w:val="22"/>
                <w:szCs w:val="22"/>
                <w:color w:val="auto"/>
              </w:rPr>
            </w:pPr>
          </w:p>
        </w:tc>
      </w:tr>
      <w:tr>
        <w:trPr>
          <w:trHeight w:val="25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2,213</w:t>
            </w: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4,179</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22"/>
                <w:szCs w:val="22"/>
                <w:color w:val="auto"/>
              </w:rPr>
            </w:pPr>
          </w:p>
        </w:tc>
      </w:tr>
      <w:tr>
        <w:trPr>
          <w:trHeight w:val="263"/>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620" w:type="dxa"/>
            <w:vAlign w:val="bottom"/>
            <w:tcBorders>
              <w:right w:val="single" w:sz="8" w:color="CCEEFF"/>
            </w:tcBorders>
            <w:shd w:val="clear" w:color="auto" w:fill="CCEEFF"/>
          </w:tcPr>
          <w:p>
            <w:pPr>
              <w:spacing w:after="0"/>
              <w:rPr>
                <w:sz w:val="21"/>
                <w:szCs w:val="21"/>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40,871</w:t>
            </w:r>
          </w:p>
        </w:tc>
        <w:tc>
          <w:tcPr>
            <w:tcW w:w="220" w:type="dxa"/>
            <w:vAlign w:val="bottom"/>
            <w:shd w:val="clear" w:color="auto" w:fill="CCEEFF"/>
          </w:tcPr>
          <w:p>
            <w:pPr>
              <w:spacing w:after="0"/>
              <w:rPr>
                <w:sz w:val="21"/>
                <w:szCs w:val="21"/>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30,089</w:t>
            </w:r>
          </w:p>
        </w:tc>
        <w:tc>
          <w:tcPr>
            <w:tcW w:w="2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8,425</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6,203</w:t>
            </w:r>
          </w:p>
        </w:tc>
        <w:tc>
          <w:tcPr>
            <w:tcW w:w="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-1971040</wp:posOffset>
            </wp:positionV>
            <wp:extent cx="1460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-1971040</wp:posOffset>
            </wp:positionV>
            <wp:extent cx="1460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-1971040</wp:posOffset>
            </wp:positionV>
            <wp:extent cx="35744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-2348230</wp:posOffset>
            </wp:positionV>
            <wp:extent cx="1460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-2348230</wp:posOffset>
            </wp:positionV>
            <wp:extent cx="1460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-2348230</wp:posOffset>
            </wp:positionV>
            <wp:extent cx="35744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-2700020</wp:posOffset>
            </wp:positionV>
            <wp:extent cx="1460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-2700020</wp:posOffset>
            </wp:positionV>
            <wp:extent cx="1460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-2700020</wp:posOffset>
            </wp:positionV>
            <wp:extent cx="35744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-4388485</wp:posOffset>
            </wp:positionV>
            <wp:extent cx="1460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-4388485</wp:posOffset>
            </wp:positionV>
            <wp:extent cx="1460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-4388485</wp:posOffset>
            </wp:positionV>
            <wp:extent cx="35744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-5528310</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-5528310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-5528310</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71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71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1543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-170815</wp:posOffset>
            </wp:positionV>
            <wp:extent cx="43973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9737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-959485</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-959485</wp:posOffset>
            </wp:positionV>
            <wp:extent cx="137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-959485</wp:posOffset>
            </wp:positionV>
            <wp:extent cx="137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2019 and 2020</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Revenues, net</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r>
      <w:tr>
        <w:trPr>
          <w:trHeight w:val="200"/>
        </w:trPr>
        <w:tc>
          <w:tcPr>
            <w:tcW w:w="5020" w:type="dxa"/>
            <w:vAlign w:val="bottom"/>
          </w:tcPr>
          <w:p>
            <w:pPr>
              <w:spacing w:after="0"/>
              <w:rPr>
                <w:sz w:val="17"/>
                <w:szCs w:val="17"/>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20" w:type="dxa"/>
            <w:vAlign w:val="bottom"/>
          </w:tcPr>
          <w:p>
            <w:pPr>
              <w:spacing w:after="0"/>
              <w:rPr>
                <w:sz w:val="2"/>
                <w:szCs w:val="2"/>
                <w:color w:val="auto"/>
              </w:rPr>
            </w:pPr>
          </w:p>
        </w:tc>
        <w:tc>
          <w:tcPr>
            <w:tcW w:w="3200" w:type="dxa"/>
            <w:vAlign w:val="bottom"/>
            <w:tcBorders>
              <w:bottom w:val="single" w:sz="8" w:color="auto"/>
            </w:tcBorders>
            <w:gridSpan w:val="9"/>
          </w:tcPr>
          <w:p>
            <w:pPr>
              <w:spacing w:after="0"/>
              <w:rPr>
                <w:sz w:val="2"/>
                <w:szCs w:val="2"/>
                <w:color w:val="auto"/>
              </w:rPr>
            </w:pPr>
          </w:p>
        </w:tc>
      </w:tr>
      <w:tr>
        <w:trPr>
          <w:trHeight w:val="199"/>
        </w:trPr>
        <w:tc>
          <w:tcPr>
            <w:tcW w:w="5020" w:type="dxa"/>
            <w:vAlign w:val="bottom"/>
          </w:tcPr>
          <w:p>
            <w:pPr>
              <w:spacing w:after="0"/>
              <w:rPr>
                <w:sz w:val="17"/>
                <w:szCs w:val="17"/>
                <w:color w:val="auto"/>
              </w:rPr>
            </w:pPr>
          </w:p>
        </w:tc>
        <w:tc>
          <w:tcPr>
            <w:tcW w:w="3200" w:type="dxa"/>
            <w:vAlign w:val="bottom"/>
            <w:gridSpan w:val="9"/>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network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$36,389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93,265</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$56,876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6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50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$87,947</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173,978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$86,031</w:t>
            </w:r>
          </w:p>
        </w:tc>
        <w:tc>
          <w:tcPr>
            <w:tcW w:w="400" w:type="dxa"/>
            <w:vAlign w:val="bottom"/>
          </w:tcPr>
          <w:p>
            <w:pPr>
              <w:spacing w:after="0"/>
              <w:rPr>
                <w:sz w:val="22"/>
                <w:szCs w:val="2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5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-1165225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-1165225</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-1165225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1099" w:firstLine="360"/>
        <w:spacing w:after="0" w:line="246" w:lineRule="auto"/>
        <w:rPr>
          <w:sz w:val="20"/>
          <w:szCs w:val="20"/>
          <w:color w:val="auto"/>
        </w:rPr>
      </w:pPr>
      <w:r>
        <w:rPr>
          <w:rFonts w:ascii="Times New Roman" w:cs="Times New Roman" w:eastAsia="Times New Roman" w:hAnsi="Times New Roman"/>
          <w:sz w:val="18"/>
          <w:szCs w:val="18"/>
          <w:color w:val="auto"/>
        </w:rPr>
        <w:t>Total revenues, net for the three months ended September 30, 2020, increased by $86.0 million, or 98%, compared to the three months ended September 30, 2019 primarily due to an increase of</w:t>
      </w:r>
    </w:p>
    <w:p>
      <w:pPr>
        <w:spacing w:after="0" w:line="1" w:lineRule="exact"/>
        <w:rPr>
          <w:sz w:val="20"/>
          <w:szCs w:val="20"/>
          <w:color w:val="auto"/>
        </w:rPr>
      </w:pPr>
    </w:p>
    <w:p>
      <w:pPr>
        <w:ind w:left="1260" w:right="699"/>
        <w:spacing w:after="0" w:line="237" w:lineRule="auto"/>
        <w:rPr>
          <w:sz w:val="20"/>
          <w:szCs w:val="20"/>
          <w:color w:val="auto"/>
        </w:rPr>
      </w:pPr>
      <w:r>
        <w:rPr>
          <w:rFonts w:ascii="Times New Roman" w:cs="Times New Roman" w:eastAsia="Times New Roman" w:hAnsi="Times New Roman"/>
          <w:sz w:val="18"/>
          <w:szCs w:val="18"/>
          <w:color w:val="auto"/>
        </w:rPr>
        <w:t>$614.6 million in GMV on our platform from $861.3 million during the three months ended September 30, 2019 to $1,475.9 million during the three months ended September 30, 2020. This increase in GMV was driven by the strong network effects of the expansion of our active merchant base from approximately 3,600 at September 30, 2019 to approximately 6,500 at September 30, 2020 and organic growth in both active consumers from 2.4 million to 3.9 million and average transactions per consumer from 2.0 to 2.2, each during the three months ended September 30, 2019, and 2020, respectively.</w:t>
      </w:r>
    </w:p>
    <w:p>
      <w:pPr>
        <w:spacing w:after="0" w:line="115" w:lineRule="exact"/>
        <w:rPr>
          <w:sz w:val="20"/>
          <w:szCs w:val="20"/>
          <w:color w:val="auto"/>
        </w:rPr>
      </w:pPr>
    </w:p>
    <w:p>
      <w:pPr>
        <w:ind w:left="1260" w:right="8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Merchant network revenue </w:t>
      </w:r>
      <w:r>
        <w:rPr>
          <w:rFonts w:ascii="Times New Roman" w:cs="Times New Roman" w:eastAsia="Times New Roman" w:hAnsi="Times New Roman"/>
          <w:sz w:val="18"/>
          <w:szCs w:val="18"/>
          <w:color w:val="auto"/>
        </w:rPr>
        <w:t>increased by $56.9 million, or 156%,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For the three months ended September 30, 2020, merchant network revenue as a percentage of GMV increased to 6.3% versus 4.2% in the prior year period.</w:t>
      </w:r>
    </w:p>
    <w:p>
      <w:pPr>
        <w:spacing w:after="0" w:line="95" w:lineRule="exact"/>
        <w:rPr>
          <w:sz w:val="20"/>
          <w:szCs w:val="20"/>
          <w:color w:val="auto"/>
        </w:rPr>
      </w:pPr>
    </w:p>
    <w:p>
      <w:pPr>
        <w:ind w:left="1260" w:right="719" w:firstLine="360"/>
        <w:spacing w:after="0" w:line="237" w:lineRule="auto"/>
        <w:rPr>
          <w:sz w:val="20"/>
          <w:szCs w:val="20"/>
          <w:color w:val="auto"/>
        </w:rPr>
      </w:pPr>
      <w:r>
        <w:rPr>
          <w:rFonts w:ascii="Times New Roman" w:cs="Times New Roman" w:eastAsia="Times New Roman" w:hAnsi="Times New Roman"/>
          <w:sz w:val="18"/>
          <w:szCs w:val="18"/>
          <w:color w:val="auto"/>
        </w:rPr>
        <w:t>The increases in merchant network revenue were primarily driven by growth in GMV coupled with higher proportions of 0% APR loans and longer duration loans, and higher AOVs. Merchant network revenue growth is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order value of our loans, and typically decreases in higher APR loans. Specifically, 0% APR loans typically carry higher merchant fees as a percentage of GMV. GMV in the three months ended September 30, 2020 increased 71% compared to the same period in the prior fiscal year. For the three months ended September 30, 2020, the proportion of 0% APR loans increased to 46% of our total GMV, compared to 31% for the three months ended September 30, 2019. For the three months ended September 30, 2020, loans with a term length greater than 12 months accounted for 40% of GMV, compared with 24% for the three months ended September 30, 2019. Finally, for the three months ended September 30, 2020, AOV was $661, an increase of 11% from $594 in the three months ended September 30, 2019.</w:t>
      </w:r>
    </w:p>
    <w:p>
      <w:pPr>
        <w:spacing w:after="0" w:line="122" w:lineRule="exact"/>
        <w:rPr>
          <w:sz w:val="20"/>
          <w:szCs w:val="20"/>
          <w:color w:val="auto"/>
        </w:rPr>
      </w:pPr>
    </w:p>
    <w:p>
      <w:pPr>
        <w:ind w:left="1260" w:right="75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Virtual card network revenue </w:t>
      </w:r>
      <w:r>
        <w:rPr>
          <w:rFonts w:ascii="Times New Roman" w:cs="Times New Roman" w:eastAsia="Times New Roman" w:hAnsi="Times New Roman"/>
          <w:sz w:val="18"/>
          <w:szCs w:val="18"/>
          <w:color w:val="auto"/>
        </w:rPr>
        <w:t>increased by $2.4 million, or 65%,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This increase was driven by an increase in GMV processed through our issuer processor due to increased activity on our virtual card-enabled mobile app as well as growth in existing and new merchants on our virtual card platform. Additionally, we entered into a partnership agreement with a payment processor in August 2019 for the use of its branded cards on our virtual card platform in exchange for volume-based incentive payments, which yielded $ 0.4 million of incremental revenue on virtual card transactions during the three months ended September 30, 2020, compared to less than $0.1 million during the same three month period in the prior year as the program was just beginning.</w:t>
      </w:r>
    </w:p>
    <w:p>
      <w:pPr>
        <w:spacing w:after="0" w:line="12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increased by $14.1 million, or 35%, compared to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Generally, interest income is correlated with the changes in the average balance of loans held for investment as we recognize interest on loans held for investment using the effective interest method over the life of the loan. During the same period, the average balance of loans held for investment increased by 59%, from $772.0 million during the three months ended September 30, 2019 to $1,224.2 million during the</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5" w:lineRule="auto"/>
        <w:rPr>
          <w:sz w:val="20"/>
          <w:szCs w:val="20"/>
          <w:color w:val="auto"/>
        </w:rPr>
      </w:pPr>
      <w:r>
        <w:rPr>
          <w:rFonts w:ascii="Times New Roman" w:cs="Times New Roman" w:eastAsia="Times New Roman" w:hAnsi="Times New Roman"/>
          <w:sz w:val="18"/>
          <w:szCs w:val="18"/>
          <w:color w:val="auto"/>
        </w:rPr>
        <w:t>three months ended September 30, 2020. As an annualized percentage of average loans held for investment, total interest income decreased from approximately 21% to 18%. This decrease was driven by an increase in the amount of 0% APR loans being held on our balance sheet as a percentage of the total loans held for investment, which averaged 27% during the three months ended September 30, 2019, compared to 45% during the three months ended September 30, 2020. The shift was largely due to strong volume of longer-term 0% APR loans. While we do recognize interest income on 0% APR loans via the amortization of the loan discount, this is generally earned at a lower rate than consumer interest on interest-bearing loans.</w:t>
      </w:r>
    </w:p>
    <w:p>
      <w:pPr>
        <w:spacing w:after="0" w:line="106"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(loss) on sales of loans </w:t>
      </w:r>
      <w:r>
        <w:rPr>
          <w:rFonts w:ascii="Times New Roman" w:cs="Times New Roman" w:eastAsia="Times New Roman" w:hAnsi="Times New Roman"/>
          <w:sz w:val="18"/>
          <w:szCs w:val="18"/>
          <w:color w:val="auto"/>
        </w:rPr>
        <w:t>increased by $10.7 million, or 187%,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This increase was primarily due to more favorable loan sale pricing terms and increased loan sale volume, as the percentage of loan sales to third-party loan owners when compared to loans retained on balance sheet remained relatively consistent between the two periods.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Servicing income </w:t>
      </w:r>
      <w:r>
        <w:rPr>
          <w:rFonts w:ascii="Times New Roman" w:cs="Times New Roman" w:eastAsia="Times New Roman" w:hAnsi="Times New Roman"/>
          <w:sz w:val="18"/>
          <w:szCs w:val="18"/>
          <w:color w:val="auto"/>
        </w:rPr>
        <w:t>increased by $2.0 million, or 98%, compared to the three months ended</w:t>
      </w:r>
    </w:p>
    <w:p>
      <w:pPr>
        <w:spacing w:after="0" w:line="29" w:lineRule="exact"/>
        <w:rPr>
          <w:sz w:val="20"/>
          <w:szCs w:val="20"/>
          <w:color w:val="auto"/>
        </w:rPr>
      </w:pPr>
    </w:p>
    <w:p>
      <w:pPr>
        <w:jc w:val="both"/>
        <w:ind w:left="1260" w:right="739"/>
        <w:spacing w:after="0" w:line="255" w:lineRule="auto"/>
        <w:rPr>
          <w:sz w:val="20"/>
          <w:szCs w:val="20"/>
          <w:color w:val="auto"/>
        </w:rPr>
      </w:pPr>
      <w:r>
        <w:rPr>
          <w:rFonts w:ascii="Times New Roman" w:cs="Times New Roman" w:eastAsia="Times New Roman" w:hAnsi="Times New Roman"/>
          <w:sz w:val="18"/>
          <w:szCs w:val="18"/>
          <w:color w:val="auto"/>
        </w:rPr>
        <w:t>September 30, 2019. This increase was primarily due to an increase in the average unpaid principal balance of loans owned by third-party loan owners and increases in negotiated servicing rates with new and existing loan buyers over the past year.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Loss on Loan Purchase Commitment</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5100" w:type="dxa"/>
            <w:vAlign w:val="bottom"/>
          </w:tcPr>
          <w:p>
            <w:pPr>
              <w:spacing w:after="0"/>
              <w:rPr>
                <w:sz w:val="16"/>
                <w:szCs w:val="16"/>
                <w:color w:val="auto"/>
              </w:rPr>
            </w:pP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510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9"/>
        </w:trPr>
        <w:tc>
          <w:tcPr>
            <w:tcW w:w="5100" w:type="dxa"/>
            <w:vAlign w:val="bottom"/>
          </w:tcPr>
          <w:p>
            <w:pPr>
              <w:spacing w:after="0"/>
              <w:rPr>
                <w:sz w:val="17"/>
                <w:szCs w:val="17"/>
                <w:color w:val="auto"/>
              </w:rPr>
            </w:pPr>
          </w:p>
        </w:tc>
        <w:tc>
          <w:tcPr>
            <w:tcW w:w="3120" w:type="dxa"/>
            <w:vAlign w:val="bottom"/>
            <w:gridSpan w:val="5"/>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8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$19,961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$65,868</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$45,907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5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404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4040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-487680</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-487680</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-487680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Loss on loan purchase commitment increased by $45.9 million, or 230%, compared to the three months ended September 30, 2019. This increase was due to a significant increase in the volume of loans purchased above fair market value, primarily as a result of an increase in purchases of 0% APR loans from our originating bank partner during the period. During the three months ended September 30, 2020, we purchased $1,524.1 million of loan receivables in total from our originating bank partner, representing an increase of $623.7 million, or 69%, compared to the three months ended September 30, 2019.</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5100" w:type="dxa"/>
            <w:vAlign w:val="bottom"/>
          </w:tcPr>
          <w:p>
            <w:pPr>
              <w:spacing w:after="0"/>
              <w:rPr>
                <w:sz w:val="16"/>
                <w:szCs w:val="16"/>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510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200"/>
        </w:trPr>
        <w:tc>
          <w:tcPr>
            <w:tcW w:w="5100" w:type="dxa"/>
            <w:vAlign w:val="bottom"/>
          </w:tcPr>
          <w:p>
            <w:pPr>
              <w:spacing w:after="0"/>
              <w:rPr>
                <w:sz w:val="17"/>
                <w:szCs w:val="17"/>
                <w:color w:val="auto"/>
              </w:rPr>
            </w:pPr>
          </w:p>
        </w:tc>
        <w:tc>
          <w:tcPr>
            <w:tcW w:w="3120" w:type="dxa"/>
            <w:vAlign w:val="bottom"/>
            <w:gridSpan w:val="5"/>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99"/>
              </w:rPr>
              <w:t>$24,844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$15,423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315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-488315</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-488315</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w:t>
      </w:r>
    </w:p>
    <w:p>
      <w:pPr>
        <w:spacing w:after="0" w:line="108"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increased by 62%, compared to the three months ended September 30, 2019, while the balance of loans held for investment increased 75%, compared to the prior period. Provision for credit losses increased by $15.4 million, or 62%, compared to the three months ended September 30, 2019. The smaller increase in the provision for credit losses as compared to the respective increases in the allowance for credit losses and loans held for investment was driven by lower credit losses and improved credit quality of the portfolio.</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Funding Costs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528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52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2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199"/>
        </w:trPr>
        <w:tc>
          <w:tcPr>
            <w:tcW w:w="5280" w:type="dxa"/>
            <w:vAlign w:val="bottom"/>
          </w:tcPr>
          <w:p>
            <w:pPr>
              <w:spacing w:after="0"/>
              <w:rPr>
                <w:sz w:val="17"/>
                <w:szCs w:val="17"/>
                <w:color w:val="auto"/>
              </w:rPr>
            </w:pPr>
          </w:p>
        </w:tc>
        <w:tc>
          <w:tcPr>
            <w:tcW w:w="2940" w:type="dxa"/>
            <w:vAlign w:val="bottom"/>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costs</w:t>
            </w:r>
          </w:p>
        </w:tc>
        <w:tc>
          <w:tcPr>
            <w:tcW w:w="7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$8,128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3515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-487680</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-487680</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-487680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1320" w:firstLine="360"/>
        <w:spacing w:after="0" w:line="241" w:lineRule="auto"/>
        <w:rPr>
          <w:sz w:val="20"/>
          <w:szCs w:val="20"/>
          <w:color w:val="auto"/>
        </w:rPr>
      </w:pPr>
      <w:r>
        <w:rPr>
          <w:rFonts w:ascii="Times New Roman" w:cs="Times New Roman" w:eastAsia="Times New Roman" w:hAnsi="Times New Roman"/>
          <w:sz w:val="18"/>
          <w:szCs w:val="18"/>
          <w:color w:val="auto"/>
        </w:rPr>
        <w:t>Funding costs increased by $2.2 million, or 27%, compared to the three months ended September 30, 2019. This increase was due to an increase in average funding debt offset by lower average market interest rates. The balance of funding debt and notes issued by securitization trusts increased by $580.7 million combined, or 94%, from September 30, 2019 to September 30, 2020, whereas the average reference interest rate for the three months ended September 30, 2020 decreased by 93% compared with the three months ended September 30, 2019.</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Processing and Servicing</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528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52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2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199"/>
        </w:trPr>
        <w:tc>
          <w:tcPr>
            <w:tcW w:w="5280" w:type="dxa"/>
            <w:vAlign w:val="bottom"/>
          </w:tcPr>
          <w:p>
            <w:pPr>
              <w:spacing w:after="0"/>
              <w:rPr>
                <w:sz w:val="17"/>
                <w:szCs w:val="17"/>
                <w:color w:val="auto"/>
              </w:rPr>
            </w:pPr>
          </w:p>
        </w:tc>
        <w:tc>
          <w:tcPr>
            <w:tcW w:w="2940" w:type="dxa"/>
            <w:vAlign w:val="bottom"/>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servicing</w:t>
            </w:r>
          </w:p>
        </w:tc>
        <w:tc>
          <w:tcPr>
            <w:tcW w:w="7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$9,695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3515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-487680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-487680</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-487680</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1480" w:firstLine="360"/>
        <w:spacing w:after="0" w:line="245" w:lineRule="auto"/>
        <w:rPr>
          <w:sz w:val="20"/>
          <w:szCs w:val="20"/>
          <w:color w:val="auto"/>
        </w:rPr>
      </w:pPr>
      <w:r>
        <w:rPr>
          <w:rFonts w:ascii="Times New Roman" w:cs="Times New Roman" w:eastAsia="Times New Roman" w:hAnsi="Times New Roman"/>
          <w:sz w:val="18"/>
          <w:szCs w:val="18"/>
          <w:color w:val="auto"/>
        </w:rPr>
        <w:t>Processing and servicing expense increased by $3.8 million, or 39%, compared to the three months ended September 30, 2019. This increase was primarily due to a $1.4 million, or 48%, increase in third-party loan servicing and collections costs and a $ 1.4 million, or 30%, increase in payment processing fees due to increased servicing activity and payments volume.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Data Analytics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5180" w:type="dxa"/>
            <w:vAlign w:val="bottom"/>
          </w:tcPr>
          <w:p>
            <w:pPr>
              <w:spacing w:after="0"/>
              <w:rPr>
                <w:sz w:val="16"/>
                <w:szCs w:val="16"/>
                <w:color w:val="auto"/>
              </w:rPr>
            </w:pP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518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200"/>
        </w:trPr>
        <w:tc>
          <w:tcPr>
            <w:tcW w:w="5180" w:type="dxa"/>
            <w:vAlign w:val="bottom"/>
          </w:tcPr>
          <w:p>
            <w:pPr>
              <w:spacing w:after="0"/>
              <w:rPr>
                <w:sz w:val="17"/>
                <w:szCs w:val="17"/>
                <w:color w:val="auto"/>
              </w:rPr>
            </w:pPr>
          </w:p>
        </w:tc>
        <w:tc>
          <w:tcPr>
            <w:tcW w:w="304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8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$25,368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$8,400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918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-488315</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-488315</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1360" w:firstLine="360"/>
        <w:spacing w:after="0"/>
        <w:rPr>
          <w:sz w:val="20"/>
          <w:szCs w:val="20"/>
          <w:color w:val="auto"/>
        </w:rPr>
      </w:pPr>
      <w:r>
        <w:rPr>
          <w:rFonts w:ascii="Times New Roman" w:cs="Times New Roman" w:eastAsia="Times New Roman" w:hAnsi="Times New Roman"/>
          <w:sz w:val="18"/>
          <w:szCs w:val="18"/>
          <w:color w:val="auto"/>
        </w:rPr>
        <w:t>Technology and data analytics expense increased by $8.4 million, or 33%, compared to the three months ended September 30, 2019. This increase was primarily due to an $3.5 million, or 24%, increase in engineering, product, and data science headcount costs, net of capitalized costs for internally developed software to continue to support our growth and product development initiatives. Additionally, there was a $3.2 million, or 92%, increase in data infrastructure and hosting costs due to higher transaction and application volume, whereas we only saw a $0.1 million, or 3%, increase in underwriting data provider costs due to cost improvements achieved as a result of contract renegotiations.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9"/>
        </w:trPr>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7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tcPr>
          <w:p>
            <w:pPr>
              <w:spacing w:after="0"/>
              <w:rPr>
                <w:sz w:val="17"/>
                <w:szCs w:val="17"/>
                <w:color w:val="auto"/>
              </w:rPr>
            </w:pPr>
          </w:p>
        </w:tc>
      </w:tr>
      <w:tr>
        <w:trPr>
          <w:trHeight w:val="24"/>
        </w:trPr>
        <w:tc>
          <w:tcPr>
            <w:tcW w:w="1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40" w:type="dxa"/>
            <w:vAlign w:val="bottom"/>
          </w:tcPr>
          <w:p>
            <w:pPr>
              <w:spacing w:after="0"/>
              <w:rPr>
                <w:sz w:val="2"/>
                <w:szCs w:val="2"/>
                <w:color w:val="auto"/>
              </w:rPr>
            </w:pPr>
          </w:p>
        </w:tc>
      </w:tr>
      <w:tr>
        <w:trPr>
          <w:trHeight w:val="199"/>
        </w:trPr>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2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40" w:type="dxa"/>
            <w:vAlign w:val="bottom"/>
          </w:tcPr>
          <w:p>
            <w:pPr>
              <w:spacing w:after="0"/>
              <w:rPr>
                <w:sz w:val="17"/>
                <w:szCs w:val="17"/>
                <w:color w:val="auto"/>
              </w:rPr>
            </w:pPr>
          </w:p>
        </w:tc>
      </w:tr>
      <w:tr>
        <w:trPr>
          <w:trHeight w:val="24"/>
        </w:trPr>
        <w:tc>
          <w:tcPr>
            <w:tcW w:w="126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$5,219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$17,363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40" w:type="dxa"/>
            <w:vAlign w:val="bottom"/>
          </w:tcPr>
          <w:p>
            <w:pPr>
              <w:spacing w:after="0"/>
              <w:rPr>
                <w:sz w:val="20"/>
                <w:szCs w:val="20"/>
                <w:color w:val="auto"/>
              </w:rPr>
            </w:pPr>
          </w:p>
        </w:tc>
      </w:tr>
      <w:tr>
        <w:trPr>
          <w:trHeight w:val="270"/>
        </w:trPr>
        <w:tc>
          <w:tcPr>
            <w:tcW w:w="44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580"/>
        </w:trPr>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-967740</wp:posOffset>
            </wp:positionV>
            <wp:extent cx="33000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0009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-1122045</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-1122045</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12" w:name="page113"/>
    <w:bookmarkEnd w:id="1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Sales and marketing expense increased by $17.4 million, or 333%, compared to the three months ended September 30, 2019. This increase was primarily due to $14.3 million of expense associated with the amortization of an asset associated with our commercial agreement with Shopify Inc., which was executed in July 2020. This asset represents the probable future economic benefit to be realized over the four-year expected benefit period and is valued based on the fair value of the warrants granted to Shopify Inc. under such commercial agreement at the grant date. This value is amortized on a straight-line basis over the four-year period. We recognized an asset of $67.6 million associated with the fair value of the portion of the warrants that vested as of September 30, 2020.</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5180" w:type="dxa"/>
            <w:vAlign w:val="bottom"/>
          </w:tcPr>
          <w:p>
            <w:pPr>
              <w:spacing w:after="0"/>
              <w:rPr>
                <w:sz w:val="16"/>
                <w:szCs w:val="16"/>
                <w:color w:val="auto"/>
              </w:rPr>
            </w:pP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9"/>
        </w:trPr>
        <w:tc>
          <w:tcPr>
            <w:tcW w:w="5180" w:type="dxa"/>
            <w:vAlign w:val="bottom"/>
          </w:tcPr>
          <w:p>
            <w:pPr>
              <w:spacing w:after="0"/>
              <w:rPr>
                <w:sz w:val="17"/>
                <w:szCs w:val="17"/>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r>
      <w:tr>
        <w:trPr>
          <w:trHeight w:val="200"/>
        </w:trPr>
        <w:tc>
          <w:tcPr>
            <w:tcW w:w="5180" w:type="dxa"/>
            <w:vAlign w:val="bottom"/>
          </w:tcPr>
          <w:p>
            <w:pPr>
              <w:spacing w:after="0"/>
              <w:rPr>
                <w:sz w:val="17"/>
                <w:szCs w:val="17"/>
                <w:color w:val="auto"/>
              </w:rPr>
            </w:pPr>
          </w:p>
        </w:tc>
        <w:tc>
          <w:tcPr>
            <w:tcW w:w="304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5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$27,704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2918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137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-488315</wp:posOffset>
            </wp:positionV>
            <wp:extent cx="137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-488315</wp:posOffset>
            </wp:positionV>
            <wp:extent cx="137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$4.6 million, or 16%, compared to the three months ended September 30, 2019. This increase was primarily due to an increase of $2.9 million, or 19%, in personnel costs as a result of increased headcount as we grew our finance, legal, operations, and administrative organizations. Additionally, professional fees increased by $1.2 million, or 31%, during the period to support our international expansion and regulatory compliance programs.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5200" w:type="dxa"/>
            <w:vAlign w:val="bottom"/>
          </w:tcPr>
          <w:p>
            <w:pPr>
              <w:spacing w:after="0"/>
              <w:rPr>
                <w:sz w:val="16"/>
                <w:szCs w:val="16"/>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00"/>
        </w:trPr>
        <w:tc>
          <w:tcPr>
            <w:tcW w:w="5200" w:type="dxa"/>
            <w:vAlign w:val="bottom"/>
          </w:tcPr>
          <w:p>
            <w:pPr>
              <w:spacing w:after="0"/>
              <w:rPr>
                <w:sz w:val="17"/>
                <w:szCs w:val="17"/>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5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5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$2,273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$27,172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tcPr>
          <w:p>
            <w:pPr>
              <w:spacing w:after="0"/>
              <w:rPr>
                <w:sz w:val="21"/>
                <w:szCs w:val="21"/>
                <w:color w:val="auto"/>
              </w:rPr>
            </w:pP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-334010</wp:posOffset>
            </wp:positionV>
            <wp:extent cx="33000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-488315</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-488315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-488315</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other income (expense), net was primarily comprised of a gain of $30.1 million recognized upon the conversion of convertible notes into shares of Series G-1 preferred stock. The conversion was accounted for as a debt extinguishment and this gain represented the difference between the carrying value of the debt at the time of extinguishment and the allocated proceeds.</w:t>
      </w:r>
    </w:p>
    <w:p>
      <w:pPr>
        <w:spacing w:after="0" w:line="99"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other income (expense), net was primarily comprised of interest earned on money market funds of $1.7 million and gains on our constant maturity swaps of $0.4 million.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net loss decreased to $15.3 million from $30.8 million for the three months ended September 30, 2019. The decrease in net loss was primarily due to the gain recognized upon the conversion of convertible notes into Series G-1 preferred stock, partially offset by amortization of our Shopify Inc. commercial agreement asset.</w:t>
      </w:r>
    </w:p>
    <w:p>
      <w:pPr>
        <w:spacing w:after="0" w:line="11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Stock-based compensation expense amounted to $9.3 million and $7.2 million for the three months ended September 30, 2019 and 2020, respectively, of which $8.4 million and $6.2 million, respectively, was recorded within operating expenses on our consolidated statement of operations. The remaining stock- based compensation expense of $0.9 million and $1.0 million was capitalized as part of property, equipment and software, net on our consolidated balance sheet.</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Comparison of Years Ended June 30, 2019 and 2020</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Revenues, net</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60" w:type="dxa"/>
            <w:vAlign w:val="bottom"/>
            <w:gridSpan w:val="3"/>
          </w:tcPr>
          <w:p>
            <w:pPr>
              <w:spacing w:after="0"/>
              <w:rPr>
                <w:sz w:val="2"/>
                <w:szCs w:val="2"/>
                <w:color w:val="auto"/>
              </w:rPr>
            </w:pPr>
          </w:p>
        </w:tc>
      </w:tr>
      <w:tr>
        <w:trPr>
          <w:trHeight w:val="200"/>
        </w:trPr>
        <w:tc>
          <w:tcPr>
            <w:tcW w:w="3880" w:type="dxa"/>
            <w:vAlign w:val="bottom"/>
          </w:tcPr>
          <w:p>
            <w:pPr>
              <w:spacing w:after="0"/>
              <w:rPr>
                <w:sz w:val="17"/>
                <w:szCs w:val="17"/>
                <w:color w:val="auto"/>
              </w:rPr>
            </w:pPr>
          </w:p>
        </w:tc>
        <w:tc>
          <w:tcPr>
            <w:tcW w:w="92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0"/>
        </w:trPr>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network revenue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$132,363</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$124,389</w:t>
            </w:r>
          </w:p>
        </w:tc>
        <w:tc>
          <w:tcPr>
            <w:tcW w:w="1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80" w:type="dxa"/>
            <w:vAlign w:val="bottom"/>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119,404</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67,326</w:t>
            </w:r>
          </w:p>
        </w:tc>
        <w:tc>
          <w:tcPr>
            <w:tcW w:w="18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income</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189%</w:t>
            </w:r>
          </w:p>
        </w:tc>
      </w:tr>
      <w:tr>
        <w:trPr>
          <w:trHeight w:val="20"/>
        </w:trPr>
        <w:tc>
          <w:tcPr>
            <w:tcW w:w="3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$264,367</w:t>
            </w:r>
          </w:p>
        </w:tc>
        <w:tc>
          <w:tcPr>
            <w:tcW w:w="1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$509,528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$245,161</w:t>
            </w:r>
          </w:p>
        </w:tc>
        <w:tc>
          <w:tcPr>
            <w:tcW w:w="180" w:type="dxa"/>
            <w:vAlign w:val="bottom"/>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-1165225</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-1165225</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-1165225</wp:posOffset>
            </wp:positionV>
            <wp:extent cx="137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Total revenues, net for the fiscal year ended June 30, 2020, increased by $245.2 million, or 93%, compared to the fiscal year ended June 30, 2019 primarily due to an increase of $ 2,017.2 million in GMV on our platform from $2,620.1 million during the fiscal year ended June 30, 2019 to $4,637.2 million during the fiscal year ended June 30, 2020. This increase in GMV was driven by the strong network effects of the expansion of our active merchant base from approximately 3,000 at June 30, 2019 to approximately 5,600 at June 30, 2020 and organic growth in both active consumers from 2.0 million to 3.6 million and average transactions per consumer from 2.0 to 2.1, each during the fiscal years ended June 30, 2019, and 2020, respectively.</w:t>
      </w:r>
    </w:p>
    <w:p>
      <w:pPr>
        <w:spacing w:after="0" w:line="318"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Merchant network revenue </w:t>
      </w:r>
      <w:r>
        <w:rPr>
          <w:rFonts w:ascii="Times New Roman" w:cs="Times New Roman" w:eastAsia="Times New Roman" w:hAnsi="Times New Roman"/>
          <w:sz w:val="18"/>
          <w:szCs w:val="18"/>
          <w:color w:val="auto"/>
        </w:rPr>
        <w:t>increased by $124.4 million, or 94%, compared to the fiscal year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2019. For the fiscal year ended June 30, 2020, merchant network revenue as a percentage of GMV increased to 5.5% versus 5.1% in the prior year period.</w:t>
      </w:r>
    </w:p>
    <w:p>
      <w:pPr>
        <w:spacing w:after="0" w:line="9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increases in current period merchant network revenue were primarily driven by growth in GMV coupled with higher proportions of 0% APR loans and longer duration loans, and was partially offset by lower AOVs. Merchant network revenue growth is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order value of our loans, and typically decreases in higher APR loans. Specifically, 0% APR loans typically carry higher merchant fees as a percentage of GMV. GMV for the fiscal year ended June 30, 2020 increased 77% compared to the prior fiscal year. For the fiscal year ended June 30, 2020, the proportion of 0% APR loans increased to 43% of our total GMV, compared to 33% for the prior year period. For the fiscal year ended June 30, 2020, loans with a term length greater than 12 months accounted for 34% of GMV, compared with 27% for the prior year period. These increases were partially offset by a reduction in AOV to $609 in the year ended June 30, 2020, a decrease of 5% from $639 in the prior year period.</w:t>
      </w:r>
    </w:p>
    <w:p>
      <w:pPr>
        <w:spacing w:after="0" w:line="295"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Virtual card network revenue </w:t>
      </w:r>
      <w:r>
        <w:rPr>
          <w:rFonts w:ascii="Times New Roman" w:cs="Times New Roman" w:eastAsia="Times New Roman" w:hAnsi="Times New Roman"/>
          <w:sz w:val="18"/>
          <w:szCs w:val="18"/>
          <w:color w:val="auto"/>
        </w:rPr>
        <w:t>increased by $11.4 million, or 144 %, compared to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2019. This increase was primarily driven by a $434.2 million, or 84%, increase in GMV processed through our issuer processor, due to increased activity on our virtual card-enabled mobile app as well as our virtual card platform. Additionally, we entered into a partnership agreement with a payment processor in August 2019 for the use of its branded cards on our virtual card platform in exchange for volume-based incentive payments, which yielded $0.9 million of incremental revenue on virtual card transactions.</w:t>
      </w:r>
    </w:p>
    <w:p>
      <w:pPr>
        <w:spacing w:after="0" w:line="11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increased by $67.3 million, or 56%, compared to the fiscal year ended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interest income is strongly correlated with the changes in the average balance of loans held for investment as we recognize interest on loans held for investment using the effective interest method over the life of the loan. During the same period, the average balance of loans held for investment increased by 57%, from $562.6 million during the fiscal year ended June 30, 2019 to $884.9 million during the fiscal year ended June 30, 2020. As a percentage of average loans held for investment, total interest income remained at 21% for both periods.</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This comparison also holds true for the components of interest income, primarily interest income on unpaid principal balances, which increased $59.6 million, or 57%. As a percentage of average loans held for investment, interest income on unpaid principal balances remained at 18% for both the fiscal years ended June 30, 2019 and 2020. Similarly, the amortization of discounts on loans held for investment increased by $13.4 million, or 61%, between the two fiscal years. As a percentage of average loans held for investment, this amount remained constant at 4% between the two fiscal years.</w:t>
      </w:r>
    </w:p>
    <w:p>
      <w:pPr>
        <w:spacing w:after="0" w:line="104"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Gain (loss) on sales of loans </w:t>
      </w:r>
      <w:r>
        <w:rPr>
          <w:rFonts w:ascii="Times New Roman" w:cs="Times New Roman" w:eastAsia="Times New Roman" w:hAnsi="Times New Roman"/>
          <w:sz w:val="18"/>
          <w:szCs w:val="18"/>
          <w:color w:val="auto"/>
        </w:rPr>
        <w:t>increased by $32.3 million compared to the fiscal year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During the fiscal year ended June 30, 2019, we incurred losses on sales of loans of $0.4 million, whereas during the fiscal year ended June 30, 2020, we earned gains on the sales of loans of $31.9 million. This change was due to more favorable loan sale pricing terms, as well as an increase in the percentage of loan sales to third-party loan owners when compared to loans retained on our balance sheet. During the year ended June 30, 2020, we sold loans with an aggregate principal balance of approximately $2,648.3 million, up 161% from the prior year.</w:t>
      </w:r>
    </w:p>
    <w:p>
      <w:pPr>
        <w:spacing w:after="0" w:line="336" w:lineRule="exact"/>
        <w:rPr>
          <w:sz w:val="20"/>
          <w:szCs w:val="20"/>
          <w:color w:val="auto"/>
        </w:rPr>
      </w:pPr>
    </w:p>
    <w:p>
      <w:pPr>
        <w:ind w:left="1260" w:right="7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Servicing income </w:t>
      </w:r>
      <w:r>
        <w:rPr>
          <w:rFonts w:ascii="Times New Roman" w:cs="Times New Roman" w:eastAsia="Times New Roman" w:hAnsi="Times New Roman"/>
          <w:sz w:val="18"/>
          <w:szCs w:val="18"/>
          <w:color w:val="auto"/>
        </w:rPr>
        <w:t>increased by $9.7 million, or 189%, compared to the fiscal year ended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due to an increase in the average unpaid principal balance of loans owned by third-party loan owners and increases in negotiated servicing rates with new and existing third-party loan owners.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Loss on Loan Purchase Commitment</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17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9"/>
        </w:trPr>
        <w:tc>
          <w:tcPr>
            <w:tcW w:w="428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2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r>
      <w:tr>
        <w:trPr>
          <w:trHeight w:val="200"/>
        </w:trPr>
        <w:tc>
          <w:tcPr>
            <w:tcW w:w="4280" w:type="dxa"/>
            <w:vAlign w:val="bottom"/>
          </w:tcPr>
          <w:p>
            <w:pPr>
              <w:spacing w:after="0"/>
              <w:rPr>
                <w:sz w:val="17"/>
                <w:szCs w:val="17"/>
                <w:color w:val="auto"/>
              </w:rPr>
            </w:pPr>
          </w:p>
        </w:tc>
        <w:tc>
          <w:tcPr>
            <w:tcW w:w="3200" w:type="dxa"/>
            <w:vAlign w:val="bottom"/>
            <w:gridSpan w:val="5"/>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4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99"/>
              </w:rPr>
              <w:t>$73,383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$161,452</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$88,069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-479425</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-479425</wp:posOffset>
            </wp:positionV>
            <wp:extent cx="137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-479425</wp:posOffset>
            </wp:positionV>
            <wp:extent cx="137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Loss on loan purchase commitment increased by $88.1 million, or 120%, compared to the fiscal year ended June 30, 2019. This increase was due to an increase in the volume of loans purchased above fair market value, primarily as a result of an increase in purchases of 0% APR loans, from our originating bank partner during the fiscal year. During the year ended June 30, 2020, we purchased $4,726.5 million of loan receivables in total from our originating bank partner, representing an increase of $1,981.7 million, or 72%, compared to the fiscal year ended June 30, 2019.</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17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428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2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00"/>
        </w:trPr>
        <w:tc>
          <w:tcPr>
            <w:tcW w:w="4280" w:type="dxa"/>
            <w:vAlign w:val="bottom"/>
          </w:tcPr>
          <w:p>
            <w:pPr>
              <w:spacing w:after="0"/>
              <w:rPr>
                <w:sz w:val="17"/>
                <w:szCs w:val="17"/>
                <w:color w:val="auto"/>
              </w:rPr>
            </w:pPr>
          </w:p>
        </w:tc>
        <w:tc>
          <w:tcPr>
            <w:tcW w:w="3200" w:type="dxa"/>
            <w:vAlign w:val="bottom"/>
            <w:gridSpan w:val="5"/>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4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99"/>
              </w:rPr>
              <w:t>$78,025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$105,067</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$27,042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-479425</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w:t>
      </w:r>
    </w:p>
    <w:p>
      <w:pPr>
        <w:spacing w:after="0" w:line="10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increased by 44%, compared to the year ended June 30, 2019, while the balance of loans held for investment increased 41%, compared to the prior period. Provision for credit losses increased by $27.0 million, or 35%, compared to the fiscal year ended June 30, 2019. The smaller increase in the provision for credit losses as compared to the respective increases in the allowance for credit losses and loans held for investment was driven by lower credit losses as compared to the expectation at the beginning of the period. This was partially offset by higher future expected losses on loans held for investment due to worsened economic outlook as a result of COVID-19.</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Funding Costs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0"/>
        </w:trPr>
        <w:tc>
          <w:tcPr>
            <w:tcW w:w="4100" w:type="dxa"/>
            <w:vAlign w:val="bottom"/>
          </w:tcPr>
          <w:p>
            <w:pPr>
              <w:spacing w:after="0"/>
              <w:rPr>
                <w:sz w:val="16"/>
                <w:szCs w:val="16"/>
                <w:color w:val="auto"/>
              </w:rPr>
            </w:pPr>
          </w:p>
        </w:tc>
        <w:tc>
          <w:tcPr>
            <w:tcW w:w="122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0"/>
        </w:trPr>
        <w:tc>
          <w:tcPr>
            <w:tcW w:w="4100" w:type="dxa"/>
            <w:vAlign w:val="bottom"/>
          </w:tcPr>
          <w:p>
            <w:pPr>
              <w:spacing w:after="0"/>
              <w:rPr>
                <w:sz w:val="17"/>
                <w:szCs w:val="17"/>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5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10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9"/>
        </w:trPr>
        <w:tc>
          <w:tcPr>
            <w:tcW w:w="4100" w:type="dxa"/>
            <w:vAlign w:val="bottom"/>
          </w:tcPr>
          <w:p>
            <w:pPr>
              <w:spacing w:after="0"/>
              <w:rPr>
                <w:sz w:val="17"/>
                <w:szCs w:val="17"/>
                <w:color w:val="auto"/>
              </w:rPr>
            </w:pPr>
          </w:p>
        </w:tc>
        <w:tc>
          <w:tcPr>
            <w:tcW w:w="27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660" w:type="dxa"/>
            <w:vAlign w:val="bottom"/>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Costs</w:t>
            </w:r>
          </w:p>
        </w:tc>
        <w:tc>
          <w:tcPr>
            <w:tcW w:w="10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   25,895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137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-479425</wp:posOffset>
            </wp:positionV>
            <wp:extent cx="137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Funding costs increased by $6.4 million, or 25% compared to the fiscal year ended June 30, 2019. This increase was due to an increase in average funding debt offset by lower average market interest rates. The balance of funding debt increased by $248.7 million, or 44%, from the prior period, whereas the average reference interest rate decreased by 39% during the same period.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Processing and Servicing</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0"/>
        </w:trPr>
        <w:tc>
          <w:tcPr>
            <w:tcW w:w="3900" w:type="dxa"/>
            <w:vAlign w:val="bottom"/>
          </w:tcPr>
          <w:p>
            <w:pPr>
              <w:spacing w:after="0"/>
              <w:rPr>
                <w:sz w:val="16"/>
                <w:szCs w:val="16"/>
                <w:color w:val="auto"/>
              </w:rPr>
            </w:pPr>
          </w:p>
        </w:tc>
        <w:tc>
          <w:tcPr>
            <w:tcW w:w="126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90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28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72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Servicing</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   32,669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49,831</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$17,162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-479425</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1119" w:firstLine="360"/>
        <w:spacing w:after="0" w:line="245" w:lineRule="auto"/>
        <w:rPr>
          <w:sz w:val="20"/>
          <w:szCs w:val="20"/>
          <w:color w:val="auto"/>
        </w:rPr>
      </w:pPr>
      <w:r>
        <w:rPr>
          <w:rFonts w:ascii="Times New Roman" w:cs="Times New Roman" w:eastAsia="Times New Roman" w:hAnsi="Times New Roman"/>
          <w:sz w:val="18"/>
          <w:szCs w:val="18"/>
          <w:color w:val="auto"/>
        </w:rPr>
        <w:t>Processing and servicing expense increased by $17.2 million, or 53%, compared to the fiscal year ended June 30, 2019. This increase was due to an $8.1 million, or 68%, increase in third-party loan servicing and collections costs and a $7.5 million increase in payment processing fees due to increased servicing activity and payments volume.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Data Analytics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0"/>
        </w:trPr>
        <w:tc>
          <w:tcPr>
            <w:tcW w:w="3900" w:type="dxa"/>
            <w:vAlign w:val="bottom"/>
          </w:tcPr>
          <w:p>
            <w:pPr>
              <w:spacing w:after="0"/>
              <w:rPr>
                <w:sz w:val="16"/>
                <w:szCs w:val="16"/>
                <w:color w:val="auto"/>
              </w:rPr>
            </w:pPr>
          </w:p>
        </w:tc>
        <w:tc>
          <w:tcPr>
            <w:tcW w:w="126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90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28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72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   76,071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122,378</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$46,307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-479425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Technology and data analytics expense increased by $46.3 million, or 61%, compared to the fiscal year ended June 30, 2019. This increase was primarily due to an $18.5 million, or 39%, increase in engineering, product, and data science headcount costs, net of capitalized costs for internally developed software and to continue to support our growth and product development initiatives. Additionally, there was a $14.1 million, or 140%, increase in data infrastructure and hosting costs, and a $6.7 million, or 70%, increase in underwriting data provider costs due to higher transaction and application volume.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4460" w:type="dxa"/>
            <w:vAlign w:val="bottom"/>
          </w:tcPr>
          <w:p>
            <w:pPr>
              <w:spacing w:after="0"/>
              <w:rPr>
                <w:sz w:val="16"/>
                <w:szCs w:val="16"/>
                <w:color w:val="auto"/>
              </w:rPr>
            </w:pPr>
          </w:p>
        </w:tc>
        <w:tc>
          <w:tcPr>
            <w:tcW w:w="16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4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44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4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200"/>
        </w:trPr>
        <w:tc>
          <w:tcPr>
            <w:tcW w:w="4460" w:type="dxa"/>
            <w:vAlign w:val="bottom"/>
          </w:tcPr>
          <w:p>
            <w:pPr>
              <w:spacing w:after="0"/>
              <w:rPr>
                <w:sz w:val="17"/>
                <w:szCs w:val="17"/>
                <w:color w:val="auto"/>
              </w:rPr>
            </w:pPr>
          </w:p>
        </w:tc>
        <w:tc>
          <w:tcPr>
            <w:tcW w:w="30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4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99"/>
              </w:rPr>
              <w:t>$16,863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$8,181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137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-479425</wp:posOffset>
            </wp:positionV>
            <wp:extent cx="137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 increased by $8.2 million, or 49%, compared to the fiscal year ended June 30, 2019. This increase was primarily due to increased sales and marketing headcount to support our growth and expansion into new product markets, resulting in an increase of $4.9 million, or 42%, in costs.</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39"/>
        <w:spacing w:after="0" w:line="266" w:lineRule="auto"/>
        <w:rPr>
          <w:sz w:val="20"/>
          <w:szCs w:val="20"/>
          <w:color w:val="auto"/>
        </w:rPr>
      </w:pPr>
      <w:r>
        <w:rPr>
          <w:rFonts w:ascii="Times New Roman" w:cs="Times New Roman" w:eastAsia="Times New Roman" w:hAnsi="Times New Roman"/>
          <w:sz w:val="18"/>
          <w:szCs w:val="18"/>
          <w:color w:val="auto"/>
        </w:rPr>
        <w:t>Additionally, marketing directed towards growing our merchant base and supporting existing merchants increased by $1.1 million, or 66%.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17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428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2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00"/>
        </w:trPr>
        <w:tc>
          <w:tcPr>
            <w:tcW w:w="4280" w:type="dxa"/>
            <w:vAlign w:val="bottom"/>
          </w:tcPr>
          <w:p>
            <w:pPr>
              <w:spacing w:after="0"/>
              <w:rPr>
                <w:sz w:val="17"/>
                <w:szCs w:val="17"/>
                <w:color w:val="auto"/>
              </w:rPr>
            </w:pPr>
          </w:p>
        </w:tc>
        <w:tc>
          <w:tcPr>
            <w:tcW w:w="3200" w:type="dxa"/>
            <w:vAlign w:val="bottom"/>
            <w:gridSpan w:val="5"/>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4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99"/>
              </w:rPr>
              <w:t>$88,902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$121,230</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$32,328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-479425</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-479425</wp:posOffset>
            </wp:positionV>
            <wp:extent cx="137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-479425</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General and administrative expenses increased by $ 32.3 million, or 36%, compared to the fiscal year ended June 30, 2019. This increase was primarily due to an increase of $11.2 million, or 20%, in personnel costs and a $3.5 million, or 61%, increase of related occupancy expenses as a result of increased headcount as we grew our finance, legal, operations, and administrative organizations. Additionally, professional fees increased by $4.3 million, or 54%, during the period to support our international expansion and regulatory compliance programs.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4440" w:type="dxa"/>
            <w:vAlign w:val="bottom"/>
          </w:tcPr>
          <w:p>
            <w:pPr>
              <w:spacing w:after="0"/>
              <w:rPr>
                <w:sz w:val="16"/>
                <w:szCs w:val="16"/>
                <w:color w:val="auto"/>
              </w:rPr>
            </w:pP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4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00"/>
        </w:trPr>
        <w:tc>
          <w:tcPr>
            <w:tcW w:w="444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44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4440" w:type="dxa"/>
            <w:vAlign w:val="bottom"/>
          </w:tcPr>
          <w:p>
            <w:pPr>
              <w:spacing w:after="0"/>
              <w:rPr>
                <w:sz w:val="17"/>
                <w:szCs w:val="17"/>
                <w:color w:val="auto"/>
              </w:rPr>
            </w:pPr>
          </w:p>
        </w:tc>
        <w:tc>
          <w:tcPr>
            <w:tcW w:w="31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8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$7,022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$(11,454)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-325120</wp:posOffset>
            </wp:positionV>
            <wp:extent cx="4749165" cy="1631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-479425</wp:posOffset>
            </wp:positionV>
            <wp:extent cx="137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-479425</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-479425</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For the fiscal year ended June 30, 2020, other income (expense), net was primarily comprised of interest earned on money market funds of $3.9 million, offset by losses on our constant maturity swaps and bifurcated derivative liabilities of $7.9 million. For the fiscal year ended June 30, 2019, other income (expense), net was primarily comprised of interest earned on money market funds of $4.0 million and other non-operating income resulting from the release of a tax liability of $3.3 million.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For the fiscal year ended June 30, 2020, net loss decreased to $112.6 million from $120.5 million for the fiscal year ended June 30, 2019, while contribution profit, a non-GAAP measure, increased to approximately $160.9 million from approximately $54.4 million over the same period. The decrease in net loss was attributable to the increase in merchant network revenue and interest income more than offsetting the increase in provision for credit losses, general administrative expenses, loss on loan purchase commitment, technology and data analytics, funding costs, processing and servicing, and sales and marketing.</w:t>
      </w:r>
    </w:p>
    <w:p>
      <w:pPr>
        <w:spacing w:after="0" w:line="311"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Stock- based compensation expense amounted to $43.8 million and $33.0 million for the fiscal years ended June 30, 2019 and 2020, respectively, of which $40.9 million and $30.1 million, respectively, was recorded within operating expenses on our consolidated statement of operations. The remaining stock- based compensation expense of $2.8 million and $2.9 million was capitalized as part of property, equipment and software, net on our consolidated balance sheet.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Results of Operations and Other Data</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following tables set forth our selected unaudited quarterly consolidated statements of operations data for each of the quarters indicated, as well as the percentage that each line item represents of our total revenue for each quarter presented. The information for each quarter has been prepared on a basis consistent with our audited consolidated financial statements included in this prospectus, and reflect, in the opinion of management, all adjustments, which consist only of a normal, recurring nature that are necessary for a fair statement of the financial information contained in those financial statements. Our historical results are</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80"/>
        <w:spacing w:after="0" w:line="266" w:lineRule="auto"/>
        <w:rPr>
          <w:sz w:val="20"/>
          <w:szCs w:val="20"/>
          <w:color w:val="auto"/>
        </w:rPr>
      </w:pPr>
      <w:r>
        <w:rPr>
          <w:rFonts w:ascii="Times New Roman" w:cs="Times New Roman" w:eastAsia="Times New Roman" w:hAnsi="Times New Roman"/>
          <w:sz w:val="18"/>
          <w:szCs w:val="18"/>
          <w:color w:val="auto"/>
        </w:rPr>
        <w:t>not necessarily indicative of the results that may be expected in the future. The following quarterly financial data should be read in conjunction with our consolidated financial statements included elsewhere in this prospectus. Totals may not foot due to rounding.</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6"/>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r>
      <w:tr>
        <w:trPr>
          <w:trHeight w:val="171"/>
        </w:trPr>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6"/>
                <w:szCs w:val="16"/>
                <w:color w:val="auto"/>
              </w:rPr>
            </w:pPr>
          </w:p>
        </w:tc>
      </w:tr>
      <w:tr>
        <w:trPr>
          <w:trHeight w:val="23"/>
        </w:trPr>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7"/>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7"/>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8"/>
              </w:rPr>
              <w:t>(in thousands) (unaudited)</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0"/>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Merchant network</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revenue</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$ 23,267</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39,857</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$ 36,256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32,983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36,389</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67,764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67,350</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85,249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93,265</w:t>
            </w:r>
          </w:p>
        </w:tc>
      </w:tr>
      <w:tr>
        <w:trPr>
          <w:trHeight w:val="190"/>
        </w:trPr>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Virtual card network</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5"/>
        </w:trPr>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revenue</w:t>
            </w: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1,454</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1,596</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2,918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3,601</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7,110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5,930</w:t>
            </w: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2,699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5,958</w:t>
            </w:r>
          </w:p>
        </w:tc>
      </w:tr>
      <w:tr>
        <w:trPr>
          <w:trHeight w:val="202"/>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24,428</w:t>
            </w:r>
          </w:p>
        </w:tc>
        <w:tc>
          <w:tcPr>
            <w:tcW w:w="34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27,410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31,966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35,600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40,168</w:t>
            </w:r>
          </w:p>
        </w:tc>
        <w:tc>
          <w:tcPr>
            <w:tcW w:w="3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45,073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52,372</w:t>
            </w:r>
          </w:p>
        </w:tc>
        <w:tc>
          <w:tcPr>
            <w:tcW w:w="1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49,117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54,237</w:t>
            </w:r>
          </w:p>
        </w:tc>
      </w:tr>
      <w:tr>
        <w:trPr>
          <w:trHeight w:val="28"/>
        </w:trPr>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90"/>
        </w:trPr>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sales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5"/>
        </w:trPr>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of loans</w:t>
            </w: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2,094</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(191)</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(3,836)</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5,725</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4,738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9,866</w:t>
            </w: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11,578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16,434</w:t>
            </w:r>
          </w:p>
        </w:tc>
      </w:tr>
      <w:tr>
        <w:trPr>
          <w:trHeight w:val="202"/>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Servicing income</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740</w:t>
            </w:r>
          </w:p>
        </w:tc>
        <w:tc>
          <w:tcPr>
            <w:tcW w:w="34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980</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1,941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2,064</w:t>
            </w:r>
          </w:p>
        </w:tc>
        <w:tc>
          <w:tcPr>
            <w:tcW w:w="34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5,291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2,755</w:t>
            </w:r>
          </w:p>
        </w:tc>
        <w:tc>
          <w:tcPr>
            <w:tcW w:w="1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4,689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4,084</w:t>
            </w:r>
          </w:p>
        </w:tc>
      </w:tr>
      <w:tr>
        <w:trPr>
          <w:trHeight w:val="28"/>
        </w:trPr>
        <w:tc>
          <w:tcPr>
            <w:tcW w:w="7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2"/>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revenues, net</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$ 51,983</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69,952</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$ 73,126</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69,606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87,947</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9"/>
              </w:rPr>
              <w:t>129,976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9"/>
              </w:rPr>
              <w:t>138,273</w:t>
            </w:r>
          </w:p>
        </w:tc>
        <w:tc>
          <w:tcPr>
            <w:tcW w:w="1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153,332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9"/>
              </w:rPr>
              <w:t>173,978</w:t>
            </w:r>
          </w:p>
        </w:tc>
      </w:tr>
      <w:tr>
        <w:trPr>
          <w:trHeight w:val="250"/>
        </w:trPr>
        <w:tc>
          <w:tcPr>
            <w:tcW w:w="1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Operating expenses</w:t>
            </w:r>
            <w:r>
              <w:rPr>
                <w:rFonts w:ascii="Times New Roman" w:cs="Times New Roman" w:eastAsia="Times New Roman" w:hAnsi="Times New Roman"/>
                <w:sz w:val="19"/>
                <w:szCs w:val="19"/>
                <w:color w:val="auto"/>
                <w:vertAlign w:val="superscript"/>
              </w:rPr>
              <w:t>(1)</w:t>
            </w: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r>
      <w:tr>
        <w:trPr>
          <w:trHeight w:val="203"/>
        </w:trPr>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loan</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62"/>
        </w:trPr>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5"/>
        </w:trPr>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Commitment</w:t>
            </w: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$ 11,975</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22,646</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$ 20,576</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18,186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19,961</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42,661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43,519</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55,311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65,868</w:t>
            </w:r>
          </w:p>
        </w:tc>
      </w:tr>
      <w:tr>
        <w:trPr>
          <w:trHeight w:val="203"/>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Provision for credit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losses</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19,805</w:t>
            </w:r>
          </w:p>
        </w:tc>
        <w:tc>
          <w:tcPr>
            <w:tcW w:w="3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24,872</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16,508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16,840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24,844</w:t>
            </w:r>
          </w:p>
        </w:tc>
        <w:tc>
          <w:tcPr>
            <w:tcW w:w="3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30,178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82,216</w:t>
            </w:r>
          </w:p>
        </w:tc>
        <w:tc>
          <w:tcPr>
            <w:tcW w:w="1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(32,171)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40,267</w:t>
            </w:r>
          </w:p>
        </w:tc>
      </w:tr>
      <w:tr>
        <w:trPr>
          <w:trHeight w:val="223"/>
        </w:trPr>
        <w:tc>
          <w:tcPr>
            <w:tcW w:w="1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Funding costs</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4,766</w:t>
            </w: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6,127</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7,342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7,660</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8,128</w:t>
            </w: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8,167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8,204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7,817</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10,352</w:t>
            </w:r>
          </w:p>
        </w:tc>
      </w:tr>
      <w:tr>
        <w:trPr>
          <w:trHeight w:val="203"/>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Processing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servicing</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6,758</w:t>
            </w:r>
          </w:p>
        </w:tc>
        <w:tc>
          <w:tcPr>
            <w:tcW w:w="3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8,778</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8,315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8,818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9,695</w:t>
            </w:r>
          </w:p>
        </w:tc>
        <w:tc>
          <w:tcPr>
            <w:tcW w:w="3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11,652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13,678</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14,806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13,498</w:t>
            </w:r>
          </w:p>
        </w:tc>
      </w:tr>
      <w:tr>
        <w:trPr>
          <w:trHeight w:val="203"/>
        </w:trPr>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Technology and data</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1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Analytics</w:t>
            </w: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15,677</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21,256</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17,643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21,495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25,368</w:t>
            </w:r>
          </w:p>
        </w:tc>
        <w:tc>
          <w:tcPr>
            <w:tcW w:w="34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31,612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33,654</w:t>
            </w: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31,744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33,768</w:t>
            </w:r>
          </w:p>
        </w:tc>
      </w:tr>
      <w:tr>
        <w:trPr>
          <w:trHeight w:val="215"/>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Sales and marketing</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4,249</w:t>
            </w:r>
          </w:p>
        </w:tc>
        <w:tc>
          <w:tcPr>
            <w:tcW w:w="3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3,372</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5,125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5,219</w:t>
            </w:r>
          </w:p>
        </w:tc>
        <w:tc>
          <w:tcPr>
            <w:tcW w:w="3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7,651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7,108</w:t>
            </w: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22,582</w:t>
            </w:r>
          </w:p>
        </w:tc>
      </w:tr>
      <w:tr>
        <w:trPr>
          <w:trHeight w:val="28"/>
        </w:trPr>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1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0"/>
        </w:trPr>
        <w:tc>
          <w:tcPr>
            <w:tcW w:w="13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administrative</w:t>
            </w:r>
          </w:p>
        </w:tc>
        <w:tc>
          <w:tcPr>
            <w:tcW w:w="11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15,783</w:t>
            </w: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22,018</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18,924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32,177</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27,704</w:t>
            </w: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30,688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31,399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31,439</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32,266</w:t>
            </w:r>
          </w:p>
        </w:tc>
      </w:tr>
      <w:tr>
        <w:trPr>
          <w:trHeight w:val="197"/>
        </w:trPr>
        <w:tc>
          <w:tcPr>
            <w:tcW w:w="1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Total operating</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4"/>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expenses</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$ 79,013</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109,069</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$ 93,425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w w:val="99"/>
              </w:rPr>
              <w:t>110,301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9"/>
              </w:rPr>
              <w:t>120,919</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9"/>
              </w:rPr>
              <w:t>162,609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219,778</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114,012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9"/>
              </w:rPr>
              <w:t>218,601</w:t>
            </w:r>
          </w:p>
        </w:tc>
      </w:tr>
      <w:tr>
        <w:trPr>
          <w:trHeight w:val="41"/>
        </w:trPr>
        <w:tc>
          <w:tcPr>
            <w:tcW w:w="7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r>
      <w:tr>
        <w:trPr>
          <w:trHeight w:val="197"/>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0"/>
        </w:trPr>
        <w:tc>
          <w:tcPr>
            <w:tcW w:w="1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11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$(27,030)</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(39,417)</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(20,299)</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(40,695)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(32,972)</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(32,633)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(81,505)</w:t>
            </w:r>
          </w:p>
        </w:tc>
        <w:tc>
          <w:tcPr>
            <w:tcW w:w="1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39,320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(44,623)</w:t>
            </w:r>
          </w:p>
        </w:tc>
      </w:tr>
      <w:tr>
        <w:trPr>
          <w:trHeight w:val="197"/>
        </w:trPr>
        <w:tc>
          <w:tcPr>
            <w:tcW w:w="1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174"/>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(expense), net</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color w:val="auto"/>
              </w:rPr>
              <w:t>1,115</w:t>
            </w:r>
          </w:p>
        </w:tc>
        <w:tc>
          <w:tcPr>
            <w:tcW w:w="3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963</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610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color w:val="auto"/>
              </w:rPr>
              <w:t>4,334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2,273</w:t>
            </w:r>
          </w:p>
        </w:tc>
        <w:tc>
          <w:tcPr>
            <w:tcW w:w="3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(4,022)</w:t>
            </w:r>
          </w:p>
        </w:tc>
        <w:tc>
          <w:tcPr>
            <w:tcW w:w="1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(4,413)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29,445</w:t>
            </w:r>
          </w:p>
        </w:tc>
      </w:tr>
      <w:tr>
        <w:trPr>
          <w:trHeight w:val="41"/>
        </w:trPr>
        <w:tc>
          <w:tcPr>
            <w:tcW w:w="7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r>
      <w:tr>
        <w:trPr>
          <w:trHeight w:val="197"/>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5"/>
        </w:trPr>
        <w:tc>
          <w:tcPr>
            <w:tcW w:w="1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1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$(25,915)</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(38,454)</w:t>
            </w: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(19,689)</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(36,361)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(30,699)</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(30,903)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(85,527)</w:t>
            </w:r>
          </w:p>
        </w:tc>
        <w:tc>
          <w:tcPr>
            <w:tcW w:w="18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34,907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(15,178)</w:t>
            </w:r>
          </w:p>
        </w:tc>
      </w:tr>
      <w:tr>
        <w:trPr>
          <w:trHeight w:val="20"/>
        </w:trPr>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360" w:type="dxa"/>
            <w:vAlign w:val="bottom"/>
            <w:gridSpan w:val="2"/>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w:t>
            </w: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(97)</w:t>
            </w:r>
          </w:p>
        </w:tc>
      </w:tr>
      <w:tr>
        <w:trPr>
          <w:trHeight w:val="28"/>
        </w:trPr>
        <w:tc>
          <w:tcPr>
            <w:tcW w:w="7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17"/>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$(25,924)</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(38,463)</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(19,698)</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(36,370)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(30,795)</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(30,996)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(85,620)</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7"/>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34,813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(15,275)</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243"/>
        </w:trPr>
        <w:tc>
          <w:tcPr>
            <w:tcW w:w="7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-351155</wp:posOffset>
            </wp:positionV>
            <wp:extent cx="1200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-351155</wp:posOffset>
            </wp:positionV>
            <wp:extent cx="2400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-351155</wp:posOffset>
            </wp:positionV>
            <wp:extent cx="17970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-351155</wp:posOffset>
            </wp:positionV>
            <wp:extent cx="274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-351155</wp:posOffset>
            </wp:positionV>
            <wp:extent cx="3429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-351155</wp:posOffset>
            </wp:positionV>
            <wp:extent cx="2317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-351155</wp:posOffset>
            </wp:positionV>
            <wp:extent cx="1803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-351155</wp:posOffset>
            </wp:positionV>
            <wp:extent cx="274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-351155</wp:posOffset>
            </wp:positionV>
            <wp:extent cx="17399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-788035</wp:posOffset>
            </wp:positionV>
            <wp:extent cx="1200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-788035</wp:posOffset>
            </wp:positionV>
            <wp:extent cx="24003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-788035</wp:posOffset>
            </wp:positionV>
            <wp:extent cx="1797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-788035</wp:posOffset>
            </wp:positionV>
            <wp:extent cx="274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-788035</wp:posOffset>
            </wp:positionV>
            <wp:extent cx="3429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-788035</wp:posOffset>
            </wp:positionV>
            <wp:extent cx="2317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-788035</wp:posOffset>
            </wp:positionV>
            <wp:extent cx="1803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-788035</wp:posOffset>
            </wp:positionV>
            <wp:extent cx="274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-788035</wp:posOffset>
            </wp:positionV>
            <wp:extent cx="17399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-1336675</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-1336675</wp:posOffset>
            </wp:positionV>
            <wp:extent cx="2400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-1336675</wp:posOffset>
            </wp:positionV>
            <wp:extent cx="1797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-1336675</wp:posOffset>
            </wp:positionV>
            <wp:extent cx="274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-1336675</wp:posOffset>
            </wp:positionV>
            <wp:extent cx="3429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-1336675</wp:posOffset>
            </wp:positionV>
            <wp:extent cx="2317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-1336675</wp:posOffset>
            </wp:positionV>
            <wp:extent cx="1803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-1336675</wp:posOffset>
            </wp:positionV>
            <wp:extent cx="274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-1336675</wp:posOffset>
            </wp:positionV>
            <wp:extent cx="17399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-3582670</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-3582670</wp:posOffset>
            </wp:positionV>
            <wp:extent cx="2400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-3582670</wp:posOffset>
            </wp:positionV>
            <wp:extent cx="1797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-3582670</wp:posOffset>
            </wp:positionV>
            <wp:extent cx="274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-3582670</wp:posOffset>
            </wp:positionV>
            <wp:extent cx="3429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-3582670</wp:posOffset>
            </wp:positionV>
            <wp:extent cx="2317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-3582670</wp:posOffset>
            </wp:positionV>
            <wp:extent cx="1803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-3582670</wp:posOffset>
            </wp:positionV>
            <wp:extent cx="274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-3582670</wp:posOffset>
            </wp:positionV>
            <wp:extent cx="17399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-4842510</wp:posOffset>
            </wp:positionV>
            <wp:extent cx="1289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-4842510</wp:posOffset>
            </wp:positionV>
            <wp:extent cx="1289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-4842510</wp:posOffset>
            </wp:positionV>
            <wp:extent cx="1200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-4842510</wp:posOffset>
            </wp:positionV>
            <wp:extent cx="1200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-4842510</wp:posOffset>
            </wp:positionV>
            <wp:extent cx="1200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-4842510</wp:posOffset>
            </wp:positionV>
            <wp:extent cx="1200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-4842510</wp:posOffset>
            </wp:positionV>
            <wp:extent cx="1200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-4842510</wp:posOffset>
            </wp:positionV>
            <wp:extent cx="1200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stock-based compensation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bookmarkStart w:id="118" w:name="page119"/>
    <w:bookmarkEnd w:id="11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r>
      <w:tr>
        <w:trPr>
          <w:trHeight w:val="171"/>
        </w:trPr>
        <w:tc>
          <w:tcPr>
            <w:tcW w:w="22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90"/>
        </w:trPr>
        <w:tc>
          <w:tcPr>
            <w:tcW w:w="22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8"/>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9"/>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0"/>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Processing and servicing</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w:t>
            </w: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26</w:t>
            </w: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Technology and data analytics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5"/>
              </w:rPr>
              <w:t>2,812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1,915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2,745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w w:val="95"/>
              </w:rPr>
              <w:t>3,327</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3,610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1,988</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2,213</w:t>
            </w:r>
          </w:p>
        </w:tc>
      </w:tr>
      <w:tr>
        <w:trPr>
          <w:trHeight w:val="28"/>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0"/>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5"/>
              </w:rPr>
              <w:t>2,021</w:t>
            </w: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599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999</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5"/>
              </w:rPr>
              <w:t>1,291</w:t>
            </w: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963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868</w:t>
            </w: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760</w:t>
            </w: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5"/>
              </w:rPr>
              <w:t>2,737</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5"/>
              </w:rPr>
              <w:t>2,607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11,287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w w:val="95"/>
              </w:rPr>
              <w:t>3,812</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3,689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2,496</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3,204</w:t>
            </w:r>
          </w:p>
        </w:tc>
      </w:tr>
      <w:tr>
        <w:trPr>
          <w:trHeight w:val="28"/>
        </w:trPr>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18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stock-based compensation in</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74"/>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expenses</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5"/>
              </w:rPr>
              <w:t>7,590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13,097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5"/>
              </w:rPr>
              <w:t>5,102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15,082</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5"/>
              </w:rPr>
              <w:t>8,425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8,294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7,970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5"/>
              </w:rPr>
              <w:t>5,380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6,203</w:t>
            </w:r>
          </w:p>
        </w:tc>
      </w:tr>
      <w:tr>
        <w:trPr>
          <w:trHeight w:val="41"/>
        </w:trPr>
        <w:tc>
          <w:tcPr>
            <w:tcW w:w="2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-264795</wp:posOffset>
            </wp:positionV>
            <wp:extent cx="1631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-264795</wp:posOffset>
            </wp:positionV>
            <wp:extent cx="274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-264795</wp:posOffset>
            </wp:positionV>
            <wp:extent cx="19748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-264795</wp:posOffset>
            </wp:positionV>
            <wp:extent cx="48260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-1002030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-1002030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-1002030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-1002030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-1002030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-1002030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-1002030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-1002030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2" w:lineRule="exact"/>
        <w:rPr>
          <w:sz w:val="20"/>
          <w:szCs w:val="20"/>
          <w:color w:val="auto"/>
        </w:rPr>
      </w:pPr>
    </w:p>
    <w:p>
      <w:pPr>
        <w:ind w:left="1260" w:right="800" w:firstLine="360"/>
        <w:spacing w:after="0" w:line="261" w:lineRule="auto"/>
        <w:rPr>
          <w:sz w:val="20"/>
          <w:szCs w:val="20"/>
          <w:color w:val="auto"/>
        </w:rPr>
      </w:pPr>
      <w:r>
        <w:rPr>
          <w:rFonts w:ascii="Times New Roman" w:cs="Times New Roman" w:eastAsia="Times New Roman" w:hAnsi="Times New Roman"/>
          <w:sz w:val="18"/>
          <w:szCs w:val="18"/>
          <w:color w:val="auto"/>
        </w:rPr>
        <w:t>Stock-based compensation during the quarters ended September 30, 2018 and December 31, 2019 included compensation expense of $2.8 million and $6.9 million, respectively, relating to secondary sales of common stock by certain eligible employees, non-employees, and directors. The following table presents each line item as a percentage of our total revenue for each quarter presented:</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r>
      <w:tr>
        <w:trPr>
          <w:trHeight w:val="17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00" w:type="dxa"/>
            <w:vAlign w:val="bottom"/>
          </w:tcPr>
          <w:p>
            <w:pPr>
              <w:spacing w:after="0"/>
              <w:rPr>
                <w:sz w:val="14"/>
                <w:szCs w:val="14"/>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90"/>
        </w:trPr>
        <w:tc>
          <w:tcPr>
            <w:tcW w:w="1340" w:type="dxa"/>
            <w:vAlign w:val="bottom"/>
          </w:tcPr>
          <w:p>
            <w:pPr>
              <w:spacing w:after="0"/>
              <w:rPr>
                <w:sz w:val="16"/>
                <w:szCs w:val="16"/>
                <w:color w:val="auto"/>
              </w:rPr>
            </w:pP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gridSpan w:val="4"/>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3"/>
        </w:trPr>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r>
      <w:tr>
        <w:trPr>
          <w:trHeight w:val="190"/>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Merchant network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5"/>
        </w:trPr>
        <w:tc>
          <w:tcPr>
            <w:tcW w:w="13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revenue</w:t>
            </w:r>
          </w:p>
        </w:tc>
        <w:tc>
          <w:tcPr>
            <w:tcW w:w="10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rPr>
              <w:t>45%</w:t>
            </w:r>
          </w:p>
        </w:tc>
        <w:tc>
          <w:tcPr>
            <w:tcW w:w="18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47%</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5"/>
                <w:szCs w:val="15"/>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52%</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56%</w:t>
            </w: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54%</w:t>
            </w:r>
          </w:p>
        </w:tc>
      </w:tr>
      <w:tr>
        <w:trPr>
          <w:trHeight w:val="190"/>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Virtual card network</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75"/>
        </w:trPr>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revenue</w:t>
            </w:r>
          </w:p>
        </w:tc>
        <w:tc>
          <w:tcPr>
            <w:tcW w:w="10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10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w:t>
            </w:r>
          </w:p>
        </w:tc>
      </w:tr>
      <w:tr>
        <w:trPr>
          <w:trHeight w:val="202"/>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47</w:t>
            </w:r>
          </w:p>
        </w:tc>
        <w:tc>
          <w:tcPr>
            <w:tcW w:w="1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51</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31</w:t>
            </w:r>
          </w:p>
        </w:tc>
      </w:tr>
      <w:tr>
        <w:trPr>
          <w:trHeight w:val="28"/>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0"/>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sales</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75"/>
        </w:trPr>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of loans</w:t>
            </w:r>
          </w:p>
        </w:tc>
        <w:tc>
          <w:tcPr>
            <w:tcW w:w="10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w:t>
            </w:r>
          </w:p>
        </w:tc>
      </w:tr>
      <w:tr>
        <w:trPr>
          <w:trHeight w:val="202"/>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Servicing income</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w:t>
            </w:r>
          </w:p>
        </w:tc>
      </w:tr>
      <w:tr>
        <w:trPr>
          <w:trHeight w:val="28"/>
        </w:trPr>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28"/>
        </w:trPr>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revenues, net</w:t>
            </w:r>
          </w:p>
        </w:tc>
        <w:tc>
          <w:tcPr>
            <w:tcW w:w="10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10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w:t>
            </w:r>
          </w:p>
        </w:tc>
      </w:tr>
      <w:tr>
        <w:trPr>
          <w:trHeight w:val="196"/>
        </w:trPr>
        <w:tc>
          <w:tcPr>
            <w:tcW w:w="1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r>
      <w:tr>
        <w:trPr>
          <w:trHeight w:val="28"/>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0"/>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loan</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62"/>
        </w:trPr>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5"/>
        </w:trPr>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Commitment</w:t>
            </w:r>
          </w:p>
        </w:tc>
        <w:tc>
          <w:tcPr>
            <w:tcW w:w="10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w:t>
            </w:r>
          </w:p>
        </w:tc>
        <w:tc>
          <w:tcPr>
            <w:tcW w:w="10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38</w:t>
            </w:r>
          </w:p>
        </w:tc>
      </w:tr>
      <w:tr>
        <w:trPr>
          <w:trHeight w:val="203"/>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credit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75"/>
        </w:trPr>
        <w:tc>
          <w:tcPr>
            <w:tcW w:w="13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losses</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24</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5"/>
                <w:szCs w:val="15"/>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23</w:t>
            </w:r>
          </w:p>
        </w:tc>
      </w:tr>
      <w:tr>
        <w:trPr>
          <w:trHeight w:val="223"/>
        </w:trPr>
        <w:tc>
          <w:tcPr>
            <w:tcW w:w="1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Funding costs</w:t>
            </w:r>
          </w:p>
        </w:tc>
        <w:tc>
          <w:tcPr>
            <w:tcW w:w="10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10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w:t>
            </w:r>
          </w:p>
        </w:tc>
      </w:tr>
      <w:tr>
        <w:trPr>
          <w:trHeight w:val="203"/>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Processing and</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75"/>
        </w:trPr>
        <w:tc>
          <w:tcPr>
            <w:tcW w:w="13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servicing</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8</w:t>
            </w:r>
          </w:p>
        </w:tc>
      </w:tr>
      <w:tr>
        <w:trPr>
          <w:trHeight w:val="203"/>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Technology and data</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75"/>
        </w:trPr>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Analytics</w:t>
            </w:r>
          </w:p>
        </w:tc>
        <w:tc>
          <w:tcPr>
            <w:tcW w:w="10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31</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31</w:t>
            </w:r>
          </w:p>
        </w:tc>
        <w:tc>
          <w:tcPr>
            <w:tcW w:w="10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19</w:t>
            </w:r>
          </w:p>
        </w:tc>
      </w:tr>
      <w:tr>
        <w:trPr>
          <w:trHeight w:val="215"/>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Sales and marketing</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13</w:t>
            </w:r>
          </w:p>
        </w:tc>
      </w:tr>
      <w:tr>
        <w:trPr>
          <w:trHeight w:val="28"/>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03"/>
        </w:trPr>
        <w:tc>
          <w:tcPr>
            <w:tcW w:w="1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20"/>
        </w:trPr>
        <w:tc>
          <w:tcPr>
            <w:tcW w:w="1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administrative</w:t>
            </w:r>
          </w:p>
        </w:tc>
        <w:tc>
          <w:tcPr>
            <w:tcW w:w="10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46</w:t>
            </w:r>
          </w:p>
        </w:tc>
        <w:tc>
          <w:tcPr>
            <w:tcW w:w="10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19</w:t>
            </w:r>
          </w:p>
        </w:tc>
      </w:tr>
      <w:tr>
        <w:trPr>
          <w:trHeight w:val="197"/>
        </w:trPr>
        <w:tc>
          <w:tcPr>
            <w:tcW w:w="1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operating</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r>
      <w:tr>
        <w:trPr>
          <w:trHeight w:val="174"/>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expenses</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151</w:t>
            </w:r>
          </w:p>
        </w:tc>
        <w:tc>
          <w:tcPr>
            <w:tcW w:w="18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128</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158</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138</w:t>
            </w:r>
          </w:p>
        </w:tc>
        <w:tc>
          <w:tcPr>
            <w:tcW w:w="20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158</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75</w:t>
            </w:r>
          </w:p>
        </w:tc>
        <w:tc>
          <w:tcPr>
            <w:tcW w:w="1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126</w:t>
            </w:r>
          </w:p>
        </w:tc>
      </w:tr>
      <w:tr>
        <w:trPr>
          <w:trHeight w:val="41"/>
        </w:trPr>
        <w:tc>
          <w:tcPr>
            <w:tcW w:w="13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r>
      <w:tr>
        <w:trPr>
          <w:trHeight w:val="197"/>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20"/>
        </w:trPr>
        <w:tc>
          <w:tcPr>
            <w:tcW w:w="1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10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w:t>
            </w:r>
          </w:p>
        </w:tc>
        <w:tc>
          <w:tcPr>
            <w:tcW w:w="10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(26)</w:t>
            </w:r>
          </w:p>
        </w:tc>
      </w:tr>
      <w:tr>
        <w:trPr>
          <w:trHeight w:val="197"/>
        </w:trPr>
        <w:tc>
          <w:tcPr>
            <w:tcW w:w="1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r>
      <w:tr>
        <w:trPr>
          <w:trHeight w:val="174"/>
        </w:trPr>
        <w:tc>
          <w:tcPr>
            <w:tcW w:w="1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 net</w:t>
            </w:r>
          </w:p>
        </w:tc>
        <w:tc>
          <w:tcPr>
            <w:tcW w:w="10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5"/>
                <w:szCs w:val="15"/>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17</w:t>
            </w:r>
          </w:p>
        </w:tc>
      </w:tr>
      <w:tr>
        <w:trPr>
          <w:trHeight w:val="41"/>
        </w:trPr>
        <w:tc>
          <w:tcPr>
            <w:tcW w:w="13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r>
      <w:tr>
        <w:trPr>
          <w:trHeight w:val="197"/>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95"/>
        </w:trPr>
        <w:tc>
          <w:tcPr>
            <w:tcW w:w="1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540" w:type="dxa"/>
            <w:vAlign w:val="bottom"/>
            <w:tcBorders>
              <w:bottom w:val="single" w:sz="8" w:color="CCEEFF"/>
            </w:tcBorders>
            <w:gridSpan w:val="2"/>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w:t>
            </w:r>
          </w:p>
        </w:tc>
        <w:tc>
          <w:tcPr>
            <w:tcW w:w="10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w:t>
            </w:r>
          </w:p>
        </w:tc>
      </w:tr>
      <w:tr>
        <w:trPr>
          <w:trHeight w:val="20"/>
        </w:trPr>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8"/>
                <w:szCs w:val="18"/>
                <w:color w:val="auto"/>
              </w:rPr>
            </w:pPr>
          </w:p>
        </w:tc>
        <w:tc>
          <w:tcPr>
            <w:tcW w:w="7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r>
      <w:tr>
        <w:trPr>
          <w:trHeight w:val="28"/>
        </w:trPr>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-179705</wp:posOffset>
            </wp:positionV>
            <wp:extent cx="61804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-616585</wp:posOffset>
            </wp:positionV>
            <wp:extent cx="61804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-1165225</wp:posOffset>
            </wp:positionV>
            <wp:extent cx="61804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-3376930</wp:posOffset>
            </wp:positionV>
            <wp:extent cx="61804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-4516755</wp:posOffset>
            </wp:positionV>
            <wp:extent cx="1200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-4516755</wp:posOffset>
            </wp:positionV>
            <wp:extent cx="1200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-4516755</wp:posOffset>
            </wp:positionV>
            <wp:extent cx="120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-4516755</wp:posOffset>
            </wp:positionV>
            <wp:extent cx="1200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-4516755</wp:posOffset>
            </wp:positionV>
            <wp:extent cx="1200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-4516755</wp:posOffset>
            </wp:positionV>
            <wp:extent cx="1200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-4516755</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-4516755</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-4516755</wp:posOffset>
            </wp:positionV>
            <wp:extent cx="9772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53" w:lineRule="exact"/>
        <w:rPr>
          <w:sz w:val="20"/>
          <w:szCs w:val="20"/>
          <w:color w:val="auto"/>
        </w:rPr>
      </w:pPr>
    </w:p>
    <w:p>
      <w:pPr>
        <w:ind w:left="1260" w:right="8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some of the key operating metrics and non-GAAP financial measures we use to evaluate our business for each of the periods indicated:</w:t>
      </w:r>
    </w:p>
    <w:p>
      <w:pPr>
        <w:sectPr>
          <w:pgSz w:w="11900" w:h="16838" w:orient="portrait"/>
          <w:cols w:equalWidth="0" w:num="1">
            <w:col w:w="10220"/>
          </w:cols>
          <w:pgMar w:left="320" w:top="114" w:right="1359" w:bottom="1440" w:gutter="0" w:footer="0" w:header="0"/>
        </w:sectPr>
      </w:pPr>
    </w:p>
    <w:p>
      <w:pPr>
        <w:spacing w:after="0" w:line="33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71"/>
        </w:trPr>
        <w:tc>
          <w:tcPr>
            <w:tcW w:w="1380" w:type="dxa"/>
            <w:vAlign w:val="bottom"/>
          </w:tcPr>
          <w:p>
            <w:pPr>
              <w:spacing w:after="0"/>
              <w:rPr>
                <w:sz w:val="14"/>
                <w:szCs w:val="14"/>
                <w:color w:val="auto"/>
              </w:rPr>
            </w:pP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6"/>
                <w:szCs w:val="16"/>
                <w:color w:val="auto"/>
              </w:rPr>
            </w:pPr>
          </w:p>
        </w:tc>
        <w:tc>
          <w:tcPr>
            <w:tcW w:w="7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6"/>
                <w:szCs w:val="16"/>
                <w:color w:val="auto"/>
              </w:rPr>
            </w:pPr>
          </w:p>
        </w:tc>
        <w:tc>
          <w:tcPr>
            <w:tcW w:w="6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6"/>
                <w:szCs w:val="16"/>
                <w:color w:val="auto"/>
              </w:rPr>
            </w:pPr>
          </w:p>
        </w:tc>
        <w:tc>
          <w:tcPr>
            <w:tcW w:w="7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6"/>
                <w:szCs w:val="16"/>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7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7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7"/>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0"/>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7"/>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 thousands, except percent data) (unaudited)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Merchandise</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5"/>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Volume (GMV)</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3"/>
                <w:szCs w:val="13"/>
                <w:color w:val="auto"/>
                <w:w w:val="99"/>
              </w:rPr>
              <w:t>474,342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3"/>
                <w:szCs w:val="13"/>
                <w:color w:val="auto"/>
                <w:w w:val="99"/>
              </w:rPr>
              <w:t>669,652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3"/>
                <w:szCs w:val="13"/>
                <w:color w:val="auto"/>
                <w:w w:val="99"/>
              </w:rPr>
              <w:t>694,361</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3"/>
                <w:szCs w:val="13"/>
                <w:color w:val="auto"/>
                <w:w w:val="99"/>
              </w:rPr>
              <w:t>781,704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3"/>
                <w:szCs w:val="13"/>
                <w:color w:val="auto"/>
                <w:w w:val="99"/>
              </w:rPr>
              <w:t>861,306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3"/>
                <w:szCs w:val="13"/>
                <w:color w:val="auto"/>
                <w:w w:val="99"/>
              </w:rPr>
              <w:t>1,341,584</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3"/>
                <w:szCs w:val="13"/>
                <w:color w:val="auto"/>
                <w:w w:val="99"/>
              </w:rPr>
              <w:t>1,231,484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w w:val="99"/>
              </w:rPr>
              <w:t>1,202,846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3"/>
                <w:szCs w:val="13"/>
                <w:color w:val="auto"/>
              </w:rPr>
              <w:t>1,475,929</w:t>
            </w:r>
          </w:p>
        </w:tc>
      </w:tr>
      <w:tr>
        <w:trPr>
          <w:trHeight w:val="202"/>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Contribution profit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3"/>
                <w:szCs w:val="13"/>
                <w:color w:val="auto"/>
              </w:rPr>
              <w:t>8,679</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3"/>
                <w:szCs w:val="13"/>
                <w:color w:val="auto"/>
              </w:rPr>
              <w:t>7,229</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3"/>
                <w:szCs w:val="13"/>
                <w:color w:val="auto"/>
              </w:rPr>
              <w:t>20,385</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3"/>
                <w:szCs w:val="13"/>
                <w:color w:val="auto"/>
              </w:rPr>
              <w:t>18,102</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3"/>
                <w:szCs w:val="13"/>
                <w:color w:val="auto"/>
              </w:rPr>
              <w:t>25,319</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3"/>
                <w:szCs w:val="13"/>
                <w:color w:val="auto"/>
              </w:rPr>
              <w:t>37,318</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3"/>
                <w:szCs w:val="13"/>
                <w:color w:val="auto"/>
              </w:rPr>
              <w:t>(9,344)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3"/>
                <w:szCs w:val="13"/>
                <w:color w:val="auto"/>
              </w:rPr>
              <w:t>107,569</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43,993</w:t>
            </w:r>
          </w:p>
        </w:tc>
      </w:tr>
      <w:tr>
        <w:trPr>
          <w:trHeight w:val="28"/>
        </w:trPr>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 profit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62"/>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 a percentage of</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4"/>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GMV</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rPr>
              <w:t>1.8%</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3"/>
                <w:szCs w:val="13"/>
                <w:color w:val="auto"/>
              </w:rPr>
              <w:t>2.9%</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41"/>
        </w:trPr>
        <w:tc>
          <w:tcPr>
            <w:tcW w:w="1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-899795</wp:posOffset>
            </wp:positionV>
            <wp:extent cx="137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-899795</wp:posOffset>
            </wp:positionV>
            <wp:extent cx="137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-899795</wp:posOffset>
            </wp:positionV>
            <wp:extent cx="1200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-899795</wp:posOffset>
            </wp:positionV>
            <wp:extent cx="1200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-899795</wp:posOffset>
            </wp:positionV>
            <wp:extent cx="1200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-899795</wp:posOffset>
            </wp:positionV>
            <wp:extent cx="1200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-899795</wp:posOffset>
            </wp:positionV>
            <wp:extent cx="1200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-899795</wp:posOffset>
            </wp:positionV>
            <wp:extent cx="1200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72" w:lineRule="exact"/>
        <w:rPr>
          <w:sz w:val="20"/>
          <w:szCs w:val="20"/>
          <w:color w:val="auto"/>
        </w:rPr>
      </w:pPr>
    </w:p>
    <w:p>
      <w:pPr>
        <w:ind w:left="1260" w:right="90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a reconciliation of operating income (loss) to contribution profit for each of the periods indicated. For important information regarding our presentation of contribution profit, see “</w:t>
      </w:r>
      <w:r>
        <w:rPr>
          <w:rFonts w:ascii="Times New Roman" w:cs="Times New Roman" w:eastAsia="Times New Roman" w:hAnsi="Times New Roman"/>
          <w:sz w:val="18"/>
          <w:szCs w:val="18"/>
          <w:i w:val="1"/>
          <w:iCs w:val="1"/>
          <w:color w:val="auto"/>
        </w:rPr>
        <w:t>Selected Consolidated Financial and Other Data — Key Operating Metrics and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w:t>
      </w:r>
      <w:r>
        <w:rPr>
          <w:rFonts w:ascii="Times New Roman" w:cs="Times New Roman" w:eastAsia="Times New Roman" w:hAnsi="Times New Roman"/>
          <w:sz w:val="18"/>
          <w:szCs w:val="18"/>
          <w:color w:val="auto"/>
        </w:rPr>
        <w:t>” above:</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r>
      <w:tr>
        <w:trPr>
          <w:trHeight w:val="185"/>
        </w:trPr>
        <w:tc>
          <w:tcPr>
            <w:tcW w:w="1380" w:type="dxa"/>
            <w:vAlign w:val="bottom"/>
          </w:tcPr>
          <w:p>
            <w:pPr>
              <w:spacing w:after="0"/>
              <w:rPr>
                <w:sz w:val="16"/>
                <w:szCs w:val="16"/>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1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gridSpan w:val="1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 except percent data) (unaudited)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75"/>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(27,030)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(39,417)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(20,299)</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(40,695)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(32,972)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(32,633)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(81,505)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39,320</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(44,623)</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Add back: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2"/>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Technology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data analytics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15,677</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21,256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17,643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21,495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25,368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31,612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33,654</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31,744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33,768</w:t>
            </w:r>
          </w:p>
        </w:tc>
      </w:tr>
      <w:tr>
        <w:trPr>
          <w:trHeight w:val="20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back: Sales and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75"/>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marketing</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4,249</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3,372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4,117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5,125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5,219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7,651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7,108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5,066</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22,582</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Add back: General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74"/>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and administrative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15,783</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22,018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18,924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32,177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27,704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30,688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31,399</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31,439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32,266</w:t>
            </w:r>
          </w:p>
        </w:tc>
      </w:tr>
      <w:tr>
        <w:trPr>
          <w:trHeight w:val="41"/>
        </w:trPr>
        <w:tc>
          <w:tcPr>
            <w:tcW w:w="13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r>
      <w:tr>
        <w:trPr>
          <w:trHeight w:val="197"/>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0"/>
        </w:trPr>
        <w:tc>
          <w:tcPr>
            <w:tcW w:w="1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profit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8,679</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7,229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20,385</w:t>
            </w: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18,102</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25,319</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37,318</w:t>
            </w:r>
          </w:p>
        </w:tc>
        <w:tc>
          <w:tcPr>
            <w:tcW w:w="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(9,344)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107,569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43,993</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3"/>
        </w:trPr>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GMV</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9"/>
              </w:rPr>
              <w:t>474,342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9"/>
              </w:rPr>
              <w:t>669,652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w w:val="99"/>
              </w:rPr>
              <w:t>694,361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w w:val="99"/>
              </w:rPr>
              <w:t>781,704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9"/>
              </w:rPr>
              <w:t>861,306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9"/>
              </w:rPr>
              <w:t>1,341,584</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9"/>
              </w:rPr>
              <w:t>1,231,484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1,202,846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1,475,929</w:t>
            </w:r>
          </w:p>
        </w:tc>
      </w:tr>
      <w:tr>
        <w:trPr>
          <w:trHeight w:val="68"/>
        </w:trPr>
        <w:tc>
          <w:tcPr>
            <w:tcW w:w="13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r>
      <w:tr>
        <w:trPr>
          <w:trHeight w:val="116"/>
        </w:trPr>
        <w:tc>
          <w:tcPr>
            <w:tcW w:w="138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3"/>
                <w:szCs w:val="13"/>
                <w:color w:val="auto"/>
              </w:rPr>
              <w:t>Contribution</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62"/>
        </w:trPr>
        <w:tc>
          <w:tcPr>
            <w:tcW w:w="1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profit as a</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1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percentage of</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7"/>
        </w:trPr>
        <w:tc>
          <w:tcPr>
            <w:tcW w:w="1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GMV</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8.9%</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-916305</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2146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-916305</wp:posOffset>
            </wp:positionV>
            <wp:extent cx="1631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-916305</wp:posOffset>
            </wp:positionV>
            <wp:extent cx="2057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-916305</wp:posOffset>
            </wp:positionV>
            <wp:extent cx="3086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-916305</wp:posOffset>
            </wp:positionV>
            <wp:extent cx="2311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-916305</wp:posOffset>
            </wp:positionV>
            <wp:extent cx="17145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-916305</wp:posOffset>
            </wp:positionV>
            <wp:extent cx="274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-916305</wp:posOffset>
            </wp:positionV>
            <wp:extent cx="16630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-2142490</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-2142490</wp:posOffset>
            </wp:positionV>
            <wp:extent cx="137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-2142490</wp:posOffset>
            </wp:positionV>
            <wp:extent cx="1200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-2142490</wp:posOffset>
            </wp:positionV>
            <wp:extent cx="1200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-2142490</wp:posOffset>
            </wp:positionV>
            <wp:extent cx="1200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-2142490</wp:posOffset>
            </wp:positionV>
            <wp:extent cx="1200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-2142490</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-2142490</wp:posOffset>
            </wp:positionV>
            <wp:extent cx="1200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62" w:lineRule="exact"/>
        <w:rPr>
          <w:sz w:val="20"/>
          <w:szCs w:val="20"/>
          <w:color w:val="auto"/>
        </w:rPr>
      </w:pPr>
    </w:p>
    <w:p>
      <w:pPr>
        <w:ind w:left="1260" w:right="960" w:firstLine="360"/>
        <w:spacing w:after="0" w:line="254" w:lineRule="auto"/>
        <w:rPr>
          <w:sz w:val="20"/>
          <w:szCs w:val="20"/>
          <w:color w:val="auto"/>
        </w:rPr>
      </w:pPr>
      <w:r>
        <w:rPr>
          <w:rFonts w:ascii="Times New Roman" w:cs="Times New Roman" w:eastAsia="Times New Roman" w:hAnsi="Times New Roman"/>
          <w:sz w:val="18"/>
          <w:szCs w:val="18"/>
          <w:color w:val="auto"/>
        </w:rPr>
        <w:t>Total revenues have generally increased sequentially in each of the periods presented, other than the fourth fiscal quarter of 2019, due to the continued growth in GMV, increase in active consumers, and expansion of our merchant network. We generally experience seasonality in our business in terms of changes in GMV in accordance with retail and e-commerce trends. We typically see increased revenues in the second fiscal quarter of each year as a result of the increased GMV occurring as a part of the holiday shopping season, which is most evident in merchant network revenues as these are recognized when the terms of the executed merchant agreement have been fulfilled and the merchant successfully confirms the transaction. We believe that this seasonality has affected and will continue to affect our quarterly results; however, to date its effect may have been masked by our rapid growth.</w:t>
      </w:r>
    </w:p>
    <w:p>
      <w:pPr>
        <w:spacing w:after="0" w:line="107" w:lineRule="exact"/>
        <w:rPr>
          <w:sz w:val="20"/>
          <w:szCs w:val="20"/>
          <w:color w:val="auto"/>
        </w:rPr>
      </w:pPr>
    </w:p>
    <w:p>
      <w:pPr>
        <w:ind w:left="1260" w:right="780" w:firstLine="360"/>
        <w:spacing w:after="0" w:line="256" w:lineRule="auto"/>
        <w:rPr>
          <w:sz w:val="20"/>
          <w:szCs w:val="20"/>
          <w:color w:val="auto"/>
        </w:rPr>
      </w:pPr>
      <w:r>
        <w:rPr>
          <w:rFonts w:ascii="Times New Roman" w:cs="Times New Roman" w:eastAsia="Times New Roman" w:hAnsi="Times New Roman"/>
          <w:sz w:val="18"/>
          <w:szCs w:val="18"/>
          <w:color w:val="auto"/>
        </w:rPr>
        <w:t>Since we recognize interest income on loans held for investment over the term of the loan, a substantial portion of the revenue we report in each period is attributable to loans created via transactions occurring in prior periods. Consequently, increases or decreases in GMV in one period may not be immediately reflected in our revenue for that period and may positively or negatively affect our revenue in future periods. This effect is lessened by the relatively short duration of loans held for investment but may be increased by shifts in the relative proportion of loans held for investment compared to loans sold to third-party loan buyers.</w:t>
      </w:r>
    </w:p>
    <w:p>
      <w:pPr>
        <w:sectPr>
          <w:pgSz w:w="11900" w:h="16838" w:orient="portrait"/>
          <w:cols w:equalWidth="0" w:num="1">
            <w:col w:w="10220"/>
          </w:cols>
          <w:pgMar w:left="32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Operating Expense Trends</w:t>
      </w:r>
    </w:p>
    <w:p>
      <w:pPr>
        <w:spacing w:after="0" w:line="148"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Operating expenses generally have increased sequentially in each of the periods presented, other than the third fiscal quarter of 2019 and fourth fiscal quarter of 2020. Quarterly increases in operating expenses are primarily due to increased costs of operations as our GMV and total platform portfolio have grown and due to increased investments in headcount and other related expenses to support our growth. We expect headcount to continue to increase given our focus on growth and expansion.</w:t>
      </w:r>
    </w:p>
    <w:p>
      <w:pPr>
        <w:spacing w:after="0" w:line="116"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provision for credit losses represents the amount of expense required to maintain the allowance of credit losses on our balance sheet which represents management’s estimate of future losses. The provision is determined by the change in estimates for future losses and the net charge offs incurred in the period. Our provision for losses has generally grown in line with the increase in loans held for investment, with the exception of the third and fourth fiscal quarters of 2020. In March 2020, at the onset of the COVID-19 pandemic, we increased our allowance for loan losses significantly after factoring in updated loss multiples using macroeconomic data to reflect stressed expected loss scenarios emerging from forecasted delinquencies and defaults. This resulted in a significant increase in provision for credit losses during the period. However, during the succeeding quarter ended June 30, 2020, we saw stronger than expected repayment history in the portfolio resulting in a decrease in these stressed loss multiples and release of the allowance and therefore a significant decrease in operating expenses. Should similar macroeconomic or other factors arise that change our loss expectations, we may increase or decrease the allowance.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incurred losses since our inception, accumulating a deficit of $447.2 million and</w:t>
      </w:r>
    </w:p>
    <w:p>
      <w:pPr>
        <w:spacing w:after="0" w:line="27" w:lineRule="exact"/>
        <w:rPr>
          <w:sz w:val="20"/>
          <w:szCs w:val="20"/>
          <w:color w:val="auto"/>
        </w:rPr>
      </w:pPr>
    </w:p>
    <w:p>
      <w:pPr>
        <w:jc w:val="both"/>
        <w:ind w:left="1260" w:right="679"/>
        <w:spacing w:after="0" w:line="255" w:lineRule="auto"/>
        <w:rPr>
          <w:sz w:val="20"/>
          <w:szCs w:val="20"/>
          <w:color w:val="auto"/>
        </w:rPr>
      </w:pPr>
      <w:r>
        <w:rPr>
          <w:rFonts w:ascii="Times New Roman" w:cs="Times New Roman" w:eastAsia="Times New Roman" w:hAnsi="Times New Roman"/>
          <w:sz w:val="18"/>
          <w:szCs w:val="18"/>
          <w:color w:val="auto"/>
        </w:rPr>
        <w:t>$462.4 million as of June 30, 2020 and September 30, 2020, respectively. We have financed the majority of our operating and capital needs through the private sales of equity securities, borrowings from debt facilities and convertible debt, third-party loan sale arrangements, and cash flows from operations.</w:t>
      </w:r>
    </w:p>
    <w:p>
      <w:pPr>
        <w:spacing w:after="0" w:line="105"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As of September 30, 2020, our principal sources of liquidity were cash and cash equivalents, available capacity from revolving debt facilities and off-balance sheet loan sale arrangements, and cash flow from operations. We believe that our existing cash balances, available capacity under our revolving debt facilities and off-balance sheet loan sale arrangements, and cash from operations, are sufficient to meet both our existing operating, working capital, and capital expenditure requirements and our currently planned growth for at least the next 12 months. These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124"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In September and October 2020, we issued an aggregate of 21,836,687 shares of Series G preferred stock for aggregate cash proceeds of $435.1 million.</w:t>
      </w:r>
    </w:p>
    <w:p>
      <w:pPr>
        <w:spacing w:after="0" w:line="94"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Based on our current level of operations and available cash, we believe our sources of liquidity, together with the proceeds of this offering, will provide sufficient liquidity over at least the next 12 months. We cannot provide assurance, however, that our business will generate sufficient cash flows from operations or that future borrowings will be available to us or from other sources in an amount sufficient to enable us to fund our liquidity needs. Our ability to do so depends on prevailing economic conditions and other factors, many of which are beyond our control.</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At September 30, 2020, we had approximately $684.4 million of cash to fund our future operations compared to approximately $292.0 million at September 30, 2019. Our cash and cash equivalents were held primarily for continued investment in our business, for working capital purposes, and to fund a portion of our lending activities. Our policy is to invest cash in excess of our immediate working capital requirements in short-term investments and deposit accounts to preserve the principal balance and maintain adequate liquidity.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Restricted cash consists primarily of: (i) deposits restricted by standby letters of credit for office leases;</w:t>
      </w:r>
    </w:p>
    <w:p>
      <w:pPr>
        <w:spacing w:after="0" w:line="16" w:lineRule="exact"/>
        <w:rPr>
          <w:sz w:val="20"/>
          <w:szCs w:val="20"/>
          <w:color w:val="auto"/>
        </w:rPr>
      </w:pPr>
    </w:p>
    <w:p>
      <w:pPr>
        <w:ind w:left="1260" w:right="679" w:firstLine="2"/>
        <w:spacing w:after="0" w:line="236" w:lineRule="auto"/>
        <w:tabs>
          <w:tab w:leader="none" w:pos="15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held in accounts as collateral for an originating bank partner; and (iii) servicing funds held in accounts contractually restricted by agreements with warehouse credit facilities and third-party loan owners. We have no ability to draw on such funds as long as they remain restricted under the applicable 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Funding Debt</w:t>
      </w:r>
    </w:p>
    <w:p>
      <w:pPr>
        <w:spacing w:after="0" w:line="14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Through trusts, we entered into warehouse credit facilities with certain lenders to finance our purchases of loans and to pay fees and expenses related to the applicable facilities. These trusts are consolidated variable interest entities (“VIE”)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September 30, 2020, we were in compliance with all applicable covenants in the agreements. Refer to Note 11. Funding Debt in the notes to the consolidated financial statements included elsewhere in this prospectus for additional information.</w:t>
      </w:r>
    </w:p>
    <w:p>
      <w:pPr>
        <w:spacing w:after="0" w:line="2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funding debt facilities as of September 30, 2020:</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Borrowing</w:t>
            </w:r>
          </w:p>
        </w:tc>
        <w:tc>
          <w:tcPr>
            <w:tcW w:w="26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90"/>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Maturity Fiscal Year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5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r>
      <w:tr>
        <w:trPr>
          <w:trHeight w:val="200"/>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139,508</w:t>
            </w:r>
          </w:p>
        </w:tc>
        <w:tc>
          <w:tcPr>
            <w:tcW w:w="40" w:type="dxa"/>
            <w:vAlign w:val="bottom"/>
          </w:tcPr>
          <w:p>
            <w:pPr>
              <w:spacing w:after="0"/>
              <w:rPr>
                <w:sz w:val="22"/>
                <w:szCs w:val="22"/>
                <w:color w:val="auto"/>
              </w:rPr>
            </w:pPr>
          </w:p>
        </w:tc>
      </w:tr>
      <w:tr>
        <w:trPr>
          <w:trHeight w:val="25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536,560</w:t>
            </w:r>
          </w:p>
        </w:tc>
        <w:tc>
          <w:tcPr>
            <w:tcW w:w="40" w:type="dxa"/>
            <w:vAlign w:val="bottom"/>
            <w:shd w:val="clear" w:color="auto" w:fill="CCEEFF"/>
          </w:tcPr>
          <w:p>
            <w:pPr>
              <w:spacing w:after="0"/>
              <w:rPr>
                <w:sz w:val="22"/>
                <w:szCs w:val="22"/>
                <w:color w:val="auto"/>
              </w:rPr>
            </w:pPr>
          </w:p>
        </w:tc>
      </w:tr>
      <w:tr>
        <w:trPr>
          <w:trHeight w:val="25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40" w:type="dxa"/>
            <w:vAlign w:val="bottom"/>
            <w:tcBorders>
              <w:bottom w:val="single" w:sz="8" w:color="CCEEFF"/>
            </w:tcBorders>
          </w:tcPr>
          <w:p>
            <w:pPr>
              <w:spacing w:after="0"/>
              <w:rPr>
                <w:sz w:val="22"/>
                <w:szCs w:val="22"/>
                <w:color w:val="auto"/>
              </w:rPr>
            </w:pPr>
          </w:p>
        </w:tc>
      </w:tr>
      <w:tr>
        <w:trPr>
          <w:trHeight w:val="26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1,425,000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707,962</w:t>
            </w:r>
          </w:p>
        </w:tc>
        <w:tc>
          <w:tcPr>
            <w:tcW w:w="40" w:type="dxa"/>
            <w:vAlign w:val="bottom"/>
            <w:shd w:val="clear" w:color="auto" w:fill="CCEEFF"/>
          </w:tcPr>
          <w:p>
            <w:pPr>
              <w:spacing w:after="0"/>
              <w:rPr>
                <w:sz w:val="22"/>
                <w:szCs w:val="22"/>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-7620</wp:posOffset>
            </wp:positionV>
            <wp:extent cx="254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-187960</wp:posOffset>
            </wp:positionV>
            <wp:extent cx="474916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-1328420</wp:posOffset>
            </wp:positionV>
            <wp:extent cx="1371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These revolving facilities mature between 2022 and 2026, and subject to covenant compliance generally permit borrowings up to 12 months prior to the final maturity date. Borrowings under these facilities generally occur multiple times per week, and generally coincide with purchases of loans from our originating bank partner. We manage liquidity by accessing diversified pools of capital and avoid concentration with any single counterparty; we are diversified across different types of investors including investment banks, asset managers, and insurance companies.</w:t>
      </w:r>
    </w:p>
    <w:p>
      <w:pPr>
        <w:spacing w:after="0" w:line="116"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Borrowings under these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46" w:lineRule="exact"/>
        <w:rPr>
          <w:sz w:val="20"/>
          <w:szCs w:val="20"/>
          <w:color w:val="auto"/>
        </w:rPr>
      </w:pPr>
    </w:p>
    <w:p>
      <w:pPr>
        <w:jc w:val="both"/>
        <w:ind w:left="1260" w:right="1259" w:firstLine="360"/>
        <w:spacing w:after="0" w:line="250" w:lineRule="auto"/>
        <w:rPr>
          <w:sz w:val="20"/>
          <w:szCs w:val="20"/>
          <w:color w:val="auto"/>
        </w:rPr>
      </w:pPr>
      <w:r>
        <w:rPr>
          <w:rFonts w:ascii="Times New Roman" w:cs="Times New Roman" w:eastAsia="Times New Roman" w:hAnsi="Times New Roman"/>
          <w:sz w:val="18"/>
          <w:szCs w:val="18"/>
          <w:color w:val="auto"/>
        </w:rPr>
        <w:t>On April 29, 2020, we entered into a note purchase agreement with various investors and issued convertible notes in an aggregate amount of $75.0 million with a maturity date of April 29, 2021 and bearing interest at a rate of 1.00% per annum.</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Subsequent to the end of the fiscal year ended June 30, 2020, on September 11, 2020, as part of our Series G equity financing round, the convertible notes issued in April 2020 were fully converted into 4,444,321 shares of Series G-1 preferred stock.</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33"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Subsequent to the end of the fiscal year ended June 30, 2020, on July 1, 2020, we issued a term securitization in a private placement to various investors consisting of a single tranche in the amount of $150 million of notes with a final maturity date of October 15, 2024 through Affirm Asset Securitization Trust 2020-Z1 (the “Z1 Trust”). Payments on the notes will be made primarily from collections on a pool of non-interest bearing point-of-sale unsecured consumer loans that the Z1 Trust purchased from Affirm, Inc. The notes bear interest at a rate of 3.46% per annum. Subject to covenant compliance, we may purchase the remaining collateral in the transaction once the outstanding note balance reaches $15 million. On July 8, 2020, we contributed $169.8 million of loan receivables to the securitization.</w:t>
      </w:r>
    </w:p>
    <w:p>
      <w:pPr>
        <w:spacing w:after="0" w:line="12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On August 5, 2020, we issued a revolving securitization facility in a private placement to various investors, consisting of three tranches of notes issued in an aggregate amount of $368.3 million, all with a maturity date of February 18, 2025, through Affirm Asset Securitization Trust 2020-A (the “A1 Trust”). Payments on the notes will be made by a revolving pool of fixed-rate fully amortizing point -of-sale unsecured consumer loans originated by our originating bank partner or another third-party originator and sold to Affirm, Inc. or originated by Affirm, Inc., and sold to the A1 Trust. During the revolving period, ending January 31, 2022, the securitization allows us to maintain a predetermined balance of collateral by adding new receivables as those already in the facility pay down or amortize. The notes, collectively, bear interest at rates ranging from 2.10% to 6.23% per annum. During the revolving period, and subject to covenant compliance, we are permitted to use available funds on hand in the facility to purchase new loans. In addition, the transaction may be upsized at our option up to an aggregate note amount of $748.9 million and is subject to our optional redemption on February 15, 2022. We contributed $404.6 million of loan receivables to the securitization.</w:t>
      </w:r>
    </w:p>
    <w:p>
      <w:pPr>
        <w:spacing w:after="0" w:line="297"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For both of the Z1 Trust and the A1 Trust, we retain horizontal residual interests equal to or in excess of 5% of the respective transaction fair values to comply with risk retention as required by applicable law.</w:t>
      </w:r>
    </w:p>
    <w:p>
      <w:pPr>
        <w:spacing w:after="0" w:line="81" w:lineRule="exact"/>
        <w:rPr>
          <w:sz w:val="20"/>
          <w:szCs w:val="20"/>
          <w:color w:val="auto"/>
        </w:rPr>
      </w:pPr>
    </w:p>
    <w:p>
      <w:pPr>
        <w:ind w:left="1260" w:right="1019" w:firstLine="360"/>
        <w:spacing w:after="0"/>
        <w:rPr>
          <w:sz w:val="20"/>
          <w:szCs w:val="20"/>
          <w:color w:val="auto"/>
        </w:rPr>
      </w:pPr>
      <w:r>
        <w:rPr>
          <w:rFonts w:ascii="Times New Roman" w:cs="Times New Roman" w:eastAsia="Times New Roman" w:hAnsi="Times New Roman"/>
          <w:sz w:val="18"/>
          <w:szCs w:val="18"/>
          <w:color w:val="auto"/>
        </w:rPr>
        <w:t>On October 13, 2020, we issued a term securitization in a private placement to various investors consisting of a single tranche in the amount of $375 million of notes with a final maturity date of January 15, 2025 through Affirm Asset Securitization Trust 2020-Z2 (the “Z2 Trust”). Payments on the notes will be made primarily from collections on a pool of non-interest bearing point -of-sale unsecured consumer loans that the Z2 Trust, a consolidated subsidiary, purchased from Affirm, Inc. The notes bear interest at a rate of 1.90% per annum. On October 22, 2020, we contributed $413.5 million of loan receivables to the securitization.</w:t>
      </w:r>
    </w:p>
    <w:p>
      <w:pPr>
        <w:spacing w:after="0" w:line="117"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On October 22, 2020, pursuant to rights in the executed loan sale agreement, one of our third-party loan buyers contributed $27.8 million of loan receivables to the securitization through the Z2 Trust. We retained 93.4% of the residual certificates issued by the Z2 Trust. The remaining residual certificates and all the risk retention interest is held by the third-party investor. In addition to the retained residual certificates, our continued involvement includes loan servicing responsibilities over the life of the underlying loans.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fiscal years presented:</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17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r>
      <w:tr>
        <w:trPr>
          <w:trHeight w:val="23"/>
        </w:trPr>
        <w:tc>
          <w:tcPr>
            <w:tcW w:w="4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9"/>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(71,302)</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$(18,529)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60" w:type="dxa"/>
            <w:vAlign w:val="bottom"/>
          </w:tcPr>
          <w:p>
            <w:pPr>
              <w:spacing w:after="0"/>
              <w:rPr>
                <w:sz w:val="19"/>
                <w:szCs w:val="19"/>
                <w:color w:val="auto"/>
              </w:rPr>
            </w:pPr>
          </w:p>
        </w:tc>
      </w:tr>
      <w:tr>
        <w:trPr>
          <w:trHeight w:val="23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(353,728)</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(253,073)</w:t>
            </w:r>
          </w:p>
        </w:tc>
        <w:tc>
          <w:tcPr>
            <w:tcW w:w="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(67,992)</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(357,761)</w:t>
            </w:r>
          </w:p>
        </w:tc>
      </w:tr>
      <w:tr>
        <w:trPr>
          <w:trHeight w:val="297"/>
        </w:trPr>
        <w:tc>
          <w:tcPr>
            <w:tcW w:w="4620" w:type="dxa"/>
            <w:vAlign w:val="bottom"/>
            <w:tcBorders>
              <w:bottom w:val="single" w:sz="8" w:color="CCEEFF"/>
            </w:tcBorders>
            <w:shd w:val="clear" w:color="auto" w:fill="CCEEFF"/>
          </w:tcPr>
          <w:p>
            <w:pPr>
              <w:spacing w:after="0" w:line="297" w:lineRule="exact"/>
              <w:rPr>
                <w:sz w:val="20"/>
                <w:szCs w:val="20"/>
                <w:color w:val="auto"/>
              </w:rPr>
            </w:pPr>
            <w:r>
              <w:rPr>
                <w:rFonts w:ascii="Times New Roman" w:cs="Times New Roman" w:eastAsia="Times New Roman" w:hAnsi="Times New Roman"/>
                <w:sz w:val="18"/>
                <w:szCs w:val="18"/>
                <w:color w:val="auto"/>
              </w:rPr>
              <w:t>Net cash provided by financing activities</w:t>
            </w:r>
            <w:r>
              <w:rPr>
                <w:rFonts w:ascii="Times New Roman" w:cs="Times New Roman" w:eastAsia="Times New Roman" w:hAnsi="Times New Roman"/>
                <w:sz w:val="26"/>
                <w:szCs w:val="26"/>
                <w:color w:val="auto"/>
                <w:vertAlign w:val="superscript"/>
              </w:rPr>
              <w:t>(1)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561,648</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294,732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817,811</w:t>
            </w:r>
          </w:p>
        </w:tc>
        <w:tc>
          <w:tcPr>
            <w:tcW w:w="60" w:type="dxa"/>
            <w:vAlign w:val="bottom"/>
          </w:tcPr>
          <w:p>
            <w:pPr>
              <w:spacing w:after="0"/>
              <w:rPr>
                <w:sz w:val="24"/>
                <w:szCs w:val="24"/>
                <w:color w:val="auto"/>
              </w:rPr>
            </w:pPr>
          </w:p>
        </w:tc>
      </w:tr>
      <w:tr>
        <w:trPr>
          <w:trHeight w:val="23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(29,643)</w:t>
            </w:r>
          </w:p>
        </w:tc>
        <w:tc>
          <w:tcPr>
            <w:tcW w:w="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(23,851)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457,746</w:t>
            </w:r>
          </w:p>
        </w:tc>
        <w:tc>
          <w:tcPr>
            <w:tcW w:w="6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-925195</wp:posOffset>
            </wp:positionV>
            <wp:extent cx="137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-925195</wp:posOffset>
            </wp:positionV>
            <wp:extent cx="137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-925195</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539750</wp:posOffset>
            </wp:positionV>
            <wp:extent cx="12344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right="1399" w:hanging="358"/>
        <w:spacing w:after="0" w:line="282"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net cash provided by issuance of redeemable convertible preferred stock and convertible debt as follows: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8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15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4900" w:type="dxa"/>
            <w:vAlign w:val="bottom"/>
          </w:tcPr>
          <w:p>
            <w:pPr>
              <w:spacing w:after="0"/>
              <w:rPr>
                <w:sz w:val="16"/>
                <w:szCs w:val="16"/>
                <w:color w:val="auto"/>
              </w:rPr>
            </w:pPr>
          </w:p>
        </w:tc>
        <w:tc>
          <w:tcPr>
            <w:tcW w:w="18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00" w:type="dxa"/>
            <w:vAlign w:val="bottom"/>
          </w:tcPr>
          <w:p>
            <w:pPr>
              <w:spacing w:after="0"/>
              <w:rPr>
                <w:sz w:val="17"/>
                <w:szCs w:val="17"/>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9"/>
        </w:trPr>
        <w:tc>
          <w:tcPr>
            <w:tcW w:w="4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r>
      <w:tr>
        <w:trPr>
          <w:trHeight w:val="23"/>
        </w:trPr>
        <w:tc>
          <w:tcPr>
            <w:tcW w:w="4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5"/>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8"/>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net of repurchases and issuance costs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(7,110)</w:t>
            </w: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$15,484</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$434,434</w:t>
            </w: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repurchases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(16,121)</w:t>
            </w:r>
          </w:p>
        </w:tc>
        <w:tc>
          <w:tcPr>
            <w:tcW w:w="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6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equity-related financing activities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$292,429</w:t>
            </w: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51,769</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$15,362</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$435,591</w:t>
            </w:r>
          </w:p>
        </w:tc>
      </w:tr>
      <w:tr>
        <w:trPr>
          <w:trHeight w:val="263"/>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debt-related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242,963</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47,308</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382,220</w:t>
            </w:r>
          </w:p>
        </w:tc>
      </w:tr>
      <w:tr>
        <w:trPr>
          <w:trHeight w:val="26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$561,648</w:t>
            </w:r>
          </w:p>
        </w:tc>
        <w:tc>
          <w:tcPr>
            <w:tcW w:w="2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294,732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$62,670</w:t>
            </w:r>
          </w:p>
        </w:tc>
        <w:tc>
          <w:tcPr>
            <w:tcW w:w="2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-1319530</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-1319530</wp:posOffset>
            </wp:positionV>
            <wp:extent cx="12890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-1319530</wp:posOffset>
            </wp:positionV>
            <wp:extent cx="1200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13"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September 30, 2020 was $2.3 million, a decrease of $16.2 million from $18.5 million for the three months ended September 30, 2019. This reflects our net loss of $15.3 million, adjusted for non-cash charges of $8.3 million, net cash outflows of</w:t>
      </w:r>
    </w:p>
    <w:p>
      <w:pPr>
        <w:spacing w:after="0" w:line="1"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$8.0 million from the purchase and sale of loans held for sale, and net cash inflows of $12.6 million provided by changes in our operating assets and liabilities. Non-cash charges primarily consisted of: provision for losses, which increased by $15.4 million or 62% due to a combination of continued growth in the allowance for credit losses partially offset by lower than expected actual losses; gain on sales of loans, which increased by $10.7 million from $5.7 million in the first quarter of the prior year due to the introduction of new third-party loan buyers and improved loan sale economics on existing relationships since the first quarter of the prior fiscal year; and amortization of premiums and discounts, which increased by $4.8 million or 76% due to increased amortization of discounts related to loans purchased from our originating bank partner at a price above fair market value. Additionally, within non-cash charges we recognized a gain of $30.1 million resulting from the conversion of the convertible notes into shares of Series G -1 redeemable convertible preferred stock in September 2020. This gain represented the difference between the carrying value of the debt at the time of extinguishment and the allocated proceeds. Additionally, we incurred a $14.3 million amortization expense associated with our Shopify Inc. commercial agreement. Neither of these non -cash charges was earned of incurred during the first quarter of the prior fiscal year. Combined, these net cash outflows were largely offset by decreases in operating assets and increases in operating liabilities resulting in a cash inflow of $12.6 million compared to a cash outflow of $0.7 million in the first quarter of the prior fiscal year. This shift was largely due to a significant increase in accounts payable during the three months ended September 30, 2020, as the result of both generally increased operating expenses as well as negotiated extended payment terms as we continue to focus on cash efficiencies.</w:t>
      </w:r>
    </w:p>
    <w:p>
      <w:pPr>
        <w:spacing w:after="0" w:line="232"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Cash used in operating activities for the fiscal year ended June 30, 2020 was $ 71.3 million, a decrease of $16.3 million from $87.6 million for the year ended June 30, 2019. This reflects our net loss of $112.6 million, adjusted for non-cash charges of $89.9 million and net cash inflows of $31.0 million provided by changes in our operating assets and liabilities. Non-cash charges primarily consisted of provision for losses, which increased by $27.0 million or 35% due to a combination of growth in the allowance for credit losses, partially offset by lower than expected actual losses; gain on sales of loans, which increased by $32.3 million from a loss in the prior year, due to the introduction of new third-party loan buyers and improved loan sale economics on existing relationships; and amortization of premiums and discounts, which increased by $8.2 million or 43% due to increased loans purchased from our originating bank partner at a price above fair market value. In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4" w:lineRule="auto"/>
        <w:rPr>
          <w:sz w:val="20"/>
          <w:szCs w:val="20"/>
          <w:color w:val="auto"/>
        </w:rPr>
      </w:pPr>
      <w:r>
        <w:rPr>
          <w:rFonts w:ascii="Times New Roman" w:cs="Times New Roman" w:eastAsia="Times New Roman" w:hAnsi="Times New Roman"/>
          <w:sz w:val="18"/>
          <w:szCs w:val="18"/>
          <w:color w:val="auto"/>
        </w:rPr>
        <w:t>addition, we incurred net cash outflows of $79.5 million from our sales and purchases of loans held for sale during the fiscal year ended June 30, 2020, an increase of $34.1 million, or 75%, from $45.4 million during the year ended June 30, 2019. This increase was largely due to increased volume of loan sales of $1,634.5 million, or 161%, and a shift to 56% of loans purchased being sold to third-party loan purchasers compared to 37% in the prior year. These increased cash outflows were largely offset by decreases in operating assets and increases in operating liabilities resulting in a cash inflow of $31.0 million compared to a cash outflow of $20.7 million in the prior fiscal year. This shift was largely due to the release of a reserve requirement for our virtual card issuer-processor, in which approximately $33.0 million of cash was returned to us in January 2020. This reserve was included in other assets on our consolidated balance sheets prior to its release.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September 30, 2020 was $357.8 million, an increase of $289.8 million from $68.0 million during the three months ended September 30, 2019. The main driver of this was $1,177.8 million of purchases of loans, representing an increase of $619.5 million or</w:t>
      </w:r>
    </w:p>
    <w:p>
      <w:pPr>
        <w:spacing w:after="0" w:line="1" w:lineRule="exact"/>
        <w:rPr>
          <w:sz w:val="20"/>
          <w:szCs w:val="20"/>
          <w:color w:val="auto"/>
        </w:rPr>
      </w:pPr>
    </w:p>
    <w:p>
      <w:pPr>
        <w:ind w:left="1260" w:right="739"/>
        <w:spacing w:after="0" w:line="251" w:lineRule="auto"/>
        <w:rPr>
          <w:sz w:val="20"/>
          <w:szCs w:val="20"/>
          <w:color w:val="auto"/>
        </w:rPr>
      </w:pPr>
      <w:r>
        <w:rPr>
          <w:rFonts w:ascii="Times New Roman" w:cs="Times New Roman" w:eastAsia="Times New Roman" w:hAnsi="Times New Roman"/>
          <w:sz w:val="18"/>
          <w:szCs w:val="18"/>
          <w:color w:val="auto"/>
        </w:rPr>
        <w:t>111% compared to the first quarter of the prior fiscal year, due partly to general growth in GMV but also due to the establishment of two new securitization trusts during the period in which we purchased loans and contributed approximately $578.4 million of loan receivables to the trusts, rather than selling to third-party loan buyers which would be classified as an operating activity on the statement of cash flows. This was partially offset by $749.1 million of repayments of loans, representing an increase of $311.5 million, or 71%, compared to the first quarter of the prior fiscal year, due to a higher average balance of loans held for investment and generally increasing credit quality of the portfolio resulting from credit tightening measures during the fourth quarter of the fiscal year ended June 30, 2020.</w:t>
      </w:r>
    </w:p>
    <w:p>
      <w:pPr>
        <w:spacing w:after="0" w:line="126"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fiscal year ended June 30, 2020 was $253.1 million, a decrease of $100.6 million from $353.7 million for the year ended June 30, 2019. The main drivers of this were $2,830.3 million in purchases of loans and $21.0 million in purchases of property, equipment, and software, partially offset by $2,294.8 million of cash generated from principal repayments of loans and $303.4 million in proceeds from the sale of loans.</w:t>
      </w:r>
    </w:p>
    <w:p>
      <w:pPr>
        <w:spacing w:after="0" w:line="11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For the fiscal year ended June 30, 2019, the main drivers of cash used in investing activities were $1,892.5 million in purchases of loans and $19.4 million in purchases of property, equipment, and software, partially offset by $1,412.9 million of cash generated from principal repayments of loans and $147.1 million in proceeds from the sale of loans.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September 30, 2020 was $817.8 million, an increase of $755.1 million from $62.7 million during the three months ended September 30, 2019. A main driver of this was the issuance of Series G redeemable convertible preferred stock in September 2020 resulting in a net cash inflow of $434.4 million, net of issuance costs. Additionally, the issuance of notes by our newly formed securitization trusts during the three months ended September 30, 2020 resulted in net cash inflows of $503.5 million, net of in-period principal repayments. Both of these cash inflows represented new financing activities compared to the first quarter of the prior fiscal year but were partially offset by $116.6 million of net cash outflows from funding debt as principal repayments on debt exceeded proceeds from draws on these revolving credit facilities. This net cash outflow from funding debt was in contrast to a net cash inflow from funding debt of $47.3 million during the three months ended September 30, 2019. The shift between periods is largely due to the availability of new funding sources from our securitization trusts.</w:t>
      </w:r>
    </w:p>
    <w:p>
      <w:pPr>
        <w:spacing w:after="0" w:line="340" w:lineRule="exact"/>
        <w:rPr>
          <w:sz w:val="20"/>
          <w:szCs w:val="20"/>
          <w:color w:val="auto"/>
        </w:rPr>
      </w:pPr>
    </w:p>
    <w:p>
      <w:pPr>
        <w:ind w:left="1260" w:right="1039" w:firstLine="360"/>
        <w:spacing w:after="0" w:line="257" w:lineRule="auto"/>
        <w:rPr>
          <w:sz w:val="20"/>
          <w:szCs w:val="20"/>
          <w:color w:val="auto"/>
        </w:rPr>
      </w:pPr>
      <w:r>
        <w:rPr>
          <w:rFonts w:ascii="Times New Roman" w:cs="Times New Roman" w:eastAsia="Times New Roman" w:hAnsi="Times New Roman"/>
          <w:sz w:val="18"/>
          <w:szCs w:val="18"/>
          <w:color w:val="auto"/>
        </w:rPr>
        <w:t>Cash provided by financing activities for the fiscal year ended June 30, 2020 was $294.7 million, a decrease from $561.6 million for the year ended June 30, 2019. The main drivers of this were $2,132.8 million in proceeds from funding debt, $75.0 million from the issuance of convertible debt,</w:t>
      </w:r>
    </w:p>
    <w:p>
      <w:pPr>
        <w:spacing w:after="0" w:line="1" w:lineRule="exact"/>
        <w:rPr>
          <w:sz w:val="20"/>
          <w:szCs w:val="20"/>
          <w:color w:val="auto"/>
        </w:rPr>
      </w:pPr>
    </w:p>
    <w:p>
      <w:pPr>
        <w:ind w:left="1260" w:right="719"/>
        <w:spacing w:after="0" w:line="255" w:lineRule="auto"/>
        <w:rPr>
          <w:sz w:val="20"/>
          <w:szCs w:val="20"/>
          <w:color w:val="auto"/>
        </w:rPr>
      </w:pPr>
      <w:r>
        <w:rPr>
          <w:rFonts w:ascii="Times New Roman" w:cs="Times New Roman" w:eastAsia="Times New Roman" w:hAnsi="Times New Roman"/>
          <w:sz w:val="18"/>
          <w:szCs w:val="18"/>
          <w:color w:val="auto"/>
        </w:rPr>
        <w:t>$15.5 million from the issuance of preferred stock, net of issuance costs, and $2.7 million from the issuance of common stock. This was partially offset by $1,882.2 million of principal repayments of funding debt, $22.6 million used to repurchase preferred stock, and $18.9 million used to repurchase common stock.</w:t>
      </w:r>
    </w:p>
    <w:p>
      <w:pPr>
        <w:sectPr>
          <w:pgSz w:w="11900" w:h="16838" w:orient="portrait"/>
          <w:cols w:equalWidth="0" w:num="1">
            <w:col w:w="10139"/>
          </w:cols>
          <w:pgMar w:left="320" w:top="114"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fiscal year ended June 30, 2019, the main drivers of cash provided by financing activities were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$1,354.6 million in proceeds from funding debt, $303.1 million from the issuance of preferred stock, net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issuance costs, and $6.5 million from the issuance of common stock. This was partially offset by</w:t>
      </w:r>
    </w:p>
    <w:p>
      <w:pPr>
        <w:ind w:left="1260"/>
        <w:spacing w:after="0" w:line="235" w:lineRule="auto"/>
        <w:rPr>
          <w:sz w:val="20"/>
          <w:szCs w:val="20"/>
          <w:color w:val="auto"/>
        </w:rPr>
      </w:pPr>
      <w:r>
        <w:rPr>
          <w:rFonts w:ascii="Times New Roman" w:cs="Times New Roman" w:eastAsia="Times New Roman" w:hAnsi="Times New Roman"/>
          <w:sz w:val="18"/>
          <w:szCs w:val="18"/>
          <w:color w:val="auto"/>
        </w:rPr>
        <w:t>$1,080.5 million in principal repayments of funding debt, $14.5 million used to repurchase preferred stock,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$2.6 million used to repurchase common stock.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Risks and Requirements</w:t>
      </w:r>
    </w:p>
    <w:p>
      <w:pPr>
        <w:spacing w:after="0" w:line="14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 Following the completion of this offering, we expect to enter into a $200 million revolving unsecured credit facility arranged by certain syndicate lenders. See the section titled “</w:t>
      </w:r>
      <w:r>
        <w:rPr>
          <w:rFonts w:ascii="Times New Roman" w:cs="Times New Roman" w:eastAsia="Times New Roman" w:hAnsi="Times New Roman"/>
          <w:sz w:val="18"/>
          <w:szCs w:val="18"/>
          <w:i w:val="1"/>
          <w:iCs w:val="1"/>
          <w:color w:val="auto"/>
        </w:rPr>
        <w:t>Summary — Recent Developments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more information.</w:t>
      </w:r>
    </w:p>
    <w:p>
      <w:pPr>
        <w:spacing w:after="0" w:line="302"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to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For the fiscal years ended June 30, 2019 and June 30, 2020, approximately 20% and 28%, respectively, of our total revenues were generated from one merchant partner, Peloton. For the three months ended September 30, 2019 and September 30, 2020, approximately 14% and 30%, respectively, of our total revenues were generated from the same merchant partner.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revenue growth and merchant diversification and we continue to integrate with a wide range of merchants, our revenue concentration may cause our financial performance to fluctuate significantly from period to period based on the revenue from such merchant partner.</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2020:</w:t>
      </w:r>
    </w:p>
    <w:p>
      <w:pPr>
        <w:spacing w:after="0" w:line="17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funding debt</w:t>
      </w:r>
    </w:p>
    <w:p>
      <w:pPr>
        <w:ind w:left="1260"/>
        <w:spacing w:after="0" w:line="207" w:lineRule="auto"/>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6"/>
          <w:szCs w:val="26"/>
          <w:color w:val="auto"/>
          <w:vertAlign w:val="superscript"/>
        </w:rPr>
        <w:t>(1)</w:t>
      </w:r>
    </w:p>
    <w:p>
      <w:pPr>
        <w:ind w:left="1260"/>
        <w:spacing w:after="0" w:line="184" w:lineRule="auto"/>
        <w:rPr>
          <w:sz w:val="20"/>
          <w:szCs w:val="20"/>
          <w:color w:val="auto"/>
        </w:rPr>
      </w:pPr>
      <w:r>
        <w:rPr>
          <w:rFonts w:ascii="Times New Roman" w:cs="Times New Roman" w:eastAsia="Times New Roman" w:hAnsi="Times New Roman"/>
          <w:sz w:val="18"/>
          <w:szCs w:val="18"/>
          <w:color w:val="auto"/>
        </w:rPr>
        <w:t>Short-term convertible debt</w:t>
      </w:r>
      <w:r>
        <w:rPr>
          <w:rFonts w:ascii="Times New Roman" w:cs="Times New Roman" w:eastAsia="Times New Roman" w:hAnsi="Times New Roman"/>
          <w:sz w:val="26"/>
          <w:szCs w:val="26"/>
          <w:color w:val="auto"/>
          <w:vertAlign w:val="superscript"/>
        </w:rPr>
        <w:t>(2)</w:t>
      </w:r>
    </w:p>
    <w:p>
      <w:pPr>
        <w:ind w:left="1260"/>
        <w:spacing w:after="0" w:line="184" w:lineRule="auto"/>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6"/>
          <w:szCs w:val="26"/>
          <w:color w:val="auto"/>
          <w:vertAlign w:val="superscript"/>
        </w:rPr>
        <w:t>(3)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jc w:val="center"/>
              <w:ind w:left="99"/>
              <w:spacing w:after="0" w:line="131"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3 - 5 Years</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01"/>
        </w:trPr>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824,580</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$653,447</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$171,133</w:t>
            </w: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1,114,344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120,543</w:t>
            </w:r>
          </w:p>
        </w:tc>
        <w:tc>
          <w:tcPr>
            <w:tcW w:w="2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283,940</w:t>
            </w:r>
          </w:p>
        </w:tc>
        <w:tc>
          <w:tcPr>
            <w:tcW w:w="2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684,715</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2"/>
              </w:rPr>
              <w:t>25,146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-694055</wp:posOffset>
            </wp:positionV>
            <wp:extent cx="5212080" cy="1111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-436880</wp:posOffset>
            </wp:positionV>
            <wp:extent cx="5212080" cy="146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-145415</wp:posOffset>
            </wp:positionV>
            <wp:extent cx="5212080"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-788035</wp:posOffset>
            </wp:positionV>
            <wp:extent cx="1371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-788035</wp:posOffset>
            </wp:positionV>
            <wp:extent cx="137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1243330</wp:posOffset>
            </wp:positionH>
            <wp:positionV relativeFrom="paragraph">
              <wp:posOffset>-788035</wp:posOffset>
            </wp:positionV>
            <wp:extent cx="137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-788035</wp:posOffset>
            </wp:positionV>
            <wp:extent cx="137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4080" w:space="720"/>
            <w:col w:w="5339"/>
          </w:cols>
          <w:pgMar w:left="320" w:top="114" w:right="1440" w:bottom="1440" w:gutter="0" w:footer="0" w:header="0"/>
          <w:type w:val="continuous"/>
        </w:sect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539750</wp:posOffset>
            </wp:positionV>
            <wp:extent cx="12344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hanging="358"/>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 obligations under our office leases.</w:t>
      </w:r>
    </w:p>
    <w:p>
      <w:pPr>
        <w:spacing w:after="0" w:line="76" w:lineRule="exact"/>
        <w:rPr>
          <w:rFonts w:ascii="Times New Roman" w:cs="Times New Roman" w:eastAsia="Times New Roman" w:hAnsi="Times New Roman"/>
          <w:sz w:val="18"/>
          <w:szCs w:val="18"/>
          <w:color w:val="auto"/>
        </w:rPr>
      </w:pPr>
    </w:p>
    <w:p>
      <w:pPr>
        <w:ind w:left="1620" w:right="679" w:hanging="358"/>
        <w:spacing w:after="0" w:line="263"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on our short-term convertible debt is due on April 29, 2021 and bears interest at a rate of 1.00% per annum. On September 11, 2020, as part of our Series G equity financing round, the convertible notes issued in April 2020 were fully converted into 4,444,321 shares of Series G-1 preferred stock.</w:t>
      </w:r>
    </w:p>
    <w:p>
      <w:pPr>
        <w:spacing w:after="0" w:line="264" w:lineRule="exact"/>
        <w:rPr>
          <w:rFonts w:ascii="Times New Roman" w:cs="Times New Roman" w:eastAsia="Times New Roman" w:hAnsi="Times New Roman"/>
          <w:sz w:val="18"/>
          <w:szCs w:val="18"/>
          <w:color w:val="auto"/>
        </w:rPr>
      </w:pPr>
    </w:p>
    <w:p>
      <w:pPr>
        <w:ind w:left="1620" w:right="899" w:hanging="358"/>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2020, we entered into an addendum to our agreement with our cloud computing web services provider which included annual spending commitments, as further described below.</w:t>
      </w:r>
    </w:p>
    <w:p>
      <w:pPr>
        <w:spacing w:after="0" w:line="81"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above does not reflect the securitizations through the Z1 Trust, the A1 Trust and the Z2 Trust. The table above also excludes the cash portion of the purchase price of CAD$136 million that is payable in connection with the PayBright Transaction.</w:t>
      </w:r>
    </w:p>
    <w:p>
      <w:pPr>
        <w:spacing w:after="0" w:line="11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February 2012, we entered into an agreement with a third-party cloud computing web services provider for our cloud computing and hosting services. In May 2020, we entered into an addendum to our agreement with our cloud computing web services provider which included annual spending commitments for the period between May 2020 and April 2023 with an aggregate committed spend of $120 million during such period. Our agreement with our cloud computing web services provider will continue indefinitely until terminated by either party. Our cloud-computing web services provider may terminate the customer agreement for convenience with 30 days prior written notice and may, in some cases, terminate the agreement immediately for cause upon notice. If we fail to meet the minimum purchase commitment during any year, we may be required to pay the difference. We pay our cloud-computing web services provider monthly, and we may pay more than the minimum purchase commitment to our cloud-computing web services provider based on usage.</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off-balance sheet arrangements during the fiscal years presented.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GAAP. GAAP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12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evaluate our significant estimates on an ongoing basis, including, but not limited to, estimates related to merchant network revenue, loss on loan purchase commitment, allowance for credit losses, income taxes, stock-based compensation, and common stock valuations. We believe these estimates have the greatest potential effect on our consolidated financial statements. Therefore, we consider these to be our critical accounting policies and estimates. For further information on all of our significant accounting policies, refer to Note 2. Summary of Significant Accounting Policies of the accompanying notes to our consolidated financial statements included elsewhere in this prospectus.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Merchant Network Revenue</w:t>
      </w:r>
    </w:p>
    <w:p>
      <w:pPr>
        <w:spacing w:after="0" w:line="148"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Merchant network revenue consists of merchant fees. Merchant partners are charged a fee on each transaction processed through the Affirm platform. The fees range depending on the individual arrangement between us and each merchant and vary based on the terms of the product offering. The fee is recognized as earned when the terms of the executed merchant agreement have been fulfilled and the merchant</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61" w:lineRule="auto"/>
        <w:rPr>
          <w:sz w:val="20"/>
          <w:szCs w:val="20"/>
          <w:color w:val="auto"/>
        </w:rPr>
      </w:pPr>
      <w:r>
        <w:rPr>
          <w:rFonts w:ascii="Times New Roman" w:cs="Times New Roman" w:eastAsia="Times New Roman" w:hAnsi="Times New Roman"/>
          <w:sz w:val="18"/>
          <w:szCs w:val="18"/>
          <w:color w:val="auto"/>
        </w:rPr>
        <w:t>successfully confirms the transaction. We present our transaction with the merchant separate from our transaction with our originating bank partner. Our bank partner is the originator of the loan extended to the merchant’s customer, and accordingly we account for the loan separate from the fee received from the merchant.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Loss on Loan Purchase Commitment</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purchase loans from our originating bank partner that are processed through our platform. Under the terms of the agreement, we are generally required to pay the principal amount plus accrued interest for such loans. In certain instances, our originating bank partner may originate loans with zero or below market interest rates that we are required to purchase. In these instances, we may be required to purchase the loan for a price in excess of the fair market value of such loans, which results in a loss on loan purchase and is recognized as loss on loan purchase commitment in our consolidated statements of operations. The fair value is determined by taking the difference between the estimated fair value of the loan and the anticipated purchase price. When the loan is purchased, the liability is included in the amortized cost basis of the purchased loan as a discount, which is then amortized into interest income over the life of the loan.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2"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Losses on loans held for investment are recognized when they are incurred, which requires us to make our best estimate of incurred losses within the portfolio. The method for calculating the best estimate of incurred losses takes into account our historical experience, adjusted for current conditions and our judgment concerning the probable effects of relevant observable data, trends, and market factors. The allowance for credit losses is maintained at a level sufficient to provide for incurred credit losses based on evaluating known and inherent risks in the loan portfolio.</w:t>
      </w:r>
    </w:p>
    <w:p>
      <w:pPr>
        <w:spacing w:after="0" w:line="120"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loan loss experience, and current economic conditions.</w:t>
      </w:r>
    </w:p>
    <w:p>
      <w:pPr>
        <w:spacing w:after="0" w:line="322"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color w:val="auto"/>
        </w:rPr>
        <w:t>When available information confirms that specific loans or portions thereof are uncollectible, identified amounts are charged against the allowance for loan losses. The existence of some or all of the following criteria will generally confirm that a loss has been incurred: the loan is significantly delinquent, and the borrower has not demonstrated the ability or intent to bring the loan current, and we have no recourse to the borrower.</w:t>
      </w:r>
    </w:p>
    <w:p>
      <w:pPr>
        <w:spacing w:after="0" w:line="335" w:lineRule="exact"/>
        <w:rPr>
          <w:sz w:val="20"/>
          <w:szCs w:val="20"/>
          <w:color w:val="auto"/>
        </w:rPr>
      </w:pPr>
    </w:p>
    <w:p>
      <w:pPr>
        <w:ind w:left="1260" w:right="1179" w:firstLine="360"/>
        <w:spacing w:after="0" w:line="261" w:lineRule="auto"/>
        <w:rPr>
          <w:sz w:val="20"/>
          <w:szCs w:val="20"/>
          <w:color w:val="auto"/>
        </w:rPr>
      </w:pPr>
      <w:r>
        <w:rPr>
          <w:rFonts w:ascii="Times New Roman" w:cs="Times New Roman" w:eastAsia="Times New Roman" w:hAnsi="Times New Roman"/>
          <w:sz w:val="18"/>
          <w:szCs w:val="18"/>
          <w:color w:val="auto"/>
        </w:rPr>
        <w:t>The underlying assumptions, estimates, and assessments we use to provide for losses are updated periodically to reflect our view of current conditions, which can result in changes to our assumptions. Changes in such estimates can significantly affect the allowance and provision for credit losses. It is possible that we will experience loan losses that are different from our current estimates.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We report income taxes in accordance with Financial Accounting Standards Board Accounting Standards Codification (“FASB ASC”) 740, Income Taxes (“ASC 740”), which requires an asset and liability approach in accounting for income taxes. Under this method, the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reduces the deferred tax assets to the amount that is more likely than not to be realized.</w:t>
      </w:r>
    </w:p>
    <w:p>
      <w:pPr>
        <w:spacing w:after="0" w:line="32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federal and state tax laws and regulations. ASC 740 states that a tax benefit from an uncertain tax position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1059"/>
        <w:spacing w:after="0" w:line="266" w:lineRule="auto"/>
        <w:rPr>
          <w:sz w:val="20"/>
          <w:szCs w:val="20"/>
          <w:color w:val="auto"/>
        </w:rPr>
      </w:pPr>
      <w:r>
        <w:rPr>
          <w:rFonts w:ascii="Times New Roman" w:cs="Times New Roman" w:eastAsia="Times New Roman" w:hAnsi="Times New Roman"/>
          <w:sz w:val="18"/>
          <w:szCs w:val="18"/>
          <w:color w:val="auto"/>
        </w:rPr>
        <w:t>may be recognized when it is more likely than not that the position will be sustained upon examination, including resolutions of any related appeals or litigation processes, on the basis of the technical merits.</w:t>
      </w:r>
    </w:p>
    <w:p>
      <w:pPr>
        <w:spacing w:after="0" w:line="81" w:lineRule="exact"/>
        <w:rPr>
          <w:sz w:val="20"/>
          <w:szCs w:val="20"/>
          <w:color w:val="auto"/>
        </w:rPr>
      </w:pPr>
    </w:p>
    <w:p>
      <w:pPr>
        <w:ind w:left="1260" w:right="919" w:firstLine="360"/>
        <w:spacing w:after="0" w:line="241" w:lineRule="auto"/>
        <w:rPr>
          <w:sz w:val="20"/>
          <w:szCs w:val="20"/>
          <w:color w:val="auto"/>
        </w:rPr>
      </w:pPr>
      <w:r>
        <w:rPr>
          <w:rFonts w:ascii="Times New Roman" w:cs="Times New Roman" w:eastAsia="Times New Roman" w:hAnsi="Times New Roman"/>
          <w:sz w:val="18"/>
          <w:szCs w:val="18"/>
          <w:color w:val="auto"/>
        </w:rPr>
        <w:t>We record unrecognized tax benefits as liabilities in accordance with ASC 740 and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116"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We assess the available positive and negative evidence to estimate whether sufficient future taxable income will be generated to permit the use of existing deferred tax assets. A significant piece of objective negative evidence evaluated was the cumulative loss incurred for the periods ended June 30, 2019 and 2020. Such objective evidence limits the ability to consider other subjective evidence, such as our projections for future growth. On the basis of this evaluation, as of June 30, 2019 and 2020, a full valuation allowance has been recorded against our gross deferred tax asset, net of future reversing deferred tax liabilities. The amount of the deferred tax assets considered realizable, however, could be adjusted if estimates of the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Compensation expense related to stock-based transactions, including employee, consultant, and non-employee director stock option awards, is measured and recognized in the consolidated financial statements based on fair value. The fair value of each equity-classified option award is estimated on the grant date using the Black Scholes option-pricing model. Expense is recognized on a straight-line basis over the vesting period of the award based on the estimated portion of the award that is expected to vest.</w:t>
      </w:r>
    </w:p>
    <w:p>
      <w:pPr>
        <w:spacing w:after="0" w:line="104"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Our option-pricing model requires the input of highly subjective assumptions, including the fair value of the underlying common stock, the expected term of the option, the expected volatility of the price of our common stock, risk- 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assumptions are estimated as follows:</w:t>
      </w:r>
    </w:p>
    <w:p>
      <w:pPr>
        <w:spacing w:after="0" w:line="156" w:lineRule="exact"/>
        <w:rPr>
          <w:sz w:val="20"/>
          <w:szCs w:val="20"/>
          <w:color w:val="auto"/>
        </w:rPr>
      </w:pPr>
    </w:p>
    <w:p>
      <w:pPr>
        <w:jc w:val="both"/>
        <w:ind w:left="1260" w:right="7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 </w:t>
      </w:r>
      <w:r>
        <w:rPr>
          <w:rFonts w:ascii="Times New Roman" w:cs="Times New Roman" w:eastAsia="Times New Roman" w:hAnsi="Times New Roman"/>
          <w:sz w:val="18"/>
          <w:szCs w:val="18"/>
          <w:color w:val="auto"/>
        </w:rPr>
        <w:t>Because our common stock is not yet publicly traded, we must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common stock. Our board of directors considers numerous objective and subjective factors to determine the fair value of our common stock at each meeting in which awards are approved.</w:t>
      </w:r>
    </w:p>
    <w:p>
      <w:pPr>
        <w:spacing w:after="0" w:line="93"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Expected volatility is a measure of the amount by which the stock price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fluctuate. Since we do not have 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110" w:lineRule="exact"/>
        <w:rPr>
          <w:sz w:val="20"/>
          <w:szCs w:val="20"/>
          <w:color w:val="auto"/>
        </w:rPr>
      </w:pPr>
    </w:p>
    <w:p>
      <w:pPr>
        <w:ind w:left="1260" w:right="7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We determine the expected term based on the average period the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remain outstanding using 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13" w:lineRule="exact"/>
        <w:rPr>
          <w:sz w:val="20"/>
          <w:szCs w:val="20"/>
          <w:color w:val="auto"/>
        </w:rPr>
      </w:pPr>
    </w:p>
    <w:p>
      <w:pPr>
        <w:ind w:left="1260" w:right="7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Risk -free rate — </w:t>
      </w:r>
      <w:r>
        <w:rPr>
          <w:rFonts w:ascii="Times New Roman" w:cs="Times New Roman" w:eastAsia="Times New Roman" w:hAnsi="Times New Roman"/>
          <w:sz w:val="18"/>
          <w:szCs w:val="18"/>
          <w:color w:val="auto"/>
        </w:rPr>
        <w:t>We use the U.S. Treasury yield for our risk-free interest rate that corresponds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78"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We utilize a dividend yield of zero, as we do not currently issue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do we expect to do so in the future.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options granted to employees: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23"/>
        </w:trPr>
        <w:tc>
          <w:tcPr>
            <w:tcW w:w="4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49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r>
      <w:tr>
        <w:trPr>
          <w:trHeight w:val="25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5.87</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1.91% – 3.07%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0.28% – 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-668020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-668020</wp:posOffset>
            </wp:positionV>
            <wp:extent cx="40030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9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Assumptions used in valuing non-employee stock options are generally consistent with those used for employee stock options with the exception that the expected term is over the contractual life, or 10 years.</w:t>
      </w:r>
    </w:p>
    <w:p>
      <w:pPr>
        <w:spacing w:after="0" w:line="95"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13" w:lineRule="exact"/>
        <w:rPr>
          <w:sz w:val="20"/>
          <w:szCs w:val="20"/>
          <w:color w:val="auto"/>
        </w:rPr>
      </w:pPr>
    </w:p>
    <w:p>
      <w:pPr>
        <w:jc w:val="both"/>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Following this offering, our future operating expenses, particularly in the quarter in which this offering is completed, will include stock-based compensation expense with respect to our RSUs as well as any other share-based awards we may grant in the future. In connection with this offering, we expect to incur stock-</w:t>
      </w:r>
    </w:p>
    <w:p>
      <w:pPr>
        <w:spacing w:after="0" w:line="1" w:lineRule="exact"/>
        <w:rPr>
          <w:sz w:val="20"/>
          <w:szCs w:val="20"/>
          <w:color w:val="auto"/>
        </w:rPr>
      </w:pPr>
    </w:p>
    <w:p>
      <w:pPr>
        <w:jc w:val="both"/>
        <w:ind w:left="1260" w:right="839"/>
        <w:spacing w:after="0" w:line="239" w:lineRule="auto"/>
        <w:rPr>
          <w:sz w:val="20"/>
          <w:szCs w:val="20"/>
          <w:color w:val="auto"/>
        </w:rPr>
      </w:pPr>
      <w:r>
        <w:rPr>
          <w:rFonts w:ascii="Times New Roman" w:cs="Times New Roman" w:eastAsia="Times New Roman" w:hAnsi="Times New Roman"/>
          <w:sz w:val="18"/>
          <w:szCs w:val="18"/>
          <w:color w:val="auto"/>
        </w:rPr>
        <w:t>based compensation expense of approximately $ million associated with RSUs for which the service condition was satisfied as of December 1, 2020, and for which the performance condition will be satisfied upon the completion of this offering.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48"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 xml:space="preserve">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 Company Equity Securities Issued as Compensation</w:t>
      </w:r>
      <w:r>
        <w:rPr>
          <w:rFonts w:ascii="Times New Roman" w:cs="Times New Roman" w:eastAsia="Times New Roman" w:hAnsi="Times New Roman"/>
          <w:sz w:val="18"/>
          <w:szCs w:val="18"/>
          <w:color w:val="auto"/>
        </w:rPr>
        <w:t>, our board of directors exercised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judgment and considered numerous objective and subjective factors to determine the best estimate of the fair value of our common stock at each grant date. These factors include:</w:t>
      </w:r>
    </w:p>
    <w:p>
      <w:pPr>
        <w:spacing w:after="0" w:line="79" w:lineRule="exact"/>
        <w:rPr>
          <w:sz w:val="20"/>
          <w:szCs w:val="20"/>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of our common stock performed by independent third-party specialists;</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53" w:lineRule="exact"/>
        <w:rPr>
          <w:rFonts w:ascii="Times New Roman" w:cs="Times New Roman" w:eastAsia="Times New Roman" w:hAnsi="Times New Roman"/>
          <w:sz w:val="18"/>
          <w:szCs w:val="18"/>
          <w:color w:val="auto"/>
        </w:rPr>
      </w:pPr>
    </w:p>
    <w:p>
      <w:pPr>
        <w:ind w:left="1800" w:right="1379" w:hanging="178"/>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key personnel and the experience of our management;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our company and the introduction of new products;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15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using various valuation methods including combinations of income and market approaches with input from</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42" w:lineRule="auto"/>
        <w:rPr>
          <w:sz w:val="20"/>
          <w:szCs w:val="20"/>
          <w:color w:val="auto"/>
        </w:rPr>
      </w:pPr>
      <w:r>
        <w:rPr>
          <w:rFonts w:ascii="Times New Roman" w:cs="Times New Roman" w:eastAsia="Times New Roman" w:hAnsi="Times New Roman"/>
          <w:sz w:val="18"/>
          <w:szCs w:val="18"/>
          <w:color w:val="auto"/>
        </w:rPr>
        <w:t>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w:t>
      </w:r>
    </w:p>
    <w:p>
      <w:pPr>
        <w:spacing w:after="0" w:line="104"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17"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16"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Class A common stock as reported on the date of grant. Future expense amounts for any particular period could be affected by changes in our assumptions or market conditions.</w:t>
      </w:r>
    </w:p>
    <w:p>
      <w:pPr>
        <w:spacing w:after="0" w:line="100"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Based on the assumed initial public offering price per share of $ , which is the midpoint of the estimated offering price range set forth on the cover page of this prospectus, the aggregate intrinsic value of</w:t>
      </w:r>
    </w:p>
    <w:p>
      <w:pPr>
        <w:spacing w:after="0" w:line="1" w:lineRule="exact"/>
        <w:rPr>
          <w:sz w:val="20"/>
          <w:szCs w:val="20"/>
          <w:color w:val="auto"/>
        </w:rPr>
      </w:pPr>
    </w:p>
    <w:p>
      <w:pPr>
        <w:ind w:left="1260" w:right="1199"/>
        <w:spacing w:after="0" w:line="243" w:lineRule="auto"/>
        <w:rPr>
          <w:sz w:val="20"/>
          <w:szCs w:val="20"/>
          <w:color w:val="auto"/>
        </w:rPr>
      </w:pPr>
      <w:r>
        <w:rPr>
          <w:rFonts w:ascii="Times New Roman" w:cs="Times New Roman" w:eastAsia="Times New Roman" w:hAnsi="Times New Roman"/>
          <w:sz w:val="18"/>
          <w:szCs w:val="18"/>
          <w:color w:val="auto"/>
        </w:rPr>
        <w:t>our outstanding stock options as of September 30, 2020 was $ , with $ million related to vested stock options.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 xml:space="preserve">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operating results and consolidated financial statements may not be comparable to companies who have adopted the new or revised accounting pronouncements. Refer to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within the notes to the consolidated financial statements.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62"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do not pose a material market risk exposure, as most of our revenue is earned in U.S. dollars.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Our cash and cash equivalents as of September 30, 2020, were held primarily in checking, money market, and savings accounts. As of September 30, 2020, we had $ 7.8 million of cash equivalents invested in money market funds. Our cash and cash equivalents are held for working capital purposes. The fair value of our cash and cash equivalents would not be significantly affected by either an increase or decrease in interest rates due mainly to the short-term nature of a majority of these instruments. Any future borrowings incurred under our credit facilities would accrue interest at a floating rate based on a formula tied to certain market rates at the time of incurrence.</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Interest rates may adversely impact our customers’ spending levels and ability and willingness to pay outstanding amounts owed to us. Higher interest rates often lead to higher payment obligations by customers of our credit products to us, or to lenders under mortgage, credit card, and other consumer and merchant loans, which may reduce our customers’ ability to remain current on their obligations to us. Therefore, higher interest rates may lead to increased delinquencies, charge-offs, and allowances for loans and interest receivable, which could have an adverse effect on our operating results.</w:t>
      </w:r>
    </w:p>
    <w:p>
      <w:pPr>
        <w:spacing w:after="0" w:line="5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Certain of our funding arrangements bear a variable interest rate. Given the fixed interest rates charged on the loans that we purchase from our originating bank partner, a rising variable interest rate would reduce our interest margin earned in these funding arrangements. Dramatic increases in interest rates may make these forms of funding nonviable. Additionally, certain of our loan sale agreements are repriced on a recurring basis using a mechanism tied to interest rates. We maintain an interest rate hedging program which eliminates some, but not all, of the interest rate risk. As of September 30, 2020, a hypothetical 10% relative change in interest rates would not have a material impact on our consolidated financial statements.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Cross River Bank</w:t>
      </w:r>
    </w:p>
    <w:p>
      <w:pPr>
        <w:spacing w:after="0" w:line="162"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We are party to a second amended and restated loan program agreement and a second amended and restated loan sale agreement with Cross River Bank pursuant to which Cross River Bank originates a substantial majority of the loans facilitated through our platform that we purchase from them. Our agreements have initial three-year terms ending in November 2023, which automatically renew twice for successive one-year terms unless either party provides notice of non-renewal, which may be provided without cause, to the other party at least 90 days prior to the end of any such term. In addition, upon the occurrence of certain early termination events, either we or Cross River Bank may terminate the agreements immediately upon written notice to the other party. Our Cross River Bank loan program agreement does not prohibit Cross River Bank from working with our competitors or from offering competing services, and Cross River Bank currently offers loan programs through other competing platforms. Our partnership with Cross River Bank allows us to benefit from Cross River Bank’s ability to originate loans under its banking licenses while complying with various federal, state, and other laws. Under this arrangement, we must comply with Cross River Bank’s credit policies and underwriting procedures, and Cross River Bank maintains ultimate authority to decide whether to originate a loan. When Cross River Bank originates a loan, it funds the loan out of its own funds and may subsequently offer and sell the loan to us. Pursuant to our agreements with Cross River Bank, we purchase the loans originated by Cross River Bank, which are offered for sale to us. When we purchase a loan from Cross River Bank, the purchase price is equal to the outstanding principal balance of the loan, plus fees and accrued interest. Cross River Bank retains an interest in the loans purchased by us, including through a loan performance fee.</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Peloton</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 September 2020, we renewed our merchant agreement with Peloton Interactive, Inc. (“Peloton”), pursuant to which Peloton pays us a fee calculated and generally derived from the gross dollar value of sales processed through our platform and originated by either of our bank partners. Peloton is responsible for using reasonable efforts to cooperate with us on marketing and promotional campaigns relating to the availability of our platform to facilitate the purchase of Peloton products. Peloton may not impose any surcharge, fee or other amount on consumers solely for choosing to pay with Affirm. The use of these loan services is limited to certain states and/or territories in the United States where we make them available, at our sole discretion.</w:t>
      </w:r>
    </w:p>
    <w:p>
      <w:pPr>
        <w:spacing w:after="0" w:line="324" w:lineRule="exact"/>
        <w:rPr>
          <w:sz w:val="20"/>
          <w:szCs w:val="20"/>
          <w:color w:val="auto"/>
        </w:rPr>
      </w:pPr>
    </w:p>
    <w:p>
      <w:pPr>
        <w:jc w:val="both"/>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merchant agreement has an initial three-year term ending in September 2023, which automatically renews for additional and successive one-year terms until terminated. After the three-year initial term, either party may terminate the agreement without cause upon providing at least 90 days’ written notice to the other party. Either party may also terminate the agreement in the event of a material breach by the other party and following customary notice and cure periods. In addition, either we or Peloton may terminate the agreement immediately upon the occurrence of certain early termination events.</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Shopify</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July 2020, we entered into a customer installment program agreement with Shopify Inc. (“Shopify”), which made certain of our platform services available to eligible Shopify merchants in the United States through Shopify’s Shop Pay Installments.</w:t>
      </w:r>
    </w:p>
    <w:p>
      <w:pPr>
        <w:spacing w:after="0" w:line="10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Pursuant to the agreement, eligible merchants that make certain of our platform services available to their consumers pay fees to Affirm as set forth in an applicable Affirm merchant agreement and as determined by Shopify, generally equal to the sum of a percentage of the amount of each sale processed through our platform plus a fixed amount per each sale. In addition, with respect to each such sale processed through our platform, we pay Shopify a fee.</w:t>
      </w:r>
    </w:p>
    <w:p>
      <w:pPr>
        <w:spacing w:after="0" w:line="116"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The agreement has an initial three-year term ending in July 2023,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after the first year of the initial term without cause by providing at least 180 days’ prior written notice to the other party. In addition, upon the occurrence of certain early termination events, either party may terminate the agreement immediately upon notice to the other party.</w:t>
      </w:r>
    </w:p>
    <w:p>
      <w:pPr>
        <w:spacing w:after="0" w:line="106" w:lineRule="exact"/>
        <w:rPr>
          <w:sz w:val="20"/>
          <w:szCs w:val="20"/>
          <w:color w:val="auto"/>
        </w:rPr>
      </w:pPr>
    </w:p>
    <w:p>
      <w:pPr>
        <w:ind w:left="1260" w:right="899" w:firstLine="360"/>
        <w:spacing w:after="0" w:line="257" w:lineRule="auto"/>
        <w:rPr>
          <w:sz w:val="20"/>
          <w:szCs w:val="20"/>
          <w:color w:val="auto"/>
        </w:rPr>
      </w:pPr>
      <w:r>
        <w:rPr>
          <w:rFonts w:ascii="Times New Roman" w:cs="Times New Roman" w:eastAsia="Times New Roman" w:hAnsi="Times New Roman"/>
          <w:sz w:val="18"/>
          <w:szCs w:val="18"/>
          <w:color w:val="auto"/>
        </w:rPr>
        <w:t>Until the termination of the agreement, Shopify agrees that we will be its exclusive provider in the United States of a closed-end installment loan product (or any substantially similar financial product or program). Pursuant to the agreement, we will be Shopify’s exclusive provider in the United States and its territories of interest-bearing loan installment programs, contingent upon such programs being mutually developed and approved, and upon negotiation of a mutually acceptable agreement by the parties for such programs.</w:t>
      </w:r>
    </w:p>
    <w:p>
      <w:pPr>
        <w:spacing w:after="0" w:line="336" w:lineRule="exact"/>
        <w:rPr>
          <w:sz w:val="20"/>
          <w:szCs w:val="20"/>
          <w:color w:val="auto"/>
        </w:rPr>
      </w:pPr>
    </w:p>
    <w:p>
      <w:pPr>
        <w:ind w:left="1260" w:right="799" w:firstLine="360"/>
        <w:spacing w:after="0" w:line="263" w:lineRule="auto"/>
        <w:rPr>
          <w:sz w:val="20"/>
          <w:szCs w:val="20"/>
          <w:color w:val="auto"/>
        </w:rPr>
      </w:pPr>
      <w:r>
        <w:rPr>
          <w:rFonts w:ascii="Times New Roman" w:cs="Times New Roman" w:eastAsia="Times New Roman" w:hAnsi="Times New Roman"/>
          <w:sz w:val="18"/>
          <w:szCs w:val="18"/>
          <w:color w:val="auto"/>
        </w:rPr>
        <w:t>The foregoing descriptions of our agreements with Cross River Bank, Peloton and Shopify do not purport to be complete and is qualified in its entirety by reference to the full text of each of the agreements referred to above, which are attached hereto as Exhibit 10.3, 10.4, 10.5 and 10.6 and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Deliver honest financial products that improve lives.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We are building the next generation platform for digital and mobile-first commerce. We believe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117"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Legacy payment options, archaic systems, and traditional risk and credit underwriting models can be harmful, deceptive, and restrictive to both consumers and merchants. They are not well-suited for increasingly digital and mobile-first commerce, and are built on legacy infrastructure that does not support the innovation required for modern commerce to evolve and flourish.</w:t>
      </w:r>
    </w:p>
    <w:p>
      <w:pPr>
        <w:spacing w:after="0" w:line="100"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Our platform addresses these problems. Today, it comprises three core elements: a point-of-sale payment solution for consumers, merchant commerce solutions, and a consumer-focused app.</w:t>
      </w:r>
    </w:p>
    <w:p>
      <w:pPr>
        <w:spacing w:after="0" w:line="95"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Our point-of-sale solution allows consumers to pay for purchases in fixed amounts without deferred interest, hidden fees, or penalties. We empower consumers to pay over time rather than paying for a product entirely upfront. This increases consumers’ purchasing power and gives them more control and flexibility. Our platform facilitates both true 0% APR payment options and interest bearing loans. With 0% APR, consumers pay zero interest and zero additional costs. On the interest bearing loans we facilitate, we charge simple interest, which means consumers pay fixed amounts of interest that they agree to up front, and the interest never compounds. We believe in treating people fairly, which is why consumers never pay more than what was agreed to at checkout, even if they miss a payment. Paying with Affirm not only protects consumers from hidden fees but allows them to avoid traps such as deferred interest.</w:t>
      </w:r>
    </w:p>
    <w:p>
      <w:pPr>
        <w:spacing w:after="0" w:line="124"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We offer merchants highly effective commerce solutions that enhance demand generation and customer acquisition. Our solutions empower merchants to more efficiently promote and sell their products, optimize their customer acquisition strategies, and drive incremental sales. Our flexible payment solutions allow merchants to solve affordability for their customers, providing a revenue accelerator while avoiding discounting and other expensive marketing and promotional channels. We also provide valuable product-level data and insights — information that merchants cannot easily get elsewhere — to better inform their marketing strategies. Our approach allows us to add value throughout the full customer lifecycle, from acquisition, to conversion, to repeat transactions.</w:t>
      </w:r>
    </w:p>
    <w:p>
      <w:pPr>
        <w:spacing w:after="0" w:line="106"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Our consumer-focused app unlocks the full suite of Affirm products for a delightful end-to-end consumer experience. Consumers can use our app to manage payments, open a high-yield savings account, and access a personalized marketplace. Our marketplace serves as a discovery platform that allows consumers to find products and make purchases from partner merchants. In addition, our app allows merchants to provide tailored offers based on consumers’ spending patterns, shopping habits, and purchase intent.</w:t>
      </w:r>
    </w:p>
    <w:p>
      <w:pPr>
        <w:spacing w:after="0" w:line="324"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Our business benefits from broader trends in technology, retail, finance and e-commerce. For example, Gen Z and Millennials, people born between 1981 and 2012, now comprise the largest proportion of the U.S. population and are driving the rapid growth in e- commerce as every element of commerce moves online. The spending power of this new generation of consumers continues to expand significantly, reaching over $2.5 trillion in 2020, according to YPulse. Most importantly, we believe these consumers are also increasingly looking to solutions like “buy now pay later” as superior, more transparent payment options that match their demand for technology and mobile-first solutions. This trend has been accelerated by an erosion of trust in legacy financial institutions as consumers look to mission-driven technology companies for new financial products, according to American Banker.</w:t>
      </w:r>
    </w:p>
    <w:p>
      <w:pPr>
        <w:spacing w:after="0" w:line="124"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We believe our innovative approach, based on trust and our steadfast commitment to our core values, uniquely positions us to define the future of commerce and payments. Our company is predicated on the</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41" w:lineRule="auto"/>
        <w:rPr>
          <w:sz w:val="20"/>
          <w:szCs w:val="20"/>
          <w:color w:val="auto"/>
        </w:rPr>
      </w:pPr>
      <w:r>
        <w:rPr>
          <w:rFonts w:ascii="Times New Roman" w:cs="Times New Roman" w:eastAsia="Times New Roman" w:hAnsi="Times New Roman"/>
          <w:sz w:val="18"/>
          <w:szCs w:val="18"/>
          <w:color w:val="auto"/>
        </w:rPr>
        <w:t>principles of simplicity, transparency, and putting people first. This distinctive culture sets us apart, as our principles are not just words on a wall, but how we — Affirmers — run our business and design our products. Since our founding in 2012, we have charged $ 0 in late fees for missed payments, we never profit from consumers’ mistakes, and we are transparent in our product offerings. By adhering to these principles, we have built enduring, trust-based relationships with consumers and merchants that we believe will set us up for long-term, sustainable success.</w:t>
      </w:r>
    </w:p>
    <w:p>
      <w:pPr>
        <w:spacing w:after="0" w:line="103"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believe that technology, underwriting, and managing risk are collectively our key competitive advantage. We believe our proprietary technology platform and data give us a unique advantage in understanding customers and merchants, as well as pricing risks — which we can almost always accomplish within seconds at checkout. Our approach to risk management is core to our business model, and has been proven to lead to low fraud rates, higher approval rates compared to traditional credit underwriting models, low losses, and highly attractive contribution profit. Our models have been built on more than a billion data points, including data from over 7.5 million loans and over six years of repayments. Furthermore, our risk management models are designed to continuously improve over time, becoming more precise and efficient with each transaction powered by our platform.</w:t>
      </w:r>
    </w:p>
    <w:p>
      <w:pPr>
        <w:spacing w:after="0" w:line="124"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have already achieved significant scale, but we are just getting started. As of September 30, 2020, more than 6.2 million consumers have completed approximately 17.3 million transactions with over 6,500 merchants on our platform, leading to a total GMV of approximately $10.7 billion transacted through our platform since July 1, 2016. Approximately 64% of loans facilitated through our platform during the fiscal year ended June 30, 2020 were taken out by repeat consumers, and our dollar-based merchant retention rate is above 100% across each cohort that joined our platform since 2016. Our NPS score of 78 for the second half of fiscal year 2020 is comparable to some of the world’s most loved brands and far exceeds those of legacy financial institutions.</w:t>
      </w:r>
    </w:p>
    <w:p>
      <w:pPr>
        <w:spacing w:after="0" w:line="320" w:lineRule="exact"/>
        <w:rPr>
          <w:sz w:val="20"/>
          <w:szCs w:val="20"/>
          <w:color w:val="auto"/>
        </w:rPr>
      </w:pPr>
    </w:p>
    <w:p>
      <w:pPr>
        <w:jc w:val="both"/>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For the fiscal years ended June 30, 2019 and 2020, our revenue was approximately $264.4 million and $509.5 million, respectively, representing year-over-year growth of approximately 93%. We incurred a net loss of $120.5 million and $112.6 million for the fiscal years ended June 30, 2019 and 2020, respectively.</w:t>
      </w:r>
    </w:p>
    <w:p>
      <w:pPr>
        <w:spacing w:after="0" w:line="1" w:lineRule="exact"/>
        <w:rPr>
          <w:sz w:val="20"/>
          <w:szCs w:val="20"/>
          <w:color w:val="auto"/>
        </w:rPr>
      </w:pPr>
    </w:p>
    <w:p>
      <w:pPr>
        <w:ind w:left="1260" w:right="819"/>
        <w:spacing w:after="0"/>
        <w:rPr>
          <w:sz w:val="20"/>
          <w:szCs w:val="20"/>
          <w:color w:val="auto"/>
        </w:rPr>
      </w:pPr>
      <w:r>
        <w:rPr>
          <w:rFonts w:ascii="Times New Roman" w:cs="Times New Roman" w:eastAsia="Times New Roman" w:hAnsi="Times New Roman"/>
          <w:sz w:val="18"/>
          <w:szCs w:val="18"/>
          <w:color w:val="auto"/>
        </w:rPr>
        <w:t>For the three months ended September 30, 2019 and 2020, our revenue was approximately $ 87.9 million and $174.0 million, respectively, representing year-over-year growth of approximately 98%. We incurred a net loss of $30.8 million and $15.3 million for the three months ended September 30, 2019 and 2020, respectively.</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There are a number of important industry megatrends and market dynamics that are transforming commerce — the way consumers pay, how merchants sell, and the opportunities that transactions can create.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Rapid growth of e-commerce</w:t>
      </w:r>
    </w:p>
    <w:p>
      <w:pPr>
        <w:spacing w:after="0" w:line="162" w:lineRule="exact"/>
        <w:rPr>
          <w:sz w:val="20"/>
          <w:szCs w:val="20"/>
          <w:color w:val="auto"/>
        </w:rPr>
      </w:pPr>
    </w:p>
    <w:p>
      <w:pPr>
        <w:ind w:left="1260" w:right="799" w:firstLine="360"/>
        <w:spacing w:after="0" w:line="239" w:lineRule="auto"/>
        <w:rPr>
          <w:sz w:val="20"/>
          <w:szCs w:val="20"/>
          <w:color w:val="auto"/>
        </w:rPr>
      </w:pPr>
      <w:r>
        <w:rPr>
          <w:rFonts w:ascii="Times New Roman" w:cs="Times New Roman" w:eastAsia="Times New Roman" w:hAnsi="Times New Roman"/>
          <w:sz w:val="18"/>
          <w:szCs w:val="18"/>
          <w:color w:val="auto"/>
        </w:rPr>
        <w:t>According to eMarketer, global online sales grew 20% to approximately $3.4 trillion in 2019 and are expected to grow to approximately $5.8 trillion by 2023; however, e-commerce still only accounts for 14% of total retail sales. Every element of commerce is moving online, from storefronts, to order fulfilment, to payment and checkout experiences. Gen Z and Millennials are early and frequent adopters of e-commerce and tend to prefer the ease, flexibility, and greater selection offered by shopping online. For example, almost 70% of Millennials prefer shopping online, according to Statista. In the United States, according to the U.S. Department of Commerce, e-commerce sales as a percentage of total sales jumped from 11.8% to over 16.1% between the first and second calendar quarters of 2020.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“Buy now pay later” market share expanding</w:t>
      </w:r>
    </w:p>
    <w:p>
      <w:pPr>
        <w:spacing w:after="0" w:line="162"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Consumers increasingly prefer more flexible and innovative digital payment solutions over traditional credit payment options. According to Worldpay’s 2020 Global Payments report, “buy now pay later” is the fastest growing e-commerce payment method globally. In North America, “buy now pay later” market share is expected to triple to 3% of the e-commerce payments market by 2023. In other regions, such as EMEA, “buy now pay later” already accounts for almost 6% of the e-commerce payment market, and is expected to grow to almost 10% by 2023.</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1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Gen Z and Millennials losing trust in legacy financial and payment institutions and looking to mission-driven technology companies for new financial products</w:t>
      </w:r>
    </w:p>
    <w:p>
      <w:pPr>
        <w:spacing w:after="0" w:line="77"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We believe a lack of transparency by traditional financial and payments institutions, ranging from hidden penalties, hard to understand “fine print,” and unwanted bundling of products, has led to an erosion of trust and a poor consumer experience. We believe these views are particularly acute for the over</w:t>
      </w:r>
    </w:p>
    <w:p>
      <w:pPr>
        <w:spacing w:after="0" w:line="1" w:lineRule="exact"/>
        <w:rPr>
          <w:sz w:val="20"/>
          <w:szCs w:val="20"/>
          <w:color w:val="auto"/>
        </w:rPr>
      </w:pPr>
    </w:p>
    <w:p>
      <w:pPr>
        <w:ind w:left="1260" w:right="679"/>
        <w:spacing w:after="0" w:line="239" w:lineRule="auto"/>
        <w:rPr>
          <w:sz w:val="20"/>
          <w:szCs w:val="20"/>
          <w:color w:val="auto"/>
        </w:rPr>
      </w:pPr>
      <w:r>
        <w:rPr>
          <w:rFonts w:ascii="Times New Roman" w:cs="Times New Roman" w:eastAsia="Times New Roman" w:hAnsi="Times New Roman"/>
          <w:sz w:val="18"/>
          <w:szCs w:val="18"/>
          <w:color w:val="auto"/>
        </w:rPr>
        <w:t>160 million Gen Z and Millennials in the U.S., who prefer to build trusted relationships with the brands with whom they engage and from whom they buy products and services. For example, according to TD Bank’s Annual Consumer Spending Index, approximately 25% of Millennials do not carry credit cards.</w:t>
      </w:r>
    </w:p>
    <w:p>
      <w:pPr>
        <w:spacing w:after="0" w:line="118"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Consumers are now turning to technology companies they trust: according to a survey conducted by the Harris Poll in 2020, 64% of Americans would consider purchasing or applying for financial products through a technology company’s platform instead of a traditional financial services provider. This sentiment rises to 81% for Americans aged between 18 and 34 years.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Traditional credit and debit cards can hurt consumers</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In 2019, consumers paid approximately $121 billion in credit card interest, $11 billion in overdraft fees, and $3 billion in late fees according to studies from LendingTree, the Center for Responsible Lending, and NerdWallet respectively.</w:t>
      </w:r>
    </w:p>
    <w:p>
      <w:pPr>
        <w:spacing w:after="0" w:line="96"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revolving nature of credit cards and the incentives to pay off only minimum balances can succeed in keeping consumers in debt for long periods of time. According to the </w:t>
      </w:r>
      <w:r>
        <w:rPr>
          <w:rFonts w:ascii="Times New Roman" w:cs="Times New Roman" w:eastAsia="Times New Roman" w:hAnsi="Times New Roman"/>
          <w:sz w:val="18"/>
          <w:szCs w:val="18"/>
          <w:i w:val="1"/>
          <w:iCs w:val="1"/>
          <w:color w:val="auto"/>
        </w:rPr>
        <w:t>Federal Reserve</w:t>
      </w:r>
      <w:r>
        <w:rPr>
          <w:rFonts w:ascii="Times New Roman" w:cs="Times New Roman" w:eastAsia="Times New Roman" w:hAnsi="Times New Roman"/>
          <w:sz w:val="18"/>
          <w:szCs w:val="18"/>
          <w:color w:val="auto"/>
        </w:rPr>
        <w:t xml:space="preserve"> , as of June 2020, Americans owed nearly $1 trillion in credit card debt, evidencing the massive amount of consumer debt and the clear need for flexible payment options.</w:t>
      </w:r>
    </w:p>
    <w:p>
      <w:pPr>
        <w:spacing w:after="0" w:line="113"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believe that debit cards also do not meet the buying needs of many consumers. They are an inflexible method of payment, particularly for consumers contemplating a higher value purchase. Debit cards restrict buying power to a consumer’s account balance, constrain the ability to budget over time, and do not provide the optionality or ability to responsibly access credit.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Merchants face rising customer acquisition costs, and existing solutions are insufficient</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cost to acquire a customer and the cost to convert a sale are two of the biggest challenges facing merchants, and these costs are rising across almost every channel. Current payment solutions do little to help merchants attract and retain customers, forcing merchants to turn to discounts or promotional gimmicks. Alternative customer acquisition and marketing channels, such as online and social media advertising, are increasingly expensive due to the limited supply of digital ad space. As a result, both brick-and-mortar and online merchants of all sizes are looking to alternative strategies to acquire, convert, and retain customers more efficiently.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legacy offerings</w:t>
      </w:r>
    </w:p>
    <w:p>
      <w:pPr>
        <w:spacing w:after="0" w:line="14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For consumers, when it comes to the act of making a purchase, there are a number of shortcomings with existing options:</w:t>
      </w:r>
    </w:p>
    <w:p>
      <w:pPr>
        <w:spacing w:after="0" w:line="50" w:lineRule="exact"/>
        <w:rPr>
          <w:sz w:val="20"/>
          <w:szCs w:val="20"/>
          <w:color w:val="auto"/>
        </w:rPr>
      </w:pPr>
    </w:p>
    <w:p>
      <w:pPr>
        <w:ind w:left="1800" w:right="839" w:hanging="178"/>
        <w:spacing w:after="0" w:line="28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Complex. </w:t>
      </w:r>
      <w:r>
        <w:rPr>
          <w:rFonts w:ascii="Times New Roman" w:cs="Times New Roman" w:eastAsia="Times New Roman" w:hAnsi="Times New Roman"/>
          <w:sz w:val="18"/>
          <w:szCs w:val="18"/>
          <w:color w:val="auto"/>
        </w:rPr>
        <w:t>The terms and conditions of payment options are often opaque, complex, and difficult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 and consumers have to constantly be wary of what is buried in the fine print.</w:t>
      </w:r>
    </w:p>
    <w:p>
      <w:pPr>
        <w:spacing w:after="0" w:line="46" w:lineRule="exact"/>
        <w:rPr>
          <w:rFonts w:ascii="Times New Roman" w:cs="Times New Roman" w:eastAsia="Times New Roman" w:hAnsi="Times New Roman"/>
          <w:sz w:val="18"/>
          <w:szCs w:val="18"/>
          <w:color w:val="auto"/>
        </w:rPr>
      </w:pPr>
    </w:p>
    <w:p>
      <w:pPr>
        <w:ind w:left="1800" w:right="1039" w:hanging="178"/>
        <w:spacing w:after="0" w:line="26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Predatory. </w:t>
      </w:r>
      <w:r>
        <w:rPr>
          <w:rFonts w:ascii="Times New Roman" w:cs="Times New Roman" w:eastAsia="Times New Roman" w:hAnsi="Times New Roman"/>
          <w:sz w:val="18"/>
          <w:szCs w:val="18"/>
          <w:color w:val="auto"/>
        </w:rPr>
        <w:t>Transaction fees, obscure penalties, deferred or compounding interest, and hidden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can dramatically increase the true cost of a purchase and trap consumers in onerous debt spirals.</w:t>
      </w:r>
    </w:p>
    <w:p>
      <w:pPr>
        <w:spacing w:after="0" w:line="62" w:lineRule="exact"/>
        <w:rPr>
          <w:rFonts w:ascii="Times New Roman" w:cs="Times New Roman" w:eastAsia="Times New Roman" w:hAnsi="Times New Roman"/>
          <w:sz w:val="18"/>
          <w:szCs w:val="18"/>
          <w:color w:val="auto"/>
        </w:rPr>
      </w:pPr>
    </w:p>
    <w:p>
      <w:pPr>
        <w:jc w:val="both"/>
        <w:ind w:left="1800" w:right="819" w:hanging="178"/>
        <w:spacing w:after="0" w:line="26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Mispriced credit risk. </w:t>
      </w:r>
      <w:r>
        <w:rPr>
          <w:rFonts w:ascii="Times New Roman" w:cs="Times New Roman" w:eastAsia="Times New Roman" w:hAnsi="Times New Roman"/>
          <w:sz w:val="18"/>
          <w:szCs w:val="18"/>
          <w:color w:val="auto"/>
        </w:rPr>
        <w:t>Legacy credit models often use antiquated underwriting and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approaches that may be less capable of accurately scoring credit, impeding eligible consumers from accessing credit on fair terms.</w:t>
      </w:r>
    </w:p>
    <w:p>
      <w:pPr>
        <w:spacing w:after="0" w:line="62" w:lineRule="exact"/>
        <w:rPr>
          <w:rFonts w:ascii="Times New Roman" w:cs="Times New Roman" w:eastAsia="Times New Roman" w:hAnsi="Times New Roman"/>
          <w:sz w:val="18"/>
          <w:szCs w:val="18"/>
          <w:color w:val="auto"/>
        </w:rPr>
      </w:pPr>
    </w:p>
    <w:p>
      <w:pPr>
        <w:ind w:left="1800" w:right="839" w:hanging="178"/>
        <w:spacing w:after="0" w:line="26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Inflexible. </w:t>
      </w:r>
      <w:r>
        <w:rPr>
          <w:rFonts w:ascii="Times New Roman" w:cs="Times New Roman" w:eastAsia="Times New Roman" w:hAnsi="Times New Roman"/>
          <w:sz w:val="18"/>
          <w:szCs w:val="18"/>
          <w:color w:val="auto"/>
        </w:rPr>
        <w:t>Consumers often lack the flexibility to complete a purchase and tailor their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for a specific product without forced bundling of undesired add-ons, such as being required to apply for a store card or credit card.</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right="1119" w:hanging="178"/>
        <w:spacing w:after="0" w:line="268"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Impersonal, frustrating user experience. </w:t>
      </w:r>
      <w:r>
        <w:rPr>
          <w:rFonts w:ascii="Times New Roman" w:cs="Times New Roman" w:eastAsia="Times New Roman" w:hAnsi="Times New Roman"/>
          <w:sz w:val="18"/>
          <w:szCs w:val="18"/>
          <w:color w:val="auto"/>
        </w:rPr>
        <w:t>Consumers are regularly met by friction and a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personalization at checkout; for example, repeatedly having to input credit card details or being subject to slow credit decision-making.</w:t>
      </w:r>
    </w:p>
    <w:p>
      <w:pPr>
        <w:spacing w:after="0" w:line="94"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For merchants, when it comes to acquiring customers, improving conversions, and increasing order values, there are also a number of shortcomings with existing options:</w:t>
      </w:r>
    </w:p>
    <w:p>
      <w:pPr>
        <w:spacing w:after="0" w:line="50" w:lineRule="exact"/>
        <w:rPr>
          <w:sz w:val="20"/>
          <w:szCs w:val="20"/>
          <w:color w:val="auto"/>
        </w:rPr>
      </w:pPr>
    </w:p>
    <w:p>
      <w:pPr>
        <w:ind w:left="1800" w:right="979" w:hanging="178"/>
        <w:spacing w:after="0" w:line="26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Difficulty in engaging and converting customers. </w:t>
      </w:r>
      <w:r>
        <w:rPr>
          <w:rFonts w:ascii="Times New Roman" w:cs="Times New Roman" w:eastAsia="Times New Roman" w:hAnsi="Times New Roman"/>
          <w:sz w:val="18"/>
          <w:szCs w:val="18"/>
          <w:color w:val="auto"/>
        </w:rPr>
        <w:t>Merchants compete for customer attention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fragmented and competitive markets, and struggle to improve sales conversions with expensive existing customer acquisition tools.</w:t>
      </w:r>
    </w:p>
    <w:p>
      <w:pPr>
        <w:spacing w:after="0" w:line="49" w:lineRule="exact"/>
        <w:rPr>
          <w:rFonts w:ascii="Times New Roman" w:cs="Times New Roman" w:eastAsia="Times New Roman" w:hAnsi="Times New Roman"/>
          <w:sz w:val="18"/>
          <w:szCs w:val="18"/>
          <w:color w:val="auto"/>
        </w:rPr>
      </w:pPr>
    </w:p>
    <w:p>
      <w:pPr>
        <w:jc w:val="both"/>
        <w:ind w:left="1800" w:right="839" w:hanging="178"/>
        <w:spacing w:after="0" w:line="26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viable consumer-friendly solutions that address unaffordability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Merchants often lose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when customers cannot afford to pay in-full upfront and are unwilling or unable to use legacy credit options.</w:t>
      </w:r>
    </w:p>
    <w:p>
      <w:pPr>
        <w:spacing w:after="0" w:line="49" w:lineRule="exact"/>
        <w:rPr>
          <w:rFonts w:ascii="Times New Roman" w:cs="Times New Roman" w:eastAsia="Times New Roman" w:hAnsi="Times New Roman"/>
          <w:sz w:val="18"/>
          <w:szCs w:val="18"/>
          <w:color w:val="auto"/>
        </w:rPr>
      </w:pPr>
    </w:p>
    <w:p>
      <w:pPr>
        <w:jc w:val="both"/>
        <w:ind w:left="1800" w:right="939" w:hanging="178"/>
        <w:spacing w:after="0" w:line="28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Offering discounts can harm merchants’ brands. </w:t>
      </w:r>
      <w:r>
        <w:rPr>
          <w:rFonts w:ascii="Times New Roman" w:cs="Times New Roman" w:eastAsia="Times New Roman" w:hAnsi="Times New Roman"/>
          <w:sz w:val="18"/>
          <w:szCs w:val="18"/>
          <w:color w:val="auto"/>
        </w:rPr>
        <w:t>Offering discounts is expensive for merchants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degrade the brand, particularly for high AOV items where brand identity and affinity are key.</w:t>
      </w:r>
    </w:p>
    <w:p>
      <w:pPr>
        <w:spacing w:after="0" w:line="33" w:lineRule="exact"/>
        <w:rPr>
          <w:rFonts w:ascii="Times New Roman" w:cs="Times New Roman" w:eastAsia="Times New Roman" w:hAnsi="Times New Roman"/>
          <w:sz w:val="18"/>
          <w:szCs w:val="18"/>
          <w:color w:val="auto"/>
        </w:rPr>
      </w:pPr>
    </w:p>
    <w:p>
      <w:pPr>
        <w:ind w:left="1800" w:right="779" w:hanging="178"/>
        <w:spacing w:after="0" w:line="27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Abandoned carts. </w:t>
      </w:r>
      <w:r>
        <w:rPr>
          <w:rFonts w:ascii="Times New Roman" w:cs="Times New Roman" w:eastAsia="Times New Roman" w:hAnsi="Times New Roman"/>
          <w:sz w:val="18"/>
          <w:szCs w:val="18"/>
          <w:color w:val="auto"/>
        </w:rPr>
        <w:t>We believe that complex payment and checkout processes lead to a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proportion of online shopping carts being discarded, leading to merchants missing out on sales from customers.</w:t>
      </w:r>
    </w:p>
    <w:p>
      <w:pPr>
        <w:spacing w:after="0" w:line="262" w:lineRule="exact"/>
        <w:rPr>
          <w:rFonts w:ascii="Times New Roman" w:cs="Times New Roman" w:eastAsia="Times New Roman" w:hAnsi="Times New Roman"/>
          <w:sz w:val="18"/>
          <w:szCs w:val="18"/>
          <w:color w:val="auto"/>
        </w:rPr>
      </w:pPr>
    </w:p>
    <w:p>
      <w:pPr>
        <w:ind w:left="1800" w:right="839" w:hanging="178"/>
        <w:spacing w:after="0" w:line="28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 of purchase intelligence. </w:t>
      </w:r>
      <w:r>
        <w:rPr>
          <w:rFonts w:ascii="Times New Roman" w:cs="Times New Roman" w:eastAsia="Times New Roman" w:hAnsi="Times New Roman"/>
          <w:sz w:val="18"/>
          <w:szCs w:val="18"/>
          <w:color w:val="auto"/>
        </w:rPr>
        <w:t>Merchants rarely have the technological or data capabilities to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high-quality information on their customers’ payment habits, circumstances, or purchase history.</w:t>
      </w:r>
    </w:p>
    <w:p>
      <w:pPr>
        <w:spacing w:after="0" w:line="33" w:lineRule="exact"/>
        <w:rPr>
          <w:rFonts w:ascii="Times New Roman" w:cs="Times New Roman" w:eastAsia="Times New Roman" w:hAnsi="Times New Roman"/>
          <w:sz w:val="18"/>
          <w:szCs w:val="18"/>
          <w:color w:val="auto"/>
        </w:rPr>
      </w:pPr>
    </w:p>
    <w:p>
      <w:pPr>
        <w:ind w:left="1800" w:right="719" w:hanging="178"/>
        <w:spacing w:after="0" w:line="26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benefits to existing payment networks. </w:t>
      </w:r>
      <w:r>
        <w:rPr>
          <w:rFonts w:ascii="Times New Roman" w:cs="Times New Roman" w:eastAsia="Times New Roman" w:hAnsi="Times New Roman"/>
          <w:sz w:val="18"/>
          <w:szCs w:val="18"/>
          <w:color w:val="auto"/>
        </w:rPr>
        <w:t>The card network interchange fee structure is confusing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opaque. While merchants often have to pay this fee as a cost of doing business, they do not receive value from the service.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62" w:lineRule="exact"/>
        <w:rPr>
          <w:sz w:val="20"/>
          <w:szCs w:val="20"/>
          <w:color w:val="auto"/>
        </w:rPr>
      </w:pPr>
    </w:p>
    <w:p>
      <w:pPr>
        <w:jc w:val="both"/>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We are transforming the way consumers buy and merchants do business through a platform consisting of honest financial products. We started our business with our core pay-over-time solution at checkout, and have since continued to innovate and expand our product suite. And, this is just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98425</wp:posOffset>
            </wp:positionV>
            <wp:extent cx="5203190" cy="34029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03190" cy="340296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Consumer features</w:t>
      </w:r>
    </w:p>
    <w:p>
      <w:pPr>
        <w:spacing w:after="0" w:line="131" w:lineRule="exact"/>
        <w:rPr>
          <w:sz w:val="20"/>
          <w:szCs w:val="20"/>
          <w:color w:val="auto"/>
        </w:rPr>
      </w:pPr>
    </w:p>
    <w:p>
      <w:pPr>
        <w:ind w:left="1800" w:right="699" w:hanging="178"/>
        <w:spacing w:after="0" w:line="258"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Checkout: </w:t>
      </w:r>
      <w:r>
        <w:rPr>
          <w:rFonts w:ascii="Times New Roman" w:cs="Times New Roman" w:eastAsia="Times New Roman" w:hAnsi="Times New Roman"/>
          <w:sz w:val="18"/>
          <w:szCs w:val="18"/>
          <w:color w:val="auto"/>
        </w:rPr>
        <w:t>When making purchases from one of our partner merchants, consumers can choose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 as a payment method during checkout and have the option to pay over time. Our frictionless solution makes it easy for consumers to apply and be approved on the spot. Consumers receive either 0% APR, where they pay no interest, or simple interest loans, where they pay fixed amounts of interest that never compound. Irrespective of APR, each of our loans has customizable repayment options.</w:t>
      </w:r>
    </w:p>
    <w:p>
      <w:pPr>
        <w:spacing w:after="0" w:line="318" w:lineRule="exact"/>
        <w:rPr>
          <w:rFonts w:ascii="Times New Roman" w:cs="Times New Roman" w:eastAsia="Times New Roman" w:hAnsi="Times New Roman"/>
          <w:sz w:val="18"/>
          <w:szCs w:val="18"/>
          <w:color w:val="auto"/>
        </w:rPr>
      </w:pPr>
    </w:p>
    <w:p>
      <w:pPr>
        <w:ind w:left="1800" w:right="679" w:hanging="178"/>
        <w:spacing w:after="0" w:line="259"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Virtual card: </w:t>
      </w:r>
      <w:r>
        <w:rPr>
          <w:rFonts w:ascii="Times New Roman" w:cs="Times New Roman" w:eastAsia="Times New Roman" w:hAnsi="Times New Roman"/>
          <w:sz w:val="18"/>
          <w:szCs w:val="18"/>
          <w:color w:val="auto"/>
        </w:rPr>
        <w:t>Consumers can apply at affirm.com or via the Affirm app and, upon approval, receive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virtual card they can use digitally online and offline at merchants that accept Visa cards. This allows our consumers to use our pay-over-time solutions at merchants that are not yet fully integrated with Affirm. Unlike traditional credit cards, the virtual card we offer is a single-use card that offers consumers the flexibility to select an optimal repayment option for that purchase.</w:t>
      </w:r>
    </w:p>
    <w:p>
      <w:pPr>
        <w:spacing w:after="0" w:line="84" w:lineRule="exact"/>
        <w:rPr>
          <w:rFonts w:ascii="Times New Roman" w:cs="Times New Roman" w:eastAsia="Times New Roman" w:hAnsi="Times New Roman"/>
          <w:sz w:val="18"/>
          <w:szCs w:val="18"/>
          <w:color w:val="auto"/>
        </w:rPr>
      </w:pPr>
    </w:p>
    <w:p>
      <w:pPr>
        <w:ind w:left="1800" w:right="1059" w:hanging="178"/>
        <w:spacing w:after="0" w:line="28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Split Pay: </w:t>
      </w:r>
      <w:r>
        <w:rPr>
          <w:rFonts w:ascii="Times New Roman" w:cs="Times New Roman" w:eastAsia="Times New Roman" w:hAnsi="Times New Roman"/>
          <w:sz w:val="18"/>
          <w:szCs w:val="18"/>
          <w:color w:val="auto"/>
        </w:rPr>
        <w:t>At select merchants, if a consumer makes a purchase under $250, they can pay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multi-part payment plan with 0% APR.</w:t>
      </w:r>
    </w:p>
    <w:p>
      <w:pPr>
        <w:spacing w:after="0" w:line="73" w:lineRule="exact"/>
        <w:rPr>
          <w:rFonts w:ascii="Times New Roman" w:cs="Times New Roman" w:eastAsia="Times New Roman" w:hAnsi="Times New Roman"/>
          <w:sz w:val="18"/>
          <w:szCs w:val="18"/>
          <w:color w:val="auto"/>
        </w:rPr>
      </w:pPr>
    </w:p>
    <w:p>
      <w:pPr>
        <w:ind w:left="1800" w:right="699" w:hanging="178"/>
        <w:spacing w:after="0" w:line="257"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Affirm app and marketplace: </w:t>
      </w:r>
      <w:r>
        <w:rPr>
          <w:rFonts w:ascii="Times New Roman" w:cs="Times New Roman" w:eastAsia="Times New Roman" w:hAnsi="Times New Roman"/>
          <w:sz w:val="18"/>
          <w:szCs w:val="18"/>
          <w:color w:val="auto"/>
        </w:rPr>
        <w:t>Our app provides tailored and exclusive offers from merchants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spending and shopping habits. Consumers can also use the app to exercise control over their repayments, for example, by setting repayment dates that align with their monthly financial budgets. During the three months ended September 30, 2020, 32% of our transactions occurred on the Affirm marketplace, and the Affirm app had been downloaded more than 4.8 million times in the U.S., as of September 30, 2020.</w:t>
      </w:r>
    </w:p>
    <w:p>
      <w:pPr>
        <w:spacing w:after="0" w:line="101" w:lineRule="exact"/>
        <w:rPr>
          <w:rFonts w:ascii="Times New Roman" w:cs="Times New Roman" w:eastAsia="Times New Roman" w:hAnsi="Times New Roman"/>
          <w:sz w:val="18"/>
          <w:szCs w:val="18"/>
          <w:color w:val="auto"/>
        </w:rPr>
      </w:pPr>
    </w:p>
    <w:p>
      <w:pPr>
        <w:jc w:val="both"/>
        <w:ind w:left="1800" w:right="1079" w:hanging="178"/>
        <w:spacing w:after="0" w:line="28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High-yield savings account: </w:t>
      </w:r>
      <w:r>
        <w:rPr>
          <w:rFonts w:ascii="Times New Roman" w:cs="Times New Roman" w:eastAsia="Times New Roman" w:hAnsi="Times New Roman"/>
          <w:sz w:val="18"/>
          <w:szCs w:val="18"/>
          <w:color w:val="auto"/>
        </w:rPr>
        <w:t>Through the Affirm app, we offer an FDIC-insured, interest-bearing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account provided by Cross River Bank, with no minimum deposit requirements or fees.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solution for consumers</w:t>
      </w:r>
    </w:p>
    <w:p>
      <w:pPr>
        <w:spacing w:after="0" w:line="131" w:lineRule="exact"/>
        <w:rPr>
          <w:sz w:val="20"/>
          <w:szCs w:val="20"/>
          <w:color w:val="auto"/>
        </w:rPr>
      </w:pPr>
    </w:p>
    <w:p>
      <w:pPr>
        <w:ind w:left="1800" w:right="1019" w:hanging="178"/>
        <w:spacing w:after="0" w:line="26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Simple, transparent, and fair. </w:t>
      </w:r>
      <w:r>
        <w:rPr>
          <w:rFonts w:ascii="Times New Roman" w:cs="Times New Roman" w:eastAsia="Times New Roman" w:hAnsi="Times New Roman"/>
          <w:sz w:val="18"/>
          <w:szCs w:val="18"/>
          <w:color w:val="auto"/>
        </w:rPr>
        <w:t>When using our solution,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 more than the 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which is clearly and plainly laid out upfront at checkout. There are no further charges, penalties for early prepayment, or additional fees — even for missed payments.</w:t>
      </w:r>
    </w:p>
    <w:p>
      <w:pPr>
        <w:spacing w:after="0" w:line="89" w:lineRule="exact"/>
        <w:rPr>
          <w:rFonts w:ascii="Times New Roman" w:cs="Times New Roman" w:eastAsia="Times New Roman" w:hAnsi="Times New Roman"/>
          <w:sz w:val="18"/>
          <w:szCs w:val="18"/>
          <w:color w:val="auto"/>
        </w:rPr>
      </w:pPr>
    </w:p>
    <w:p>
      <w:pPr>
        <w:ind w:left="1800" w:right="719" w:hanging="178"/>
        <w:spacing w:after="0" w:line="26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Delightful user experience. </w:t>
      </w:r>
      <w:r>
        <w:rPr>
          <w:rFonts w:ascii="Times New Roman" w:cs="Times New Roman" w:eastAsia="Times New Roman" w:hAnsi="Times New Roman"/>
          <w:sz w:val="18"/>
          <w:szCs w:val="18"/>
          <w:color w:val="auto"/>
        </w:rPr>
        <w:t>Our solution provides a fast and straightforward experience at checkout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beyond through our easy-to-use app. For example, returning consumers pay efficiently with one-click. We also never sell the servicing rights to outstanding consumer balances, which allows us to manage the full consumer experience even in delinquency.</w:t>
      </w:r>
    </w:p>
    <w:p>
      <w:pPr>
        <w:spacing w:after="0" w:line="81" w:lineRule="exact"/>
        <w:rPr>
          <w:rFonts w:ascii="Times New Roman" w:cs="Times New Roman" w:eastAsia="Times New Roman" w:hAnsi="Times New Roman"/>
          <w:sz w:val="18"/>
          <w:szCs w:val="18"/>
          <w:color w:val="auto"/>
        </w:rPr>
      </w:pPr>
    </w:p>
    <w:p>
      <w:pPr>
        <w:ind w:left="1800" w:right="679" w:hanging="178"/>
        <w:spacing w:after="0" w:line="26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Flexibility and control. </w:t>
      </w:r>
      <w:r>
        <w:rPr>
          <w:rFonts w:ascii="Times New Roman" w:cs="Times New Roman" w:eastAsia="Times New Roman" w:hAnsi="Times New Roman"/>
          <w:sz w:val="18"/>
          <w:szCs w:val="18"/>
          <w:color w:val="auto"/>
        </w:rPr>
        <w:t>Instead of a “one-size-fits-all” approach, our solution empowers consumers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 how they wish to pay, including varying term options (e.g., biweekly, 3, 6, or 12 months) that best fit their needs, on a per-transaction basis.</w:t>
      </w:r>
    </w:p>
    <w:p>
      <w:pPr>
        <w:spacing w:after="0" w:line="89" w:lineRule="exact"/>
        <w:rPr>
          <w:rFonts w:ascii="Times New Roman" w:cs="Times New Roman" w:eastAsia="Times New Roman" w:hAnsi="Times New Roman"/>
          <w:sz w:val="18"/>
          <w:szCs w:val="18"/>
          <w:color w:val="auto"/>
        </w:rPr>
      </w:pPr>
    </w:p>
    <w:p>
      <w:pPr>
        <w:ind w:left="1800" w:right="819" w:hanging="178"/>
        <w:spacing w:after="0" w:line="27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Accurate credit pricing. </w:t>
      </w:r>
      <w:r>
        <w:rPr>
          <w:rFonts w:ascii="Times New Roman" w:cs="Times New Roman" w:eastAsia="Times New Roman" w:hAnsi="Times New Roman"/>
          <w:sz w:val="18"/>
          <w:szCs w:val="18"/>
          <w:color w:val="auto"/>
        </w:rPr>
        <w:t>Our risk model consistently outperforms traditional credit models, enabling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better help eligible consumers finance their purchases and power more transactions on our platform.</w:t>
      </w:r>
    </w:p>
    <w:p>
      <w:pPr>
        <w:spacing w:after="0" w:line="289" w:lineRule="exact"/>
        <w:rPr>
          <w:rFonts w:ascii="Times New Roman" w:cs="Times New Roman" w:eastAsia="Times New Roman" w:hAnsi="Times New Roman"/>
          <w:sz w:val="18"/>
          <w:szCs w:val="18"/>
          <w:color w:val="auto"/>
        </w:rPr>
      </w:pPr>
    </w:p>
    <w:p>
      <w:pPr>
        <w:ind w:left="1800" w:right="679" w:hanging="178"/>
        <w:spacing w:after="0" w:line="26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 confidence. </w:t>
      </w:r>
      <w:r>
        <w:rPr>
          <w:rFonts w:ascii="Times New Roman" w:cs="Times New Roman" w:eastAsia="Times New Roman" w:hAnsi="Times New Roman"/>
          <w:sz w:val="18"/>
          <w:szCs w:val="18"/>
          <w:color w:val="auto"/>
        </w:rPr>
        <w:t>We monitor our merchants’ creditworthiness, consumer complaints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dispute rates, changes in consumer repayment, and other anomalies to give consumers the confidence that merchants integrated with Affirm are committed to delivering honest and delightful experiences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556895</wp:posOffset>
            </wp:positionV>
            <wp:extent cx="5186045" cy="33000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8604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Merchant features</w:t>
      </w:r>
    </w:p>
    <w:p>
      <w:pPr>
        <w:spacing w:after="0" w:line="117" w:lineRule="exact"/>
        <w:rPr>
          <w:sz w:val="20"/>
          <w:szCs w:val="20"/>
          <w:color w:val="auto"/>
        </w:rPr>
      </w:pPr>
    </w:p>
    <w:p>
      <w:pPr>
        <w:ind w:left="1800" w:right="679" w:hanging="178"/>
        <w:spacing w:after="0" w:line="25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Flexible marketing capabilities. </w:t>
      </w:r>
      <w:r>
        <w:rPr>
          <w:rFonts w:ascii="Times New Roman" w:cs="Times New Roman" w:eastAsia="Times New Roman" w:hAnsi="Times New Roman"/>
          <w:sz w:val="18"/>
          <w:szCs w:val="18"/>
          <w:color w:val="auto"/>
        </w:rPr>
        <w:t>Depending on their business needs and margin profiles, merchants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offer either one or a combination of 0% APR and interest-bearing pay-over-time offerings. Offering 0% APR financing to their customers is compelling and a revenue-accelerator for merchants, who are able to solve affordability for their customers without resorting to discounts. For interest-bearing financing, merchants have the ability to subsidize and determine the range of interest rates to be paid by their customers. These features allow merchants to be more targeted and efficient when driving sales.</w:t>
      </w:r>
    </w:p>
    <w:p>
      <w:pPr>
        <w:spacing w:after="0" w:line="295" w:lineRule="exact"/>
        <w:rPr>
          <w:rFonts w:ascii="Times New Roman" w:cs="Times New Roman" w:eastAsia="Times New Roman" w:hAnsi="Times New Roman"/>
          <w:sz w:val="18"/>
          <w:szCs w:val="18"/>
          <w:color w:val="auto"/>
        </w:rPr>
      </w:pPr>
    </w:p>
    <w:p>
      <w:pPr>
        <w:ind w:left="1800" w:right="759" w:hanging="178"/>
        <w:spacing w:after="0" w:line="257"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Brand-sponsored promotions. </w:t>
      </w:r>
      <w:r>
        <w:rPr>
          <w:rFonts w:ascii="Times New Roman" w:cs="Times New Roman" w:eastAsia="Times New Roman" w:hAnsi="Times New Roman"/>
          <w:sz w:val="18"/>
          <w:szCs w:val="18"/>
          <w:color w:val="auto"/>
        </w:rPr>
        <w:t>For large, diversified merchants we have the ability to work with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on brand-specific promotional 0% APR financing offers. These promotions are funded by the supplier and then made available through our merchants. The suppliers cover the costs of the 0% APR for their products, with no added costs to our merchants. This gives our merchants a powerful alternative to markdowns as they can increase sales with no impact to their margins. At the same time, suppliers can sell through additional volume.</w:t>
      </w:r>
    </w:p>
    <w:p>
      <w:pPr>
        <w:spacing w:after="0" w:line="74" w:lineRule="exact"/>
        <w:rPr>
          <w:rFonts w:ascii="Times New Roman" w:cs="Times New Roman" w:eastAsia="Times New Roman" w:hAnsi="Times New Roman"/>
          <w:sz w:val="18"/>
          <w:szCs w:val="18"/>
          <w:color w:val="auto"/>
        </w:rPr>
      </w:pPr>
    </w:p>
    <w:p>
      <w:pPr>
        <w:ind w:left="1800" w:right="859" w:hanging="178"/>
        <w:spacing w:after="0" w:line="259"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Merchant dashboard. </w:t>
      </w:r>
      <w:r>
        <w:rPr>
          <w:rFonts w:ascii="Times New Roman" w:cs="Times New Roman" w:eastAsia="Times New Roman" w:hAnsi="Times New Roman"/>
          <w:sz w:val="18"/>
          <w:szCs w:val="18"/>
          <w:color w:val="auto"/>
        </w:rPr>
        <w:t>Our merchant dashboard provides a robust user interface through which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merchant can view transaction data, manage charges, access application programming interface (“API”) keys, and manage and configure the merchant’s Affirm account. The dashboard is updated daily and shows merchants the number of charges, total amount captured, total amount authorized, and AOV across different timeframes.</w:t>
      </w:r>
    </w:p>
    <w:p>
      <w:pPr>
        <w:spacing w:after="0" w:line="84" w:lineRule="exact"/>
        <w:rPr>
          <w:rFonts w:ascii="Times New Roman" w:cs="Times New Roman" w:eastAsia="Times New Roman" w:hAnsi="Times New Roman"/>
          <w:sz w:val="18"/>
          <w:szCs w:val="18"/>
          <w:color w:val="auto"/>
        </w:rPr>
      </w:pPr>
    </w:p>
    <w:p>
      <w:pPr>
        <w:ind w:left="1800" w:right="779" w:hanging="178"/>
        <w:spacing w:after="0" w:line="268"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Analytics. </w:t>
      </w:r>
      <w:r>
        <w:rPr>
          <w:rFonts w:ascii="Times New Roman" w:cs="Times New Roman" w:eastAsia="Times New Roman" w:hAnsi="Times New Roman"/>
          <w:sz w:val="18"/>
          <w:szCs w:val="18"/>
          <w:color w:val="auto"/>
        </w:rPr>
        <w:t>We provide merchants with insightful analytics that help them understand how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products are performing and other key insights into their customers’ shopping habits to help merchants optimize customer conversion and customer acquisition costs.</w:t>
      </w:r>
    </w:p>
    <w:p>
      <w:pPr>
        <w:spacing w:after="0" w:line="62" w:lineRule="exact"/>
        <w:rPr>
          <w:rFonts w:ascii="Times New Roman" w:cs="Times New Roman" w:eastAsia="Times New Roman" w:hAnsi="Times New Roman"/>
          <w:sz w:val="18"/>
          <w:szCs w:val="18"/>
          <w:color w:val="auto"/>
        </w:rPr>
      </w:pPr>
    </w:p>
    <w:p>
      <w:pPr>
        <w:ind w:left="1800" w:right="719" w:hanging="178"/>
        <w:spacing w:after="0" w:line="259"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Client success support. </w:t>
      </w:r>
      <w:r>
        <w:rPr>
          <w:rFonts w:ascii="Times New Roman" w:cs="Times New Roman" w:eastAsia="Times New Roman" w:hAnsi="Times New Roman"/>
          <w:sz w:val="18"/>
          <w:szCs w:val="18"/>
          <w:color w:val="auto"/>
        </w:rPr>
        <w:t>Our high-touch client success team partners with our merchants to analyze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interpret the insights delivered through our merchant dashboard. Our team conducts in-depth user experience analyses of our merchants’ online storefronts, providing custom recommendations for the ideal mix and display of Affirm product offerings to present to customers in order to optimize AOVs and conversion rates.</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right="999" w:hanging="178"/>
        <w:spacing w:after="0" w:line="26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Affirm app. </w:t>
      </w:r>
      <w:r>
        <w:rPr>
          <w:rFonts w:ascii="Times New Roman" w:cs="Times New Roman" w:eastAsia="Times New Roman" w:hAnsi="Times New Roman"/>
          <w:sz w:val="18"/>
          <w:szCs w:val="18"/>
          <w:color w:val="auto"/>
        </w:rPr>
        <w:t>Merchants also have access to the Affirm app, which allows them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personalized offers based on consumers’ spending patterns, shopping habits, and purchase intent. This in turn provides further insight into spending habits and other marketing optimization data points for merchants to leverage.</w:t>
      </w:r>
    </w:p>
    <w:p>
      <w:pPr>
        <w:spacing w:after="0" w:line="81" w:lineRule="exact"/>
        <w:rPr>
          <w:rFonts w:ascii="Times New Roman" w:cs="Times New Roman" w:eastAsia="Times New Roman" w:hAnsi="Times New Roman"/>
          <w:sz w:val="18"/>
          <w:szCs w:val="18"/>
          <w:color w:val="auto"/>
        </w:rPr>
      </w:pPr>
    </w:p>
    <w:p>
      <w:pPr>
        <w:ind w:left="1800" w:right="799" w:hanging="178"/>
        <w:spacing w:after="0" w:line="268"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Affirm website and developer documentation. </w:t>
      </w:r>
      <w:r>
        <w:rPr>
          <w:rFonts w:ascii="Times New Roman" w:cs="Times New Roman" w:eastAsia="Times New Roman" w:hAnsi="Times New Roman"/>
          <w:sz w:val="18"/>
          <w:szCs w:val="18"/>
          <w:color w:val="auto"/>
        </w:rPr>
        <w:t>Our website contains extensive and engaging developer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documentation that make it easy for any developer to integrate via our direct API, or other integrations, and maximize the benefit of all that Affirm offers both merchants and consumers.</w:t>
      </w:r>
    </w:p>
    <w:p>
      <w:pPr>
        <w:spacing w:after="0" w:line="89" w:lineRule="exact"/>
        <w:rPr>
          <w:rFonts w:ascii="Times New Roman" w:cs="Times New Roman" w:eastAsia="Times New Roman" w:hAnsi="Times New Roman"/>
          <w:sz w:val="18"/>
          <w:szCs w:val="18"/>
          <w:color w:val="auto"/>
        </w:rPr>
      </w:pPr>
    </w:p>
    <w:p>
      <w:pPr>
        <w:ind w:left="1800" w:right="739" w:hanging="178"/>
        <w:spacing w:after="0" w:line="25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Affirm prequalification. </w:t>
      </w:r>
      <w:r>
        <w:rPr>
          <w:rFonts w:ascii="Times New Roman" w:cs="Times New Roman" w:eastAsia="Times New Roman" w:hAnsi="Times New Roman"/>
          <w:sz w:val="18"/>
          <w:szCs w:val="18"/>
          <w:color w:val="auto"/>
        </w:rPr>
        <w:t>By giving consumers the ability to prequalify, Affirm’s offering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earlier in the consumer’s journey. We believe this results in fewer abandoned carts and higher conversion rates. Prequalification also personalizes the shopping experience for consumers, since once prequalified they may receive customized offers based on their approval amount. Based on an analysis conducted with select partner merchants in 2019, merchants experienced on average a 30% increase in applications by implementing the prequalification feature when compared to simply offering Affirm at checkout.</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solution for merchants</w:t>
      </w:r>
    </w:p>
    <w:p>
      <w:pPr>
        <w:spacing w:after="0" w:line="131" w:lineRule="exact"/>
        <w:rPr>
          <w:sz w:val="20"/>
          <w:szCs w:val="20"/>
          <w:color w:val="auto"/>
        </w:rPr>
      </w:pPr>
    </w:p>
    <w:p>
      <w:pPr>
        <w:ind w:left="1800" w:right="739" w:hanging="178"/>
        <w:spacing w:after="0" w:line="25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More customers and better conversion</w:t>
      </w:r>
      <w:r>
        <w:rPr>
          <w:rFonts w:ascii="Times New Roman" w:cs="Times New Roman" w:eastAsia="Times New Roman" w:hAnsi="Times New Roman"/>
          <w:sz w:val="18"/>
          <w:szCs w:val="18"/>
          <w:color w:val="auto"/>
        </w:rPr>
        <w:t>. Our merchants report increased customer conversion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offer Affirm. Our dollar-based merchant retention has consistently exceeded 100% for each cohort of merchants that joined our platform since 2016. According to a study conducted by Informa Business Intelligence from November 1, 2019 to January 31, 2020, Affirm also approves, on average, 20% more customers than comparable competitor products.</w:t>
      </w:r>
    </w:p>
    <w:p>
      <w:pPr>
        <w:spacing w:after="0" w:line="98" w:lineRule="exact"/>
        <w:rPr>
          <w:rFonts w:ascii="Times New Roman" w:cs="Times New Roman" w:eastAsia="Times New Roman" w:hAnsi="Times New Roman"/>
          <w:sz w:val="18"/>
          <w:szCs w:val="18"/>
          <w:color w:val="auto"/>
        </w:rPr>
      </w:pPr>
    </w:p>
    <w:p>
      <w:pPr>
        <w:ind w:left="1800" w:right="1079" w:hanging="178"/>
        <w:spacing w:after="0" w:line="25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AOV. </w:t>
      </w:r>
      <w:r>
        <w:rPr>
          <w:rFonts w:ascii="Times New Roman" w:cs="Times New Roman" w:eastAsia="Times New Roman" w:hAnsi="Times New Roman"/>
          <w:sz w:val="18"/>
          <w:szCs w:val="18"/>
          <w:color w:val="auto"/>
        </w:rPr>
        <w:t>By solving affordability for consumers, we are able to help merchants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higher net AOV items. We calculate AOV as our GMV divided by the number of transactions conducted on our platform. According to internal studies we conducted in 2018 and</w:t>
      </w:r>
    </w:p>
    <w:p>
      <w:pPr>
        <w:ind w:left="1800" w:right="6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comparing AOV’s before refunds, merchants using Affirm reported 92% and 85% higher AOVs before refunds, respectively, when compared to other payment methods.</w:t>
      </w:r>
    </w:p>
    <w:p>
      <w:pPr>
        <w:spacing w:after="0" w:line="96" w:lineRule="exact"/>
        <w:rPr>
          <w:rFonts w:ascii="Times New Roman" w:cs="Times New Roman" w:eastAsia="Times New Roman" w:hAnsi="Times New Roman"/>
          <w:sz w:val="18"/>
          <w:szCs w:val="18"/>
          <w:color w:val="auto"/>
        </w:rPr>
      </w:pPr>
    </w:p>
    <w:p>
      <w:pPr>
        <w:ind w:left="1800" w:right="919" w:hanging="178"/>
        <w:spacing w:after="0" w:line="25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repeat purchase rate. </w:t>
      </w:r>
      <w:r>
        <w:rPr>
          <w:rFonts w:ascii="Times New Roman" w:cs="Times New Roman" w:eastAsia="Times New Roman" w:hAnsi="Times New Roman"/>
          <w:sz w:val="18"/>
          <w:szCs w:val="18"/>
          <w:color w:val="auto"/>
        </w:rPr>
        <w:t>We believe that the frictionless consumer experience and enhanced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buying power facilitated by our platform often lead to improved repeat purchase rates for our merchants as they enjoy more satisfied customers. For example, approximately 22% of Affirm consumers from our January 2018 cohort and approximately 20% of Affirm consumers from our January 2019 cohort made repeat purchases at the same merchant within 12 months.</w:t>
      </w:r>
    </w:p>
    <w:p>
      <w:pPr>
        <w:spacing w:after="0" w:line="84" w:lineRule="exact"/>
        <w:rPr>
          <w:rFonts w:ascii="Times New Roman" w:cs="Times New Roman" w:eastAsia="Times New Roman" w:hAnsi="Times New Roman"/>
          <w:sz w:val="18"/>
          <w:szCs w:val="18"/>
          <w:color w:val="auto"/>
        </w:rPr>
      </w:pPr>
    </w:p>
    <w:p>
      <w:pPr>
        <w:ind w:left="1800" w:right="699" w:hanging="178"/>
        <w:spacing w:after="0" w:line="26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Better data to inform personalized promotional strategies. </w:t>
      </w:r>
      <w:r>
        <w:rPr>
          <w:rFonts w:ascii="Times New Roman" w:cs="Times New Roman" w:eastAsia="Times New Roman" w:hAnsi="Times New Roman"/>
          <w:sz w:val="18"/>
          <w:szCs w:val="18"/>
          <w:color w:val="auto"/>
        </w:rPr>
        <w:t>We provide merchants with valuable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can use to offer more tailored promotions and offers to consumers, for example through targeted offers in our app.</w:t>
      </w:r>
    </w:p>
    <w:p>
      <w:pPr>
        <w:spacing w:after="0" w:line="89" w:lineRule="exact"/>
        <w:rPr>
          <w:rFonts w:ascii="Times New Roman" w:cs="Times New Roman" w:eastAsia="Times New Roman" w:hAnsi="Times New Roman"/>
          <w:sz w:val="18"/>
          <w:szCs w:val="18"/>
          <w:color w:val="auto"/>
        </w:rPr>
      </w:pPr>
    </w:p>
    <w:p>
      <w:pPr>
        <w:ind w:left="1800" w:right="819" w:hanging="178"/>
        <w:spacing w:after="0" w:line="26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Broader target market. </w:t>
      </w:r>
      <w:r>
        <w:rPr>
          <w:rFonts w:ascii="Times New Roman" w:cs="Times New Roman" w:eastAsia="Times New Roman" w:hAnsi="Times New Roman"/>
          <w:sz w:val="18"/>
          <w:szCs w:val="18"/>
          <w:color w:val="auto"/>
        </w:rPr>
        <w:t>We enable merchants to achieve incremental sales and expand their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by including customers who might not want to or be able to pay for an item upfront, but can do so responsibly over time.</w:t>
      </w:r>
    </w:p>
    <w:p>
      <w:pPr>
        <w:spacing w:after="0" w:line="76" w:lineRule="exact"/>
        <w:rPr>
          <w:rFonts w:ascii="Times New Roman" w:cs="Times New Roman" w:eastAsia="Times New Roman" w:hAnsi="Times New Roman"/>
          <w:sz w:val="18"/>
          <w:szCs w:val="18"/>
          <w:color w:val="auto"/>
        </w:rPr>
      </w:pPr>
    </w:p>
    <w:p>
      <w:pPr>
        <w:ind w:left="1800" w:right="739" w:hanging="178"/>
        <w:spacing w:after="0" w:line="26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integration. </w:t>
      </w:r>
      <w:r>
        <w:rPr>
          <w:rFonts w:ascii="Times New Roman" w:cs="Times New Roman" w:eastAsia="Times New Roman" w:hAnsi="Times New Roman"/>
          <w:sz w:val="18"/>
          <w:szCs w:val="18"/>
          <w:color w:val="auto"/>
        </w:rPr>
        <w:t>Our direct API, designed for use by developers, allows for site integration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investment. Merchants can easily incorporate our platform into payment and product pages, and we provide a dedicated integration team to ensure that any issues are resolved.</w:t>
      </w:r>
    </w:p>
    <w:p>
      <w:pPr>
        <w:spacing w:after="0" w:line="89" w:lineRule="exact"/>
        <w:rPr>
          <w:rFonts w:ascii="Times New Roman" w:cs="Times New Roman" w:eastAsia="Times New Roman" w:hAnsi="Times New Roman"/>
          <w:sz w:val="18"/>
          <w:szCs w:val="18"/>
          <w:color w:val="auto"/>
        </w:rPr>
      </w:pPr>
    </w:p>
    <w:p>
      <w:pPr>
        <w:ind w:left="1800" w:right="959" w:hanging="178"/>
        <w:spacing w:after="0" w:line="28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Compliant. </w:t>
      </w:r>
      <w:r>
        <w:rPr>
          <w:rFonts w:ascii="Times New Roman" w:cs="Times New Roman" w:eastAsia="Times New Roman" w:hAnsi="Times New Roman"/>
          <w:sz w:val="18"/>
          <w:szCs w:val="18"/>
          <w:color w:val="auto"/>
        </w:rPr>
        <w:t>Once a merchant has integrated our API, we handle the regulatory aspect of the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facilitated through our platform, irrespective of state or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83175" cy="70377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08317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83175" cy="70377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08317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83175" cy="70377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83175" cy="703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556895</wp:posOffset>
            </wp:positionV>
            <wp:extent cx="5186045" cy="71748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86045"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556895</wp:posOffset>
            </wp:positionV>
            <wp:extent cx="4817745" cy="66694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817745" cy="666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65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believe we have a number of competitive advantages that we believe will continue to contribute to our success.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Strong network effects</w:t>
      </w:r>
    </w:p>
    <w:p>
      <w:pPr>
        <w:spacing w:after="0" w:line="162"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We benefit from self-reinforcing network effects, which are advantages that compound with each additional consumer and merchant on our network:</w:t>
      </w:r>
    </w:p>
    <w:p>
      <w:pPr>
        <w:spacing w:after="0" w:line="81" w:lineRule="exact"/>
        <w:rPr>
          <w:sz w:val="20"/>
          <w:szCs w:val="20"/>
          <w:color w:val="auto"/>
        </w:rPr>
      </w:pPr>
    </w:p>
    <w:p>
      <w:pPr>
        <w:ind w:left="1800" w:right="779" w:hanging="178"/>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consumers learn about the key benefits of our solution, we believe more and more will choose to use our platform, and our consumer base will continue to grow.</w:t>
      </w:r>
    </w:p>
    <w:p>
      <w:pPr>
        <w:spacing w:after="0" w:line="67"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larger our consumer ecosystem, the more valuable it is to merchants, and the more compelling it is for merchants to offer Affirm as an option.</w:t>
      </w:r>
    </w:p>
    <w:p>
      <w:pPr>
        <w:spacing w:after="0" w:line="80"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more merchants integrated into our network, the more reasons consumers have to shop with Affirm.</w:t>
      </w:r>
    </w:p>
    <w:p>
      <w:pPr>
        <w:spacing w:after="0" w:line="67" w:lineRule="exact"/>
        <w:rPr>
          <w:rFonts w:ascii="Times New Roman" w:cs="Times New Roman" w:eastAsia="Times New Roman" w:hAnsi="Times New Roman"/>
          <w:sz w:val="18"/>
          <w:szCs w:val="18"/>
          <w:color w:val="auto"/>
        </w:rPr>
      </w:pPr>
    </w:p>
    <w:p>
      <w:pPr>
        <w:ind w:left="1800" w:right="819" w:hanging="178"/>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contribution profit improves as our consumer ecosystem expands. For example, the additional data we have on repeat consumers enables us to make better underwriting decisions and therefore generally results in lower provision for credit losses expense. Similarly, repeat users generally have fewer interactions with servicing agents, thereby lowering our processing and servicing costs.</w:t>
      </w:r>
    </w:p>
    <w:p>
      <w:pPr>
        <w:spacing w:after="0" w:line="98"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direct expense efficiency enables us to create even more compelling offers via merchants while maintaining contribution profit as a percentage of GMV, in turn attracting more consumers and merchants to our network.</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The net result is that we are building a consumer and merchant ecosystem on our platform that we expect to continue to grow and monetize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556895</wp:posOffset>
            </wp:positionV>
            <wp:extent cx="5186045" cy="52031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8604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technology infrastructure</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Technology is at the core of everything we do. Our solutions use the latest in machine learning, artificial intelligence, cloud-based technologies, and other modern tools to create differentiated and scalable products. We prioritize building our own technology and investing in engineering talent, as we believe these are enduring competitive advantages that are difficult to replicate. As of September 30, 2020, 47% of our employees were in engineering and technology-related roles, reflecting the emphasis we place on technology. The scale of the engineering problems that we are solving, for both consumers and merchants, represents challenges that cannot easily be addressed by standard methods or traditional approaches. For example, we developed, from scratch, our own ledger in order to handle point-in-time reporting on millions of concurrent simple interest obligations with varying terms.</w:t>
      </w:r>
    </w:p>
    <w:p>
      <w:pPr>
        <w:spacing w:after="0" w:line="121"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Our merchant partners can easily integrate Affirm via our direct API. From the smallest direct-to-consumer online brand, to the largest merchants running on mainframe computers, the technical aspects of integrating with Affirm are quick and painless. Full integration can be completed very quickly, as was evidenced by our recent partnership with a merchant, whose high-performance cycling components and</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wheelsets were live on their custom e-commerce platform with an Affirm API integration within two days after signing our merchant agreement.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Data advantages that compound over time</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Our expertise in sourcing, aggregating, protecting, and analyzing data has been what we believe to be a core competitive advantage of our platform since our founding. We use data to inform our analysis and decision-making, including risk assessment, in a way that empowers consumers and generates value for our merchants and funding sources. We use every application and transaction to train our model, including more than 7.5 million loans and six years of repayments.</w:t>
      </w:r>
    </w:p>
    <w:p>
      <w:pPr>
        <w:spacing w:after="0" w:line="116"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Our technology is built to handle the immense scale of our data-driven operations — we are capable of processing thousands of checkouts per minute. Our machine learning-based risk models are currently calibrated and validated on more than one billion individual data points, based on a complex set of variables, and are custom built to effectively detect fraud, price risk, and provide customized recommendations. We consider data beyond traditional credit scores, such as transaction history and credit usage, to predict repayment ability, and leverage this with real-time response data. We are also able to access and leverage SKU-level data, which we believe gives us a proprietary data advantage.</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Better outcomes generated by our proprietary risk models</w:t>
      </w:r>
    </w:p>
    <w:p>
      <w:pPr>
        <w:spacing w:after="0" w:line="162"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We believe our risk model informs our ability to assess risk better than our competitors. Unlike legacy payment and credit systems, we can assess risk at a transaction level. In other words, our integration with our merchant partners allows us to consider the product that the consumer is purchasing when we assess a credit application. We believe our proprietary risk model has translated this advantage into the ability to increase approval rates without deterring consumers with higher APRs or increasing our rate of expected credit losses. This generally benefits our provision for credit losses on loans we retain, which in turn benefits our contribution profit as a percentage of GMV. Based on a study conducted by Informa Business Intelligence from November 1, 2019 to January 31, 2020, we approve on average 20% more customers than comparable competitor products. We also believe we are able to price risk with a high degree of accuracy and that our risk model allows us to facilitate a greater volume of transactions from a wider and more diverse segment of consumers.</w:t>
      </w:r>
    </w:p>
    <w:p>
      <w:pPr>
        <w:spacing w:after="0" w:line="329"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Our continuously-learning risk model benefits from increasing scale. As data from new transactions are incorporated into our risk algorithms, we are able to more effectively assess a given credit profile. Our model is robust enough to allow us to assess credit risk at a pre-defined risk level with a high degree of confidence, resulting in a weighted-average quarterly delinquency rate of approximately 1.1% for the thirty-six months ended September 30, 2020.</w:t>
      </w:r>
    </w:p>
    <w:p>
      <w:pPr>
        <w:spacing w:after="0" w:line="116"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Our ability to quickly and accurately assess, price, and manage risk, enables us to generate high quality assets that attract funding sources and generate predictable servicing and interest income as consumers repay over time. Our risk model is designed to comply with our originating bank partners’ credit policies and underwriting procedures and has been proven to lead to low fraud rates and higher approval rates compared to traditional credit underwriting models. Taken together, the strong demand for our assets from capital partners increases our gain (loss) on sales of loans and our servicing income, decreases our funding costs, and helps drive our attractive contribution profit.</w:t>
      </w:r>
    </w:p>
    <w:p>
      <w:pPr>
        <w:spacing w:after="0" w:line="12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on how our risk model automates the underwriting process for our originating bank partners, see </w:t>
      </w:r>
      <w:r>
        <w:rPr>
          <w:rFonts w:ascii="Times New Roman" w:cs="Times New Roman" w:eastAsia="Times New Roman" w:hAnsi="Times New Roman"/>
          <w:sz w:val="18"/>
          <w:szCs w:val="18"/>
          <w:i w:val="1"/>
          <w:iCs w:val="1"/>
          <w:color w:val="auto"/>
        </w:rPr>
        <w:t>“— Regulatory Environment — State licensing requirements and regulation”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4251960</wp:posOffset>
            </wp:positionV>
            <wp:extent cx="5134610" cy="38061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34610" cy="38061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Distinctive culture that sets us apart</w:t>
      </w:r>
    </w:p>
    <w:p>
      <w:pPr>
        <w:spacing w:after="0" w:line="148"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We believe our culture gives us a long-term, sustainable competitive advantage. Affirm is purpose-built from the ground up and our employees, who have named themselves “Affirmers”, are deeply committed to delivering honest financial products that improve lives. Five core values permeate every part of Affirm — which includes our people, products, and business:</w:t>
      </w:r>
    </w:p>
    <w:p>
      <w:pPr>
        <w:spacing w:after="0" w:line="69" w:lineRule="exact"/>
        <w:rPr>
          <w:sz w:val="20"/>
          <w:szCs w:val="20"/>
          <w:color w:val="auto"/>
        </w:rPr>
      </w:pPr>
    </w:p>
    <w:p>
      <w:pPr>
        <w:ind w:left="1800" w:right="719" w:hanging="178"/>
        <w:spacing w:after="0" w:line="260"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People come first: </w:t>
      </w:r>
      <w:r>
        <w:rPr>
          <w:rFonts w:ascii="Times New Roman" w:cs="Times New Roman" w:eastAsia="Times New Roman" w:hAnsi="Times New Roman"/>
          <w:sz w:val="18"/>
          <w:szCs w:val="18"/>
          <w:color w:val="auto"/>
        </w:rPr>
        <w:t>We consider our impact on people’s lives before we think about our own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means that we do not and will not take advantage of our consumers. Unlike much of the industry, we do not capitalize on consumer misfortunes through practices like late fees and deferred or compounding interest. Our success is aligned with our consumers’ success. In fact, we depend on it.</w:t>
      </w:r>
    </w:p>
    <w:p>
      <w:pPr>
        <w:spacing w:after="0" w:line="291" w:lineRule="exact"/>
        <w:rPr>
          <w:rFonts w:ascii="Times New Roman" w:cs="Times New Roman" w:eastAsia="Times New Roman" w:hAnsi="Times New Roman"/>
          <w:sz w:val="18"/>
          <w:szCs w:val="18"/>
          <w:color w:val="auto"/>
        </w:rPr>
      </w:pPr>
    </w:p>
    <w:p>
      <w:pPr>
        <w:ind w:left="1800" w:right="699" w:hanging="178"/>
        <w:spacing w:after="0" w:line="26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fine print: </w:t>
      </w:r>
      <w:r>
        <w:rPr>
          <w:rFonts w:ascii="Times New Roman" w:cs="Times New Roman" w:eastAsia="Times New Roman" w:hAnsi="Times New Roman"/>
          <w:sz w:val="18"/>
          <w:szCs w:val="18"/>
          <w:color w:val="auto"/>
        </w:rPr>
        <w:t>We are transparent and honest — with our consumers and with each other. That is why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hidden fees or tricks associated with the loans facilitated through our platform. What you see is what you get.</w:t>
      </w:r>
    </w:p>
    <w:p>
      <w:pPr>
        <w:spacing w:after="0" w:line="62" w:lineRule="exact"/>
        <w:rPr>
          <w:rFonts w:ascii="Times New Roman" w:cs="Times New Roman" w:eastAsia="Times New Roman" w:hAnsi="Times New Roman"/>
          <w:sz w:val="18"/>
          <w:szCs w:val="18"/>
          <w:color w:val="auto"/>
        </w:rPr>
      </w:pPr>
    </w:p>
    <w:p>
      <w:pPr>
        <w:ind w:left="1800" w:right="939" w:hanging="178"/>
        <w:spacing w:after="0" w:line="28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It’s on us: </w:t>
      </w:r>
      <w:r>
        <w:rPr>
          <w:rFonts w:ascii="Times New Roman" w:cs="Times New Roman" w:eastAsia="Times New Roman" w:hAnsi="Times New Roman"/>
          <w:sz w:val="18"/>
          <w:szCs w:val="18"/>
          <w:color w:val="auto"/>
        </w:rPr>
        <w:t>We take full accountability for our actions, never shirking responsibility or passing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buck. Affirmers own problems and solutions, and we hold each other accountable.</w:t>
      </w:r>
    </w:p>
    <w:p>
      <w:pPr>
        <w:spacing w:after="0" w:line="46" w:lineRule="exact"/>
        <w:rPr>
          <w:rFonts w:ascii="Times New Roman" w:cs="Times New Roman" w:eastAsia="Times New Roman" w:hAnsi="Times New Roman"/>
          <w:sz w:val="18"/>
          <w:szCs w:val="18"/>
          <w:color w:val="auto"/>
        </w:rPr>
      </w:pPr>
    </w:p>
    <w:p>
      <w:pPr>
        <w:jc w:val="both"/>
        <w:ind w:left="1800" w:right="839" w:hanging="178"/>
        <w:spacing w:after="0" w:line="26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Simpler is better: </w:t>
      </w:r>
      <w:r>
        <w:rPr>
          <w:rFonts w:ascii="Times New Roman" w:cs="Times New Roman" w:eastAsia="Times New Roman" w:hAnsi="Times New Roman"/>
          <w:sz w:val="18"/>
          <w:szCs w:val="18"/>
          <w:color w:val="auto"/>
        </w:rPr>
        <w:t>We make complex things simple and clear. Financial products and payments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traditionally been fraught with complexity. We found a better way, a way that brings consumers the simplicity they need and merchants the results they want.</w:t>
      </w:r>
    </w:p>
    <w:p>
      <w:pPr>
        <w:spacing w:after="0" w:line="62" w:lineRule="exact"/>
        <w:rPr>
          <w:rFonts w:ascii="Times New Roman" w:cs="Times New Roman" w:eastAsia="Times New Roman" w:hAnsi="Times New Roman"/>
          <w:sz w:val="18"/>
          <w:szCs w:val="18"/>
          <w:color w:val="auto"/>
        </w:rPr>
      </w:pPr>
    </w:p>
    <w:p>
      <w:pPr>
        <w:ind w:left="1800" w:right="699" w:hanging="178"/>
        <w:spacing w:after="0" w:line="26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Push the envelope: </w:t>
      </w:r>
      <w:r>
        <w:rPr>
          <w:rFonts w:ascii="Times New Roman" w:cs="Times New Roman" w:eastAsia="Times New Roman" w:hAnsi="Times New Roman"/>
          <w:sz w:val="18"/>
          <w:szCs w:val="18"/>
          <w:color w:val="auto"/>
        </w:rPr>
        <w:t>We never stop innovating, taking smart risks, and raising the bar. Talented people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attracted to Affirm because we empower them to innovate, create robust systems, and take smart risks. This momentum keeps our consumer and merchant network growing and thriving.</w:t>
      </w:r>
    </w:p>
    <w:p>
      <w:pPr>
        <w:spacing w:after="0" w:line="10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These values have helped us to attract, inspire, and harness the collective talent of exceptional technologists and business people. They have also helped us build durable relationships with merchants and consumers, which have produced high repeat purchase rates, strong consumer and merchant satisfaction, and an industry-leading average NPS of 78 from December 2019 through June 2020.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Revenue sources</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Our business model is predicated on a deep belief that simplicity, transparency, and putting people first are the keys to building enduring and trusted relationships with our consumers and merchants. This belief has helped us grow the ubiquity of our platform, and we have benefited from positive word-of-mouth as consumers recommend us to others. Our presence at checkout ensures that we remain top-of-mind, allowing us to acquire consumers directly via our merchants and therefore sustain a highly efficient go-to-market strategy. We have also leveraged partnerships to drive growth and merchant expansion. For example, we recently partnered with Shopify on Shop Pay Installments to significantly expand the number of merchants and consumers on our platform.</w:t>
      </w:r>
    </w:p>
    <w:p>
      <w:pPr>
        <w:spacing w:after="0" w:line="124"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color w:val="auto"/>
        </w:rPr>
        <w:t>Our business model is aligned with the interests of both consumers and merchants — we win when they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w:t>
      </w:r>
    </w:p>
    <w:p>
      <w:pPr>
        <w:spacing w:after="0" w:line="139"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From merchants, we earn a fee when we help them convert a sale and power a payment. Merchant fees depend on the individual arrangement between us and each merchant and vary based on the terms of the product offering; we generally earn larger merchant fees on 0% APR financing products. For the fiscal year ended June 30, 2020 and for the three months ended September 30, 2020, 0% APR financing represented 43% and 46%, respectively, of total GMV, facilitated through our platform. This structure incentivizes us to help our merchants convert sales and increase AOV through the commerce and technology solutions offered by our platform.</w:t>
      </w:r>
    </w:p>
    <w:p>
      <w:pPr>
        <w:spacing w:after="0" w:line="32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59"/>
        <w:spacing w:after="0" w:line="266" w:lineRule="auto"/>
        <w:rPr>
          <w:sz w:val="20"/>
          <w:szCs w:val="20"/>
          <w:color w:val="auto"/>
        </w:rPr>
      </w:pPr>
      <w:r>
        <w:rPr>
          <w:rFonts w:ascii="Times New Roman" w:cs="Times New Roman" w:eastAsia="Times New Roman" w:hAnsi="Times New Roman"/>
          <w:sz w:val="18"/>
          <w:szCs w:val="18"/>
          <w:color w:val="auto"/>
        </w:rPr>
        <w:t>the individual arrangement with a merchant. Because consumers are never charged deferred or compounding interest, late fees, or penalties on the loans, we are not incentivized to profit from our consumers’ mistakes or misfortunes.</w:t>
      </w:r>
    </w:p>
    <w:p>
      <w:pPr>
        <w:spacing w:after="0" w:line="95"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Efficient capital funding capabilities</w:t>
      </w:r>
    </w:p>
    <w:p>
      <w:pPr>
        <w:spacing w:after="0" w:line="162"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Given our ability to automate our and our originating bank partners’ underwriting processes at checkout and generate high-quality assets at scale, we have successfully attracted a diverse set of funding sources, which has allowed us to scale accordingly as we have increased the transaction volume on our platform. As of September 30, 2020, we had over $4.2 billion in funding capacity from a diverse set of capital partners, and we have funded approximately $10.7 billion of purchases since July 1, 2016.</w:t>
      </w:r>
    </w:p>
    <w:p>
      <w:pPr>
        <w:spacing w:after="0" w:line="116"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By linking our pay-over-time product to a specific consumer, purchase, and merchant, we can target shorter-duration assets. Today our repayment options range from six weeks to 48 months, with an average duration of six months for assets retained on our balance sheet. This high velocity of repayments creates a multiplier effect on our committed capital, where funding can be recycled quickly, driving our ability to increase transaction volume.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Consumers</w:t>
      </w:r>
    </w:p>
    <w:p>
      <w:pPr>
        <w:spacing w:after="0" w:line="14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As of September 30, 2020, over 6.2 million consumers have trusted us to help them pay over time. By utilizing our unique risk model predicated on sophisticated machine learning algorithms, proprietary data, and product-level underwriting, we can serve consumers across the credit spectrum and price risk across credit bands. Consumers on our platform represent a broad cross-section of society, with sizable geographic representation across the U.S. and Canada.</w:t>
      </w:r>
    </w:p>
    <w:p>
      <w:pPr>
        <w:spacing w:after="0" w:line="116"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Our largest cohorts of consumers are Millennials (47.8%), followed by Gen X (32.3%), Baby Boomers (12.4%) and Gen Z (6.8%), as of September 30, 2020. There are approximately 230 million Millennial, Gen X, and Gen Z consumers in the U.S, and we believe that the large proportion of Millennial consumers on our platform reflects the incredible trust we have been able to build with younger cohorts whose distrust in legacy financial institutions has increased over time. While Millennials currently represent the</w:t>
      </w:r>
    </w:p>
    <w:p>
      <w:pPr>
        <w:spacing w:after="0" w:line="3" w:lineRule="exact"/>
        <w:rPr>
          <w:sz w:val="20"/>
          <w:szCs w:val="20"/>
          <w:color w:val="auto"/>
        </w:rPr>
      </w:pPr>
    </w:p>
    <w:p>
      <w:pPr>
        <w:ind w:left="1260" w:right="959"/>
        <w:spacing w:after="0" w:line="260" w:lineRule="auto"/>
        <w:rPr>
          <w:sz w:val="20"/>
          <w:szCs w:val="20"/>
          <w:color w:val="auto"/>
        </w:rPr>
      </w:pPr>
      <w:r>
        <w:rPr>
          <w:rFonts w:ascii="Times New Roman" w:cs="Times New Roman" w:eastAsia="Times New Roman" w:hAnsi="Times New Roman"/>
          <w:sz w:val="18"/>
          <w:szCs w:val="18"/>
          <w:color w:val="auto"/>
        </w:rPr>
        <w:t>largest percentage of Affirm consumers, we expect the age mix of our consumers to continue evolving to match the increasing prevalence of e-commerce and digital payments.</w:t>
      </w:r>
    </w:p>
    <w:p>
      <w:pPr>
        <w:spacing w:after="0" w:line="11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Consumers access our easy-to-use solutions from multiple channels, including rapidly-growing mobile channels. This is increasingly important for us, as almost 80% of Millennials regularly shop using a smartphone today, according to a Paysafe report. For the three months ended September 30, 2020, 68% of our consumers accessed the Affirm platform through a mobile device or tablet.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Merchants</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platform is explicitly designed and engineered to integrate with a wide range of merchants. This is a point of differentiation for us, and we can accommodate and partner with merchants regardless of industry, size, AOV, or customer profile. As of September 30, 2020, we had more than 6,500 merchants integrated on our platform, ranging from small businesses to large enterprises, direct-to-consumer brands, brick-and-mortar stores, and companies with omni-channel presences. Our merchants represent a diverse range of industries, including sporting goods and outdoors, furniture and homewares, travel, apparel, accessories, consumer electronics, and jewelry.</w:t>
      </w: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557530</wp:posOffset>
            </wp:positionV>
            <wp:extent cx="5092065" cy="39173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92065"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148"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We believe we have a substantial opportunity to increase our share of the e- commerce market, grow our offline business at merchants, and continue to displace customer acquisition and marketing spend by merchants. We also see significant opportunity to develop new products that can define the future of commerce.</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162" w:lineRule="exact"/>
        <w:rPr>
          <w:sz w:val="20"/>
          <w:szCs w:val="20"/>
          <w:color w:val="auto"/>
        </w:rPr>
      </w:pPr>
    </w:p>
    <w:p>
      <w:pPr>
        <w:jc w:val="both"/>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U.S. e-commerce sales were approximately $600 billion in 2019, growing at 16% compared to the previous year, according to the U.S. Census Bureau. We believe we are well-positioned to address this market as more consumers and merchants transact on our platform.</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Omni-channel commerce</w:t>
      </w:r>
    </w:p>
    <w:p>
      <w:pPr>
        <w:spacing w:after="0" w:line="148"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Approximately $7.6 trillion was processed by cards at U.S. merchants in 2019, according to The Nilson Report published in May 2020, and e-commerce is only a small portion of this. Given our virtual card functionality and the ability for consumers to pay in-store using our app, we believe our platform can ultimately be used to address significant additional offline card spend at merchants.</w:t>
      </w:r>
    </w:p>
    <w:p>
      <w:pPr>
        <w:spacing w:after="0" w:line="113"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As the shift from offline to digital payments accelerates, we believe over time we can also address non-card spend at merchants. This spend is currently served by cash and other legacy payments, and represents a large opportunity globally.</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Merchant marketing</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Customer acquisition is the lifeblood of all merchants; however, many existing channels are expensive and inefficient. We help merchants address customer acquisition challenges through the use of the full</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99"/>
        <w:spacing w:after="0" w:line="266" w:lineRule="auto"/>
        <w:rPr>
          <w:sz w:val="20"/>
          <w:szCs w:val="20"/>
          <w:color w:val="auto"/>
        </w:rPr>
      </w:pPr>
      <w:r>
        <w:rPr>
          <w:rFonts w:ascii="Times New Roman" w:cs="Times New Roman" w:eastAsia="Times New Roman" w:hAnsi="Times New Roman"/>
          <w:sz w:val="18"/>
          <w:szCs w:val="18"/>
          <w:color w:val="auto"/>
        </w:rPr>
        <w:t>breadth of our platform and our valuable data and insights to reduce friction, increase conversions, and optimize sales. As such, we believe we can address a portion of the estimated $1 trillion customer acquisition spend by merchants in the United States, according to The B2B Lead.</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New financial products</w:t>
      </w:r>
    </w:p>
    <w:p>
      <w:pPr>
        <w:spacing w:after="0" w:line="148"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color w:val="auto"/>
        </w:rPr>
        <w:t>Looking forward, our engineering team continues to innovate, building new impactful products as our network grows. For example, in June 2020 we launched a high-yield savings product that offers consumers a better way to save and reach their financial goals. As such, we believe our total opportunity includes offering a range of new financial products, all predicated on our principles of honesty, transparency, and trust.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Our multi-pronged growth strategy is designed to continue to build upon the momentum we have</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generated so far in order to create opportunities to create even greater value for consumers and merchants.</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Expand To More Higher Frequency Purchases</w:t>
      </w:r>
    </w:p>
    <w:p>
      <w:pPr>
        <w:spacing w:after="0" w:line="16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We have successfully demonstrated how our solutions can enable and accelerate commerce for larger, more considered purchases. A key principle of our next phase of growth is expanding into higher frequency purchases, which we believe will position us to increase engagement with consumers and merchants. We believe this will lead to increased transaction volume on our platform, as well as the expansion of our consumer and merchant network.</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Expand Consumer Reach</w:t>
      </w:r>
    </w:p>
    <w:p>
      <w:pPr>
        <w:spacing w:after="0" w:line="117" w:lineRule="exact"/>
        <w:rPr>
          <w:sz w:val="20"/>
          <w:szCs w:val="20"/>
          <w:color w:val="auto"/>
        </w:rPr>
      </w:pPr>
    </w:p>
    <w:p>
      <w:pPr>
        <w:ind w:left="1800" w:right="859" w:hanging="178"/>
        <w:spacing w:after="0" w:line="25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 more consumers to our network. </w:t>
      </w:r>
      <w:r>
        <w:rPr>
          <w:rFonts w:ascii="Times New Roman" w:cs="Times New Roman" w:eastAsia="Times New Roman" w:hAnsi="Times New Roman"/>
          <w:sz w:val="18"/>
          <w:szCs w:val="18"/>
          <w:color w:val="auto"/>
        </w:rPr>
        <w:t>We plan on expanding our marketing efforts across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channels to increase brand awareness with consumers and highlight the value of our platform. We believe this will attract new consumers to try Affirm as a payment option. As we add more consumers to our network, our models become more efficient and robust, allowing us to provide our platform (and the loans it facilitates) to a growing spectrum of consumers. The more consumers that we serve, the better our systems understand how to identify responsible consumers, and the more consumers we can acquire and approve.</w:t>
      </w:r>
    </w:p>
    <w:p>
      <w:pPr>
        <w:spacing w:after="0" w:line="74" w:lineRule="exact"/>
        <w:rPr>
          <w:rFonts w:ascii="Times New Roman" w:cs="Times New Roman" w:eastAsia="Times New Roman" w:hAnsi="Times New Roman"/>
          <w:sz w:val="18"/>
          <w:szCs w:val="18"/>
          <w:color w:val="auto"/>
        </w:rPr>
      </w:pPr>
    </w:p>
    <w:p>
      <w:pPr>
        <w:ind w:left="1800" w:right="1459" w:hanging="178"/>
        <w:spacing w:after="0" w:line="268"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repeat use. </w:t>
      </w:r>
      <w:r>
        <w:rPr>
          <w:rFonts w:ascii="Times New Roman" w:cs="Times New Roman" w:eastAsia="Times New Roman" w:hAnsi="Times New Roman"/>
          <w:sz w:val="18"/>
          <w:szCs w:val="18"/>
          <w:color w:val="auto"/>
        </w:rPr>
        <w:t>We aim to continue driving further repeat use of our platform as we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beyond their initial purchase via our tailored series of consumer-centric tools, personalized offerings, and the increased diversity of merchants on our network.</w:t>
      </w:r>
    </w:p>
    <w:p>
      <w:pPr>
        <w:spacing w:after="0" w:line="62" w:lineRule="exact"/>
        <w:rPr>
          <w:rFonts w:ascii="Times New Roman" w:cs="Times New Roman" w:eastAsia="Times New Roman" w:hAnsi="Times New Roman"/>
          <w:sz w:val="18"/>
          <w:szCs w:val="18"/>
          <w:color w:val="auto"/>
        </w:rPr>
      </w:pPr>
    </w:p>
    <w:p>
      <w:pPr>
        <w:ind w:left="1800" w:right="819" w:hanging="178"/>
        <w:spacing w:after="0" w:line="28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on new product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still at the beginning of our product roadmap, and plan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innovate and bring new honest financial products to market for consumers.</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Expand Merchant Reach</w:t>
      </w:r>
    </w:p>
    <w:p>
      <w:pPr>
        <w:spacing w:after="0" w:line="117" w:lineRule="exact"/>
        <w:rPr>
          <w:sz w:val="20"/>
          <w:szCs w:val="20"/>
          <w:color w:val="auto"/>
        </w:rPr>
      </w:pPr>
    </w:p>
    <w:p>
      <w:pPr>
        <w:jc w:val="both"/>
        <w:ind w:left="1800" w:right="819" w:hanging="178"/>
        <w:spacing w:after="0" w:line="259"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Deepen penetration with existing merchants. </w:t>
      </w:r>
      <w:r>
        <w:rPr>
          <w:rFonts w:ascii="Times New Roman" w:cs="Times New Roman" w:eastAsia="Times New Roman" w:hAnsi="Times New Roman"/>
          <w:sz w:val="18"/>
          <w:szCs w:val="18"/>
          <w:color w:val="auto"/>
        </w:rPr>
        <w:t>Today, Affirm transactions represent a small percentage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average transaction volume for our merchants. As more consumers become aware of the ease and transparency of using Affirm and as we proactively build relationships with merchants through our dedicated sales and customer success teams, we believe we can significantly increase our share of existing merchants’ overall transaction volumes.</w:t>
      </w:r>
    </w:p>
    <w:p>
      <w:pPr>
        <w:spacing w:after="0" w:line="71" w:lineRule="exact"/>
        <w:rPr>
          <w:rFonts w:ascii="Times New Roman" w:cs="Times New Roman" w:eastAsia="Times New Roman" w:hAnsi="Times New Roman"/>
          <w:sz w:val="18"/>
          <w:szCs w:val="18"/>
          <w:color w:val="auto"/>
        </w:rPr>
      </w:pPr>
    </w:p>
    <w:p>
      <w:pPr>
        <w:ind w:left="1800" w:right="719" w:hanging="178"/>
        <w:spacing w:after="0" w:line="259"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 the number of our merchant partnerships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we have the opportunity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increase the number of integrated merchants on our network through both our dedicated sales team and B2B marketing efforts. Additionally, simple, direct API integration means bringing on new merchants is a seamless process. As we continue to generate results for merchants, we believe more will join our platform in order to offer Affirm as an option to their customers.</w:t>
      </w:r>
    </w:p>
    <w:p>
      <w:pPr>
        <w:spacing w:after="0" w:line="71" w:lineRule="exact"/>
        <w:rPr>
          <w:rFonts w:ascii="Times New Roman" w:cs="Times New Roman" w:eastAsia="Times New Roman" w:hAnsi="Times New Roman"/>
          <w:sz w:val="18"/>
          <w:szCs w:val="18"/>
          <w:color w:val="auto"/>
        </w:rPr>
      </w:pPr>
    </w:p>
    <w:p>
      <w:pPr>
        <w:ind w:left="1800" w:right="799" w:hanging="178"/>
        <w:spacing w:after="0" w:line="268"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merchant feature functionality. </w:t>
      </w:r>
      <w:r>
        <w:rPr>
          <w:rFonts w:ascii="Times New Roman" w:cs="Times New Roman" w:eastAsia="Times New Roman" w:hAnsi="Times New Roman"/>
          <w:sz w:val="18"/>
          <w:szCs w:val="18"/>
          <w:color w:val="auto"/>
        </w:rPr>
        <w:t>As we continue to help merchants increase conversion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AOVs, and customer satisfaction, we plan to build new tools to help them optimize their customer acquisition strategies and achieve even greater results.</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Expand to New Markets</w:t>
      </w:r>
    </w:p>
    <w:p>
      <w:pPr>
        <w:spacing w:after="0" w:line="14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We will continue to evaluate expanding our platform to new markets. Merchants and consumers anywhere everywhere can benefit from a more transparent, fair, and honest way to engage in commerce, and we see an opportunity to generate value in many new markets around the world through our platform.</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Our products are built on a cloud-first platform engineered for temporally agnostic data aggregation, schematization, management, and decisioning, which enables our products to leverage years of deep behavioral, financial, shopping, and payment data across all facets of our product, from fraud and pricing, to personalization and repayment.</w:t>
      </w:r>
    </w:p>
    <w:p>
      <w:pPr>
        <w:spacing w:after="0" w:line="113"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Our vertically integrated technology powers a rich data landscape across products, which drives increased efficiency that unlocks greater scale. Increasing scale powers a flywheel that further drives incremental data capture, improves the efficiency of each transaction, and that efficiency allows us to more finely price transactions, measure risk, deliver value to our customers, and personalize consumer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235585</wp:posOffset>
            </wp:positionV>
            <wp:extent cx="5203190" cy="39262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0319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We invest in technology to create this flywheel effect as we believe it builds an increasing and durable competitive advantage as we operate with higher confidence in our model decisions, lower costs of each transaction, and improve our ability to price transactions with a lower margin of error. The increasing scale is leveraged by our technology as increasing value delivered to participants in our network of merchants, consumers, and capital partners.</w:t>
      </w:r>
    </w:p>
    <w:p>
      <w:pPr>
        <w:spacing w:after="0" w:line="73" w:lineRule="exact"/>
        <w:rPr>
          <w:sz w:val="20"/>
          <w:szCs w:val="20"/>
          <w:color w:val="auto"/>
        </w:rPr>
      </w:pPr>
    </w:p>
    <w:p>
      <w:pPr>
        <w:ind w:left="1800" w:right="679" w:hanging="178"/>
        <w:spacing w:after="0" w:line="26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Fraud detection capabilities. </w:t>
      </w:r>
      <w:r>
        <w:rPr>
          <w:rFonts w:ascii="Times New Roman" w:cs="Times New Roman" w:eastAsia="Times New Roman" w:hAnsi="Times New Roman"/>
          <w:sz w:val="18"/>
          <w:szCs w:val="18"/>
          <w:color w:val="auto"/>
        </w:rPr>
        <w:t>To assess transaction fraud risk, we first seek to establish the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identity using basic information. The consumer is then evaluated by our fraud model, and we will then either move forward in the approval flow, or request additional data from the consumer. Our sophisticated fraud models then utilize SKU-level data, where the item is being shipped, and</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19"/>
        <w:spacing w:after="0" w:line="250" w:lineRule="auto"/>
        <w:rPr>
          <w:sz w:val="20"/>
          <w:szCs w:val="20"/>
          <w:color w:val="auto"/>
        </w:rPr>
      </w:pPr>
      <w:r>
        <w:rPr>
          <w:rFonts w:ascii="Times New Roman" w:cs="Times New Roman" w:eastAsia="Times New Roman" w:hAnsi="Times New Roman"/>
          <w:sz w:val="18"/>
          <w:szCs w:val="18"/>
          <w:color w:val="auto"/>
        </w:rPr>
        <w:t>approximately 40-80 other data points in order to make a near-instantaneous decision on whether to block a transaction. There are also secondary rules that, when triggered, are designed to ensure a transaction is sent to fraud investigators.</w:t>
      </w:r>
    </w:p>
    <w:p>
      <w:pPr>
        <w:spacing w:after="0" w:line="65" w:lineRule="exact"/>
        <w:rPr>
          <w:sz w:val="20"/>
          <w:szCs w:val="20"/>
          <w:color w:val="auto"/>
        </w:rPr>
      </w:pPr>
    </w:p>
    <w:p>
      <w:pPr>
        <w:ind w:left="1800" w:right="799" w:hanging="178"/>
        <w:spacing w:after="0" w:line="255"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check capabilities. </w:t>
      </w:r>
      <w:r>
        <w:rPr>
          <w:rFonts w:ascii="Times New Roman" w:cs="Times New Roman" w:eastAsia="Times New Roman" w:hAnsi="Times New Roman"/>
          <w:sz w:val="18"/>
          <w:szCs w:val="18"/>
          <w:color w:val="auto"/>
        </w:rPr>
        <w:t>Our risk model takes five top-of-mind data inputs and turns them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of over 200 data points in order to assess the credit risk of new consumers. Our algorithms model out the repayment probability on a month-to-month basis, and combine these probabilities with the term length, purchase size, merchant, and item being purchased, in order to price and score risk. In the vast majority of cases, we can complete these checks and calculations in a matter of seconds, automating the underwriting process pursuant to our and our originating bank partners’ underwriting policies. We use application and transaction data to train our model, including data from more than 7.5 million loans and six years of repayments.</w:t>
      </w:r>
    </w:p>
    <w:p>
      <w:pPr>
        <w:spacing w:after="0" w:line="63" w:lineRule="exact"/>
        <w:rPr>
          <w:rFonts w:ascii="Times New Roman" w:cs="Times New Roman" w:eastAsia="Times New Roman" w:hAnsi="Times New Roman"/>
          <w:sz w:val="18"/>
          <w:szCs w:val="18"/>
          <w:color w:val="auto"/>
        </w:rPr>
      </w:pPr>
    </w:p>
    <w:p>
      <w:pPr>
        <w:ind w:left="1800" w:right="759" w:hanging="178"/>
        <w:spacing w:after="0" w:line="253"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Modeling improvements. </w:t>
      </w:r>
      <w:r>
        <w:rPr>
          <w:rFonts w:ascii="Times New Roman" w:cs="Times New Roman" w:eastAsia="Times New Roman" w:hAnsi="Times New Roman"/>
          <w:sz w:val="18"/>
          <w:szCs w:val="18"/>
          <w:color w:val="auto"/>
        </w:rPr>
        <w:t>Our high cadence for modeling, retraining, and recalibration translates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rapid improvements to our models over time. New data is regularly used to retrain each model, meaning our models continue to improve as the numbers of consumers, merchants, transactions, and repayments we power on our platform grows. We also perform periodic larger scale updates to our core model and algorithms. We regularly introduce new data signals to be captured by our risk analysis system and make them available to be incorporated into new model development, training, and validation. Additionally, we explore opportunities to capture data outside of our model approvals, in order to ensure a breadth of data available to future models. During these updates, new signals are captured, and older data interrogated and retested to ensure our models continue to evolve. We have automated the process of constructing, training, calibrating, validating, and updating our models, which allow our scientists and engineers to focus on research, flexibility, and speed. We are able to adjust our models quickly and efficiently in response to changes in the environment.</w:t>
      </w:r>
    </w:p>
    <w:p>
      <w:pPr>
        <w:spacing w:after="0" w:line="297"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Designed for constant innovation and flexibility. </w:t>
      </w:r>
      <w:r>
        <w:rPr>
          <w:rFonts w:ascii="Times New Roman" w:cs="Times New Roman" w:eastAsia="Times New Roman" w:hAnsi="Times New Roman"/>
          <w:sz w:val="18"/>
          <w:szCs w:val="18"/>
          <w:color w:val="auto"/>
        </w:rPr>
        <w:t>Our deep technological talent and capabilities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enabled us to strategically build core systems (including our own ledger) and infrastructure in-house, allowing us to gain what we believe is a significant competitive advantage as we constantly innovate and iterate, and quickly develop new capabilities across multiple disciplines. The flexibility of our custom-built technological infrastructure means we can quickly incorporate new merchants, platforms, data sources, models, capital partnerships, and other elements without adding significant overhead.</w:t>
      </w:r>
    </w:p>
    <w:p>
      <w:pPr>
        <w:spacing w:after="0" w:line="295" w:lineRule="exact"/>
        <w:rPr>
          <w:rFonts w:ascii="Times New Roman" w:cs="Times New Roman" w:eastAsia="Times New Roman" w:hAnsi="Times New Roman"/>
          <w:sz w:val="18"/>
          <w:szCs w:val="18"/>
          <w:color w:val="auto"/>
        </w:rPr>
      </w:pPr>
    </w:p>
    <w:p>
      <w:pPr>
        <w:ind w:left="1800" w:right="899" w:hanging="178"/>
        <w:spacing w:after="0" w:line="259"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privacy and security</w:t>
      </w:r>
      <w:r>
        <w:rPr>
          <w:rFonts w:ascii="Times New Roman" w:cs="Times New Roman" w:eastAsia="Times New Roman" w:hAnsi="Times New Roman"/>
          <w:sz w:val="18"/>
          <w:szCs w:val="18"/>
          <w:color w:val="auto"/>
        </w:rPr>
        <w:t>. We store and process data while maintaining robust physical, electronic,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procedural safeguards. We maintain physical security measures designed to guard against unauthorized access to systems and use safeguards such as firewalls and data encryption. We also enforce physical access controls to our buildings, and we authorize access to personal information only for those employees or agents who require it to fulfill the responsibilities of their jobs.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Risk Management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continuously improving our risk management functions and compliance in the following ways:</w:t>
      </w:r>
    </w:p>
    <w:p>
      <w:pPr>
        <w:spacing w:after="0" w:line="115" w:lineRule="exact"/>
        <w:rPr>
          <w:sz w:val="20"/>
          <w:szCs w:val="20"/>
          <w:color w:val="auto"/>
        </w:rPr>
      </w:pPr>
    </w:p>
    <w:p>
      <w:pPr>
        <w:ind w:left="1800" w:right="699" w:hanging="178"/>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Functions</w:t>
      </w:r>
      <w:r>
        <w:rPr>
          <w:rFonts w:ascii="Times New Roman" w:cs="Times New Roman" w:eastAsia="Times New Roman" w:hAnsi="Times New Roman"/>
          <w:sz w:val="18"/>
          <w:szCs w:val="18"/>
          <w:color w:val="auto"/>
        </w:rPr>
        <w:t>. Our risk management team works to mitigate the risks inherent to our business.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works closely with our data science and advanced technology team, planning and implementing strategies to reduce risk exposure that may lead to negative effects on our operations or consumers. Our credit management team focuses on optimizing our credit approval algorithms in order to minimize delinquency and deferral rates.</w:t>
      </w:r>
    </w:p>
    <w:p>
      <w:pPr>
        <w:spacing w:after="0" w:line="75" w:lineRule="exact"/>
        <w:rPr>
          <w:rFonts w:ascii="Times New Roman" w:cs="Times New Roman" w:eastAsia="Times New Roman" w:hAnsi="Times New Roman"/>
          <w:sz w:val="18"/>
          <w:szCs w:val="18"/>
          <w:color w:val="auto"/>
        </w:rPr>
      </w:pPr>
    </w:p>
    <w:p>
      <w:pPr>
        <w:ind w:left="1800" w:right="679" w:hanging="178"/>
        <w:spacing w:after="0" w:line="254"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Our regulatory and compliance teams track laws and regulations to help ensure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able to create innovative solutions that benefit from regulatory flexibility while managing compliance with applicable laws. These teams participate in the development of new products and new product strategy in order to find creative solutions as well as to obtain the necessary approvals (whether licenses or registrations) to further the desired customer experience. These teams also work closely across the company to identify process and compliance gaps in our operations. We have policies and procedures designed to ensure that appropriate risk policies and trainings are implemented, and that internal operations are audited for compliance with applicable regulations and policies. Our regulatory and compliance team monitors the reporting and revision of these processes and policies to mitigate and minimize our risk.</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Fraud Management</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fraud model is designed to keep losses low, protecting our consumers, our merchants, and us. We manually review non-standard transactions and create a feedback loop of labeled fraud data to enable our model to learn how to deal with unusual activity and prevent fraud. We check approximately 200 data points in aggregate across our fraud detection and risk models, from the simple, straightforward information we ask our consumers to provide, to data acquired from external data providers, such as credit bureaus and white pages, among others. We can connect to our merchants’ inventory and order management systems, allowing us to cancel a transaction, stop a product from shipping, or even recall the shipment when it is determined to be fraudulent.</w:t>
      </w:r>
    </w:p>
    <w:p>
      <w:pPr>
        <w:spacing w:after="0" w:line="337"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have built a fraud rule system that pre-filters transactions based on rules that are created by our fraud investigators. Our fraud investigation tools enable our team to leverage each investigation on three fronts: labeling fraudulent transactions for our model training system, enabling real-time rules in our production pre-filters, and queuing look-a-like transactions for review and additional scrutiny. This three-pronged approach enables our systems and agents to quickly respond to emerging threats and attack vectors, and allowed us to decline on average hundreds of thousands of applications due to suspected fraud every month during the three months ended September 30, 2020.</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Our Developer-first Approach to Integration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platform is easy and seamless to integrate regardless of integration method:</w:t>
      </w:r>
    </w:p>
    <w:p>
      <w:pPr>
        <w:spacing w:after="0" w:line="113" w:lineRule="exact"/>
        <w:rPr>
          <w:sz w:val="20"/>
          <w:szCs w:val="20"/>
          <w:color w:val="auto"/>
        </w:rPr>
      </w:pPr>
    </w:p>
    <w:p>
      <w:pPr>
        <w:ind w:left="1800" w:right="699" w:hanging="178"/>
        <w:spacing w:after="0" w:line="255"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Platform plug-in: </w:t>
      </w:r>
      <w:r>
        <w:rPr>
          <w:rFonts w:ascii="Times New Roman" w:cs="Times New Roman" w:eastAsia="Times New Roman" w:hAnsi="Times New Roman"/>
          <w:sz w:val="18"/>
          <w:szCs w:val="18"/>
          <w:color w:val="auto"/>
        </w:rPr>
        <w:t>The Affirm API is quick and easy to integrate with a number of high traffic e-commerce platforms, including Shopify, Magento, WooCommerce, Salesforce Commerce Cloud, and BigCommerce, without writing any code. Our integration with these platforms allows merchants to display customized Affirm promotional messaging, offer Affirm as a payment option at checkout, process Affirm charges in their order management system, and gain access to our analytics software</w:t>
      </w:r>
    </w:p>
    <w:p>
      <w:pPr>
        <w:spacing w:after="0" w:line="2"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without sacrificing control over customer experience.</w:t>
      </w:r>
    </w:p>
    <w:p>
      <w:pPr>
        <w:spacing w:after="0" w:line="94" w:lineRule="exact"/>
        <w:rPr>
          <w:rFonts w:ascii="Times New Roman" w:cs="Times New Roman" w:eastAsia="Times New Roman" w:hAnsi="Times New Roman"/>
          <w:sz w:val="18"/>
          <w:szCs w:val="18"/>
          <w:color w:val="auto"/>
        </w:rPr>
      </w:pPr>
    </w:p>
    <w:p>
      <w:pPr>
        <w:ind w:left="1800" w:right="719" w:hanging="178"/>
        <w:spacing w:after="0" w:line="259"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 API: </w:t>
      </w:r>
      <w:r>
        <w:rPr>
          <w:rFonts w:ascii="Times New Roman" w:cs="Times New Roman" w:eastAsia="Times New Roman" w:hAnsi="Times New Roman"/>
          <w:sz w:val="18"/>
          <w:szCs w:val="18"/>
          <w:color w:val="auto"/>
        </w:rPr>
        <w:t>The Affirm API can also be used directly by a merchant to integrate into the merchant’s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infrastructure. This enables merchants to fully control the placement and experience leading to the Affirm purchase option, as well as the post-purchase experience. The Affirm API comes in two variants: one designed for full control across front-end and back-end systems, and a simplified front-end only integration designed for quick integrations into complex merchant infrastructure.</w:t>
      </w:r>
    </w:p>
    <w:p>
      <w:pPr>
        <w:spacing w:after="0" w:line="71" w:lineRule="exact"/>
        <w:rPr>
          <w:rFonts w:ascii="Times New Roman" w:cs="Times New Roman" w:eastAsia="Times New Roman" w:hAnsi="Times New Roman"/>
          <w:sz w:val="18"/>
          <w:szCs w:val="18"/>
          <w:color w:val="auto"/>
        </w:rPr>
      </w:pPr>
    </w:p>
    <w:p>
      <w:pPr>
        <w:ind w:left="1800" w:right="839" w:hanging="178"/>
        <w:spacing w:after="0" w:line="259"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 app integration software development kit: </w:t>
      </w:r>
      <w:r>
        <w:rPr>
          <w:rFonts w:ascii="Times New Roman" w:cs="Times New Roman" w:eastAsia="Times New Roman" w:hAnsi="Times New Roman"/>
          <w:sz w:val="18"/>
          <w:szCs w:val="18"/>
          <w:color w:val="auto"/>
        </w:rPr>
        <w:t>The Affirm API offers web, iOS, and Android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for merchants to use on orders created from a mobile web browser or application. We provide merchants with a mobile application software development kit, which allows merchants to integrate Affirm into their native mobile applications, enabling them to expand the experiences that they provide to their customers and to more deeply engage their customer base.</w:t>
      </w:r>
    </w:p>
    <w:p>
      <w:pPr>
        <w:spacing w:after="0" w:line="71" w:lineRule="exact"/>
        <w:rPr>
          <w:rFonts w:ascii="Times New Roman" w:cs="Times New Roman" w:eastAsia="Times New Roman" w:hAnsi="Times New Roman"/>
          <w:sz w:val="18"/>
          <w:szCs w:val="18"/>
          <w:color w:val="auto"/>
        </w:rPr>
      </w:pPr>
    </w:p>
    <w:p>
      <w:pPr>
        <w:ind w:left="1800" w:right="719" w:hanging="178"/>
        <w:spacing w:after="0" w:line="257"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In-store payments: </w:t>
      </w:r>
      <w:r>
        <w:rPr>
          <w:rFonts w:ascii="Times New Roman" w:cs="Times New Roman" w:eastAsia="Times New Roman" w:hAnsi="Times New Roman"/>
          <w:sz w:val="18"/>
          <w:szCs w:val="18"/>
          <w:color w:val="auto"/>
        </w:rPr>
        <w:t>We provide an easily-integrated solution for merchants to use at their brick-and-mortar point-of-sale systems. Many merchants, including West Elm and Walmart, offer this option to their consumers. Affirm supports multiple mechanisms for paying with Affirm in brick-and-mortar stores, including Apple and Google wallet, bar-codes, virtual cards, or custom solutions. We also provide solutions for purchasing online, and pick-up or return in store, providing convenience and flexibility to customers and merchants to match evolving shopping habits.</w:t>
      </w:r>
    </w:p>
    <w:p>
      <w:pPr>
        <w:spacing w:after="0" w:line="74" w:lineRule="exact"/>
        <w:rPr>
          <w:rFonts w:ascii="Times New Roman" w:cs="Times New Roman" w:eastAsia="Times New Roman" w:hAnsi="Times New Roman"/>
          <w:sz w:val="18"/>
          <w:szCs w:val="18"/>
          <w:color w:val="auto"/>
        </w:rPr>
      </w:pPr>
    </w:p>
    <w:p>
      <w:pPr>
        <w:ind w:left="1800" w:right="719" w:hanging="178"/>
        <w:spacing w:after="0" w:line="28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Telesales: </w:t>
      </w:r>
      <w:r>
        <w:rPr>
          <w:rFonts w:ascii="Times New Roman" w:cs="Times New Roman" w:eastAsia="Times New Roman" w:hAnsi="Times New Roman"/>
          <w:sz w:val="18"/>
          <w:szCs w:val="18"/>
          <w:color w:val="auto"/>
        </w:rPr>
        <w:t>We also offer a Telesales Checkout API, which can initiate the Affirm checkout flow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when they wish to make a purchase from a merchant via telephone.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We have a strong brand and continue to raise awareness by fostering further adoption of our platform through strategic partnerships and multi-channel marketing campaigns. We have historically grown awareness of the Affirm brand by focusing our marketing spend on accessing merchants. We have achieved significant merchant and consumer adoption without investing heavily in sales and marketing relative to our competitors. In the near to medium term, we see competition to acquire key merchants rising. As a result,</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66" w:lineRule="auto"/>
        <w:rPr>
          <w:sz w:val="20"/>
          <w:szCs w:val="20"/>
          <w:color w:val="auto"/>
        </w:rPr>
      </w:pPr>
      <w:r>
        <w:rPr>
          <w:rFonts w:ascii="Times New Roman" w:cs="Times New Roman" w:eastAsia="Times New Roman" w:hAnsi="Times New Roman"/>
          <w:sz w:val="18"/>
          <w:szCs w:val="18"/>
          <w:color w:val="auto"/>
        </w:rPr>
        <w:t>we plan to increase our marketing efforts in order to drive further brand awareness and preference among both consumers and merchants.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and Klarna as well as new pay-over-time offerings by legacy financial and payments companies, including those mentioned above.</w:t>
      </w:r>
    </w:p>
    <w:p>
      <w:pPr>
        <w:spacing w:after="0" w:line="116"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Our technology-driven platform also faces competition from a variety of players, including those who enable transactions and commerce via digital payments. Technology-enabled companies like ours are increasingly gaining market share from legacy financial institutions. We believe the principal competitive factors in our market are:</w:t>
      </w:r>
    </w:p>
    <w:p>
      <w:pPr>
        <w:spacing w:after="0" w:line="73" w:lineRule="exact"/>
        <w:rPr>
          <w:sz w:val="20"/>
          <w:szCs w:val="20"/>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flexibility on payment options;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on duration and simplicity of payment terms;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process applications securely, quickly, reliably, and in a scalable manner;</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verify borrower identities and accurately assess borrowers’ credit risk profile;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grow and maintain merchant relationships;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add value to merchants through higher conversion and higher AOVs;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power of our network;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a proactive and robust compliance framework;</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via API endpoints and direct integration at point-of-sale on merchant infrastructure;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which we measure through consumer and merchant satisfaction;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services rendered; and</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158"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believe that we compete favorably on the basis of these factors and are well-positioned to succeed in the market. However, many of our competitors are substantially larger than we are, which may give those competitors advantages we do not have at present, such as a more diversified product offering, a larger consumer and merchant base, the ability to reach more consumers and potential consumers, operational efficiencies, the ability to cross-subsidize their offerings through their other business lines, more versatile technology platforms, broad-based local distribution capabilities, and lower-cost funding. Our potential competitors may also have longer operating histories, more extensive and broader consumer and merchant relationships, and greater brand recognition and brand loyalty than we have. In addition, other established companies that possess large, existing consumer and merchant bases, substantial financial resources, or established distribution channels could also enter the market.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2020, we had a total of 916 employees, primarily located in the United States.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None of our employees are represented by a labor union or covered by a collective bargaining agreement.</w:t>
      </w:r>
    </w:p>
    <w:p>
      <w:pPr>
        <w:ind w:left="1260"/>
        <w:spacing w:after="0"/>
        <w:rPr>
          <w:sz w:val="20"/>
          <w:szCs w:val="20"/>
          <w:color w:val="auto"/>
        </w:rPr>
      </w:pPr>
      <w:r>
        <w:rPr>
          <w:rFonts w:ascii="Times New Roman" w:cs="Times New Roman" w:eastAsia="Times New Roman" w:hAnsi="Times New Roman"/>
          <w:sz w:val="18"/>
          <w:szCs w:val="18"/>
          <w:color w:val="auto"/>
        </w:rPr>
        <w:t>We have not experienced any work stoppages, and we consider our relations with our employees to be good.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62"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We operate in a rapidly evolving regulatory environment and are subject to extensive regulation, both directly and indirectly, by way of our partnership with our originating bank partners, under U.S. federal and Canadian laws and the laws of the states in which we operate. These laws cover all aspects of our business and include privacy laws, consumer protection laws, and contractual obligations. We could become subject</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99"/>
        <w:spacing w:after="0" w:line="266" w:lineRule="auto"/>
        <w:rPr>
          <w:sz w:val="20"/>
          <w:szCs w:val="20"/>
          <w:color w:val="auto"/>
        </w:rPr>
      </w:pPr>
      <w:r>
        <w:rPr>
          <w:rFonts w:ascii="Times New Roman" w:cs="Times New Roman" w:eastAsia="Times New Roman" w:hAnsi="Times New Roman"/>
          <w:sz w:val="18"/>
          <w:szCs w:val="18"/>
          <w:color w:val="auto"/>
        </w:rPr>
        <w:t>to additional legal or regulatory requirements if laws or regulations change in the jurisdictions in which we operate. These could include the need to obtain new and different types of licenses in order to conduct our business, such as for lending, brokering, servicing, collections, or money transmission.</w:t>
      </w:r>
    </w:p>
    <w:p>
      <w:pPr>
        <w:spacing w:after="0" w:line="95"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Our lending programs are relatively novel and must comply with regulatory regimes applicable to consumer credit transactions. In addition, the regulatory framework for online lending platforms is evolving and uncertain as federal and state governments consider the application of existing laws and adoption of new laws to regulate these structures. New laws and regulations, as well as continued uncertainty regarding potential new laws or regulations, may negatively affect our business. Certain state laws may, if applicable, regulate interest rates and other charges and require certain disclosures, and may also require licensing for certain activities. In addition, other state laws, public policy, and general principles of equity relating to the protection of consumers, unfair and deceptive practices and debt collection practices may apply to the origination, servicing, and collection of the consumer loans. Certain banking laws and regulations also apply to our originating bank partners.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requirements and regulation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Our operations must satisfy the laws and standards of each individual U.S. state in which we operate. This means that when individual states differ in how they allow financing to be used, we must operate consistently in accordance with the most comprehensive requirements.</w:t>
      </w:r>
    </w:p>
    <w:p>
      <w:pPr>
        <w:spacing w:after="0" w:line="108"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We have approached these requirements with the goal of managing the long-term viability and flexibility of our business model. As such, we have established a business model pursuant to which we may originate loans directly through our platform under our lending, servicing, and brokering licenses across various states in the United States and in Canada or we may purchase loans originated by our originating bank partners. We currently rely on Cross River Bank to originate a substantial majority of the loans facilitated through our platform.</w:t>
      </w:r>
    </w:p>
    <w:p>
      <w:pPr>
        <w:spacing w:after="0" w:line="106"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state licensing and other requirements with respect to loans that we originate directly via our platform, and we have obtained or are in the process of obtaining necessary licenses to originate loans directly in the jurisdictions in which we do so. The licensing statutes vary from state to state and prescribe different requirements, including restrictions on loan origination and servicing practices (including limits on the type, amount, and manner of our fees), interest rate limits, disclosure requirements, periodic examination requirements,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We are also subject to supervision and examination by applicable state regulatory authorities in the jurisdictions in which we may originate loans directly. The application of state licensing requirements to our business model is not always clear, and while we believe we are in compliance with applicable licensing requirements, state regulators may request or require that we obtain additional licenses in the future, which may subject our business to additional restrictions.</w:t>
      </w:r>
    </w:p>
    <w:p>
      <w:pPr>
        <w:spacing w:after="0" w:line="12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Through our partnerships with our originating bank partners, our risk model automates the underwriting process in accordance with our originating bank partners’ underwriting policy, which only our originating bank partners may change and which we must follow in reviewing, approving, and administering loans facilitated by our platform. When originating loans through our platform, our originating bank partners contract for interest based on federal law (Section 27 of the Federal Deposit Insurance Act). Section 27 allows an FDIC-insured bank such as our originating bank partners to charge interest to consumers on a nationwide basis based on the rates allowed by the state where the bank is located. We rely on our originating bank partners’ authority under federal law to establish interest rates and charge interest on the loans our originating bank partners originate through our platform. The interest rates that are charged to consumers and that form the basis of payments on the loans facilitated through our platform are based upon legal principles detailed in the FDIC’s final rule relating to Federal Interest Rate Authority, published in the Federal Register on July 22, 2020. Cross River Bank, the originating bank of a significant majority of the loans facilitated through our platform, is chartered in, and operates out of, New Jersey, which generally allows a state-chartered bank and a consumer loan borrower to agree to any rate of interest up to 30% annually.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Certain states have no statutory interest rate limitations on personal consumer loans, while other jurisdictions impose a maximum rate on such loans. In some jurisdictions, the maximum rate may be less than the rates applicable to the loans facilitated through our platform. If the laws of such jurisdictions were found to govern any of the loans facilitated through our platform with rates higher than that jurisdiction’s maximum rate, those loans could be in violation of such laws. This could result in such loans being unenforceable or reduce or extinguish the principal and/or interest (paid or to be paid) on such loans, or result in fees, damages, and penalties.</w:t>
      </w:r>
    </w:p>
    <w:p>
      <w:pPr>
        <w:spacing w:after="0" w:line="104" w:lineRule="exact"/>
        <w:rPr>
          <w:sz w:val="20"/>
          <w:szCs w:val="20"/>
          <w:color w:val="auto"/>
        </w:rPr>
      </w:pPr>
    </w:p>
    <w:p>
      <w:pPr>
        <w:ind w:left="1260" w:right="799" w:firstLine="360"/>
        <w:spacing w:after="0" w:line="245" w:lineRule="auto"/>
        <w:rPr>
          <w:sz w:val="20"/>
          <w:szCs w:val="20"/>
          <w:color w:val="auto"/>
        </w:rPr>
      </w:pPr>
      <w:r>
        <w:rPr>
          <w:rFonts w:ascii="Times New Roman" w:cs="Times New Roman" w:eastAsia="Times New Roman" w:hAnsi="Times New Roman"/>
          <w:sz w:val="18"/>
          <w:szCs w:val="18"/>
          <w:color w:val="auto"/>
        </w:rPr>
        <w:t>Out of an abundance of caution, however, we have voluntarily capped the maximum interest rate we will propose for a loan to borrowers in certain states (those where we believe there is a substantial risk of a lawsuit successfully challenging a rate above this cap) beyond the maximum interest rate that our originating bank partners would otherwise be permitted to charge under applicable law.</w:t>
      </w:r>
    </w:p>
    <w:p>
      <w:pPr>
        <w:spacing w:after="0" w:line="113"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For further discussion of how the true lender determination is relevant to our business, see the risk factor entitled “</w:t>
      </w:r>
      <w:r>
        <w:rPr>
          <w:rFonts w:ascii="Times New Roman" w:cs="Times New Roman" w:eastAsia="Times New Roman" w:hAnsi="Times New Roman"/>
          <w:sz w:val="18"/>
          <w:szCs w:val="18"/>
          <w:i w:val="1"/>
          <w:iCs w:val="1"/>
          <w:color w:val="auto"/>
        </w:rPr>
        <w:t>Risk Factors — Risks Related to Our Regulatory Environment — If our originating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 model is successfully challenged or deemed impermissible, we could be found to be in violation of licensing, interest rate limit, lending, servicing, or brokering laws and face penalties, fines, litigation, or regulatory enforcement.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 federal consumer protection requirements</w:t>
      </w:r>
    </w:p>
    <w:p>
      <w:pPr>
        <w:spacing w:after="0" w:line="162" w:lineRule="exact"/>
        <w:rPr>
          <w:sz w:val="20"/>
          <w:szCs w:val="20"/>
          <w:color w:val="auto"/>
        </w:rPr>
      </w:pPr>
    </w:p>
    <w:p>
      <w:pPr>
        <w:ind w:left="1260" w:right="899" w:firstLine="360"/>
        <w:spacing w:after="0" w:line="245" w:lineRule="auto"/>
        <w:rPr>
          <w:sz w:val="20"/>
          <w:szCs w:val="20"/>
          <w:color w:val="auto"/>
        </w:rPr>
      </w:pPr>
      <w:r>
        <w:rPr>
          <w:rFonts w:ascii="Times New Roman" w:cs="Times New Roman" w:eastAsia="Times New Roman" w:hAnsi="Times New Roman"/>
          <w:sz w:val="18"/>
          <w:szCs w:val="18"/>
          <w:color w:val="auto"/>
        </w:rPr>
        <w:t>We must comply with various federal consumer protection regimes, both as a service provider to our originating bank partners and as an originator with respect to loans we may originate directly, including those set forth in the risk factor entitled “</w:t>
      </w:r>
      <w:r>
        <w:rPr>
          <w:rFonts w:ascii="Times New Roman" w:cs="Times New Roman" w:eastAsia="Times New Roman" w:hAnsi="Times New Roman"/>
          <w:sz w:val="18"/>
          <w:szCs w:val="18"/>
          <w:i w:val="1"/>
          <w:iCs w:val="1"/>
          <w:color w:val="auto"/>
        </w:rPr>
        <w:t>Risk Factors — Risks Related to Our Regulatory Environment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subject to various federal and state consumer protection laws.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are also subject to regulation by the CFPB under the Dodd-Frank Act and other acts listed above, and we are subject to the CFPB’s enforcement authority with respect to our compliance with these requirements. The CFPB has enforcement authority with respect to the conduct of third 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 The CFPB may request reports concerning our organization, business conduct, markets, and activities, and also conduct on-site examinations of our business on a periodic basis.</w:t>
      </w:r>
    </w:p>
    <w:p>
      <w:pPr>
        <w:spacing w:after="0" w:line="302"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The federal regulatory framework applicable to online marketplaces such as our platform is evolving and uncertain, and additional requirements may apply to our business in the future. While we have developed policies and procedures designed to assist in compliance with these laws and regulations, no assurance is given that our compliance policies and procedures will be effective or will be adequate as laws change or are applied in a new manner.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requirements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In addition to the requirements described above, we are subject to and seek to comply with other state and federal laws and regulations applicable to consumer lending, including additional requirements relating to loan disclosure, credit discrimination, credit reporting, debt collection, and unfair, deceptive, or abusive acts or practices. These laws and regulations may be enforced by state consumer credit regulatory agencies, state attorneys general, the CFPB, and private litigants, among others. Given our novel business model and the subjective nature of some of these laws and regulations, particularly laws regulating unfair, deceptive, or abusive acts or practices, we may become subject to regulatory scrutiny or legal challenge with respect to our compliance with these requirements.</w:t>
      </w:r>
    </w:p>
    <w:p>
      <w:pPr>
        <w:spacing w:after="0" w:line="106"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We have policies and procedures designed to prevent the financing of illegal products. As part of our diligence process when vetting new partners, we screen for products that violate the law or are on our prohibited business list in an effort to prevent risk to our consumers, merchants, and the payment system.</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Due to our partnership with our originating bank partners, we are subject to pass through compliance obligations related to U.S. anti-money laundering (“AML”) laws and regulations. We have developed and currently operate an AML program designed to prevent our network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including the designation of an AML compliance officer to oversee the programs. Our programs are designed to address these legal and regulatory requirements and to assist in managing risk associated with money laundering and terrorist financing.</w:t>
      </w:r>
    </w:p>
    <w:p>
      <w:pPr>
        <w:spacing w:after="0" w:line="329"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We collect, store, use, disclose, transfer, and otherwise process a wide variety of information, including personally identifiable information, for various purposes in our business, including to help ensure the integrity of our services and to provide features and functionality to our consumers and merchants. This aspect of our business, including the collection, storage, use, disclosure, transfer, processing, and protection of the information, including personally identifiable information, we acquire in connection with our consumers’ and merchants’ use of our services, is subject to numerous privacy, cybersecurity, and other laws and regulations in the United States and foreign jurisdictions. Accordingly, we publish our privacy policies and terms of service, which describe our practices concerning the collection, storage, use, disclosure, transmission, processing, and protection of information.</w:t>
      </w:r>
    </w:p>
    <w:p>
      <w:pPr>
        <w:spacing w:after="0" w:line="12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Various regulatory agencies in the United States and in foreign jurisdictions continue to examine a wide variety of issues that are applicable to us and may impact our business. These issues include account management guidelines, antidiscrimination, consumer protection, identity theft, privacy, disclosure rules, electronic transfers, cybersecurity, and marketing. As our business continues to develop and expand, we continue to monitor the additional rules and regulations that may become relevant.</w:t>
      </w:r>
    </w:p>
    <w:p>
      <w:pPr>
        <w:spacing w:after="0" w:line="116"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legal and regulatory framework for privacy and security issues worldwide is rapidly evolving, and, although we endeavor to comply with these laws and regulations and our published policies and documentation, we may at times fail to do so or be alleged to have failed to do so. Any actual or perceived failure to comply with legal and regulatory requirements applicable to us, including those relating to privacy or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For an additional discussion on governmental regulation affecting our business, please see the risk factors related to regulation of our business and regulation in the areas of privacy and data use, under the section titled “</w:t>
      </w:r>
      <w:r>
        <w:rPr>
          <w:rFonts w:ascii="Times New Roman" w:cs="Times New Roman" w:eastAsia="Times New Roman" w:hAnsi="Times New Roman"/>
          <w:sz w:val="18"/>
          <w:szCs w:val="18"/>
          <w:i w:val="1"/>
          <w:iCs w:val="1"/>
          <w:color w:val="auto"/>
        </w:rPr>
        <w:t>Risk Factors — Risks Related to Our Regulatory Environment..</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Our originating bank partners also operate in a highly regulated environment, and many laws and regulations that apply directly to our originating bank partners are indirectly applicable to us as a service provider to our originating bank partners.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patent,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As of September 30, 2020, we owned eight registered trademarks and five trademark applications in the United States, six registered trademarks and ten trademark applications in various foreign jurisdictions, and one issued patent and six pending patent applications in the United States.</w:t>
      </w: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06"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patents,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18" w:lineRule="exact"/>
        <w:rPr>
          <w:sz w:val="20"/>
          <w:szCs w:val="20"/>
          <w:color w:val="auto"/>
        </w:rPr>
      </w:pPr>
    </w:p>
    <w:p>
      <w:pPr>
        <w:ind w:left="1260" w:right="1199" w:firstLine="36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more comprehensive description of risks related to our intellectual property and proprietary rights.</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totaling 260,904 rentable square feet. Our corporate headquarters are located in San Francisco, California. We also lease office space in New York City, New York; Pittsburgh, Pennsylvania; Salt Lake City, Utah; and Chicago, Illinois. We do not own any real property. We believe that our facilities are adequate to meet our current needs.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4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to be in place upon the consummation of this offering:</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50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22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Levchin</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 of</w:t>
            </w:r>
          </w:p>
        </w:tc>
      </w:tr>
      <w:tr>
        <w:trPr>
          <w:trHeight w:val="234"/>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Directors</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Linford</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38</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Sharda Caro del Castillo</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Silvija Martincevic</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Libor Michalek</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Technology</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Bhandari</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Risk and Strategy Officer</w:t>
            </w:r>
          </w:p>
        </w:tc>
      </w:tr>
      <w:tr>
        <w:trPr>
          <w:trHeight w:val="25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39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Liew</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G. Philips</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Christa S. Quarles</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Rabois</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Jenny J. Ming</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Jacqueline D. Reses</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White</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w:t>
            </w:r>
          </w:p>
        </w:tc>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ind w:left="1260" w:right="719" w:firstLine="36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Max Levchin </w:t>
      </w:r>
      <w:r>
        <w:rPr>
          <w:rFonts w:ascii="Times New Roman" w:cs="Times New Roman" w:eastAsia="Times New Roman" w:hAnsi="Times New Roman"/>
          <w:sz w:val="18"/>
          <w:szCs w:val="18"/>
          <w:color w:val="auto"/>
        </w:rPr>
        <w:t>is our Founder and has served as our Chairman and Chief Executive Officer since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founding in 2012. Affirm was spun out of 2012 MRL Investments LLC (f/k/a HVF, LLC) (“HVF”), an exploration company Mr. Levchin founded in 2011 to create and fund companies that leveraged large data sets in new ways. At HVF, Mr. Levchin also founded Glow, a women’s health company, where he remains on the board of directors. Prior to HVF, Mr. Levchin founded and was Chief Executive Officer of Slide, a personal media-sharing service. Slide was acquired by Google in 2010. Slide was created at MRL Ventures Inc. (“MRL”), an earlier exploration company Mr. Levchin founded in 2004, to create and fund companies that leveraged the emergence of social media. At MRL, Mr. Levchin also helped create Yelp Inc., a consumer internet company, where he served as chairman of its board of directors from its founding in 2005 until July 2015. Prior to MRL, Mr. Levchin co-founded PayPal, where he served as Chief Technology Officer from its founding until its sale to eBay in 2003. Mr. Levchin also served on the board for Yahoo! Inc., an internet company, from 2012 until 2015. Mr. Levchin was born in Kiev, Ukraine before moving to the United States and settling in Chicago in 1991. Mr. Levchin holds a B.S. in Computer Science from University of Illinois at Urbana-Champaign, where he founded and led four other technology startups.</w:t>
      </w:r>
    </w:p>
    <w:p>
      <w:pPr>
        <w:spacing w:after="0" w:line="10" w:lineRule="exact"/>
        <w:rPr>
          <w:sz w:val="20"/>
          <w:szCs w:val="20"/>
          <w:color w:val="auto"/>
        </w:rPr>
      </w:pPr>
    </w:p>
    <w:p>
      <w:pPr>
        <w:ind w:left="1260" w:right="939"/>
        <w:spacing w:after="0" w:line="239" w:lineRule="auto"/>
        <w:rPr>
          <w:sz w:val="20"/>
          <w:szCs w:val="20"/>
          <w:color w:val="auto"/>
        </w:rPr>
      </w:pPr>
      <w:r>
        <w:rPr>
          <w:rFonts w:ascii="Times New Roman" w:cs="Times New Roman" w:eastAsia="Times New Roman" w:hAnsi="Times New Roman"/>
          <w:sz w:val="18"/>
          <w:szCs w:val="18"/>
          <w:color w:val="auto"/>
        </w:rPr>
        <w:t>Mr. Levchin was selected to serve on our board of directors because of the perspective and experience he brings as our Founder and Chief Executive Officer, as well as his experience as a founder of several technology companies.</w:t>
      </w:r>
    </w:p>
    <w:p>
      <w:pPr>
        <w:spacing w:after="0" w:line="114"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Michael Linford </w:t>
      </w:r>
      <w:r>
        <w:rPr>
          <w:rFonts w:ascii="Times New Roman" w:cs="Times New Roman" w:eastAsia="Times New Roman" w:hAnsi="Times New Roman"/>
          <w:sz w:val="18"/>
          <w:szCs w:val="18"/>
          <w:color w:val="auto"/>
        </w:rPr>
        <w:t>has served as Chief Financial Officer at Affirm since August 2018.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 from 2015 to 2018, Mr. Linford held various leadership roles at HP Inc. (“HP”), a global provider of personal computing devices, Hewlett Packard Enterprise Company (“HPE”), an enterprise information technology company, and Micro Focus International plc, a software and information technology company, including, most recently, as the Chief Financial Officer of HPE Software and Vice President of M&amp;A Integration at HPE. Prior to HP, Mr. Linford served as a Principal at KKR &amp; Co., a global investment company, focusing on retail and consumer private equity, and as a Business Analyst at McKinsey &amp; Company, focusing on the consumer, retail and energy sectors. Mr. Linford earned a B.S. in Mechanical Engineering with Highest Honors from The University of Texas at Austin.</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Sharda Caro del Castillo </w:t>
      </w:r>
      <w:r>
        <w:rPr>
          <w:rFonts w:ascii="Times New Roman" w:cs="Times New Roman" w:eastAsia="Times New Roman" w:hAnsi="Times New Roman"/>
          <w:sz w:val="18"/>
          <w:szCs w:val="18"/>
          <w:color w:val="auto"/>
        </w:rPr>
        <w:t>has served as our Chief Legal Officer, Chief Compliance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Secretary since December 2019 and is responsible for our Legal, Compliance, Government Relations and Public Policy teams. Prior to joining Affirm, Ms. Caro del Castillo served in various roles at Airbnb, Inc., an online travel platform, including acting as its Global Head of Payments from March 2018 through June 2019, and General Counsel of Airbnb Payments, Inc. from May 2015 through June 2019. Prior to Airbnb, Ms. Caro del Castillo served as Payments Counsel and subsequently as the Head of Payments at Square, Inc. Ms. Caro del Castillo also worked as Legal Counsel at PayPal and as a Technology Transactions Attorney at Silicon Valley Bank. Ms. Caro del Castillo holds a B.Sc. in Psychology from Santa Clara University and a J.D. from Case Western Reserve University School of Law.</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Silvija Martincevic </w:t>
      </w:r>
      <w:r>
        <w:rPr>
          <w:rFonts w:ascii="Times New Roman" w:cs="Times New Roman" w:eastAsia="Times New Roman" w:hAnsi="Times New Roman"/>
          <w:sz w:val="18"/>
          <w:szCs w:val="18"/>
          <w:color w:val="auto"/>
        </w:rPr>
        <w:t>has served as our Chief Commercial Officer since April 2019 and is responsible for</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commercial, partnership, and marketing strategy. Before joining Affirm, from 2011 until March 2019,</w:t>
      </w:r>
    </w:p>
    <w:p>
      <w:pPr>
        <w:ind w:left="1260"/>
        <w:spacing w:after="0" w:line="234" w:lineRule="auto"/>
        <w:rPr>
          <w:sz w:val="20"/>
          <w:szCs w:val="20"/>
          <w:color w:val="auto"/>
        </w:rPr>
      </w:pPr>
      <w:r>
        <w:rPr>
          <w:rFonts w:ascii="Times New Roman" w:cs="Times New Roman" w:eastAsia="Times New Roman" w:hAnsi="Times New Roman"/>
          <w:sz w:val="18"/>
          <w:szCs w:val="18"/>
          <w:color w:val="auto"/>
        </w:rPr>
        <w:t>Ms. Martincevic served a variety of roles including Chief Operating Officer and Chief Marketing Officer at</w:t>
      </w:r>
    </w:p>
    <w:p>
      <w:pPr>
        <w:spacing w:after="0" w:line="1" w:lineRule="exact"/>
        <w:rPr>
          <w:sz w:val="20"/>
          <w:szCs w:val="20"/>
          <w:color w:val="auto"/>
        </w:rPr>
      </w:pPr>
    </w:p>
    <w:p>
      <w:pPr>
        <w:ind w:left="1260" w:right="759"/>
        <w:spacing w:after="0" w:line="237" w:lineRule="auto"/>
        <w:rPr>
          <w:sz w:val="20"/>
          <w:szCs w:val="20"/>
          <w:color w:val="auto"/>
        </w:rPr>
      </w:pPr>
      <w:r>
        <w:rPr>
          <w:rFonts w:ascii="Times New Roman" w:cs="Times New Roman" w:eastAsia="Times New Roman" w:hAnsi="Times New Roman"/>
          <w:sz w:val="18"/>
          <w:szCs w:val="18"/>
          <w:color w:val="auto"/>
        </w:rPr>
        <w:t>Groupon Inc.’s international business across Europe, Asia, and Australia. Ms. Martincevic also spent 10 years in the investment management industry managing investments and portfolio risks for large institutions. She co- founded Zenna Financial Services in 2003 and served as its Chief Executive Officer, which was acquired in 2007, and held other senior leadership roles in the investment and hedge fund industry. Ms. Martincevic earned her B.A. in Economics at Beloit College and M.B.A. in Econometrics and Statistics from the Booth School of Business at the University of Chicago.</w:t>
      </w:r>
    </w:p>
    <w:p>
      <w:pPr>
        <w:spacing w:after="0" w:line="113"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Libor Michalek </w:t>
      </w:r>
      <w:r>
        <w:rPr>
          <w:rFonts w:ascii="Times New Roman" w:cs="Times New Roman" w:eastAsia="Times New Roman" w:hAnsi="Times New Roman"/>
          <w:sz w:val="18"/>
          <w:szCs w:val="18"/>
          <w:color w:val="auto"/>
        </w:rPr>
        <w:t>has served as our President, Technology since 2018 and leads the Engineering,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Machine Learning, Product, Design, Operations, IT, Security, and Analytics teams. Mr. Michalek served as our Chief Technology Officer from 2015 to 2018. Prior to joining Affirm, Mr. Michalek served as an Engineering Director at YouTube and Google. Prior to that, Mr. Michalek served as the Chief Technology Officer of Slide, a personal media-sharing service, which was acquired by Google in 2010. Mr. Michalek has also served in management positions at Topspin, Egroups, Talarian, Thinking Machines Corporation, and the National Center for Supercomputing Applications. Mr. Michalek earned his B.S. in Computer Science from University of Illinois at Urbana-Champaign.</w:t>
      </w:r>
    </w:p>
    <w:p>
      <w:pPr>
        <w:spacing w:after="0" w:line="120"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b w:val="1"/>
          <w:bCs w:val="1"/>
          <w:color w:val="auto"/>
        </w:rPr>
        <w:t xml:space="preserve">Sandeep Bhandari </w:t>
      </w:r>
      <w:r>
        <w:rPr>
          <w:rFonts w:ascii="Times New Roman" w:cs="Times New Roman" w:eastAsia="Times New Roman" w:hAnsi="Times New Roman"/>
          <w:sz w:val="18"/>
          <w:szCs w:val="18"/>
          <w:color w:val="auto"/>
        </w:rPr>
        <w:t>has served as our Chief Risk and Strategy Officer since 2017 and leads our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functions. Before joining Affirm, from 2015 to 2017, Mr. Bhandari served as Chief Credit Officer at LendingClub Corporation (“LendingClub”), an unsecured personal loans marketplace. Prior to LendingClub, from 2000 to 2015, Mr. Bhandari worked across various divisions at Capital One Financial Corporation, including serving as the Assistant Chief Credit Officer for auto and home lending and partner at Capital One Growth Ventures, as well as a variety of roles in strategy development, credit risk management, marketing, product development, and underwriting across consumer credit cards and small business cards. Mr. Bhandari earned his B.Tech in Mechanical Engineering from Indian Institute of Technology in Delhi and his diploma in Management from the Indian Institute of Management in Ahmedabad.</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44"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b w:val="1"/>
          <w:bCs w:val="1"/>
          <w:color w:val="auto"/>
        </w:rPr>
        <w:t xml:space="preserve">Jeremy Liew </w:t>
      </w:r>
      <w:r>
        <w:rPr>
          <w:rFonts w:ascii="Times New Roman" w:cs="Times New Roman" w:eastAsia="Times New Roman" w:hAnsi="Times New Roman"/>
          <w:sz w:val="18"/>
          <w:szCs w:val="18"/>
          <w:color w:val="auto"/>
        </w:rPr>
        <w:t>has served as a member of our board of directors since 2013. Mr. Liew has been a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Lightspeed Venture Partners, a venture capital firm, since 2006. Prior to joining Lightspeed, Mr. Liew was an executive at Netscape, AOL, Citysearch and IAC. Mr. Liew graduated with honors with a BSc in mathematics, and a BA in Linguistics, from the Australian National University, and with an M.B.A. from Stanford Business School. Mr. Liew was selected to serve on our board of directors because of his substantial experience in overseeing multiple technology investments and his previous experience as a technology executive.</w:t>
      </w:r>
    </w:p>
    <w:p>
      <w:pPr>
        <w:spacing w:after="0" w:line="324"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b w:val="1"/>
          <w:bCs w:val="1"/>
          <w:color w:val="auto"/>
        </w:rPr>
        <w:t xml:space="preserve">Jeremy G. Philips </w:t>
      </w:r>
      <w:r>
        <w:rPr>
          <w:rFonts w:ascii="Times New Roman" w:cs="Times New Roman" w:eastAsia="Times New Roman" w:hAnsi="Times New Roman"/>
          <w:sz w:val="18"/>
          <w:szCs w:val="18"/>
          <w:color w:val="auto"/>
        </w:rPr>
        <w:t>has served as a member of our board of directors since 2015. Mr. Philips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General Partner of Spark Capital, a venture capital firm, since 2014. Prior to joining Spark Capital, Mr. Philips served as Chief Executive Officer of Photon Group Limited, a holding company listed on the Australian Securities Exchange. He also held various roles of increasing responsibility with News Corporation, most recently as an Executive Vice President in the Office of the Chairman. He was also Co-Founder and Vice-Chairman of ecorp, a publicly traded technology holding company. Mr. Philips currently also serves on the Board of Directors of TripAdvisor, Inc., where he has served as a director since 2011. Mr. Philips is an adjunct professor at Columbia Business School and holds a B.A. and LL.B. from the University of New</w:t>
      </w: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79"/>
        <w:spacing w:after="0" w:line="250" w:lineRule="auto"/>
        <w:rPr>
          <w:sz w:val="20"/>
          <w:szCs w:val="20"/>
          <w:color w:val="auto"/>
        </w:rPr>
      </w:pPr>
      <w:r>
        <w:rPr>
          <w:rFonts w:ascii="Times New Roman" w:cs="Times New Roman" w:eastAsia="Times New Roman" w:hAnsi="Times New Roman"/>
          <w:sz w:val="18"/>
          <w:szCs w:val="18"/>
          <w:color w:val="auto"/>
        </w:rPr>
        <w:t>South Wales and an M.P.A. from the Harvard Kennedy School of Government. Mr. Philips was selected to serve on our board of directors due to his financial expertise and his experience as a founder, executive and investor in technology companies.</w:t>
      </w:r>
    </w:p>
    <w:p>
      <w:pPr>
        <w:spacing w:after="0" w:line="92" w:lineRule="exact"/>
        <w:rPr>
          <w:sz w:val="20"/>
          <w:szCs w:val="20"/>
          <w:color w:val="auto"/>
        </w:rPr>
      </w:pPr>
    </w:p>
    <w:p>
      <w:pPr>
        <w:ind w:left="1260" w:right="11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Christa S. Quarles </w:t>
      </w:r>
      <w:r>
        <w:rPr>
          <w:rFonts w:ascii="Times New Roman" w:cs="Times New Roman" w:eastAsia="Times New Roman" w:hAnsi="Times New Roman"/>
          <w:sz w:val="18"/>
          <w:szCs w:val="18"/>
          <w:color w:val="auto"/>
        </w:rPr>
        <w:t>has served as a member of our board of directors since 2018. Ms. Quarles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the Chief Executive Officer and a Board Director of Corel Corporation, a private software company backed by KKR. Prior to joining Corel, Ms. Quarles served as the Chief Executive Officer of OpenTable, Inc., an online restaurant reservation service, from 2015 to 2018. Before OpenTable,</w:t>
      </w:r>
    </w:p>
    <w:p>
      <w:pPr>
        <w:spacing w:after="0" w:line="3" w:lineRule="exact"/>
        <w:rPr>
          <w:sz w:val="20"/>
          <w:szCs w:val="20"/>
          <w:color w:val="auto"/>
        </w:rPr>
      </w:pPr>
    </w:p>
    <w:p>
      <w:pPr>
        <w:ind w:left="1260" w:right="679"/>
        <w:spacing w:after="0" w:line="236" w:lineRule="auto"/>
        <w:rPr>
          <w:sz w:val="20"/>
          <w:szCs w:val="20"/>
          <w:color w:val="auto"/>
        </w:rPr>
      </w:pPr>
      <w:r>
        <w:rPr>
          <w:rFonts w:ascii="Times New Roman" w:cs="Times New Roman" w:eastAsia="Times New Roman" w:hAnsi="Times New Roman"/>
          <w:sz w:val="18"/>
          <w:szCs w:val="18"/>
          <w:color w:val="auto"/>
        </w:rPr>
        <w:t>Ms. Quarles served as the Chief Business Officer of NextDoor, Inc., a social networking company, from 2014 to 2015. Leading up to NextDoor, Ms. Quarles held positions of increasing responsibility with The Walt Disney Company, including Senior Vice President and General Manager as well as Chief Financial Officer and Head of Business Operations for their Mobile and Social Games division. She came to Disney via its acquisition of Playdom Inc., where she had been its Chief Financial Officer. Ms. Quarles is a member of the board of directors of Kimberly-Clark Corporation, where she has also served as a member of the audit committee since 2016. Ms. Quarles earned her B.S. from Carnegie Mellon University, where she was elected to Phi Beta Kappa, and a M.B.A. from Harvard University. Ms. Quarles was selected to serve on our board of directors due to her financial expertise, her experience on a public company audit committee, and her leadership experience as the Chief Executive Officer of an e-commerce marketplace.</w:t>
      </w:r>
    </w:p>
    <w:p>
      <w:pPr>
        <w:spacing w:after="0" w:line="114"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Keith Rabois </w:t>
      </w:r>
      <w:r>
        <w:rPr>
          <w:rFonts w:ascii="Times New Roman" w:cs="Times New Roman" w:eastAsia="Times New Roman" w:hAnsi="Times New Roman"/>
          <w:sz w:val="18"/>
          <w:szCs w:val="18"/>
          <w:color w:val="auto"/>
        </w:rPr>
        <w:t>has served as a member of our board of directors since 2013. Mr. Rabois has been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at Founders Fund since 2019. Prior to joining Founders Fund, Mr. Rabois served as a Managing Director at Khosla Ventures from 2013 to 2019. Mr. Rabois also served as the Chief Operating Officer of Square, an Executive Vice President of Strategy &amp; Business Development at Slide and as Vice President of Business &amp; Corporate Development at LinkedIn. Mr. Rabois began his career in the industry as a senior executive at PayPal and has also practiced as an attorney at Sullivan &amp; Cromwell. Mr. Rabois earned his B.A. in Political Science from Stanford University and his J.D. from Harvard University.</w:t>
      </w:r>
    </w:p>
    <w:p>
      <w:pPr>
        <w:spacing w:after="0" w:line="5" w:lineRule="exact"/>
        <w:rPr>
          <w:sz w:val="20"/>
          <w:szCs w:val="20"/>
          <w:color w:val="auto"/>
        </w:rPr>
      </w:pPr>
    </w:p>
    <w:p>
      <w:pPr>
        <w:ind w:left="1260" w:right="1299"/>
        <w:spacing w:after="0" w:line="243" w:lineRule="auto"/>
        <w:rPr>
          <w:sz w:val="20"/>
          <w:szCs w:val="20"/>
          <w:color w:val="auto"/>
        </w:rPr>
      </w:pPr>
      <w:r>
        <w:rPr>
          <w:rFonts w:ascii="Times New Roman" w:cs="Times New Roman" w:eastAsia="Times New Roman" w:hAnsi="Times New Roman"/>
          <w:sz w:val="18"/>
          <w:szCs w:val="18"/>
          <w:color w:val="auto"/>
        </w:rPr>
        <w:t>Mr. Rabois was selected to serve on our board of directors due to his experience as an executive of a payment processing platform, his experience as a venture capitalist, and his legal background.</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Jenny J. Ming </w:t>
      </w:r>
      <w:r>
        <w:rPr>
          <w:rFonts w:ascii="Times New Roman" w:cs="Times New Roman" w:eastAsia="Times New Roman" w:hAnsi="Times New Roman"/>
          <w:sz w:val="18"/>
          <w:szCs w:val="18"/>
          <w:color w:val="auto"/>
        </w:rPr>
        <w:t>was elected to serve as a member of our board of directors effective on the first day of</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month following this offering. Ms. Ming was Chief Executive Officer of Charlotte Russe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2009 to February 2019, a fast fashion specialty retailer of apparel and accessories catering to young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women. In February 2019, Charlotte Russe filed a voluntary petition under Chapter 11 of the U.S.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Bankruptcy Code. From March 1999 to October 2006, Ms. Ming served as President of Old Navy, a brand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Gap Inc.’s portfolio, where she oversaw all aspects of Old Navy and its retail clothing stores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and Canada. Ms. Ming joined Gap Inc. in 1986, serving in various executive capacities at the San</w:t>
      </w:r>
    </w:p>
    <w:p>
      <w:pPr>
        <w:spacing w:after="0" w:line="9" w:lineRule="exact"/>
        <w:rPr>
          <w:sz w:val="20"/>
          <w:szCs w:val="20"/>
          <w:color w:val="auto"/>
        </w:rPr>
      </w:pPr>
    </w:p>
    <w:p>
      <w:pPr>
        <w:ind w:left="1260" w:right="779"/>
        <w:spacing w:after="0" w:line="252" w:lineRule="auto"/>
        <w:rPr>
          <w:sz w:val="20"/>
          <w:szCs w:val="20"/>
          <w:color w:val="auto"/>
        </w:rPr>
      </w:pPr>
      <w:r>
        <w:rPr>
          <w:rFonts w:ascii="Times New Roman" w:cs="Times New Roman" w:eastAsia="Times New Roman" w:hAnsi="Times New Roman"/>
          <w:sz w:val="18"/>
          <w:szCs w:val="18"/>
          <w:color w:val="auto"/>
        </w:rPr>
        <w:t>Francisco headquarters, and in 1994, she was a member of the executive team that launched Old Navy. Ms. Ming has served on the board of directors of Levi Strauss &amp; Co since 2014, Paper Source since 2016, and Poshmark since 2019. She holds a B.A. in Fashion Merchandising/Marketing from San Jose State University and has been on the Tower Foundation board since 2010. Ms. Ming was selected to serve on our board of directors due to her experience serving as a director of a public company and her experience as a retail executive.</w:t>
      </w:r>
    </w:p>
    <w:p>
      <w:pPr>
        <w:spacing w:after="0" w:line="105"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Jacqueline D. Reses </w:t>
      </w:r>
      <w:r>
        <w:rPr>
          <w:rFonts w:ascii="Times New Roman" w:cs="Times New Roman" w:eastAsia="Times New Roman" w:hAnsi="Times New Roman"/>
          <w:sz w:val="18"/>
          <w:szCs w:val="18"/>
          <w:color w:val="auto"/>
        </w:rPr>
        <w:t>was elected to serve as a member of our board of directors effective on the first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month following this offering. Ms. Reses served as the Square Capital Lead of Square, Inc. (“Square”), a financial services and technology company, and Executive Chairman of its proposed bank, Square Financial Services, from October 2015 to October 2020. From September 2012 to October 2015, Ms. Reses served as Chief Development Officer of Yahoo! Inc., a technology company. Prior to Yahoo, Ms. Reses served as the head of the U.S. media group at Apax Partners Worldwide LLP, a private equity firm, which she joined in 2001. Ms. Reses also spent seven years at Goldman Sachs in mergers and acquisitions and the principal investment area. Ms. Reses is currently on the board of directors of Pershing Square Tontine Holdings, Ltd. and Social Capital Hedosophia III and Social Capital Hedosophia. She previously served on the board of directors of Alibaba Group Holdings Limited, and Social Capital Hedosophia Holdings Corp. Ms. Reses is also the Chair of the Economic Advisory Council of the Federal Reserve Bank of San Francisco and sits on the Wharton School Board of Advisors and the Board of Directors of National Public Radio (NPR). Ms. Reses received a bachelor’s degree in economics with honors from the Wharton School of the University of Pennsylvania. Ms. Reses was selected to serve on our board of directors due to her experience as a director of various public companies and her leadership experience at technology companies.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James D. White </w:t>
      </w:r>
      <w:r>
        <w:rPr>
          <w:rFonts w:ascii="Times New Roman" w:cs="Times New Roman" w:eastAsia="Times New Roman" w:hAnsi="Times New Roman"/>
          <w:sz w:val="18"/>
          <w:szCs w:val="18"/>
          <w:color w:val="auto"/>
        </w:rPr>
        <w:t>was elected to serve as a member of our board of directors effective on the first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month following this offering. Mr. White served for eight years, from 2008 to 2016, as the Chairman, President and Chief Executive Officer of Jamba Inc. Prior to that, from 2005 to 2008, Mr. White was Senior Vice President and General Manager of Safeway, Inc., a U.S. supermarket chain. From 1983 to 2005</w:t>
      </w:r>
    </w:p>
    <w:p>
      <w:pPr>
        <w:spacing w:after="0" w:line="3" w:lineRule="exact"/>
        <w:rPr>
          <w:sz w:val="20"/>
          <w:szCs w:val="20"/>
          <w:color w:val="auto"/>
        </w:rPr>
      </w:pPr>
    </w:p>
    <w:p>
      <w:pPr>
        <w:ind w:left="1260" w:right="759"/>
        <w:spacing w:after="0" w:line="236" w:lineRule="auto"/>
        <w:rPr>
          <w:sz w:val="20"/>
          <w:szCs w:val="20"/>
          <w:color w:val="auto"/>
        </w:rPr>
      </w:pPr>
      <w:r>
        <w:rPr>
          <w:rFonts w:ascii="Times New Roman" w:cs="Times New Roman" w:eastAsia="Times New Roman" w:hAnsi="Times New Roman"/>
          <w:sz w:val="18"/>
          <w:szCs w:val="18"/>
          <w:color w:val="auto"/>
        </w:rPr>
        <w:t>Mr. White held management roles at Gillette, Nestle Purina and Coca-Cola. Additionally, Mr. White currently serves on the board of directors of Adtalem Global Education, Panera Bread Company-JAB Holdings and Schnucks. He previously served on the board of directors of Bradshaw Home, CallidusCloud, Daymon Worldwide, Hillshire Brands and Keane Inc. His non- profit board experience includes Directors Academy, where he is a founding member and currently Board Chairman, as well as Board Chairman for Fair Trade USA. He previously served on the non- profit boards of the NASDAQ Entrepreneurial Center, The Organic Center and the Network of Executive Women. Mr. White received a Bachelor’s of Science degree, with a major in marketing, from The University of Missouri and an MBA from Fontbonne University. He is also a graduate of the Cornell University Food Executive Program and was a Stanford University Distinguished Careers Institute Fellow in 2018. Mr. White was selected to serve on our board of directors due to his experience as a public company director and his experience as an executive.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48" w:lineRule="exact"/>
        <w:rPr>
          <w:sz w:val="20"/>
          <w:szCs w:val="20"/>
          <w:color w:val="auto"/>
        </w:rPr>
      </w:pPr>
    </w:p>
    <w:p>
      <w:pPr>
        <w:ind w:left="1260" w:right="1179" w:firstLine="360"/>
        <w:spacing w:after="0" w:line="250"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currently composed of five members and, following the first day of the month following this offering, will be composed of eight members.</w:t>
      </w:r>
    </w:p>
    <w:p>
      <w:pPr>
        <w:spacing w:after="0" w:line="109"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Pursuant to our current certificate of incorporation and amended and restated voting agreement, our current directors were elected as follows:</w:t>
      </w:r>
    </w:p>
    <w:p>
      <w:pPr>
        <w:spacing w:after="0" w:line="54" w:lineRule="exact"/>
        <w:rPr>
          <w:sz w:val="20"/>
          <w:szCs w:val="20"/>
          <w:color w:val="auto"/>
        </w:rPr>
      </w:pPr>
    </w:p>
    <w:p>
      <w:pPr>
        <w:ind w:left="1800" w:right="1199" w:hanging="178"/>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Levchin was elected by the stockholders and designated by the parties to our amended and restated voting agreement as one of the common director designees.</w:t>
      </w:r>
    </w:p>
    <w:p>
      <w:pPr>
        <w:spacing w:after="0" w:line="53" w:lineRule="exact"/>
        <w:rPr>
          <w:rFonts w:ascii="Times New Roman" w:cs="Times New Roman" w:eastAsia="Times New Roman" w:hAnsi="Times New Roman"/>
          <w:sz w:val="18"/>
          <w:szCs w:val="18"/>
          <w:color w:val="auto"/>
        </w:rPr>
      </w:pPr>
    </w:p>
    <w:p>
      <w:pPr>
        <w:ind w:left="1800" w:right="1199" w:hanging="178"/>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Liew was elected by the stockholders and designated by entities affiliated with Lightspeed Venture Partners.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Philips was elected by the stockholders and designated by entities affiliated with Spark Capital.</w:t>
      </w:r>
    </w:p>
    <w:p>
      <w:pPr>
        <w:spacing w:after="0" w:line="103" w:lineRule="exact"/>
        <w:rPr>
          <w:rFonts w:ascii="Times New Roman" w:cs="Times New Roman" w:eastAsia="Times New Roman" w:hAnsi="Times New Roman"/>
          <w:sz w:val="18"/>
          <w:szCs w:val="18"/>
          <w:color w:val="auto"/>
        </w:rPr>
      </w:pPr>
    </w:p>
    <w:p>
      <w:pPr>
        <w:ind w:left="1800" w:right="939" w:hanging="178"/>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Quarles was elected by the stockholders and designated by the parties to our amended and restated voting agreement (excluding the holders of the Series E redeemable convertible preferred stock) as one of the independent director designees.</w:t>
      </w:r>
    </w:p>
    <w:p>
      <w:pPr>
        <w:spacing w:after="0" w:line="67" w:lineRule="exact"/>
        <w:rPr>
          <w:rFonts w:ascii="Times New Roman" w:cs="Times New Roman" w:eastAsia="Times New Roman" w:hAnsi="Times New Roman"/>
          <w:sz w:val="18"/>
          <w:szCs w:val="18"/>
          <w:color w:val="auto"/>
        </w:rPr>
      </w:pPr>
    </w:p>
    <w:p>
      <w:pPr>
        <w:ind w:left="1800" w:right="1359" w:hanging="178"/>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Rabois was elected by the stockholders and designated by entities affiliated with Khosla Ventures.</w:t>
      </w:r>
    </w:p>
    <w:p>
      <w:pPr>
        <w:spacing w:after="0" w:line="53"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Ming was elected by the stockholders and designated by the parties to our amended and restated voting agreement as one of the common director designees.</w:t>
      </w:r>
    </w:p>
    <w:p>
      <w:pPr>
        <w:spacing w:after="0" w:line="53"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White was elected by the stockholders and designated by the parties to our amended and restated voting agreement as one of the common director designees.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Reses was elected by the stockholders and designated by entities affiliated with Founders Fund.</w:t>
      </w:r>
    </w:p>
    <w:p>
      <w:pPr>
        <w:spacing w:after="0" w:line="15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voting agreement will terminate and the provisions of our current certificate of incorporation by which our directors were elected will be amended and restated in connection with this offering. Each of our current directors will continue to serve as a director until the election and qualification of his or her successor, or until his or her earlier death, resignation, or removal. After this offering, the number of directors may be fixed by our board of directors, subject to the terms of our amended and restated certificate of incorporation and amended and restated bylaws that will become effective immediately prior to the completion of this offering.</w:t>
      </w:r>
    </w:p>
    <w:p>
      <w:pPr>
        <w:spacing w:after="0" w:line="12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immediately upon the completion of this offering,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899" w:hanging="178"/>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will be Mr. Philips and, following her appointment to our board of directors on the first day of the month following this offering, Ms. Reses, and their term will expire at the first annual meeting of stockholders held after the completion of this offering;</w:t>
      </w:r>
    </w:p>
    <w:p>
      <w:pPr>
        <w:spacing w:after="0" w:line="94" w:lineRule="exact"/>
        <w:rPr>
          <w:rFonts w:ascii="Times New Roman" w:cs="Times New Roman" w:eastAsia="Times New Roman" w:hAnsi="Times New Roman"/>
          <w:sz w:val="18"/>
          <w:szCs w:val="18"/>
          <w:color w:val="auto"/>
        </w:rPr>
      </w:pPr>
    </w:p>
    <w:p>
      <w:pPr>
        <w:ind w:left="1800" w:right="859" w:hanging="178"/>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Ms. Quarles, Mr. Rabois, and, following her appointment to our board of directors on the first day of the month following this offering, Ms. Ming, and their terms will expire at the second annual meeting of stockholders held after the completion of this offering; and</w:t>
      </w:r>
    </w:p>
    <w:p>
      <w:pPr>
        <w:spacing w:after="0" w:line="108" w:lineRule="exact"/>
        <w:rPr>
          <w:rFonts w:ascii="Times New Roman" w:cs="Times New Roman" w:eastAsia="Times New Roman" w:hAnsi="Times New Roman"/>
          <w:sz w:val="18"/>
          <w:szCs w:val="18"/>
          <w:color w:val="auto"/>
        </w:rPr>
      </w:pPr>
    </w:p>
    <w:p>
      <w:pPr>
        <w:jc w:val="both"/>
        <w:ind w:left="1800" w:right="739" w:hanging="178"/>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Levchin, Mr. Liew, and, following his appointment to our board of directors on the first day of the month following this offering, Mr. White, and their terms will expire the third annual meeting of stockholders held after the completion of this offering.</w:t>
      </w:r>
    </w:p>
    <w:p>
      <w:pPr>
        <w:spacing w:after="0" w:line="108"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6"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This classification of our board of directors may have the effect of delaying or preventing changes in control of our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77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her or his background, employment, and affiliations, our board of directors has determined that each of Mr. Liew, Mr. Philips, Ms. Quarles, Mr. Rabois Ms. Ming, Ms. Reses, and Mr. White does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will establish an audit committee, a compensation committee, and a nominating and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1260" w:right="899" w:firstLine="360"/>
        <w:spacing w:after="0" w:line="256" w:lineRule="auto"/>
        <w:rPr>
          <w:sz w:val="20"/>
          <w:szCs w:val="20"/>
          <w:color w:val="auto"/>
        </w:rPr>
      </w:pPr>
      <w:r>
        <w:rPr>
          <w:rFonts w:ascii="Times New Roman" w:cs="Times New Roman" w:eastAsia="Times New Roman" w:hAnsi="Times New Roman"/>
          <w:sz w:val="18"/>
          <w:szCs w:val="18"/>
          <w:color w:val="auto"/>
        </w:rPr>
        <w:t>The members of our audit committee will be Ms. Quarles (Chair), Mr. Rabois, and, following their appointment to our board of directors on the first day of the month following this offering, Ms. Reses and Ms. Ming. Our board of directors has determined that each member of the audit committee is an independent director under Nasdaq listing standards and the independence requirements of Rule 10A-3 of the Exchange Act. Our board of directors also has determined that Ms. Quarles is an “audit committee financial expert” as such term is defined in Item 407(d)(5) of Regulation S-K.</w:t>
      </w:r>
    </w:p>
    <w:p>
      <w:pPr>
        <w:spacing w:after="0" w:line="120"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purpose of the audit committee is to prepare the audit committee report required by the SEC to be included in our proxy statement and to assist our board of directors in overseeing and monitoring (1) our accounting and financial reporting processes, (2) the quality and integrity of our financial statements and the auditing of our financial statements, (3) our compliance with legal and regulatory requirements, (4) our</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independent registered public accounting firm’s qualifications and independence, (5) the performance of our internal audit function, and (6) the appointment, compensation, retention, oversight and performance of our independent registered public accounting firm. The audit committee also will perform any other functions that may be assigned by applicable law, our certificate of incorporation or bylaws, or our board of directors from time to time.</w:t>
      </w:r>
    </w:p>
    <w:p>
      <w:pPr>
        <w:spacing w:after="0" w:line="102"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written charter for the audit committee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The members of our compensation committee will be Mr. Liew (Chair), Ms. Quarles, and, following their appointment to our board of directors on the first day of the month following this offering, Ms. Reses and Mr. White. Our board of directors has determined that each member of the compensation committee is independent under Nasdaq listing standards and a “non-employee director” as defined in Rule 16b-3 promulgated under the Exchange Act. In arriving at these determinations, our board of directors has examined all factors relevant to determining whether any compensation committee member has a relationship to Affirm that is material to that member’s ability to be independent from management in connection with carrying out such member’s duties as a compensation committee member.</w:t>
      </w:r>
    </w:p>
    <w:p>
      <w:pPr>
        <w:spacing w:after="0" w:line="124"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 (1) evaluating and reviewing the goals, objectives, plans, policies, and programs applicable to the compensation of our chief executive officer, certain of our other senior executives, and non-employee members of our board of directors, (2) administering our incentive compensation plans and equity-based compensation plans, (3) reviewing and making recommendations to our board of directors regarding the performance and compensation of our chief executive officer, (4) reviewing and approving the compensation of certain of our other senior executives, and (5) any other matters that may be assigned by applicable law, our certificate of incorporation or bylaws, or our board of directors from time to time.</w:t>
      </w:r>
    </w:p>
    <w:p>
      <w:pPr>
        <w:spacing w:after="0" w:line="111"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written charter for the compensation committee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governance committee will be Mr. Liew (Chair), Mr. Philips, and, following his appointment to our board of directors on the first day of the month following this offering, Mr. White, who will serve as the Chair upon his appointment. Our board of directors has determined that each member of the nominating and governance committee is independent under Nasdaq listing standards.</w:t>
      </w:r>
    </w:p>
    <w:p>
      <w:pPr>
        <w:spacing w:after="0" w:line="112" w:lineRule="exact"/>
        <w:rPr>
          <w:sz w:val="20"/>
          <w:szCs w:val="20"/>
          <w:color w:val="auto"/>
        </w:rPr>
      </w:pPr>
    </w:p>
    <w:p>
      <w:pPr>
        <w:jc w:val="both"/>
        <w:ind w:left="1260" w:right="1279" w:firstLine="360"/>
        <w:spacing w:after="0" w:line="257" w:lineRule="auto"/>
        <w:rPr>
          <w:sz w:val="20"/>
          <w:szCs w:val="20"/>
          <w:color w:val="auto"/>
        </w:rPr>
      </w:pPr>
      <w:r>
        <w:rPr>
          <w:rFonts w:ascii="Times New Roman" w:cs="Times New Roman" w:eastAsia="Times New Roman" w:hAnsi="Times New Roman"/>
          <w:sz w:val="18"/>
          <w:szCs w:val="18"/>
          <w:color w:val="auto"/>
        </w:rPr>
        <w:t>The purpose of our nominating and governance committee is to assist our board of directors in discharging its responsibilities relating to (1) identifying, evaluating, and recommending individuals qualified to become new board members, consistent with criteria approved by our board of directors,</w:t>
      </w:r>
    </w:p>
    <w:p>
      <w:pPr>
        <w:spacing w:after="0" w:line="1" w:lineRule="exact"/>
        <w:rPr>
          <w:sz w:val="20"/>
          <w:szCs w:val="20"/>
          <w:color w:val="auto"/>
        </w:rPr>
      </w:pPr>
    </w:p>
    <w:p>
      <w:pPr>
        <w:ind w:left="1260" w:right="699" w:firstLine="2"/>
        <w:spacing w:after="0" w:line="251" w:lineRule="auto"/>
        <w:tabs>
          <w:tab w:leader="none" w:pos="15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of incumbent directors to determine whether to recommend them for reelection at the next annual meeting of stockholders, (3) recommending that the board of directors select the director nominees for the next annual meeting of stockholders, (4) identifying, evaluating, and recommending board members qualified to serve on any board committee and recommending that our board of directors appoint the identified member or members to the applicable committee, (5) reviewing and recommending to our board of directors corporate governance principles applicable to us, (6) overseeing the evaluation of our board of directors, and (7) any other matters that are specifically delegated to the committee by our board of directors from time to time.</w:t>
      </w:r>
    </w:p>
    <w:p>
      <w:pPr>
        <w:spacing w:after="0" w:line="113"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written charter for the nominating and governance committee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adopt a code of ethics and conduct that is applicable to all of our employees, officers, and directors, including our chief executive and senior financial officers. The code of ethics and conduct will be available on our website. The information contained on or accessible through our corporate website or any other website that we may maintain is not part of this prospectus or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We discuss below the compensation awarded to, earned by, or paid to the following three executive officers, who we have determined to be our named executive officers, or NEOs, for the fiscal year ended June 30, 2020. For the fiscal year ended June 30, 2020, our NEOs are our Chief Executive Officer and our next two most highly compensated executive officers other than our Chief Executive Officer who were serving as executive officers as of June 30, 2020.</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Named Executive Officers for Fiscal Year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33655</wp:posOffset>
            </wp:positionV>
            <wp:extent cx="24688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5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Max Levchin – Chief Executive Officer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Sharda Caro del Castillo – Chief Legal Officer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Libor Michalek – President, Technology</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Fiscal Year Ended June 30, 2020 Summary Compensation Table</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fiscal year ended June 30, 2020.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8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6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9"/>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0"/>
                <w:szCs w:val="10"/>
                <w:b w:val="1"/>
                <w:bCs w:val="1"/>
                <w:color w:val="auto"/>
              </w:rPr>
              <w:t>(6)</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10"/>
                <w:szCs w:val="10"/>
                <w:b w:val="1"/>
                <w:bCs w:val="1"/>
                <w:color w:val="auto"/>
                <w:w w:val="87"/>
              </w:rPr>
              <w:t>(1)</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Levchin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6"/>
        </w:trPr>
        <w:tc>
          <w:tcPr>
            <w:tcW w:w="422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Sharda Caro del Castillo</w:t>
            </w:r>
            <w:r>
              <w:rPr>
                <w:rFonts w:ascii="Times New Roman" w:cs="Times New Roman" w:eastAsia="Times New Roman" w:hAnsi="Times New Roman"/>
                <w:sz w:val="26"/>
                <w:szCs w:val="26"/>
                <w:color w:val="auto"/>
                <w:vertAlign w:val="superscript"/>
              </w:rPr>
              <w:t>(2)(3)</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233,884</w:t>
            </w:r>
          </w:p>
        </w:tc>
        <w:tc>
          <w:tcPr>
            <w:tcW w:w="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2,545,920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2,779,804</w:t>
            </w: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Libor Michalek</w:t>
            </w:r>
            <w:r>
              <w:rPr>
                <w:rFonts w:ascii="Times New Roman" w:cs="Times New Roman" w:eastAsia="Times New Roman" w:hAnsi="Times New Roman"/>
                <w:sz w:val="26"/>
                <w:szCs w:val="26"/>
                <w:color w:val="auto"/>
                <w:vertAlign w:val="superscript"/>
              </w:rPr>
              <w:t>(4)</w:t>
            </w: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Technology</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373,333</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1,906,680</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2,280,013</w:t>
            </w:r>
          </w:p>
        </w:tc>
        <w:tc>
          <w:tcPr>
            <w:tcW w:w="0" w:type="dxa"/>
            <w:vAlign w:val="bottom"/>
          </w:tcPr>
          <w:p>
            <w:pPr>
              <w:spacing w:after="0"/>
              <w:rPr>
                <w:sz w:val="1"/>
                <w:szCs w:val="1"/>
                <w:color w:val="auto"/>
              </w:rPr>
            </w:pPr>
          </w:p>
        </w:tc>
      </w:tr>
      <w:tr>
        <w:trPr>
          <w:trHeight w:val="236"/>
        </w:trPr>
        <w:tc>
          <w:tcPr>
            <w:tcW w:w="422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color w:val="auto"/>
              </w:rPr>
              <w:t>Michael Linford</w:t>
            </w:r>
            <w:r>
              <w:rPr>
                <w:rFonts w:ascii="Times New Roman" w:cs="Times New Roman" w:eastAsia="Times New Roman" w:hAnsi="Times New Roman"/>
                <w:sz w:val="26"/>
                <w:szCs w:val="26"/>
                <w:color w:val="auto"/>
                <w:vertAlign w:val="superscript"/>
              </w:rPr>
              <w:t>(5)</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373,333</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-1225550</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-1225550</wp:posOffset>
            </wp:positionV>
            <wp:extent cx="137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-1225550</wp:posOffset>
            </wp:positionV>
            <wp:extent cx="1371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-1225550</wp:posOffset>
            </wp:positionV>
            <wp:extent cx="1371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-1225550</wp:posOffset>
            </wp:positionV>
            <wp:extent cx="1371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779" w:hanging="358"/>
        <w:spacing w:after="0" w:line="255"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the named executive officers during the fiscal year ended June 30, 2020, calculated in accordance with FASB ASC Topic 718. The assumptions used in calculating the grant date fair value of the awards reported in this column are set forth in the notes to our consolidated financial statements included elsewhere in this prospectus. The amounts reported in this column reflect the accounting cost for these awards and does not correspond to the actual economic value that may be received by the named executive officer upon the sale of any of the underlying shares of Class A common stock.</w:t>
      </w:r>
    </w:p>
    <w:p>
      <w:pPr>
        <w:spacing w:after="0" w:line="67"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Caro del Castillo joined the Company as Chief Legal Officer in November 2019.</w:t>
      </w:r>
    </w:p>
    <w:p>
      <w:pPr>
        <w:spacing w:after="0" w:line="103" w:lineRule="exact"/>
        <w:rPr>
          <w:rFonts w:ascii="Times New Roman" w:cs="Times New Roman" w:eastAsia="Times New Roman" w:hAnsi="Times New Roman"/>
          <w:sz w:val="18"/>
          <w:szCs w:val="18"/>
          <w:color w:val="auto"/>
        </w:rPr>
      </w:pPr>
    </w:p>
    <w:p>
      <w:pPr>
        <w:ind w:left="1620" w:right="1199" w:hanging="358"/>
        <w:spacing w:after="0" w:line="282"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Caro del Castillo’s annual base salary was increased from $365,000 to $385,000 effective on February 1, 2020.</w:t>
      </w:r>
    </w:p>
    <w:p>
      <w:pPr>
        <w:spacing w:after="0" w:line="40" w:lineRule="exact"/>
        <w:rPr>
          <w:rFonts w:ascii="Times New Roman" w:cs="Times New Roman" w:eastAsia="Times New Roman" w:hAnsi="Times New Roman"/>
          <w:sz w:val="18"/>
          <w:szCs w:val="18"/>
          <w:color w:val="auto"/>
        </w:rPr>
      </w:pPr>
    </w:p>
    <w:p>
      <w:pPr>
        <w:ind w:left="1620" w:right="859" w:hanging="358"/>
        <w:spacing w:after="0" w:line="282"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Michalek’s annual base salary was increased from $365,000 to $385,000 effective on February 1, 2020.</w:t>
      </w:r>
    </w:p>
    <w:p>
      <w:pPr>
        <w:spacing w:after="0" w:line="40" w:lineRule="exact"/>
        <w:rPr>
          <w:rFonts w:ascii="Times New Roman" w:cs="Times New Roman" w:eastAsia="Times New Roman" w:hAnsi="Times New Roman"/>
          <w:sz w:val="18"/>
          <w:szCs w:val="18"/>
          <w:color w:val="auto"/>
        </w:rPr>
      </w:pPr>
    </w:p>
    <w:p>
      <w:pPr>
        <w:ind w:left="1620" w:right="739" w:hanging="358"/>
        <w:spacing w:after="0" w:line="282"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Linford was not a named executive officer for the fiscal year ended June 30, 2020 as a result of the company’s status as an emerging growth company and disclosure is being provided voluntarily.</w:t>
      </w:r>
    </w:p>
    <w:p>
      <w:pPr>
        <w:spacing w:after="0" w:line="4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 provided to Mr. Linford represents his $45,000 relocation bonus.</w:t>
      </w: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as of June 30, 2020</w:t>
      </w:r>
    </w:p>
    <w:p>
      <w:pPr>
        <w:spacing w:after="0" w:line="148"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June 30, 2020:</w:t>
      </w:r>
    </w:p>
    <w:p>
      <w:pPr>
        <w:spacing w:after="0" w:line="83" w:lineRule="exact"/>
        <w:rPr>
          <w:sz w:val="20"/>
          <w:szCs w:val="20"/>
          <w:color w:val="auto"/>
        </w:rPr>
      </w:pPr>
    </w:p>
    <w:tbl>
      <w:tblPr>
        <w:tblLayout w:type="fixed"/>
        <w:tblInd w:w="1260" w:type="dxa"/>
        <w:tblCellMar>
          <w:top w:w="0" w:type="dxa"/>
          <w:left w:w="0" w:type="dxa"/>
          <w:bottom w:w="0" w:type="dxa"/>
          <w:right w:w="0" w:type="dxa"/>
        </w:tblCellMar>
      </w:tblPr>
      <w:tr>
        <w:trPr>
          <w:trHeight w:val="259"/>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21"/>
                <w:szCs w:val="21"/>
                <w:b w:val="1"/>
                <w:bCs w:val="1"/>
                <w:color w:val="auto"/>
                <w:vertAlign w:val="superscript"/>
              </w:rPr>
              <w:t>(1)</w:t>
            </w:r>
          </w:p>
        </w:tc>
        <w:tc>
          <w:tcPr>
            <w:tcW w:w="840" w:type="dxa"/>
            <w:vAlign w:val="bottom"/>
            <w:tcBorders>
              <w:bottom w:val="single" w:sz="8" w:color="auto"/>
            </w:tcBorders>
          </w:tcPr>
          <w:p>
            <w:pPr>
              <w:spacing w:after="0"/>
              <w:rPr>
                <w:sz w:val="22"/>
                <w:szCs w:val="22"/>
                <w:color w:val="auto"/>
              </w:rPr>
            </w:pPr>
          </w:p>
        </w:tc>
      </w:tr>
      <w:tr>
        <w:trPr>
          <w:trHeight w:val="171"/>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4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Commencement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Sharda Caro del Castillo</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12/17/2019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11/19/2019</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8.80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12/16/2029</w:t>
            </w:r>
          </w:p>
        </w:tc>
      </w:tr>
      <w:tr>
        <w:trPr>
          <w:trHeight w:val="25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Libor Michalek</w:t>
            </w:r>
          </w:p>
        </w:tc>
        <w:tc>
          <w:tcPr>
            <w:tcW w:w="10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color w:val="auto"/>
                <w:w w:val="95"/>
              </w:rPr>
              <w:t>05/29/2015</w:t>
            </w:r>
            <w:r>
              <w:rPr>
                <w:rFonts w:ascii="Times New Roman" w:cs="Times New Roman" w:eastAsia="Times New Roman" w:hAnsi="Times New Roman"/>
                <w:sz w:val="26"/>
                <w:szCs w:val="26"/>
                <w:color w:val="auto"/>
                <w:w w:val="95"/>
                <w:vertAlign w:val="superscript"/>
              </w:rPr>
              <w:t>(3)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11/01/2016</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298,077</w:t>
            </w:r>
          </w:p>
        </w:tc>
        <w:tc>
          <w:tcPr>
            <w:tcW w:w="200" w:type="dxa"/>
            <w:vAlign w:val="bottom"/>
          </w:tcPr>
          <w:p>
            <w:pPr>
              <w:spacing w:after="0"/>
              <w:rPr>
                <w:sz w:val="22"/>
                <w:szCs w:val="2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05/28/2025</w:t>
            </w:r>
          </w:p>
        </w:tc>
      </w:tr>
      <w:tr>
        <w:trPr>
          <w:trHeight w:val="257"/>
        </w:trPr>
        <w:tc>
          <w:tcPr>
            <w:tcW w:w="2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w w:val="95"/>
              </w:rPr>
              <w:t>05/29/2015</w:t>
            </w:r>
            <w:r>
              <w:rPr>
                <w:rFonts w:ascii="Times New Roman" w:cs="Times New Roman" w:eastAsia="Times New Roman" w:hAnsi="Times New Roman"/>
                <w:sz w:val="26"/>
                <w:szCs w:val="26"/>
                <w:color w:val="auto"/>
                <w:w w:val="95"/>
                <w:vertAlign w:val="superscript"/>
              </w:rPr>
              <w:t>(4)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01/05/2016</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05/28/2025</w:t>
            </w:r>
          </w:p>
        </w:tc>
      </w:tr>
      <w:tr>
        <w:trPr>
          <w:trHeight w:val="256"/>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color w:val="auto"/>
                <w:w w:val="95"/>
              </w:rPr>
              <w:t>11/17/2017</w:t>
            </w:r>
            <w:r>
              <w:rPr>
                <w:rFonts w:ascii="Times New Roman" w:cs="Times New Roman" w:eastAsia="Times New Roman" w:hAnsi="Times New Roman"/>
                <w:sz w:val="26"/>
                <w:szCs w:val="26"/>
                <w:color w:val="auto"/>
                <w:w w:val="95"/>
                <w:vertAlign w:val="superscript"/>
              </w:rPr>
              <w:t>(5)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10/09/2017</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266,666</w:t>
            </w:r>
          </w:p>
        </w:tc>
        <w:tc>
          <w:tcPr>
            <w:tcW w:w="200" w:type="dxa"/>
            <w:vAlign w:val="bottom"/>
          </w:tcPr>
          <w:p>
            <w:pPr>
              <w:spacing w:after="0"/>
              <w:rPr>
                <w:sz w:val="22"/>
                <w:szCs w:val="2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133,334</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2.04</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11/16/2027</w:t>
            </w:r>
          </w:p>
        </w:tc>
      </w:tr>
      <w:tr>
        <w:trPr>
          <w:trHeight w:val="257"/>
        </w:trPr>
        <w:tc>
          <w:tcPr>
            <w:tcW w:w="2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w w:val="95"/>
              </w:rPr>
              <w:t>12/17/2019</w:t>
            </w:r>
            <w:r>
              <w:rPr>
                <w:rFonts w:ascii="Times New Roman" w:cs="Times New Roman" w:eastAsia="Times New Roman" w:hAnsi="Times New Roman"/>
                <w:sz w:val="26"/>
                <w:szCs w:val="26"/>
                <w:color w:val="auto"/>
                <w:w w:val="95"/>
                <w:vertAlign w:val="superscript"/>
              </w:rPr>
              <w:t>(5)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12/04/2019</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8.80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12/16/2029</w:t>
            </w:r>
          </w:p>
        </w:tc>
      </w:tr>
      <w:tr>
        <w:trPr>
          <w:trHeight w:val="36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Linford</w:t>
            </w:r>
            <w:r>
              <w:rPr>
                <w:rFonts w:ascii="Times New Roman" w:cs="Times New Roman" w:eastAsia="Times New Roman" w:hAnsi="Times New Roman"/>
                <w:sz w:val="26"/>
                <w:szCs w:val="26"/>
                <w:color w:val="auto"/>
                <w:vertAlign w:val="superscript"/>
              </w:rPr>
              <w:t>(6)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08/27/2018</w:t>
            </w:r>
            <w:r>
              <w:rPr>
                <w:rFonts w:ascii="Times New Roman" w:cs="Times New Roman" w:eastAsia="Times New Roman" w:hAnsi="Times New Roman"/>
                <w:sz w:val="26"/>
                <w:szCs w:val="26"/>
                <w:color w:val="auto"/>
                <w:w w:val="95"/>
                <w:vertAlign w:val="superscript"/>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08/27/2018</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683,100</w:t>
            </w:r>
          </w:p>
        </w:tc>
        <w:tc>
          <w:tcPr>
            <w:tcW w:w="2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807,300</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5.39</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-1056640</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-1056640</wp:posOffset>
            </wp:positionV>
            <wp:extent cx="1289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-1056640</wp:posOffset>
            </wp:positionV>
            <wp:extent cx="1200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-1056640</wp:posOffset>
            </wp:positionV>
            <wp:extent cx="1200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-1056640</wp:posOffset>
            </wp:positionV>
            <wp:extent cx="12001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-1056640</wp:posOffset>
            </wp:positionV>
            <wp:extent cx="12001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91440</wp:posOffset>
            </wp:positionV>
            <wp:extent cx="12344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8" w:lineRule="exact"/>
        <w:rPr>
          <w:sz w:val="20"/>
          <w:szCs w:val="20"/>
          <w:color w:val="auto"/>
        </w:rPr>
      </w:pPr>
    </w:p>
    <w:p>
      <w:pPr>
        <w:ind w:left="1620" w:right="939" w:hanging="358"/>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stock options were granted under our Amended and Restated 2012 Stock Plan and represent options to purchase shares of our Class A common stock.</w:t>
      </w:r>
    </w:p>
    <w:p>
      <w:pPr>
        <w:spacing w:after="0" w:line="53" w:lineRule="exact"/>
        <w:rPr>
          <w:rFonts w:ascii="Times New Roman" w:cs="Times New Roman" w:eastAsia="Times New Roman" w:hAnsi="Times New Roman"/>
          <w:sz w:val="18"/>
          <w:szCs w:val="18"/>
          <w:color w:val="auto"/>
        </w:rPr>
      </w:pPr>
    </w:p>
    <w:p>
      <w:pPr>
        <w:ind w:left="1620" w:right="779" w:hanging="358"/>
        <w:spacing w:after="0" w:line="220"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Vests with respect to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8"/>
          <w:szCs w:val="18"/>
          <w:color w:val="auto"/>
        </w:rPr>
        <w:t xml:space="preserve"> of the shares of our Class A common stock underlying the stock option on the one-year anniversary of the vesting commencement date and the remaining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8"/>
          <w:szCs w:val="18"/>
          <w:color w:val="auto"/>
        </w:rPr>
        <w:t xml:space="preserve"> of the shares underlying the option vest in equal monthly installments over the subsequent three years, in each case subject to continued service.</w:t>
      </w:r>
    </w:p>
    <w:p>
      <w:pPr>
        <w:spacing w:after="0" w:line="92"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monthly in equal installments from the vesting commencement date until January 1, 2020.</w:t>
      </w:r>
    </w:p>
    <w:p>
      <w:pPr>
        <w:spacing w:after="0" w:line="117"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monthly in equal installments from the vesting commencement date until November 1, 2016.</w:t>
      </w:r>
    </w:p>
    <w:p>
      <w:pPr>
        <w:spacing w:after="0" w:line="117" w:lineRule="exact"/>
        <w:rPr>
          <w:rFonts w:ascii="Times New Roman" w:cs="Times New Roman" w:eastAsia="Times New Roman" w:hAnsi="Times New Roman"/>
          <w:sz w:val="18"/>
          <w:szCs w:val="18"/>
          <w:color w:val="auto"/>
        </w:rPr>
      </w:pPr>
    </w:p>
    <w:p>
      <w:pPr>
        <w:ind w:left="1620" w:right="1179" w:hanging="358"/>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monthly at the rate of 1/48 of the shares of our Class A common stock underlying the stock option following the vesting commencement date, subject to continued service.</w:t>
      </w:r>
    </w:p>
    <w:p>
      <w:pPr>
        <w:spacing w:after="0" w:line="53" w:lineRule="exact"/>
        <w:rPr>
          <w:rFonts w:ascii="Times New Roman" w:cs="Times New Roman" w:eastAsia="Times New Roman" w:hAnsi="Times New Roman"/>
          <w:sz w:val="18"/>
          <w:szCs w:val="18"/>
          <w:color w:val="auto"/>
        </w:rPr>
      </w:pPr>
    </w:p>
    <w:p>
      <w:pPr>
        <w:ind w:left="1620" w:right="739" w:hanging="358"/>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Linford was not a named executive officer for the fiscal year ended June 30, 2020 as a result of the company’s status as an emerging growth company and disclosure is being provided voluntarily.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Equity Awards</w:t>
      </w:r>
    </w:p>
    <w:p>
      <w:pPr>
        <w:spacing w:after="0" w:line="148" w:lineRule="exact"/>
        <w:rPr>
          <w:sz w:val="20"/>
          <w:szCs w:val="20"/>
          <w:color w:val="auto"/>
        </w:rPr>
      </w:pPr>
    </w:p>
    <w:p>
      <w:pPr>
        <w:ind w:left="1260" w:right="85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offering, we are making additional equity grants to key executive officers, including two of our named executive officers, Sharda Caro del Castillo and Libor Michalek, as well as other non-NEOs, including Michael Linford, our Chief Financial Officer, to ensure the executive team has aligned long-term incentives and to retain our executive team during and through our IPO. Ms. Caro del Castillo, Mr. Michalek and Mr. Linford will receive these equity grants in December 2020, as provided in the table below.</w:t>
      </w:r>
    </w:p>
    <w:p>
      <w:pPr>
        <w:spacing w:after="0" w:line="37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190"/>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Units (#)</w:t>
            </w:r>
          </w:p>
        </w:tc>
      </w:tr>
      <w:tr>
        <w:trPr>
          <w:trHeight w:val="23"/>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Sharda Caro del Castillo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289,286</w:t>
            </w:r>
          </w:p>
        </w:tc>
        <w:tc>
          <w:tcPr>
            <w:tcW w:w="12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73,470</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Libor Michalek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443,571</w:t>
            </w:r>
          </w:p>
        </w:tc>
        <w:tc>
          <w:tcPr>
            <w:tcW w:w="12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112,653</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Linford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347,143</w:t>
            </w:r>
          </w:p>
        </w:tc>
        <w:tc>
          <w:tcPr>
            <w:tcW w:w="12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88,163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-496570</wp:posOffset>
            </wp:positionV>
            <wp:extent cx="137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-496570</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color w:val="auto"/>
        </w:rPr>
        <w:t>These equity grants will vest over four and one-half years, commencing as of January 1, 2021. The first 5% of each grant will vest after six months, and the remainder of each grant will vest in quarterly installments over the remaining four years, in annual aggregate amounts equal to 15%, 20%, 30% and 30%, respectively, subject to the executive officer’s continued employment with our company as of each vesting date.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Chief Executive Officer Compensation</w:t>
      </w:r>
    </w:p>
    <w:p>
      <w:pPr>
        <w:spacing w:after="0" w:line="148" w:lineRule="exact"/>
        <w:rPr>
          <w:sz w:val="20"/>
          <w:szCs w:val="20"/>
          <w:color w:val="auto"/>
        </w:rPr>
      </w:pPr>
    </w:p>
    <w:p>
      <w:pPr>
        <w:ind w:left="1260" w:right="1500" w:firstLine="360"/>
        <w:spacing w:after="0" w:line="250" w:lineRule="auto"/>
        <w:rPr>
          <w:sz w:val="20"/>
          <w:szCs w:val="20"/>
          <w:color w:val="auto"/>
        </w:rPr>
      </w:pPr>
      <w:r>
        <w:rPr>
          <w:rFonts w:ascii="Times New Roman" w:cs="Times New Roman" w:eastAsia="Times New Roman" w:hAnsi="Times New Roman"/>
          <w:sz w:val="18"/>
          <w:szCs w:val="18"/>
          <w:color w:val="auto"/>
        </w:rPr>
        <w:t>In preparing for the initial public offering of our common stock, in November 2020, our board of directors made significant changes intended to provide a meaningful incentive to Max Levchin, our Chief Executive Officer, for his continued leadership of our company.</w:t>
      </w:r>
    </w:p>
    <w:p>
      <w:pPr>
        <w:spacing w:after="0" w:line="109" w:lineRule="exact"/>
        <w:rPr>
          <w:sz w:val="20"/>
          <w:szCs w:val="20"/>
          <w:color w:val="auto"/>
        </w:rPr>
      </w:pPr>
    </w:p>
    <w:p>
      <w:pPr>
        <w:ind w:left="1260" w:right="1480" w:firstLine="360"/>
        <w:spacing w:after="0" w:line="238" w:lineRule="auto"/>
        <w:rPr>
          <w:sz w:val="20"/>
          <w:szCs w:val="20"/>
          <w:color w:val="auto"/>
        </w:rPr>
      </w:pPr>
      <w:r>
        <w:rPr>
          <w:rFonts w:ascii="Times New Roman" w:cs="Times New Roman" w:eastAsia="Times New Roman" w:hAnsi="Times New Roman"/>
          <w:sz w:val="18"/>
          <w:szCs w:val="18"/>
          <w:color w:val="auto"/>
        </w:rPr>
        <w:t>Our board of directors worked closely with its compensation consultant, Compensia, to design a compensation construct for Mr. Levchin that aligns his compensation with the long-term interests of all stakeholders, requires the achievement of sustained and significant high performance levels while not encouraging short-term gains through risk taking, incentivizes long-term performance beyond typical market pay constructs, promotes transparency with simple design and full disclosure, and is equitable and justifiable to Mr. Levchin and all of our stakeholders. In designing the compensation program for</w:t>
      </w:r>
    </w:p>
    <w:p>
      <w:pPr>
        <w:spacing w:after="0" w:line="3" w:lineRule="exact"/>
        <w:rPr>
          <w:sz w:val="20"/>
          <w:szCs w:val="20"/>
          <w:color w:val="auto"/>
        </w:rPr>
      </w:pPr>
    </w:p>
    <w:p>
      <w:pPr>
        <w:ind w:left="1260" w:right="1420"/>
        <w:spacing w:after="0" w:line="239" w:lineRule="auto"/>
        <w:rPr>
          <w:sz w:val="20"/>
          <w:szCs w:val="20"/>
          <w:color w:val="auto"/>
        </w:rPr>
      </w:pPr>
      <w:r>
        <w:rPr>
          <w:rFonts w:ascii="Times New Roman" w:cs="Times New Roman" w:eastAsia="Times New Roman" w:hAnsi="Times New Roman"/>
          <w:sz w:val="18"/>
          <w:szCs w:val="18"/>
          <w:color w:val="auto"/>
        </w:rPr>
        <w:t>Mr. Levchin, our board of directors considered Mr. Levchin’s sustained and unparalleled leadership since the inception of Affirm and the comparatively modest level of cash compensation he has received from us, and that he does not hold any unvested equity awards.</w:t>
      </w:r>
    </w:p>
    <w:p>
      <w:pPr>
        <w:spacing w:after="0" w:line="118" w:lineRule="exact"/>
        <w:rPr>
          <w:sz w:val="20"/>
          <w:szCs w:val="20"/>
          <w:color w:val="auto"/>
        </w:rPr>
      </w:pPr>
    </w:p>
    <w:p>
      <w:pPr>
        <w:ind w:left="1260" w:right="1260" w:firstLine="360"/>
        <w:spacing w:after="0"/>
        <w:rPr>
          <w:sz w:val="20"/>
          <w:szCs w:val="20"/>
          <w:color w:val="auto"/>
        </w:rPr>
      </w:pPr>
      <w:r>
        <w:rPr>
          <w:rFonts w:ascii="Times New Roman" w:cs="Times New Roman" w:eastAsia="Times New Roman" w:hAnsi="Times New Roman"/>
          <w:sz w:val="18"/>
          <w:szCs w:val="18"/>
          <w:color w:val="auto"/>
        </w:rPr>
        <w:t>Our board of directors determined to provide nearly 100% of Mr. Levchin’s direct compensation in the form of equity incentives. Under this approach, and based on the considerations described above, the board of directors will keep Mr. Levchin’s base salary at $10,000, set his target bonus at 0%, and grant him a long-term, multi-year performance-based stock option providing him with the opportunity to earn the ability to purchase up to 12,500,000 shares of our Class A common stock (the “</w:t>
      </w:r>
      <w:r>
        <w:rPr>
          <w:rFonts w:ascii="Times New Roman" w:cs="Times New Roman" w:eastAsia="Times New Roman" w:hAnsi="Times New Roman"/>
          <w:sz w:val="18"/>
          <w:szCs w:val="18"/>
          <w:u w:val="single" w:color="auto"/>
          <w:color w:val="auto"/>
        </w:rPr>
        <w:t>Value Creation Award</w:t>
      </w:r>
      <w:r>
        <w:rPr>
          <w:rFonts w:ascii="Times New Roman" w:cs="Times New Roman" w:eastAsia="Times New Roman" w:hAnsi="Times New Roman"/>
          <w:sz w:val="18"/>
          <w:szCs w:val="18"/>
          <w:color w:val="auto"/>
        </w:rPr>
        <w:t>”). The Value Creation Award will only be earned, if at all, in the event the price of our Class A common stock attains stock price hurdles that are significantly in excess of the Company’s current valuation, over a period of five years, subject to Mr. Levchin’s continued service to the company. The per share exercise price of the Value Creation Award is equal to the price to the public of our Class A common shares as determined by the board of directors or a committee thereof in connection with the company’s entering into the underwriting agreement for the offering.</w:t>
      </w:r>
    </w:p>
    <w:p>
      <w:pPr>
        <w:spacing w:after="0" w:line="293" w:lineRule="exact"/>
        <w:rPr>
          <w:sz w:val="20"/>
          <w:szCs w:val="20"/>
          <w:color w:val="auto"/>
        </w:rPr>
      </w:pPr>
    </w:p>
    <w:p>
      <w:pPr>
        <w:ind w:left="1260" w:right="1280" w:firstLine="360"/>
        <w:spacing w:after="0" w:line="238" w:lineRule="auto"/>
        <w:rPr>
          <w:sz w:val="20"/>
          <w:szCs w:val="20"/>
          <w:color w:val="auto"/>
        </w:rPr>
      </w:pPr>
      <w:r>
        <w:rPr>
          <w:rFonts w:ascii="Times New Roman" w:cs="Times New Roman" w:eastAsia="Times New Roman" w:hAnsi="Times New Roman"/>
          <w:sz w:val="18"/>
          <w:szCs w:val="18"/>
          <w:color w:val="auto"/>
        </w:rPr>
        <w:t>Our board of directors believes that this Value Creation Award is designed to further the long-term interests of all stakeholders by deferring the realization of meaningful value until the company, under Mr. Levchin’s leadership, delivers sustained and significant high performance levels as described in more detail below. Under Mr. Levchin’s leadership over the last decade, the company’s revenues have grown to $509.5 million during the fiscal year ended June 30, 2020, and the board of directors believes that it is important to continue to retain and motivate Mr. Levchin to lead the company over the next five years based on this history of exceptional performance. Our board of directors intends for the Value Creation Award to be the exclusive equity award that Mr. Levchin will receive through the 5th anniversary of the date of grant. The size of the Value Creation Award was determined after consideration of similar equity awards to CEO/ founders of privately held and publicly traded technology companies, including those with founder CEOs with significant fully vested equity holdings such as Mr. Levchin.</w:t>
      </w:r>
    </w:p>
    <w:p>
      <w:pPr>
        <w:spacing w:after="0" w:line="118" w:lineRule="exact"/>
        <w:rPr>
          <w:sz w:val="20"/>
          <w:szCs w:val="20"/>
          <w:color w:val="auto"/>
        </w:rPr>
      </w:pPr>
    </w:p>
    <w:p>
      <w:pPr>
        <w:ind w:left="1260" w:right="1300" w:firstLine="360"/>
        <w:spacing w:after="0"/>
        <w:rPr>
          <w:sz w:val="20"/>
          <w:szCs w:val="20"/>
          <w:color w:val="auto"/>
        </w:rPr>
      </w:pPr>
      <w:r>
        <w:rPr>
          <w:rFonts w:ascii="Times New Roman" w:cs="Times New Roman" w:eastAsia="Times New Roman" w:hAnsi="Times New Roman"/>
          <w:sz w:val="18"/>
          <w:szCs w:val="18"/>
          <w:color w:val="auto"/>
        </w:rPr>
        <w:t>The Value Creation Award is divided into ten tranches which Mr. Levchin may earn by satisfying a performance condition within a five-year period from the date of grant. Once earned as a result of satisfying the performance condition, the earned tranche of Mr. Levchin’s Value Creation Award becomes vested and exercisable upon Mr. Levchin satisfying a time condition. The performance condition for each tranche will be satisfied on the date the 90 average trading day volume weighted share price of the company’s Class A common stock exceeds the stock price hurdle, based on a target percentage of growth from the IPO price, as provided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 Price Hurdle</w:t>
            </w:r>
          </w:p>
        </w:tc>
        <w:tc>
          <w:tcPr>
            <w:tcW w:w="1620" w:type="dxa"/>
            <w:vAlign w:val="bottom"/>
          </w:tcPr>
          <w:p>
            <w:pPr>
              <w:spacing w:after="0"/>
              <w:rPr>
                <w:sz w:val="14"/>
                <w:szCs w:val="14"/>
                <w:color w:val="auto"/>
              </w:rPr>
            </w:pPr>
          </w:p>
        </w:tc>
      </w:tr>
      <w:tr>
        <w:trPr>
          <w:trHeight w:val="190"/>
        </w:trPr>
        <w:tc>
          <w:tcPr>
            <w:tcW w:w="36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 Shares (#)</w:t>
            </w:r>
          </w:p>
        </w:tc>
        <w:tc>
          <w:tcPr>
            <w:tcW w:w="22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620" w:type="dxa"/>
            <w:vAlign w:val="bottom"/>
          </w:tcPr>
          <w:p>
            <w:pPr>
              <w:spacing w:after="0"/>
              <w:rPr>
                <w:sz w:val="16"/>
                <w:szCs w:val="16"/>
                <w:color w:val="auto"/>
              </w:rPr>
            </w:pPr>
          </w:p>
        </w:tc>
      </w:tr>
      <w:tr>
        <w:trPr>
          <w:trHeight w:val="23"/>
        </w:trPr>
        <w:tc>
          <w:tcPr>
            <w:tcW w:w="16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60" w:type="dxa"/>
            <w:vAlign w:val="bottom"/>
            <w:gridSpan w:val="3"/>
            <w:shd w:val="clear" w:color="auto" w:fill="CCEEFF"/>
          </w:tcPr>
          <w:p>
            <w:pPr>
              <w:jc w:val="center"/>
              <w:ind w:left="2890"/>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34%</w:t>
            </w:r>
          </w:p>
        </w:tc>
        <w:tc>
          <w:tcPr>
            <w:tcW w:w="1620" w:type="dxa"/>
            <w:vAlign w:val="bottom"/>
          </w:tcPr>
          <w:p>
            <w:pPr>
              <w:spacing w:after="0"/>
              <w:rPr>
                <w:sz w:val="21"/>
                <w:szCs w:val="21"/>
                <w:color w:val="auto"/>
              </w:rPr>
            </w:pPr>
          </w:p>
        </w:tc>
      </w:tr>
      <w:tr>
        <w:trPr>
          <w:trHeight w:val="257"/>
        </w:trPr>
        <w:tc>
          <w:tcPr>
            <w:tcW w:w="36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406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68%</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060" w:type="dxa"/>
            <w:vAlign w:val="bottom"/>
            <w:gridSpan w:val="3"/>
            <w:shd w:val="clear" w:color="auto" w:fill="CCEEFF"/>
          </w:tcPr>
          <w:p>
            <w:pPr>
              <w:jc w:val="center"/>
              <w:ind w:left="2890"/>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spacing w:after="0"/>
              <w:rPr>
                <w:sz w:val="22"/>
                <w:szCs w:val="22"/>
                <w:color w:val="auto"/>
              </w:rPr>
            </w:pPr>
          </w:p>
        </w:tc>
      </w:tr>
      <w:tr>
        <w:trPr>
          <w:trHeight w:val="257"/>
        </w:trPr>
        <w:tc>
          <w:tcPr>
            <w:tcW w:w="36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4</w:t>
            </w:r>
          </w:p>
        </w:tc>
        <w:tc>
          <w:tcPr>
            <w:tcW w:w="406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136%</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060" w:type="dxa"/>
            <w:vAlign w:val="bottom"/>
            <w:gridSpan w:val="3"/>
            <w:shd w:val="clear" w:color="auto" w:fill="CCEEFF"/>
          </w:tcPr>
          <w:p>
            <w:pPr>
              <w:jc w:val="center"/>
              <w:ind w:left="2890"/>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170%</w:t>
            </w:r>
          </w:p>
        </w:tc>
        <w:tc>
          <w:tcPr>
            <w:tcW w:w="1620" w:type="dxa"/>
            <w:vAlign w:val="bottom"/>
          </w:tcPr>
          <w:p>
            <w:pPr>
              <w:spacing w:after="0"/>
              <w:rPr>
                <w:sz w:val="22"/>
                <w:szCs w:val="22"/>
                <w:color w:val="auto"/>
              </w:rPr>
            </w:pPr>
          </w:p>
        </w:tc>
      </w:tr>
      <w:tr>
        <w:trPr>
          <w:trHeight w:val="284"/>
        </w:trPr>
        <w:tc>
          <w:tcPr>
            <w:tcW w:w="36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6</w:t>
            </w:r>
          </w:p>
        </w:tc>
        <w:tc>
          <w:tcPr>
            <w:tcW w:w="406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203%</w:t>
            </w:r>
          </w:p>
        </w:tc>
        <w:tc>
          <w:tcPr>
            <w:tcW w:w="1620" w:type="dxa"/>
            <w:vAlign w:val="bottom"/>
          </w:tcPr>
          <w:p>
            <w:pPr>
              <w:spacing w:after="0"/>
              <w:rPr>
                <w:sz w:val="24"/>
                <w:szCs w:val="24"/>
                <w:color w:val="auto"/>
              </w:rPr>
            </w:pPr>
          </w:p>
        </w:tc>
      </w:tr>
      <w:tr>
        <w:trPr>
          <w:trHeight w:val="594"/>
        </w:trPr>
        <w:tc>
          <w:tcPr>
            <w:tcW w:w="1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-1645285</wp:posOffset>
            </wp:positionV>
            <wp:extent cx="1371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-1645285</wp:posOffset>
            </wp:positionV>
            <wp:extent cx="1371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72" w:name="page173"/>
    <w:bookmarkEnd w:id="17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 Price Hurdle</w:t>
            </w:r>
          </w:p>
        </w:tc>
      </w:tr>
      <w:tr>
        <w:trPr>
          <w:trHeight w:val="190"/>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 Shares (#)</w:t>
            </w:r>
          </w:p>
        </w:tc>
        <w:tc>
          <w:tcPr>
            <w:tcW w:w="22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3"/>
        </w:trPr>
        <w:tc>
          <w:tcPr>
            <w:tcW w:w="4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237%</w:t>
            </w: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3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271%</w:t>
            </w:r>
          </w:p>
        </w:tc>
      </w:tr>
      <w:tr>
        <w:trPr>
          <w:trHeight w:val="25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2,250,000</w:t>
            </w:r>
          </w:p>
        </w:tc>
        <w:tc>
          <w:tcPr>
            <w:tcW w:w="13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406%</w:t>
            </w: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2,250,000</w:t>
            </w:r>
          </w:p>
        </w:tc>
        <w:tc>
          <w:tcPr>
            <w:tcW w:w="13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-659765</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-659765</wp:posOffset>
            </wp:positionV>
            <wp:extent cx="1371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5"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Each stock price hurdle will be equitably adjusted to reflect any stock splits, stock dividends or other restructurings impacting our Class A common stock. Any portion of the Value Creation Award that has not been earned by the fifth anniversary of the grant date will be forfeited. To the extent earned based on the stock price hurdles set forth above, the Value Creation Award will vest and become exercisable over a five year period commencing on the date of grant, subject to Mr. Levchin’s continued service to the company, in annual amounts equal to 15%, 15%, 20%, 25% and 25%, respectively.</w:t>
      </w:r>
    </w:p>
    <w:p>
      <w:pPr>
        <w:spacing w:after="0" w:line="120"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the event of Mr. Levchin’s termination of employment effected by the company without cause, or for death or disability, Mr. Levchin (or his estate, as applicable) will retain that portion of the award which has been earned as of his termination, which will be vested based on the vesting schedule described above, and all unearned awards will be forfeited. In the event of Mr. Levchin’s transition out of the chief executive officer role into another full-time C-level role at our company or into service as chair of our board of directors, the Value Creation Award will remain outstanding and eligible to be earned and become vested. In the event of a change of control of our company, no accelerated vesting for any tranches will occur solely as a result of the change of control and the Value Creation Award will be earned based on attainment of the stock price hurdles in connection with such transaction. In the event of Mr. Levchin’s termination of employment effected by the company for cause, no accelerated vesting for any tranches will occur and all unearned awards will be forfeited.</w:t>
      </w:r>
    </w:p>
    <w:p>
      <w:pPr>
        <w:spacing w:after="0" w:line="329"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performance and vesting conditions described above, the Value Creation Award requires that Mr. Levchin retain and hold any shares acquired upon exercise of the Value Creation Award (net of amounts sold to satisfy tax obligations) for a period of at least 12 months while he is still providing services to the company. Further, the Value Creation Award and proceeds received by Mr. Levchin in connection with the sale of shares acquired under the Value Creation Award are subject to “clawback” by the company in the event Mr. Levchin engages in material misconduct while providing services to the company.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a Termination or Change of Control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Officer Severance Plan</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anticipate adopting an officer severance plan for certain of our officers, including our named executive officers, that provides for severance pay and benefits upon a qualifying termination of employment.</w:t>
      </w:r>
    </w:p>
    <w:p>
      <w:pPr>
        <w:spacing w:after="0" w:line="10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Generally, if a named executive officer’s employment is terminated for any reason other than for cause, death or disability within three months prior to or 12 months following the consummation of a change of control, which such period is referred to as the change of control period, or if the named executive officer resigns for good reason within the change in control period, then the officer severance plan provides for such named executive officer to receive:</w:t>
      </w:r>
    </w:p>
    <w:p>
      <w:pPr>
        <w:spacing w:after="0" w:line="102" w:lineRule="exact"/>
        <w:rPr>
          <w:sz w:val="20"/>
          <w:szCs w:val="20"/>
          <w:color w:val="auto"/>
        </w:rPr>
      </w:pPr>
    </w:p>
    <w:p>
      <w:pPr>
        <w:ind w:left="1620" w:right="679" w:firstLine="362"/>
        <w:spacing w:after="0" w:line="266" w:lineRule="auto"/>
        <w:tabs>
          <w:tab w:leader="none" w:pos="23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participant’s annual base salary, as in effect immediately prior to the participant’s termination, multiplied by 150% for our Chief Executive Officer and 100% for each of our other named executive officers;</w:t>
      </w:r>
    </w:p>
    <w:p>
      <w:pPr>
        <w:spacing w:after="0" w:line="108" w:lineRule="exact"/>
        <w:rPr>
          <w:rFonts w:ascii="Times New Roman" w:cs="Times New Roman" w:eastAsia="Times New Roman" w:hAnsi="Times New Roman"/>
          <w:sz w:val="18"/>
          <w:szCs w:val="18"/>
          <w:color w:val="auto"/>
        </w:rPr>
      </w:pPr>
    </w:p>
    <w:p>
      <w:pPr>
        <w:ind w:left="1620" w:right="719" w:firstLine="362"/>
        <w:spacing w:after="0" w:line="282" w:lineRule="auto"/>
        <w:tabs>
          <w:tab w:leader="none" w:pos="23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amount of the participant’s target annual bonus, if any, as in effect for the fiscal year in which his or her termination of employment occurs;</w:t>
      </w:r>
    </w:p>
    <w:p>
      <w:pPr>
        <w:spacing w:after="0" w:line="94" w:lineRule="exact"/>
        <w:rPr>
          <w:rFonts w:ascii="Times New Roman" w:cs="Times New Roman" w:eastAsia="Times New Roman" w:hAnsi="Times New Roman"/>
          <w:sz w:val="18"/>
          <w:szCs w:val="18"/>
          <w:color w:val="auto"/>
        </w:rPr>
      </w:pPr>
    </w:p>
    <w:p>
      <w:pPr>
        <w:ind w:left="1620" w:right="959" w:firstLine="362"/>
        <w:spacing w:after="0" w:line="266" w:lineRule="auto"/>
        <w:tabs>
          <w:tab w:leader="none" w:pos="23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the cost of post-termination continued health benefits for a period of up to 18 months for our Chief Executive Officer and up to 12 months for each of our other named executive officers; and</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1099" w:firstLine="362"/>
        <w:spacing w:after="0" w:line="266" w:lineRule="auto"/>
        <w:tabs>
          <w:tab w:leader="none" w:pos="23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then-unvested shares subject to each participant’s then-outstanding time-based equity awards will immediately vest.</w:t>
      </w:r>
    </w:p>
    <w:p>
      <w:pPr>
        <w:spacing w:after="0" w:line="81"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Generally, if a named executive officer’s employment is terminated for any reason other than for cause, death or disability outside of a change of control period, or, in the case of our Chief Executive Officer only, the named executive officer resigns for good reason outside of a change in control period, then the officer severance plan provides for such named executive officer to receive:</w:t>
      </w:r>
    </w:p>
    <w:p>
      <w:pPr>
        <w:spacing w:after="0" w:line="113" w:lineRule="exact"/>
        <w:rPr>
          <w:sz w:val="20"/>
          <w:szCs w:val="20"/>
          <w:color w:val="auto"/>
        </w:rPr>
      </w:pPr>
    </w:p>
    <w:p>
      <w:pPr>
        <w:ind w:left="1620" w:right="779" w:firstLine="362"/>
        <w:spacing w:after="0" w:line="250" w:lineRule="auto"/>
        <w:tabs>
          <w:tab w:leader="none" w:pos="23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participant’s annual base salary, as in effect immediately prior to the participant’s termination, multiplied by 100% for our Chief Executive Officer and 50% for each of our other named executive officers; and</w:t>
      </w:r>
    </w:p>
    <w:p>
      <w:pPr>
        <w:spacing w:after="0" w:line="109" w:lineRule="exact"/>
        <w:rPr>
          <w:rFonts w:ascii="Times New Roman" w:cs="Times New Roman" w:eastAsia="Times New Roman" w:hAnsi="Times New Roman"/>
          <w:sz w:val="18"/>
          <w:szCs w:val="18"/>
          <w:color w:val="auto"/>
        </w:rPr>
      </w:pPr>
    </w:p>
    <w:p>
      <w:pPr>
        <w:ind w:left="1620" w:right="799" w:firstLine="362"/>
        <w:spacing w:after="0" w:line="250" w:lineRule="auto"/>
        <w:tabs>
          <w:tab w:leader="none" w:pos="23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the cost of post-termination continued health benefits for a period of up to 12 months for our Chief Executive Officer and six months for each of our other named executive officers; and</w:t>
      </w:r>
    </w:p>
    <w:p>
      <w:pPr>
        <w:spacing w:after="0" w:line="96"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In order to receive severance benefits under the officer severance plan, a participant must timely execute and not revoke a release of claims in favor of us. In addition, the officer severance plan provides that, if any payment or benefits to a participant, including the payments and benefits under the officer severance plan, would constitute an “excess parachute payment” within the meaning of Section 280G of the Internal Revenue Code and would therefore be subject to an excise tax under Section 4999 of the Internal Revenue Code, then such payments and benefits (1) will be reduced to the extent necessary so that no amount is subject to the excise tax, or (2) not reduced, whichever, after taking into account all applicable federal, state and local employment and income taxes and the excise tax, results in the participant’s receipt, on an after-tax basis, of the greater payments and benefits.</w:t>
      </w:r>
    </w:p>
    <w:p>
      <w:pPr>
        <w:spacing w:after="0" w:line="124"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officer severance plan, “cause” means any of the following reasons (with any references to us interpreted to include any subsidiary or affiliate of ours):</w:t>
      </w:r>
    </w:p>
    <w:p>
      <w:pPr>
        <w:spacing w:after="0" w:line="54" w:lineRule="exact"/>
        <w:rPr>
          <w:sz w:val="20"/>
          <w:szCs w:val="20"/>
          <w:color w:val="auto"/>
        </w:rPr>
      </w:pPr>
    </w:p>
    <w:p>
      <w:pPr>
        <w:ind w:left="1800" w:right="899" w:hanging="178"/>
        <w:spacing w:after="0" w:line="261"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conduct by the participant constituting a material act of misconduct in connection with the performance of the participant’s duties, including, without limitation, misappropriation of funds or property of us or any of its subsidiaries or affiliates other than the occasional, customary and de minimis use of our property for personal purposes;</w:t>
      </w:r>
    </w:p>
    <w:p>
      <w:pPr>
        <w:spacing w:after="0" w:line="71"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conviction of, or plea of guilty or no contest to, any felony or any crime involving moral turpitude, deceit, dishonesty or fraud, or any conduct by the participant that would reasonably be expected to result in material injury or reputational harm to us or any of its subsidiaries and affiliates if the participant was retained in the participant’s position;</w:t>
      </w:r>
    </w:p>
    <w:p>
      <w:pPr>
        <w:spacing w:after="0" w:line="58" w:lineRule="exact"/>
        <w:rPr>
          <w:rFonts w:ascii="Times New Roman" w:cs="Times New Roman" w:eastAsia="Times New Roman" w:hAnsi="Times New Roman"/>
          <w:sz w:val="18"/>
          <w:szCs w:val="18"/>
          <w:color w:val="auto"/>
        </w:rPr>
      </w:pPr>
    </w:p>
    <w:p>
      <w:pPr>
        <w:ind w:left="1800" w:right="679" w:hanging="178"/>
        <w:spacing w:after="0" w:line="266"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non-performance by the participant of his or her duties to us (other than by reason of his or her physical or mental illness, incapacity or disability) which has continued for 30 days following written notice of such non-performance from us;</w:t>
      </w:r>
    </w:p>
    <w:p>
      <w:pPr>
        <w:spacing w:after="0" w:line="67" w:lineRule="exact"/>
        <w:rPr>
          <w:rFonts w:ascii="Times New Roman" w:cs="Times New Roman" w:eastAsia="Times New Roman" w:hAnsi="Times New Roman"/>
          <w:sz w:val="18"/>
          <w:szCs w:val="18"/>
          <w:color w:val="auto"/>
        </w:rPr>
      </w:pPr>
    </w:p>
    <w:p>
      <w:pPr>
        <w:ind w:left="1800" w:right="1239" w:hanging="178"/>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participant of any of the provisions contained in any confidentiality, invention assignment or similar agreement with us;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by the participant of our written employment policies; or</w:t>
      </w:r>
    </w:p>
    <w:p>
      <w:pPr>
        <w:spacing w:after="0" w:line="117" w:lineRule="exact"/>
        <w:rPr>
          <w:rFonts w:ascii="Times New Roman" w:cs="Times New Roman" w:eastAsia="Times New Roman" w:hAnsi="Times New Roman"/>
          <w:sz w:val="18"/>
          <w:szCs w:val="18"/>
          <w:color w:val="auto"/>
        </w:rPr>
      </w:pPr>
    </w:p>
    <w:p>
      <w:pPr>
        <w:ind w:left="1800" w:right="999" w:hanging="178"/>
        <w:spacing w:after="0" w:line="258"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failure to cooperate with a bona fide internal investigation or an investigation by regulatory or law enforcement authorities, after being instructed by us to cooperate, or the participant’s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16"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officer severance plan, “good reason” means the participant’s termination of his or her employment after the occurrence of one or more of the following events:</w:t>
      </w:r>
    </w:p>
    <w:p>
      <w:pPr>
        <w:spacing w:after="0" w:line="41" w:lineRule="exact"/>
        <w:rPr>
          <w:sz w:val="20"/>
          <w:szCs w:val="20"/>
          <w:color w:val="auto"/>
        </w:rPr>
      </w:pPr>
    </w:p>
    <w:p>
      <w:pPr>
        <w:ind w:left="1800" w:right="799" w:hanging="178"/>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responsibilities, authority or duties (other than a change in reporting relationship or title);</w:t>
      </w:r>
    </w:p>
    <w:p>
      <w:pPr>
        <w:spacing w:after="0" w:line="53"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participant’s base salary except for across-the-board salary reductions similarly affecting all or substantially all management employees;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99" w:hanging="178"/>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office at which the participant is principally employed to a location more than 35 miles from such office; or</w:t>
      </w:r>
    </w:p>
    <w:p>
      <w:pPr>
        <w:spacing w:after="0" w:line="53" w:lineRule="exact"/>
        <w:rPr>
          <w:rFonts w:ascii="Times New Roman" w:cs="Times New Roman" w:eastAsia="Times New Roman" w:hAnsi="Times New Roman"/>
          <w:sz w:val="18"/>
          <w:szCs w:val="18"/>
          <w:color w:val="auto"/>
        </w:rPr>
      </w:pPr>
    </w:p>
    <w:p>
      <w:pPr>
        <w:ind w:left="1800" w:right="1219" w:hanging="178"/>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successor to the Company to assume and agree to be bound by the terms and conditions of the officer severance plan.</w:t>
      </w:r>
    </w:p>
    <w:p>
      <w:pPr>
        <w:spacing w:after="0" w:line="8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order for the participant’s termination of his or her employment to be for good reason, the participant must reasonably determine in good faith that a “good reason” condition has occurred and not terminate his or her employment with us without first providing us with written notice of occurrence of the condition within 30 days of the occurrence of the condition and cooperating in good faith for a cure period of 30 days following the date of the written notice to remedy that condition. If the condition continues to exist following the expiration of the 30- day cure period, the participant must terminate his or her employment and provide written notice of such termination to us within 30 days after the end of that cure period.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Affirm Holdings, Inc. Amended and Restated 2012 Stock Plan</w:t>
      </w:r>
    </w:p>
    <w:p>
      <w:pPr>
        <w:spacing w:after="0" w:line="162"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Prior to the completion of this offering, our board of directors intends to amend and restate our Amended and Restated 2012 Stock Plan, as amended and restated February 13, 2020 (the “Pre-IPO Stock Plan”). We expect that our stockholders will approve the amendment and restatement of the Affirm Holdings, Inc. Amended and Restated 2012 Stock Plan (the “Post-IPO Stock Plan”) and that the Post-IPO Stock Plan will be effective on the business day immediately prior to the effective date of our registration statement related to this offering. Our Post- IPO Stock Plan will terminate ten years from the date such plan is adopted, unless terminated earlier by our board of directors. Our Post -IPO Stock Plan will allow for the grant of incentive stock options to employees, including the employees of any subsidiary, and for the grant of nonstatutory stock options, restricted stock awards, RSUs, and other equity- based or cash- based awards to employees, directors, and consultants, including employees and consultants of any parent, subsidiary, or affiliate.</w:t>
      </w:r>
    </w:p>
    <w:p>
      <w:pPr>
        <w:spacing w:after="0" w:line="289"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The maximum number of shares of our Class A common stock that may be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Post -IPO Stock Plan is 118,374,202. The maximum number of shares of our Class A common stock that may be issued on the exercise of incentive stock options under our Post- IPO Stock Plan is also 118,374,202. Shares subject to awards granted under our Post-IPO Stock Plan that expire, are forfeited, are retained by us in order to satisfy any exercise price or any tax withholding, are repurchased by the company at their original purchase price, or are settled in cash do not reduce the number of shares available for issuance under our Post-IPO Stock Plan. Further, shares of our Class A common stock covered by awards granted in connection with the assumption, replacement, conversion, or adjustment of outstanding equity-based awards in the context of a corporate acquisition or merger shall not reduce the number of shares available for issuance under our Post-IPO Stock Plan.</w:t>
      </w:r>
    </w:p>
    <w:p>
      <w:pPr>
        <w:spacing w:after="0" w:line="125"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addition, the number of shares of our Class A common stock reserved for issuance under our Post-IPO Stock Plan will automatically increase on the first day of each fiscal year, for a period of not more than ten years from the date the Post-IPO Stock Plan is approved by the stockholders of the Company, commencing on July 1, 2021 and ending on (and including) July 1, 2030, in an amount equal to five percent (5%) of the total number of shares of our capital stock outstanding on the last day of the calendar month prior to the date of such automatic increase. Notwithstanding the foregoing, our board of directors may act prior to the first day of a given fiscal year to provide that there will be no automatic increase, or that the increase for such year will be a lesser number of shares than would otherwise occur pursuant to the preceding sentence.</w:t>
      </w:r>
    </w:p>
    <w:p>
      <w:pPr>
        <w:spacing w:after="0" w:line="311" w:lineRule="exact"/>
        <w:rPr>
          <w:sz w:val="20"/>
          <w:szCs w:val="20"/>
          <w:color w:val="auto"/>
        </w:rPr>
      </w:pPr>
    </w:p>
    <w:p>
      <w:pPr>
        <w:jc w:val="both"/>
        <w:ind w:left="1260" w:right="6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r>
        <w:rPr>
          <w:rFonts w:ascii="Times New Roman" w:cs="Times New Roman" w:eastAsia="Times New Roman" w:hAnsi="Times New Roman"/>
          <w:sz w:val="18"/>
          <w:szCs w:val="18"/>
          <w:color w:val="auto"/>
        </w:rPr>
        <w:t>. The maximum number of shares of our Class A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subject to stock awards (and of cash subject to cash-based awards) granted under our Post-IPO Stock Plan or otherwise during a given year to any non-employee director, taken together with any cash fees paid by us to such non -employee director during such year for service on our board of directors, will not exceed $650,000 in total value; provided, however, that such maximum will instead be $ 1,000,000 for the first year in which a non-employee director serves on our board of directors (or the second year, if such non-employee director does not receive any awards under our Post-IPO Stock Plan during the first year).</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Our board of directors or its committee, acting as the plan administrator,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 our Post-IPO Stock Plan and the awards granted under it. The plan administrator may also delegate to any of our officers the authority to award options under our Post-IPO Stock Plan to employees (other than officers), and to otherwise administer our Post-IPO Stock Plan, within parameters specified by the plan administrator. Under our Post-IPO Stock Plan, the plan administrator has the authority to determine and amend the terms of awards and the applicable award agreements, including:</w:t>
      </w:r>
    </w:p>
    <w:p>
      <w:pPr>
        <w:spacing w:after="0" w:line="78" w:lineRule="exact"/>
        <w:rPr>
          <w:sz w:val="20"/>
          <w:szCs w:val="20"/>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employees, consultants or directors to receive such awards;</w:t>
      </w:r>
    </w:p>
    <w:p>
      <w:pPr>
        <w:spacing w:after="0" w:line="117" w:lineRule="exact"/>
        <w:rPr>
          <w:rFonts w:ascii="Times New Roman" w:cs="Times New Roman" w:eastAsia="Times New Roman" w:hAnsi="Times New Roman"/>
          <w:sz w:val="18"/>
          <w:szCs w:val="18"/>
          <w:color w:val="auto"/>
        </w:rPr>
      </w:pPr>
    </w:p>
    <w:p>
      <w:pPr>
        <w:ind w:left="1800" w:right="95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market value of shares of our Class A common stock underlying such awards and setting the exercise or purchase price of such awards, if any;</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number of shares or amount of cash subject to each such award;</w:t>
      </w:r>
    </w:p>
    <w:p>
      <w:pPr>
        <w:spacing w:after="0" w:line="130"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vesting conditions applicable to each such award, and providing for the acceleration of awards in its discretion;</w:t>
      </w:r>
    </w:p>
    <w:p>
      <w:pPr>
        <w:spacing w:after="0" w:line="53"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accrual of dividends or dividend equivalents on awards (provided that no payment in respect thereof may be made prior to the vesting of an award);</w:t>
      </w:r>
    </w:p>
    <w:p>
      <w:pPr>
        <w:spacing w:after="0" w:line="53"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all or a portion of an equity-based award should be settled in cash instead of in shares of our Class A common stock; and</w:t>
      </w:r>
    </w:p>
    <w:p>
      <w:pPr>
        <w:spacing w:after="0" w:line="67" w:lineRule="exact"/>
        <w:rPr>
          <w:rFonts w:ascii="Times New Roman" w:cs="Times New Roman" w:eastAsia="Times New Roman" w:hAnsi="Times New Roman"/>
          <w:sz w:val="18"/>
          <w:szCs w:val="18"/>
          <w:color w:val="auto"/>
        </w:rPr>
      </w:pPr>
    </w:p>
    <w:p>
      <w:pPr>
        <w:ind w:left="1800" w:right="819" w:hanging="178"/>
        <w:spacing w:after="0" w:line="261"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terms of outstanding awards, with the consent of any recipient whose rights would be materially and adversely affected by such amendment, including adjusting the vesting of an award, reducing the exercise price of a stock option, or canceling stock options in exchange for stock options with a lower exercise price, restricted stock awards, RSUs, cash, or other property.</w:t>
      </w:r>
    </w:p>
    <w:p>
      <w:pPr>
        <w:spacing w:after="0" w:line="95"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Incentive stock options and nonstatutory stock options are granted under stock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adopted by the plan administrator. The plan administrator determines the exercise price for stock options, within the terms and conditions of our Post-IPO Stock Plan, provided that the exercise price of a stock option generally cannot be less than 100% of the fair market value of our Class A common stock on the date of grant. Options granted under our Post-IPO Stock Plan vest based on vesting criteria specified in the stock option agreement as determined by the plan administrator.</w:t>
      </w:r>
    </w:p>
    <w:p>
      <w:pPr>
        <w:spacing w:after="0" w:line="115"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r>
        <w:rPr>
          <w:rFonts w:ascii="Times New Roman" w:cs="Times New Roman" w:eastAsia="Times New Roman" w:hAnsi="Times New Roman"/>
          <w:sz w:val="18"/>
          <w:szCs w:val="18"/>
          <w:color w:val="auto"/>
        </w:rPr>
        <w:t>. RSUs are granted under restricted stock unit award agreements adopted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plan administrator. An RSU may be settled by cash, delivery of stock, or a combination of cash and stock as deemed appropriate by the plan administrator. RSUs granted under our Post-IPO Stock Plan vest based on vesting criteria specified in the restricted stock unit award agreement as determined by the plan administrator. Additionally, dividend equivalents may be credited in respect of shares covered by an RSU at the discretion of the plan administrator.</w:t>
      </w:r>
    </w:p>
    <w:p>
      <w:pPr>
        <w:spacing w:after="0" w:line="101"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by the plan administrator. A restricted stock award may be awarded in consideration for services or may be offered by the plan administrator for purchase.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 (at the original purchase price).</w:t>
      </w:r>
    </w:p>
    <w:p>
      <w:pPr>
        <w:spacing w:after="0" w:line="115" w:lineRule="exact"/>
        <w:rPr>
          <w:sz w:val="20"/>
          <w:szCs w:val="20"/>
          <w:color w:val="auto"/>
        </w:rPr>
      </w:pPr>
    </w:p>
    <w:p>
      <w:pPr>
        <w:ind w:left="1260" w:right="7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Awards</w:t>
      </w:r>
      <w:r>
        <w:rPr>
          <w:rFonts w:ascii="Times New Roman" w:cs="Times New Roman" w:eastAsia="Times New Roman" w:hAnsi="Times New Roman"/>
          <w:sz w:val="18"/>
          <w:szCs w:val="18"/>
          <w:color w:val="auto"/>
        </w:rPr>
        <w:t>. The plan administrator may grant other cash-based, equity-based, or equity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The plan administrator will set the number of shares or the amount of cash under the award and all other terms and conditions of such awards. Such other awards granted under our Post-IPO Stock Plan vest based on vesting criteria specified in the award agreement as determined by the plan administrator.</w:t>
      </w:r>
    </w:p>
    <w:p>
      <w:pPr>
        <w:spacing w:after="0" w:line="109" w:lineRule="exact"/>
        <w:rPr>
          <w:sz w:val="20"/>
          <w:szCs w:val="20"/>
          <w:color w:val="auto"/>
        </w:rPr>
      </w:pPr>
    </w:p>
    <w:p>
      <w:pPr>
        <w:ind w:left="1260" w:right="939" w:firstLine="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a stock split, reverse stock split, or recapitalization, proportionate adjustments will be made to</w:t>
      </w:r>
    </w:p>
    <w:p>
      <w:pPr>
        <w:spacing w:after="0" w:line="1" w:lineRule="exact"/>
        <w:rPr>
          <w:sz w:val="20"/>
          <w:szCs w:val="20"/>
          <w:color w:val="auto"/>
        </w:rPr>
      </w:pPr>
    </w:p>
    <w:p>
      <w:pPr>
        <w:ind w:left="1260" w:right="719" w:firstLine="2"/>
        <w:spacing w:after="0" w:line="255" w:lineRule="auto"/>
        <w:tabs>
          <w:tab w:leader="none" w:pos="152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 of shares available for issuance under our Post-IPO Stock Plan (including pursuant to incentive stock options), and (2) the number and class of shares, and the exercise price, strike price, or repurchase price, if applicable, of all outstanding awards.</w:t>
      </w:r>
    </w:p>
    <w:p>
      <w:pPr>
        <w:sectPr>
          <w:pgSz w:w="11900" w:h="16838" w:orient="portrait"/>
          <w:cols w:equalWidth="0" w:num="1">
            <w:col w:w="10139"/>
          </w:cols>
          <w:pgMar w:left="320" w:top="114"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r>
        <w:rPr>
          <w:rFonts w:ascii="Times New Roman" w:cs="Times New Roman" w:eastAsia="Times New Roman" w:hAnsi="Times New Roman"/>
          <w:sz w:val="18"/>
          <w:szCs w:val="18"/>
          <w:color w:val="auto"/>
        </w:rPr>
        <w:t>. Our Post-IPO Stock Plan provides that in the event of certain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corporate transactions, generally including (1) a sale of all or substantially all of our assets, (2) a merger, consolidation, or other similar transaction of the company with or into another entity, (3) a person or group becoming the beneficial owner of more than 50% of our then outstanding voting power (subject to certain exclusions), or (4) a change in control, each outstanding award will be treated as the plan administrator determines. Such determination may, without limitation, provide for one or more of the following: (i) the assumption, continuation or substitution of such outstanding awards by the company, the surviving corporation, or its parent, (ii) the cancellation of such awards in exchange for a payment to the recipients equal to the excess of the fair market value of the shares subject to such awards over the exercise price of such awards (if any), or (iii) the opportunity for optionholders to exercise their options prior to the occurrence of the corporate transaction and the termination (for no consideration) upon the consummation of such corporate transaction of any options not exercised prior thereto. The plan administrator is not obligated to treat all awards (or portions thereof), even those that are of the same type, or all recipients, in the same manner and is not obligated to obtain the consent of any recipient to effectuate the treatment described above.</w:t>
      </w:r>
    </w:p>
    <w:p>
      <w:pPr>
        <w:spacing w:after="0" w:line="275"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color w:val="auto"/>
        </w:rPr>
        <w:t>. Under our Post-IPO Stock Plan, awards are generally not transferable (other than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or the laws of descent and distribution), except as otherwise provided under our Post-IPO Stock Plan or the applicable award agreements.</w:t>
      </w:r>
    </w:p>
    <w:p>
      <w:pPr>
        <w:spacing w:after="0" w:line="104"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Plan Amendment or Termination</w:t>
      </w:r>
      <w:r>
        <w:rPr>
          <w:rFonts w:ascii="Times New Roman" w:cs="Times New Roman" w:eastAsia="Times New Roman" w:hAnsi="Times New Roman"/>
          <w:sz w:val="18"/>
          <w:szCs w:val="18"/>
          <w:color w:val="auto"/>
        </w:rPr>
        <w:t>. Our board of directors has the authority to amend or terminate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Post-IPO Stock Plan, although certain material amendments would require the approval of our stockholders, and amendments that would materially and adversely affect the rights of any recipient would require the consent of such recipient with respect to his or her awards.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Affirm Holdings, Inc. 2020 Employee Stock Purchase Plan</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Prior to the completion of this offering, our board of directors intends to adopt, and we expect our stockholders will approve, the Affirm Holdings, Inc. 2020 Employee Stock Purchase Plan (“ESPP”). No awards may be granted under our ESPP prior to the completion of this offering. The ESPP permits our employees to contribute between one percent (1%) and twenty-five percent (25%) of base salary to purchase our shares at a discount. Our board of directors may at any time and for any reason terminate or amend the ESPP. The purpose of our ESPP is to facilitate our employees’ participation in the ownership and economic progress of Affirm by providing our employees with an opportunity to purchase shares of our common stock.</w:t>
      </w:r>
    </w:p>
    <w:p>
      <w:pPr>
        <w:spacing w:after="0" w:line="302"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Subject to adjustment, 6,389,958 shares of our Class A common stock are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sale under the ESPP.</w:t>
      </w:r>
    </w:p>
    <w:p>
      <w:pPr>
        <w:spacing w:after="0" w:line="90"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In addition, the number of shares of our Class A common stock reserved for issuance under our ESPP will automatically increase on the first day of each fiscal year, for a period of not more than ten years from the date the ESPP is approved by our stockholders, commencing on July 1, 2021, and ending on (and including) July 1, 2030, in an amount equal to the lesser of (i) one percent (1%) of the total number of shares of our capital stock outstanding on the last day of a given year; (ii) 18,000,000 shares of Class A common stock; and (iii) such lesser number of shares as determined by our board of directors at any time prior to the first day of a given year.</w:t>
      </w:r>
    </w:p>
    <w:p>
      <w:pPr>
        <w:spacing w:after="0" w:line="113" w:lineRule="exact"/>
        <w:rPr>
          <w:sz w:val="20"/>
          <w:szCs w:val="20"/>
          <w:color w:val="auto"/>
        </w:rPr>
      </w:pPr>
    </w:p>
    <w:p>
      <w:pPr>
        <w:ind w:left="1620"/>
        <w:spacing w:after="0"/>
        <w:tabs>
          <w:tab w:leader="none" w:pos="2860" w:val="left"/>
        </w:tabs>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board of directors or a committee of members of the board will administer the</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ESPP and will have full and exclusive authority to:</w:t>
      </w:r>
    </w:p>
    <w:p>
      <w:pPr>
        <w:spacing w:after="0" w:line="70" w:lineRule="exact"/>
        <w:rPr>
          <w:sz w:val="20"/>
          <w:szCs w:val="20"/>
          <w:color w:val="auto"/>
        </w:rPr>
      </w:pPr>
    </w:p>
    <w:p>
      <w:pPr>
        <w:ind w:left="1800" w:hanging="178"/>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apply the terms of the ESPP;</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 (subject to Section 423 of the Internal Revenue Code);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all disputed claims filed under the ESPP.</w:t>
      </w:r>
    </w:p>
    <w:p>
      <w:pPr>
        <w:spacing w:after="0" w:line="154"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Our employees who are employed on the first day of any offering period, may participate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ESPP, except that no employee will be eligible to participate in the ESPP if, immediately after the grant of an option to purchase shares under the ESPP, that employee would own 5% of the total combined voting power or value of all classes of our common stock. In addition, employees who are citizens or residents</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45" w:lineRule="auto"/>
        <w:rPr>
          <w:sz w:val="20"/>
          <w:szCs w:val="20"/>
          <w:color w:val="auto"/>
        </w:rPr>
      </w:pPr>
      <w:r>
        <w:rPr>
          <w:rFonts w:ascii="Times New Roman" w:cs="Times New Roman" w:eastAsia="Times New Roman" w:hAnsi="Times New Roman"/>
          <w:sz w:val="18"/>
          <w:szCs w:val="18"/>
          <w:color w:val="auto"/>
        </w:rPr>
        <w:t>of a foreign jurisdiction will be prohibited from participating in the ESPP if the grant of an option to such employees would be prohibited under the laws of such foreign jurisdiction or if compliance with the laws of such foreign jurisdiction would cause the ESPP to violate the requirements of Section 423 of the Internal Revenue Code.</w:t>
      </w:r>
    </w:p>
    <w:p>
      <w:pPr>
        <w:spacing w:after="0" w:line="96" w:lineRule="exact"/>
        <w:rPr>
          <w:sz w:val="20"/>
          <w:szCs w:val="20"/>
          <w:color w:val="auto"/>
        </w:rPr>
      </w:pPr>
    </w:p>
    <w:p>
      <w:pPr>
        <w:ind w:left="1260" w:right="7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Participation</w:t>
      </w:r>
      <w:r>
        <w:rPr>
          <w:rFonts w:ascii="Times New Roman" w:cs="Times New Roman" w:eastAsia="Times New Roman" w:hAnsi="Times New Roman"/>
          <w:sz w:val="18"/>
          <w:szCs w:val="18"/>
          <w:color w:val="auto"/>
        </w:rPr>
        <w:t>. In order to participate in the ESPP, an employee who is eligible at the beginning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period will authorize payroll deductions between one percent (1%) and twenty-five percent (25%) of base salary on an after-tax basis for each pay date during the offering period. A participant may not make any separate cash payment into his or her account, but may alter the amount of his or her payroll deductions during an offering period and may withdraw from participation.</w:t>
      </w:r>
    </w:p>
    <w:p>
      <w:pPr>
        <w:spacing w:after="0" w:line="117"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No participant may accrue options to purchase shares of our Class A common stock at a rate that exceeds $25,000 in fair market value of our Class A common stock (determined as of the first day of the offering period during which such rights are granted) for each year in which such rights are outstanding at any time.</w:t>
      </w:r>
    </w:p>
    <w:p>
      <w:pPr>
        <w:spacing w:after="0" w:line="318" w:lineRule="exact"/>
        <w:rPr>
          <w:sz w:val="20"/>
          <w:szCs w:val="20"/>
          <w:color w:val="auto"/>
        </w:rPr>
      </w:pPr>
    </w:p>
    <w:p>
      <w:pPr>
        <w:ind w:left="1260" w:right="839" w:firstLine="360"/>
        <w:spacing w:after="0" w:line="209" w:lineRule="exact"/>
        <w:rPr>
          <w:sz w:val="20"/>
          <w:szCs w:val="20"/>
          <w:color w:val="auto"/>
        </w:rPr>
      </w:pPr>
      <w:r>
        <w:rPr>
          <w:rFonts w:ascii="Times New Roman" w:cs="Times New Roman" w:eastAsia="Times New Roman" w:hAnsi="Times New Roman"/>
          <w:sz w:val="18"/>
          <w:szCs w:val="18"/>
          <w:b w:val="1"/>
          <w:bCs w:val="1"/>
          <w:i w:val="1"/>
          <w:iCs w:val="1"/>
          <w:color w:val="auto"/>
        </w:rPr>
        <w:t>Offering Periods</w:t>
      </w:r>
      <w:r>
        <w:rPr>
          <w:rFonts w:ascii="Times New Roman" w:cs="Times New Roman" w:eastAsia="Times New Roman" w:hAnsi="Times New Roman"/>
          <w:sz w:val="18"/>
          <w:szCs w:val="18"/>
          <w:color w:val="auto"/>
        </w:rPr>
        <w:t>. The ESPP provides for consecutive offering periods , which will commence at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and be of such duration not to exceed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 (27) months, as determined by the plan administrator prior to the start of the applicable offering period, with purchases being made on the last trading day of each offering period. The initial offering period under the ESPP will commence after the effective date of our registration statement related to this offering, on a date to be determined by the plan administrator.</w:t>
      </w:r>
    </w:p>
    <w:p>
      <w:pPr>
        <w:spacing w:after="0" w:line="306" w:lineRule="exact"/>
        <w:rPr>
          <w:sz w:val="20"/>
          <w:szCs w:val="20"/>
          <w:color w:val="auto"/>
        </w:rPr>
      </w:pPr>
    </w:p>
    <w:p>
      <w:pPr>
        <w:ind w:left="1260" w:right="89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Purchases</w:t>
      </w:r>
      <w:r>
        <w:rPr>
          <w:rFonts w:ascii="Times New Roman" w:cs="Times New Roman" w:eastAsia="Times New Roman" w:hAnsi="Times New Roman"/>
          <w:sz w:val="18"/>
          <w:szCs w:val="18"/>
          <w:color w:val="auto"/>
        </w:rPr>
        <w:t>. On the last day of an offering period, also referred to as the exercise date, a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payroll deductions are used to purchase shares of our Class A common stock. The maximum number of full shares subject to option shall be purchased for such participant at the applicable purchase price with the accumulated payroll deductions (and contributions) in his or her account.</w:t>
      </w:r>
    </w:p>
    <w:p>
      <w:pPr>
        <w:spacing w:after="0" w:line="114"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Participants are not entitled to any dividends or voting rights with respect to options to purchase shares of our Class A common stock under the ESPP. Shares received upon exercise of an option shall be entitled to receive dividends on the same basis as other outstanding shares of our Class A common stock.</w:t>
      </w:r>
    </w:p>
    <w:p>
      <w:pPr>
        <w:spacing w:after="0" w:line="105"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b w:val="1"/>
          <w:bCs w:val="1"/>
          <w:i w:val="1"/>
          <w:iCs w:val="1"/>
          <w:color w:val="auto"/>
        </w:rPr>
        <w:t>Withdrawal and Termination of Employment</w:t>
      </w:r>
      <w:r>
        <w:rPr>
          <w:rFonts w:ascii="Times New Roman" w:cs="Times New Roman" w:eastAsia="Times New Roman" w:hAnsi="Times New Roman"/>
          <w:sz w:val="18"/>
          <w:szCs w:val="18"/>
          <w:color w:val="auto"/>
        </w:rPr>
        <w:t>. A participant can withdraw all, but not less than all,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deductions and other contributions credited to his or her account for the applicable offering period by delivery of notice prior to the exercise date for such offering period. If a participant’s employment is terminated on or before the exercise date (including due to retirement or death), the participant will be deemed to have elected to withdraw from the ESPP, and the accumulated payroll deductions held in the participant’s account will be returned to the participant or his or her beneficiary (in the event of the participant’s death).</w:t>
      </w:r>
    </w:p>
    <w:p>
      <w:pPr>
        <w:spacing w:after="0" w:line="311"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Adjustments upon Changes in Capitalization and Certain Transactions</w:t>
      </w:r>
      <w:r>
        <w:rPr>
          <w:rFonts w:ascii="Times New Roman" w:cs="Times New Roman" w:eastAsia="Times New Roman" w:hAnsi="Times New Roman"/>
          <w:sz w:val="18"/>
          <w:szCs w:val="18"/>
          <w:color w:val="auto"/>
        </w:rPr>
        <w:t>. In the event of a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consolidation, recapitalization, dividend or distribution, stock split, reverse stock split, spin-off or other similar transaction, or other change in corporate structure affecting shares of our Class A common stock or their value, our board of directors, in its sole discretion, is authorized to take action to:</w:t>
      </w:r>
    </w:p>
    <w:p>
      <w:pPr>
        <w:spacing w:after="0" w:line="73" w:lineRule="exact"/>
        <w:rPr>
          <w:sz w:val="20"/>
          <w:szCs w:val="20"/>
          <w:color w:val="auto"/>
        </w:rPr>
      </w:pPr>
    </w:p>
    <w:p>
      <w:pPr>
        <w:ind w:left="1800" w:right="1059" w:hanging="178"/>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outstanding options in exchange for an amount of cash equal to the amount that would have been obtained if such options were currently exercisable;</w:t>
      </w:r>
    </w:p>
    <w:p>
      <w:pPr>
        <w:spacing w:after="0" w:line="53" w:lineRule="exact"/>
        <w:rPr>
          <w:rFonts w:ascii="Times New Roman" w:cs="Times New Roman" w:eastAsia="Times New Roman" w:hAnsi="Times New Roman"/>
          <w:sz w:val="18"/>
          <w:szCs w:val="18"/>
          <w:color w:val="auto"/>
        </w:rPr>
      </w:pPr>
    </w:p>
    <w:p>
      <w:pPr>
        <w:jc w:val="both"/>
        <w:ind w:left="1800" w:right="719" w:hanging="178"/>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outstanding options by a successor or survivor corporation (or a parent or subsidiary) or the substitution of similar rights covering such successor or survivor (or a parent or subsidiary);</w:t>
      </w:r>
    </w:p>
    <w:p>
      <w:pPr>
        <w:spacing w:after="0" w:line="54" w:lineRule="exact"/>
        <w:rPr>
          <w:rFonts w:ascii="Times New Roman" w:cs="Times New Roman" w:eastAsia="Times New Roman" w:hAnsi="Times New Roman"/>
          <w:sz w:val="18"/>
          <w:szCs w:val="18"/>
          <w:color w:val="auto"/>
        </w:rPr>
      </w:pPr>
    </w:p>
    <w:p>
      <w:pPr>
        <w:jc w:val="both"/>
        <w:ind w:left="1800" w:right="759" w:hanging="178"/>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adjustments to the number and type of common stock subject to outstanding options under the ESPP or to the terms and conditions of outstanding options and options which may be granted in the future; and/or</w:t>
      </w:r>
    </w:p>
    <w:p>
      <w:pPr>
        <w:spacing w:after="0" w:line="67" w:lineRule="exact"/>
        <w:rPr>
          <w:rFonts w:ascii="Times New Roman" w:cs="Times New Roman" w:eastAsia="Times New Roman" w:hAnsi="Times New Roman"/>
          <w:sz w:val="18"/>
          <w:szCs w:val="18"/>
          <w:color w:val="auto"/>
        </w:rPr>
      </w:pPr>
    </w:p>
    <w:p>
      <w:pPr>
        <w:ind w:left="1800" w:right="739" w:hanging="178"/>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offering period then in progress and set as the new exercise date the date immediately prior to the date of any transaction or event described above and provide for necessary procedures to effectuate such actions.</w:t>
      </w:r>
    </w:p>
    <w:p>
      <w:pPr>
        <w:spacing w:after="0" w:line="104" w:lineRule="exact"/>
        <w:rPr>
          <w:sz w:val="20"/>
          <w:szCs w:val="20"/>
          <w:color w:val="auto"/>
        </w:rPr>
      </w:pPr>
    </w:p>
    <w:p>
      <w:pPr>
        <w:ind w:left="1260" w:right="113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color w:val="auto"/>
        </w:rPr>
        <w:t>. Our board of directors may amend, alter, suspend, discontinue,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 the ESPP at any time and for any reason, except that our board of directors may not, without</w:t>
      </w:r>
    </w:p>
    <w:p>
      <w:pPr>
        <w:sectPr>
          <w:pgSz w:w="11900" w:h="16838" w:orient="portrait"/>
          <w:cols w:equalWidth="0" w:num="1">
            <w:col w:w="10139"/>
          </w:cols>
          <w:pgMar w:left="320" w:top="114" w:right="1440" w:bottom="1440" w:gutter="0" w:footer="0" w:header="0"/>
        </w:sectPr>
      </w:pP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stockholder approval, increase the maximum number of shares of Class A common stock that may be issued under the ESPP (except pursuant to or in connection with a change in capitalization or other transaction summarized above). Except as required to comply with Section 423 of the Internal Revenue Code, as required to obtain a favorable tax ruling from the Internal Revenue Service, or as specifically provided in the ESPP, no such amendment, alteration, suspension, discontinuation, or termination of the ESPP may be made to an outstanding option which adversely affects the rights of any participant without the consent of such participant.</w:t>
      </w:r>
    </w:p>
    <w:p>
      <w:pPr>
        <w:spacing w:after="0" w:line="307"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w:t>
      </w:r>
      <w:r>
        <w:rPr>
          <w:rFonts w:ascii="Times New Roman" w:cs="Times New Roman" w:eastAsia="Times New Roman" w:hAnsi="Times New Roman"/>
          <w:sz w:val="18"/>
          <w:szCs w:val="18"/>
          <w:color w:val="auto"/>
        </w:rPr>
        <w:t>. The ESPP and the options to purchase shares of our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granted to participants under the ESPP are intended to qualify under the provisions of Sections 421 and 423 of the Internal Revenue Code. Under these provisions, no income will be taxable to a participant until the shares purchased under the ESPP are sold or otherwise disposed of. Upon a sale or other disposition of the shares, the participant’s tax consequences will generally depend upon his or her holding period with respect to the shares. If the shares are sold or disposed of more than two years after the first day of the relevant offering period and one year after the date of acquisition of the shares, the participant will recognize ordinary income equal to the lesser of (1) an amount equal to 15% of the fair market value of the shares as of the date of option grant or (2) the excess of the fair market value of the shares at the time of such sale or disposition over the exercise price of the option. Any additional gain on such sale or disposition will be treated as long -term capital gain. We are generally not allowed a tax deduction for such ordinary income or capital gain.</w:t>
      </w:r>
    </w:p>
    <w:p>
      <w:pPr>
        <w:spacing w:after="0" w:line="306"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If shares are disposed of before the expiration of these holding periods, the difference between the fair market value of such shares at the time of purchase and the exercise price will be treated as income taxable to the participant at ordinary income rates in the year in which the sale or disposition occurs, and we will generally be entitled to a tax deduction in the same amount in such year.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62"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We maintain a tax- qualified 401(k) retirement plan for eligible U.S. employees. Under our 401(k) plan, employees may elect to defer up to all eligible compensation, subject to applicable annual Internal Revenue Code limits. We intend for our 401(k) plan to qualify under Section 401(a) and 501(a) of the Internal Revenue Code so that contributions by employees to our 401(k) plan, and income earned on those contributions, are not taxable to employees until withdrawn from our 401(k) plan.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Fiscal Year Ended June 30, 2020 Director Compensation Table</w:t>
      </w:r>
    </w:p>
    <w:p>
      <w:pPr>
        <w:spacing w:after="0" w:line="148"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directors for the fiscal year ended June 30, 2020, excluding the NEOs for whom we provided compensation disclosure in the Summary Compensation Table.</w:t>
      </w:r>
    </w:p>
    <w:p>
      <w:pPr>
        <w:spacing w:after="0" w:line="109"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Other than as set forth in the table, during the fiscal year ended June 30, 2020, we did not provide any other compensation to the non-employee members of our board of directors.</w:t>
      </w:r>
    </w:p>
    <w:p>
      <w:pPr>
        <w:spacing w:after="0" w:line="49"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21"/>
                <w:szCs w:val="21"/>
                <w:b w:val="1"/>
                <w:bCs w:val="1"/>
                <w:color w:val="auto"/>
                <w:vertAlign w:val="superscript"/>
              </w:rPr>
              <w:t>(1)(2)</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Liew</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Jeremy Philips</w:t>
            </w:r>
          </w:p>
        </w:tc>
        <w:tc>
          <w:tcPr>
            <w:tcW w:w="220" w:type="dxa"/>
            <w:vAlign w:val="bottom"/>
          </w:tcPr>
          <w:p>
            <w:pPr>
              <w:spacing w:after="0"/>
              <w:rPr>
                <w:sz w:val="22"/>
                <w:szCs w:val="22"/>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Christa Quarles</w:t>
            </w:r>
          </w:p>
        </w:tc>
        <w:tc>
          <w:tcPr>
            <w:tcW w:w="1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751,307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751,307</w:t>
            </w: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Keith Rabois</w:t>
            </w:r>
          </w:p>
        </w:tc>
        <w:tc>
          <w:tcPr>
            <w:tcW w:w="220" w:type="dxa"/>
            <w:vAlign w:val="bottom"/>
          </w:tcPr>
          <w:p>
            <w:pPr>
              <w:spacing w:after="0"/>
              <w:rPr>
                <w:sz w:val="22"/>
                <w:szCs w:val="22"/>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Brian Singerman</w:t>
            </w:r>
            <w:r>
              <w:rPr>
                <w:rFonts w:ascii="Times New Roman" w:cs="Times New Roman" w:eastAsia="Times New Roman" w:hAnsi="Times New Roman"/>
                <w:sz w:val="26"/>
                <w:szCs w:val="26"/>
                <w:color w:val="auto"/>
                <w:vertAlign w:val="superscript"/>
              </w:rPr>
              <w:t>(3)</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Joshua Kushner</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-1056640</wp:posOffset>
            </wp:positionV>
            <wp:extent cx="137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-1056640</wp:posOffset>
            </wp:positionV>
            <wp:extent cx="137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91440</wp:posOffset>
            </wp:positionV>
            <wp:extent cx="123444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8" w:lineRule="exact"/>
        <w:rPr>
          <w:sz w:val="20"/>
          <w:szCs w:val="20"/>
          <w:color w:val="auto"/>
        </w:rPr>
      </w:pPr>
    </w:p>
    <w:p>
      <w:pPr>
        <w:ind w:left="1620" w:right="699" w:hanging="358"/>
        <w:spacing w:after="0" w:line="261"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non-employee directors during the fiscal year ended June 30, 2020, calculated in accordance with FASB ASC Topic 718. The assumptions used in calculating the grant date fair value of the awards reported in this column are set forth in the notes to our consolidated financial statements included elsewhere in</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620" w:right="879"/>
        <w:spacing w:after="0" w:line="250" w:lineRule="auto"/>
        <w:rPr>
          <w:sz w:val="20"/>
          <w:szCs w:val="20"/>
          <w:color w:val="auto"/>
        </w:rPr>
      </w:pPr>
      <w:r>
        <w:rPr>
          <w:rFonts w:ascii="Times New Roman" w:cs="Times New Roman" w:eastAsia="Times New Roman" w:hAnsi="Times New Roman"/>
          <w:sz w:val="18"/>
          <w:szCs w:val="18"/>
          <w:color w:val="auto"/>
        </w:rPr>
        <w:t>this prospectus. The amounts reported in this column reflect the accounting cost for these awards and does not correspond to the actual economic value that may be received by the non-employee director upon the sale of any of the underlying shares of Class A common stock.</w:t>
      </w:r>
    </w:p>
    <w:p>
      <w:pPr>
        <w:spacing w:after="0" w:line="28" w:lineRule="exact"/>
        <w:rPr>
          <w:sz w:val="20"/>
          <w:szCs w:val="20"/>
          <w:color w:val="auto"/>
        </w:rPr>
      </w:pPr>
    </w:p>
    <w:p>
      <w:pPr>
        <w:ind w:left="1620" w:right="799" w:hanging="358"/>
        <w:spacing w:after="0" w:line="25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Ms. Quarles, no non-employee director held any outstanding stock options or stock awards as of June 30, 2020. In connection with the commencement of her service as a non-employee director in 2018, on October 15, 2019, the Company granted Ms. Quarles options to purchase an aggregate of 241,780 shares of Class A common stock. Those options vest monthly at the rate of 1/24 of the shares of our Class A common stock underlying the options following the December 31, 2018 vesting commencement date, subject to Ms. Quarles continued service as a director. All of those options remained outstanding as of June 30, 2020.</w:t>
      </w:r>
    </w:p>
    <w:p>
      <w:pPr>
        <w:spacing w:after="0" w:line="4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Singerman resigned from the board of directors on November 15, 2020.</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Kushner resigned from the board of directors on October 1, 2020.</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62"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In November 2020, our board of directors approved the following compensation for non-employee directors: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2"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Each person serving as a non-employee director at the time of such approval received an award of RSUs for Class A common stock having a value of $200,000 as determined in accordance with the Pre-IPO Stock Plan. Each such RSU grant will vest on the earlier of (i) the date of our next annual meeting of our stockholders (or the date immediately prior to our next annual meeting of our stockholders if the non-employee director’s service as a director ends at such meeting due to the director’s failure to be re-elected or the director not standing for re-election); or (ii) the first anniversary of the date of grant.</w:t>
      </w:r>
    </w:p>
    <w:p>
      <w:pPr>
        <w:spacing w:after="0" w:line="106"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Each new non-employee director who joins our board of directors will receive an initial grant of RSUs for Class A common stock having a value of $500,000 as determined in accordance with the Pre-IPO Stock Plan or the Post-IPO Stock Plan, as applicable on the date of grant. Each such initial RSU grant will vest annually over three years.</w:t>
      </w:r>
    </w:p>
    <w:p>
      <w:pPr>
        <w:spacing w:after="0" w:line="11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At each annual meeting of our stockholders, each person who is then a non-employee director will receive an award of RSUs for Class A common stock having a value of $200,000 as determined in accordance with the Post-IPO Stock Plan. Each such annual RSU grant will vest on the earlier of (i) the date of the following year’s annual meeting of our stockholders (or the date immediately prior to the next annual meeting of our stockholders if the non-employee director’s service as a director ends at such meeting due to the director’s failure to be re-elected or the director not standing for re-election); or (ii) the first anniversary of the date of grant.</w:t>
      </w:r>
    </w:p>
    <w:p>
      <w:pPr>
        <w:spacing w:after="0" w:line="33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All RSUs granted to non-employee directors as described above will vest in full immediately prior to, but conditioned upon, the consummation of a change in control.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4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In addition, each non-employee director is entitled to receive the following cash compensation for service on our board of directors and its committees:</w:t>
      </w:r>
    </w:p>
    <w:p>
      <w:pPr>
        <w:spacing w:after="0" w:line="54" w:lineRule="exact"/>
        <w:rPr>
          <w:sz w:val="20"/>
          <w:szCs w:val="20"/>
          <w:color w:val="auto"/>
        </w:rPr>
      </w:pPr>
    </w:p>
    <w:p>
      <w:pPr>
        <w:ind w:left="1800" w:right="799" w:hanging="178"/>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 annual cash retainer for service as a board member (which each non-employee may elect to receive in RSUs rather than in cash);</w:t>
      </w:r>
    </w:p>
    <w:p>
      <w:pPr>
        <w:spacing w:after="0" w:line="53" w:lineRule="exact"/>
        <w:rPr>
          <w:rFonts w:ascii="Times New Roman" w:cs="Times New Roman" w:eastAsia="Times New Roman" w:hAnsi="Times New Roman"/>
          <w:sz w:val="18"/>
          <w:szCs w:val="18"/>
          <w:color w:val="auto"/>
        </w:rPr>
      </w:pPr>
    </w:p>
    <w:p>
      <w:pPr>
        <w:jc w:val="both"/>
        <w:ind w:left="1800" w:right="979" w:hanging="178"/>
        <w:spacing w:after="0" w:line="275"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 annual cash retainer for service as a member of the audit committee and $25,000 annual cash retainer for service as chair of the audit committee (in lieu of the committee member service retainer);</w:t>
      </w:r>
    </w:p>
    <w:p>
      <w:pPr>
        <w:spacing w:after="0" w:line="281" w:lineRule="exact"/>
        <w:rPr>
          <w:rFonts w:ascii="Times New Roman" w:cs="Times New Roman" w:eastAsia="Times New Roman" w:hAnsi="Times New Roman"/>
          <w:sz w:val="18"/>
          <w:szCs w:val="18"/>
          <w:color w:val="auto"/>
        </w:rPr>
      </w:pPr>
    </w:p>
    <w:p>
      <w:pPr>
        <w:jc w:val="both"/>
        <w:ind w:left="1800" w:right="1019" w:hanging="178"/>
        <w:spacing w:after="0" w:line="266"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 annual cash retainer for service as a member of the compensation committee and $18,000 annual cash retainer for service as chair of the compensation committee (in lieu of the committee member service retainer); and</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0" w:name="page181"/>
    <w:bookmarkEnd w:id="18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899" w:hanging="178"/>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annual cash retainer for service as a member of the nominating and governance committee and $10,000 annual cash retainer for service as chair of the nominating and governance committee (in lieu of the committee member service retainer).</w:t>
      </w:r>
    </w:p>
    <w:p>
      <w:pPr>
        <w:spacing w:after="0" w:line="95"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annual cash compensation amounts are payable in equal quarterly installments in arrears following the end of each quarter in which the service occurred, pro-rated for any partial quarters.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will reimburse each non-employee director for ordinary, necessary, and reasonable out-of-pocket travel expenses to cover in-person attendance at and participation in meetings of our board of directors and any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48"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is a summary of transactions since June 30, 2017 in which we participated or will participate, in which:</w:t>
      </w:r>
    </w:p>
    <w:p>
      <w:pPr>
        <w:spacing w:after="0" w:line="68" w:lineRule="exact"/>
        <w:rPr>
          <w:sz w:val="20"/>
          <w:szCs w:val="20"/>
          <w:color w:val="auto"/>
        </w:rPr>
      </w:pPr>
    </w:p>
    <w:p>
      <w:pPr>
        <w:ind w:left="1800" w:hanging="178"/>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800" w:right="1039" w:hanging="178"/>
        <w:spacing w:after="0" w:line="26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(each, a “related person”), had or will have a direct or indirect material interest.</w:t>
      </w:r>
    </w:p>
    <w:p>
      <w:pPr>
        <w:spacing w:after="0" w:line="108"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Other than as described below under this section titled “Certain Relationships and Related Party Transactions,” since June 30, 2017, we have not entered into any transactions, nor are there any currently proposed transactions, between us and a related person where the amount involved exceeds, or would exceed, $120,000, and in which any related person had or will have a direct or indirect material interest. We believe the terms of the transactions described below were comparable to terms we could have obtained in arm’s-length dealings with unrelated third parties.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Series E Redeemable Convertible Preferred Stock Financing</w:t>
      </w:r>
    </w:p>
    <w:p>
      <w:pPr>
        <w:spacing w:after="0" w:line="162" w:lineRule="exact"/>
        <w:rPr>
          <w:sz w:val="20"/>
          <w:szCs w:val="20"/>
          <w:color w:val="auto"/>
        </w:rPr>
      </w:pPr>
    </w:p>
    <w:p>
      <w:pPr>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We sold an aggregate of 21,391,882 shares of our Series E redeemable convertible preferred stock, at a purchase price of $11.34 per share, for an aggregate purchase price of $242,596,777, pursuant to our Series E redeemable convertible preferred stock financing, which had its initial closing on December 6, 2017. The following table summarizes purchases of our Series E redeemable convertible preferred stock by our directors, executive officers, and holders of more than 5% of our capital stock and their affiliated entities.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803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Entities affiliated with Founders Fund</w:t>
      </w:r>
      <w:r>
        <w:rPr>
          <w:rFonts w:ascii="Times New Roman" w:cs="Times New Roman" w:eastAsia="Times New Roman" w:hAnsi="Times New Roman"/>
          <w:sz w:val="26"/>
          <w:szCs w:val="26"/>
          <w:color w:val="auto"/>
          <w:vertAlign w:val="superscript"/>
        </w:rPr>
        <w:t>(1)</w:t>
      </w:r>
    </w:p>
    <w:p>
      <w:pPr>
        <w:ind w:left="1620"/>
        <w:spacing w:after="0" w:line="216" w:lineRule="auto"/>
        <w:rPr>
          <w:sz w:val="20"/>
          <w:szCs w:val="20"/>
          <w:color w:val="auto"/>
        </w:rPr>
      </w:pPr>
      <w:r>
        <w:rPr>
          <w:rFonts w:ascii="Times New Roman" w:cs="Times New Roman" w:eastAsia="Times New Roman" w:hAnsi="Times New Roman"/>
          <w:sz w:val="18"/>
          <w:szCs w:val="18"/>
          <w:color w:val="auto"/>
        </w:rPr>
        <w:t>Entities affiliated with Lightspeed Venture Partners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Times New Roman" w:cs="Times New Roman" w:eastAsia="Times New Roman" w:hAnsi="Times New Roman"/>
          <w:sz w:val="18"/>
          <w:szCs w:val="18"/>
          <w:color w:val="auto"/>
        </w:rPr>
        <w:t>Max Levchin</w:t>
      </w:r>
      <w:r>
        <w:rPr>
          <w:rFonts w:ascii="Times New Roman" w:cs="Times New Roman" w:eastAsia="Times New Roman" w:hAnsi="Times New Roman"/>
          <w:sz w:val="26"/>
          <w:szCs w:val="26"/>
          <w:color w:val="auto"/>
          <w:vertAlign w:val="superscript"/>
        </w:rPr>
        <w:t>(3)</w:t>
      </w:r>
    </w:p>
    <w:p>
      <w:pPr>
        <w:ind w:left="1620"/>
        <w:spacing w:after="0" w:line="217" w:lineRule="auto"/>
        <w:rPr>
          <w:sz w:val="20"/>
          <w:szCs w:val="20"/>
          <w:color w:val="auto"/>
        </w:rPr>
      </w:pPr>
      <w:r>
        <w:rPr>
          <w:rFonts w:ascii="Times New Roman" w:cs="Times New Roman" w:eastAsia="Times New Roman" w:hAnsi="Times New Roman"/>
          <w:sz w:val="18"/>
          <w:szCs w:val="18"/>
          <w:color w:val="auto"/>
        </w:rPr>
        <w:t>Entities affiliated with Spark Capital</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6" w:lineRule="auto"/>
        <w:rPr>
          <w:sz w:val="20"/>
          <w:szCs w:val="20"/>
          <w:color w:val="auto"/>
        </w:rPr>
      </w:pPr>
      <w:r>
        <w:rPr>
          <w:rFonts w:ascii="Times New Roman" w:cs="Times New Roman" w:eastAsia="Times New Roman" w:hAnsi="Times New Roman"/>
          <w:sz w:val="18"/>
          <w:szCs w:val="18"/>
          <w:color w:val="auto"/>
        </w:rPr>
        <w:t>Entities affiliated with Jasmine Ventures</w:t>
      </w:r>
      <w:r>
        <w:rPr>
          <w:rFonts w:ascii="Times New Roman" w:cs="Times New Roman" w:eastAsia="Times New Roman" w:hAnsi="Times New Roman"/>
          <w:sz w:val="26"/>
          <w:szCs w:val="26"/>
          <w:color w:val="auto"/>
          <w:vertAlign w:val="superscript"/>
        </w:rPr>
        <w:t>(5)</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Entities affiliated with Khosla Ventures</w:t>
      </w:r>
      <w:r>
        <w:rPr>
          <w:rFonts w:ascii="Times New Roman" w:cs="Times New Roman" w:eastAsia="Times New Roman" w:hAnsi="Times New Roman"/>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123444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000" w:type="dxa"/>
            <w:vAlign w:val="bottom"/>
          </w:tcPr>
          <w:p>
            <w:pPr>
              <w:spacing w:after="0"/>
              <w:rPr>
                <w:sz w:val="14"/>
                <w:szCs w:val="14"/>
                <w:color w:val="auto"/>
              </w:rPr>
            </w:pPr>
          </w:p>
        </w:tc>
      </w:tr>
      <w:tr>
        <w:trPr>
          <w:trHeight w:val="162"/>
        </w:trPr>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Series E</w:t>
            </w:r>
          </w:p>
        </w:tc>
        <w:tc>
          <w:tcPr>
            <w:tcW w:w="1000" w:type="dxa"/>
            <w:vAlign w:val="bottom"/>
          </w:tcPr>
          <w:p>
            <w:pPr>
              <w:spacing w:after="0"/>
              <w:rPr>
                <w:sz w:val="14"/>
                <w:szCs w:val="14"/>
                <w:color w:val="auto"/>
              </w:rPr>
            </w:pPr>
          </w:p>
        </w:tc>
      </w:tr>
      <w:tr>
        <w:trPr>
          <w:trHeight w:val="162"/>
        </w:trPr>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r>
      <w:tr>
        <w:trPr>
          <w:trHeight w:val="190"/>
        </w:trPr>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23"/>
        </w:trPr>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1,058,145</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$ 11,999,999</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439,608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4,985,418</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401,111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4,548,839</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217,952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2,471,706</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13,226,812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149,999,984</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412,400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4,676,863</w:t>
            </w:r>
          </w:p>
        </w:tc>
      </w:tr>
    </w:tbl>
    <w:p>
      <w:pPr>
        <w:spacing w:after="0" w:line="230" w:lineRule="exact"/>
        <w:rPr>
          <w:sz w:val="20"/>
          <w:szCs w:val="20"/>
          <w:color w:val="auto"/>
        </w:rPr>
      </w:pPr>
    </w:p>
    <w:p>
      <w:pPr>
        <w:sectPr>
          <w:pgSz w:w="11900" w:h="16838" w:orient="portrait"/>
          <w:cols w:equalWidth="0" w:num="2">
            <w:col w:w="6220" w:space="720"/>
            <w:col w:w="3199"/>
          </w:cols>
          <w:pgMar w:left="320" w:top="114" w:right="1440" w:bottom="1440" w:gutter="0" w:footer="0" w:header="0"/>
          <w:type w:val="continuous"/>
        </w:sectPr>
      </w:pPr>
    </w:p>
    <w:p>
      <w:pPr>
        <w:spacing w:after="0" w:line="143" w:lineRule="exact"/>
        <w:rPr>
          <w:sz w:val="20"/>
          <w:szCs w:val="20"/>
          <w:color w:val="auto"/>
        </w:rPr>
      </w:pPr>
    </w:p>
    <w:p>
      <w:pPr>
        <w:ind w:left="1620" w:right="679" w:hanging="358"/>
        <w:spacing w:after="0" w:line="258"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Founders Fund V, LP, The Founders Fund V Principals Fund, LP, The Founders Fund V Entrepreneurs Fund, LP, The Founders Fund VI, LP, The Founders Fund VI Principals Fund, LP, and The Founders Fund VI Entrepreneurs Fund, LP. Brian Singerman, a former member of our board of directors, is a general partner at Founders Fund. Keith Rabois, a member of our board of directors, is a general partner at Founders Fund.</w:t>
      </w:r>
    </w:p>
    <w:p>
      <w:pPr>
        <w:spacing w:after="0" w:line="34" w:lineRule="exact"/>
        <w:rPr>
          <w:rFonts w:ascii="Times New Roman" w:cs="Times New Roman" w:eastAsia="Times New Roman" w:hAnsi="Times New Roman"/>
          <w:sz w:val="18"/>
          <w:szCs w:val="18"/>
          <w:color w:val="auto"/>
        </w:rPr>
      </w:pPr>
    </w:p>
    <w:p>
      <w:pPr>
        <w:ind w:left="1620" w:right="1379" w:hanging="358"/>
        <w:spacing w:after="0" w:line="282"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Lightspeed Venture Partners Select II, L.P. Jeremy Liew, a member of our board of directors, is a partner at Lightspeed Venture Partners.</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Levchin is our Chief Executive Officer and the Chairman of our board of directors.</w:t>
      </w:r>
    </w:p>
    <w:p>
      <w:pPr>
        <w:spacing w:after="0" w:line="90" w:lineRule="exact"/>
        <w:rPr>
          <w:rFonts w:ascii="Times New Roman" w:cs="Times New Roman" w:eastAsia="Times New Roman" w:hAnsi="Times New Roman"/>
          <w:sz w:val="18"/>
          <w:szCs w:val="18"/>
          <w:color w:val="auto"/>
        </w:rPr>
      </w:pPr>
    </w:p>
    <w:p>
      <w:pPr>
        <w:ind w:left="1620" w:right="899" w:hanging="358"/>
        <w:spacing w:after="0" w:line="282"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Spark Capital Growth Fund, L.P. and Spark Capital Growth Founders’ Fund, L.P. Jeremy Philips, a member of our board of directors, is a partner at Spark Capital.</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Jasmine Ventures Pte Ltd.</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Khosla Ventures IV, LP and Khosla Ventures IV (CF), LP.</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Series F Redeemable Convertible Preferred Stock Financing</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We sold an aggregate of 23,386,038 shares of our Series F redeemable convertible preferred stock, at a purchase price of $13.18 per share, for an aggregate purchase price of $308,300,478, pursuant to our Series F redeemable convertible preferred stock financing, which had its initial closing on March 22, 2019. The following table summarizes purchases of our Series F redeemable convertible preferred stock by holders of more than 5% of our capital stock and their affiliated entities. None of our executive officers purchased shares of Series F redeemable convertible preferred stock.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797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Entities affiliated with Founders Fund</w:t>
      </w:r>
      <w:r>
        <w:rPr>
          <w:rFonts w:ascii="Times New Roman" w:cs="Times New Roman" w:eastAsia="Times New Roman" w:hAnsi="Times New Roman"/>
          <w:sz w:val="26"/>
          <w:szCs w:val="26"/>
          <w:color w:val="auto"/>
          <w:vertAlign w:val="superscript"/>
        </w:rPr>
        <w:t>(1)</w:t>
      </w:r>
    </w:p>
    <w:p>
      <w:pPr>
        <w:ind w:left="1620"/>
        <w:spacing w:after="0" w:line="216" w:lineRule="auto"/>
        <w:rPr>
          <w:sz w:val="20"/>
          <w:szCs w:val="20"/>
          <w:color w:val="auto"/>
        </w:rPr>
      </w:pPr>
      <w:r>
        <w:rPr>
          <w:rFonts w:ascii="Times New Roman" w:cs="Times New Roman" w:eastAsia="Times New Roman" w:hAnsi="Times New Roman"/>
          <w:sz w:val="18"/>
          <w:szCs w:val="18"/>
          <w:color w:val="auto"/>
        </w:rPr>
        <w:t>Entities affiliated with Lightspeed Venture Partners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Times New Roman" w:cs="Times New Roman" w:eastAsia="Times New Roman" w:hAnsi="Times New Roman"/>
          <w:sz w:val="18"/>
          <w:szCs w:val="18"/>
          <w:color w:val="auto"/>
        </w:rPr>
        <w:t>Entities affiliated with Spark Capital</w:t>
      </w:r>
      <w:r>
        <w:rPr>
          <w:rFonts w:ascii="Times New Roman" w:cs="Times New Roman" w:eastAsia="Times New Roman" w:hAnsi="Times New Roman"/>
          <w:sz w:val="26"/>
          <w:szCs w:val="26"/>
          <w:color w:val="auto"/>
          <w:vertAlign w:val="superscript"/>
        </w:rPr>
        <w:t>(3)</w:t>
      </w:r>
    </w:p>
    <w:p>
      <w:pPr>
        <w:ind w:left="1620"/>
        <w:spacing w:after="0" w:line="217" w:lineRule="auto"/>
        <w:rPr>
          <w:sz w:val="20"/>
          <w:szCs w:val="20"/>
          <w:color w:val="auto"/>
        </w:rPr>
      </w:pPr>
      <w:r>
        <w:rPr>
          <w:rFonts w:ascii="Times New Roman" w:cs="Times New Roman" w:eastAsia="Times New Roman" w:hAnsi="Times New Roman"/>
          <w:sz w:val="18"/>
          <w:szCs w:val="18"/>
          <w:color w:val="auto"/>
        </w:rPr>
        <w:t>Entities affiliated with Jasmine Ventures</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Entities affiliated with Thrive Capital</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12344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920" w:type="dxa"/>
            <w:vAlign w:val="bottom"/>
          </w:tcPr>
          <w:p>
            <w:pPr>
              <w:spacing w:after="0"/>
              <w:rPr>
                <w:sz w:val="14"/>
                <w:szCs w:val="14"/>
                <w:color w:val="auto"/>
              </w:rPr>
            </w:pPr>
          </w:p>
        </w:tc>
      </w:tr>
      <w:tr>
        <w:trPr>
          <w:trHeight w:val="162"/>
        </w:trPr>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920" w:type="dxa"/>
            <w:vAlign w:val="bottom"/>
          </w:tcPr>
          <w:p>
            <w:pPr>
              <w:spacing w:after="0"/>
              <w:rPr>
                <w:sz w:val="14"/>
                <w:szCs w:val="14"/>
                <w:color w:val="auto"/>
              </w:rPr>
            </w:pPr>
          </w:p>
        </w:tc>
      </w:tr>
      <w:tr>
        <w:trPr>
          <w:trHeight w:val="162"/>
        </w:trPr>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Purchase</w:t>
            </w:r>
          </w:p>
        </w:tc>
      </w:tr>
      <w:tr>
        <w:trPr>
          <w:trHeight w:val="190"/>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3"/>
        </w:trPr>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3,778,319</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$49,809,957</w:t>
            </w:r>
          </w:p>
        </w:tc>
      </w:tr>
      <w:tr>
        <w:trPr>
          <w:trHeight w:val="270"/>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879,244</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11,591,162</w:t>
            </w:r>
          </w:p>
        </w:tc>
      </w:tr>
      <w:tr>
        <w:trPr>
          <w:trHeight w:val="270"/>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758,546</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9,999,988</w:t>
            </w:r>
          </w:p>
        </w:tc>
      </w:tr>
      <w:tr>
        <w:trPr>
          <w:trHeight w:val="270"/>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1,908,386</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25,158,443</w:t>
            </w:r>
          </w:p>
        </w:tc>
      </w:tr>
      <w:tr>
        <w:trPr>
          <w:trHeight w:val="270"/>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3,792,734</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49,999,992</w:t>
            </w:r>
          </w:p>
        </w:tc>
      </w:tr>
    </w:tbl>
    <w:p>
      <w:pPr>
        <w:spacing w:after="0" w:line="230" w:lineRule="exact"/>
        <w:rPr>
          <w:sz w:val="20"/>
          <w:szCs w:val="20"/>
          <w:color w:val="auto"/>
        </w:rPr>
      </w:pPr>
    </w:p>
    <w:p>
      <w:pPr>
        <w:sectPr>
          <w:pgSz w:w="11900" w:h="16838" w:orient="portrait"/>
          <w:cols w:equalWidth="0" w:num="2">
            <w:col w:w="6280" w:space="720"/>
            <w:col w:w="3139"/>
          </w:cols>
          <w:pgMar w:left="320" w:top="114" w:right="1440" w:bottom="1440" w:gutter="0" w:footer="0" w:header="0"/>
          <w:type w:val="continuous"/>
        </w:sectPr>
      </w:pPr>
    </w:p>
    <w:p>
      <w:pPr>
        <w:spacing w:after="0" w:line="116" w:lineRule="exact"/>
        <w:rPr>
          <w:sz w:val="20"/>
          <w:szCs w:val="20"/>
          <w:color w:val="auto"/>
        </w:rPr>
      </w:pPr>
    </w:p>
    <w:p>
      <w:pPr>
        <w:ind w:left="1620" w:right="819" w:hanging="358"/>
        <w:spacing w:after="0" w:line="261"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Founders Fund VI, LP, The Founders Fund VI Principals Fund, LP, and The Founders Fund VI Entrepreneurs Fund, LP. Brian Singerman, a former member of our board of directors, is a general partner at Founders Fund. Keith Rabois, a member of our board of directors, is a general partner at Founders Fund.</w:t>
      </w:r>
    </w:p>
    <w:p>
      <w:pPr>
        <w:spacing w:after="0" w:line="17" w:lineRule="exact"/>
        <w:rPr>
          <w:rFonts w:ascii="Times New Roman" w:cs="Times New Roman" w:eastAsia="Times New Roman" w:hAnsi="Times New Roman"/>
          <w:sz w:val="18"/>
          <w:szCs w:val="18"/>
          <w:color w:val="auto"/>
        </w:rPr>
      </w:pPr>
    </w:p>
    <w:p>
      <w:pPr>
        <w:ind w:left="1620" w:right="1199" w:hanging="358"/>
        <w:spacing w:after="0" w:line="266"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Lightspeed Venture Partners IX, L.P., Lightspeed Venture Partners Select, L.P., and Lightspeed Venture Partners Select II, L.P. Jeremy Liew, a member of our board of directors, is a partner at Lightspeed Venture Partners.</w:t>
      </w:r>
    </w:p>
    <w:p>
      <w:pPr>
        <w:spacing w:after="0" w:line="13" w:lineRule="exact"/>
        <w:rPr>
          <w:rFonts w:ascii="Times New Roman" w:cs="Times New Roman" w:eastAsia="Times New Roman" w:hAnsi="Times New Roman"/>
          <w:sz w:val="18"/>
          <w:szCs w:val="18"/>
          <w:color w:val="auto"/>
        </w:rPr>
      </w:pPr>
    </w:p>
    <w:p>
      <w:pPr>
        <w:ind w:left="1620" w:right="899" w:hanging="358"/>
        <w:spacing w:after="0" w:line="282"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Spark Capital Growth Fund, L.P. and Spark Capital Growth Founders’ Fund, L.P. Jeremy Philips, a member of our board of directors, is a partner at Spark Capital.</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Jasmine Ventures Pte Ltd.</w:t>
      </w:r>
    </w:p>
    <w:p>
      <w:pPr>
        <w:spacing w:after="0" w:line="63" w:lineRule="exact"/>
        <w:rPr>
          <w:rFonts w:ascii="Times New Roman" w:cs="Times New Roman" w:eastAsia="Times New Roman" w:hAnsi="Times New Roman"/>
          <w:sz w:val="18"/>
          <w:szCs w:val="18"/>
          <w:color w:val="auto"/>
        </w:rPr>
      </w:pPr>
    </w:p>
    <w:p>
      <w:pPr>
        <w:ind w:left="1620" w:right="1219" w:hanging="358"/>
        <w:spacing w:after="0" w:line="282"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Thrive Capital Partners V, L.P. and Claremount V Associates, L.P. Joshua Kushner, a former member of our board of directors, is the Managing Director of Thrive Capital.</w:t>
      </w:r>
    </w:p>
    <w:p>
      <w:pPr>
        <w:spacing w:after="0" w:line="1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Series G Redeemable Convertible Preferred Stock Financing</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Pursuant to our Series G redeemable convertible preferred stock financing, which had its initial closing on September 11, 2020, we sold an aggregate of 21,836,687 shares of our Series G redeemable convertible preferred stock, at a purchase price of $19.93 per share, for an aggregate purchase price of $435,124,376.36. In addition, the 2020 Notes with an aggregate principal amount plus accrued interest of $75,275,260 converted into 4,444,321 shares of our Series G-1 redeemable convertible preferred stock. The following table summarizes purchases of our Series G redeemable convertible preferred stock by holders of more than 5% of our capital stock and their affiliated entities.</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92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Series G</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G-1</w:t>
            </w:r>
          </w:p>
        </w:tc>
        <w:tc>
          <w:tcPr>
            <w:tcW w:w="92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Conversion of</w:t>
            </w:r>
          </w:p>
        </w:tc>
      </w:tr>
      <w:tr>
        <w:trPr>
          <w:trHeight w:val="190"/>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Indebtedness</w:t>
            </w:r>
          </w:p>
        </w:tc>
      </w:tr>
      <w:tr>
        <w:trPr>
          <w:trHeight w:val="23"/>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Entities affiliated with Founders Fund</w:t>
            </w:r>
            <w:r>
              <w:rPr>
                <w:rFonts w:ascii="Times New Roman" w:cs="Times New Roman" w:eastAsia="Times New Roman" w:hAnsi="Times New Roman"/>
                <w:sz w:val="26"/>
                <w:szCs w:val="26"/>
                <w:color w:val="auto"/>
                <w:vertAlign w:val="superscript"/>
              </w:rPr>
              <w:t>(1)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1,242,201</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$24,752,470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130,369</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$ 2,208,137</w:t>
            </w:r>
          </w:p>
        </w:tc>
      </w:tr>
      <w:tr>
        <w:trPr>
          <w:trHeight w:val="21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Lightspeed Venture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69"/>
        </w:trPr>
        <w:tc>
          <w:tcPr>
            <w:tcW w:w="402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Partners</w:t>
            </w:r>
            <w:r>
              <w:rPr>
                <w:rFonts w:ascii="Times New Roman" w:cs="Times New Roman" w:eastAsia="Times New Roman" w:hAnsi="Times New Roman"/>
                <w:sz w:val="26"/>
                <w:szCs w:val="26"/>
                <w:color w:val="auto"/>
                <w:vertAlign w:val="superscript"/>
              </w:rPr>
              <w:t>(2)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2,509,246</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49,999,989</w:t>
            </w:r>
          </w:p>
        </w:tc>
        <w:tc>
          <w:tcPr>
            <w:tcW w:w="120" w:type="dxa"/>
            <w:vAlign w:val="bottom"/>
          </w:tcPr>
          <w:p>
            <w:pPr>
              <w:spacing w:after="0"/>
              <w:rPr>
                <w:sz w:val="23"/>
                <w:szCs w:val="23"/>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539,260</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9,133,658</w:t>
            </w:r>
          </w:p>
        </w:tc>
      </w:tr>
      <w:tr>
        <w:trPr>
          <w:trHeight w:val="256"/>
        </w:trPr>
        <w:tc>
          <w:tcPr>
            <w:tcW w:w="4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Max Levchin</w:t>
            </w:r>
            <w:r>
              <w:rPr>
                <w:rFonts w:ascii="Times New Roman" w:cs="Times New Roman" w:eastAsia="Times New Roman" w:hAnsi="Times New Roman"/>
                <w:sz w:val="26"/>
                <w:szCs w:val="26"/>
                <w:color w:val="auto"/>
                <w:vertAlign w:val="superscript"/>
              </w:rPr>
              <w:t>(3)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177,778</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3,011,096</w:t>
            </w:r>
          </w:p>
        </w:tc>
      </w:tr>
      <w:tr>
        <w:trPr>
          <w:trHeight w:val="256"/>
        </w:trPr>
        <w:tc>
          <w:tcPr>
            <w:tcW w:w="4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Spark Capital</w:t>
            </w:r>
            <w:r>
              <w:rPr>
                <w:rFonts w:ascii="Times New Roman" w:cs="Times New Roman" w:eastAsia="Times New Roman" w:hAnsi="Times New Roman"/>
                <w:sz w:val="26"/>
                <w:szCs w:val="26"/>
                <w:color w:val="auto"/>
                <w:vertAlign w:val="superscript"/>
              </w:rPr>
              <w:t>(4)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978,606</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19,499,997</w:t>
            </w:r>
          </w:p>
        </w:tc>
        <w:tc>
          <w:tcPr>
            <w:tcW w:w="120" w:type="dxa"/>
            <w:vAlign w:val="bottom"/>
          </w:tcPr>
          <w:p>
            <w:pPr>
              <w:spacing w:after="0"/>
              <w:rPr>
                <w:sz w:val="22"/>
                <w:szCs w:val="22"/>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29,629</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501,849</w:t>
            </w:r>
          </w:p>
        </w:tc>
      </w:tr>
      <w:tr>
        <w:trPr>
          <w:trHeight w:val="256"/>
        </w:trPr>
        <w:tc>
          <w:tcPr>
            <w:tcW w:w="4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Jasmine Ventures</w:t>
            </w:r>
            <w:r>
              <w:rPr>
                <w:rFonts w:ascii="Times New Roman" w:cs="Times New Roman" w:eastAsia="Times New Roman" w:hAnsi="Times New Roman"/>
                <w:sz w:val="26"/>
                <w:szCs w:val="26"/>
                <w:color w:val="auto"/>
                <w:vertAlign w:val="superscript"/>
              </w:rPr>
              <w:t>(5)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3,763,869</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74,999,983</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639,879</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10,837,874</w:t>
            </w:r>
          </w:p>
        </w:tc>
      </w:tr>
      <w:tr>
        <w:trPr>
          <w:trHeight w:val="369"/>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Thrive Capital</w:t>
            </w:r>
            <w:r>
              <w:rPr>
                <w:rFonts w:ascii="Times New Roman" w:cs="Times New Roman" w:eastAsia="Times New Roman" w:hAnsi="Times New Roman"/>
                <w:sz w:val="26"/>
                <w:szCs w:val="26"/>
                <w:color w:val="auto"/>
                <w:vertAlign w:val="superscript"/>
              </w:rPr>
              <w:t>(6)</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142,218</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-1202055</wp:posOffset>
            </wp:positionV>
            <wp:extent cx="857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-1202055</wp:posOffset>
            </wp:positionV>
            <wp:extent cx="857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-1202055</wp:posOffset>
            </wp:positionV>
            <wp:extent cx="857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-1202055</wp:posOffset>
            </wp:positionV>
            <wp:extent cx="857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p>
      <w:pPr>
        <w:spacing w:after="0" w:line="2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540385</wp:posOffset>
            </wp:positionV>
            <wp:extent cx="123444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759" w:hanging="358"/>
        <w:spacing w:after="0" w:line="266"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Founders Fund Growth, LP, and the Founders Fund Growth Principals Fund, LP. Brian Singerman, a former member of our board of directors, is a general partner at Founders Fund. Keith Rabois, a member of our board of directors, is a general partner at Founders Fund.</w:t>
      </w:r>
    </w:p>
    <w:p>
      <w:pPr>
        <w:spacing w:after="0" w:line="13" w:lineRule="exact"/>
        <w:rPr>
          <w:rFonts w:ascii="Times New Roman" w:cs="Times New Roman" w:eastAsia="Times New Roman" w:hAnsi="Times New Roman"/>
          <w:sz w:val="18"/>
          <w:szCs w:val="18"/>
          <w:color w:val="auto"/>
        </w:rPr>
      </w:pPr>
    </w:p>
    <w:p>
      <w:pPr>
        <w:ind w:left="1620" w:right="679" w:hanging="358"/>
        <w:spacing w:after="0" w:line="266"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Lightspeed Opportunity Fund, L.P., Lightspeed Venture Partners IX, L.P., Lightspeed Venture Partners Select, L.P., and Lightspeed Venture Partners Select II, L.P. Jeremy Liew, a member of our board of directors, is a partner at Lightspeed Venture Partners.</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Levchin is our Chief Executive Officer and the Chairman of our board of directors.</w:t>
      </w:r>
    </w:p>
    <w:p>
      <w:pPr>
        <w:spacing w:after="0" w:line="63" w:lineRule="exact"/>
        <w:rPr>
          <w:rFonts w:ascii="Times New Roman" w:cs="Times New Roman" w:eastAsia="Times New Roman" w:hAnsi="Times New Roman"/>
          <w:sz w:val="18"/>
          <w:szCs w:val="18"/>
          <w:color w:val="auto"/>
        </w:rPr>
      </w:pPr>
    </w:p>
    <w:p>
      <w:pPr>
        <w:ind w:left="1620" w:right="1019" w:hanging="358"/>
        <w:spacing w:after="0" w:line="281"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Spark Capital Growth Fund III, L.P. and Spark Capital Growth Founders’ Fund III, L.P. Jeremy Philips, a member of our board of directors, is a partner at Spark Capital.</w:t>
      </w:r>
    </w:p>
    <w:p>
      <w:pPr>
        <w:spacing w:after="0" w:line="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Jasmine Ventures Pte Ltd.</w:t>
      </w:r>
    </w:p>
    <w:p>
      <w:pPr>
        <w:spacing w:after="0" w:line="63" w:lineRule="exact"/>
        <w:rPr>
          <w:rFonts w:ascii="Times New Roman" w:cs="Times New Roman" w:eastAsia="Times New Roman" w:hAnsi="Times New Roman"/>
          <w:sz w:val="18"/>
          <w:szCs w:val="18"/>
          <w:color w:val="auto"/>
        </w:rPr>
      </w:pPr>
    </w:p>
    <w:p>
      <w:pPr>
        <w:ind w:left="1620" w:right="1219" w:hanging="358"/>
        <w:spacing w:after="0" w:line="282"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Thrive Capital Partners V, L.P. and Claremount V Associates, L.P. Joshua Kushner, a former member of our board of directors, is the Managing Director of Thrive Capital.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Financing</w:t>
      </w:r>
    </w:p>
    <w:p>
      <w:pPr>
        <w:spacing w:after="0" w:line="162"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We issued convertible notes pursuant to a Note Purchase Agreement, dated April 29, 2020, with an aggregate total amount raised of $75,000,000 (the “2020 Notes”). As described above, on September 11, 2020, as part of our Series G equity financing round, the 2020 Notes were fully converted into 4,444,321 shares of Series G- 1 preferred stock. The following table summarizes the convertible notes previously held by holders of more than 5% of our capital stock and their affiliated entities.</w:t>
      </w:r>
    </w:p>
    <w:p>
      <w:pPr>
        <w:sectPr>
          <w:pgSz w:w="11900" w:h="16838" w:orient="portrait"/>
          <w:cols w:equalWidth="0" w:num="1">
            <w:col w:w="10139"/>
          </w:cols>
          <w:pgMar w:left="320" w:top="114" w:right="1440" w:bottom="1440" w:gutter="0" w:footer="0" w:header="0"/>
        </w:sectPr>
      </w:pPr>
    </w:p>
    <w:p>
      <w:pPr>
        <w:spacing w:after="0" w:line="3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797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Entities affiliated with Founders Fund</w:t>
      </w:r>
      <w:r>
        <w:rPr>
          <w:rFonts w:ascii="Times New Roman" w:cs="Times New Roman" w:eastAsia="Times New Roman" w:hAnsi="Times New Roman"/>
          <w:sz w:val="26"/>
          <w:szCs w:val="26"/>
          <w:color w:val="auto"/>
          <w:vertAlign w:val="superscript"/>
        </w:rPr>
        <w:t>(1)</w:t>
      </w:r>
    </w:p>
    <w:p>
      <w:pPr>
        <w:ind w:left="1620"/>
        <w:spacing w:after="0" w:line="216" w:lineRule="auto"/>
        <w:rPr>
          <w:sz w:val="20"/>
          <w:szCs w:val="20"/>
          <w:color w:val="auto"/>
        </w:rPr>
      </w:pPr>
      <w:r>
        <w:rPr>
          <w:rFonts w:ascii="Times New Roman" w:cs="Times New Roman" w:eastAsia="Times New Roman" w:hAnsi="Times New Roman"/>
          <w:sz w:val="18"/>
          <w:szCs w:val="18"/>
          <w:color w:val="auto"/>
        </w:rPr>
        <w:t>Entities affiliated with Lightspeed Venture Partners</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7" w:lineRule="auto"/>
        <w:rPr>
          <w:sz w:val="20"/>
          <w:szCs w:val="20"/>
          <w:color w:val="auto"/>
        </w:rPr>
      </w:pPr>
      <w:r>
        <w:rPr>
          <w:rFonts w:ascii="Times New Roman" w:cs="Times New Roman" w:eastAsia="Times New Roman" w:hAnsi="Times New Roman"/>
          <w:sz w:val="18"/>
          <w:szCs w:val="18"/>
          <w:color w:val="auto"/>
        </w:rPr>
        <w:t>Max Levchin</w:t>
      </w:r>
      <w:r>
        <w:rPr>
          <w:rFonts w:ascii="Times New Roman" w:cs="Times New Roman" w:eastAsia="Times New Roman" w:hAnsi="Times New Roman"/>
          <w:sz w:val="26"/>
          <w:szCs w:val="26"/>
          <w:color w:val="auto"/>
          <w:vertAlign w:val="superscript"/>
        </w:rPr>
        <w:t>(3)</w:t>
      </w:r>
    </w:p>
    <w:p>
      <w:pPr>
        <w:ind w:left="1620"/>
        <w:spacing w:after="0" w:line="217" w:lineRule="auto"/>
        <w:rPr>
          <w:sz w:val="20"/>
          <w:szCs w:val="20"/>
          <w:color w:val="auto"/>
        </w:rPr>
      </w:pPr>
      <w:r>
        <w:rPr>
          <w:rFonts w:ascii="Times New Roman" w:cs="Times New Roman" w:eastAsia="Times New Roman" w:hAnsi="Times New Roman"/>
          <w:sz w:val="18"/>
          <w:szCs w:val="18"/>
          <w:color w:val="auto"/>
        </w:rPr>
        <w:t>Entities affiliated with Spark Capital</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line="216" w:lineRule="auto"/>
        <w:rPr>
          <w:sz w:val="20"/>
          <w:szCs w:val="20"/>
          <w:color w:val="auto"/>
        </w:rPr>
      </w:pPr>
      <w:r>
        <w:rPr>
          <w:rFonts w:ascii="Times New Roman" w:cs="Times New Roman" w:eastAsia="Times New Roman" w:hAnsi="Times New Roman"/>
          <w:sz w:val="18"/>
          <w:szCs w:val="18"/>
          <w:color w:val="auto"/>
        </w:rPr>
        <w:t>Entities affiliated with Jasmine Ventures</w:t>
      </w:r>
      <w:r>
        <w:rPr>
          <w:rFonts w:ascii="Times New Roman" w:cs="Times New Roman" w:eastAsia="Times New Roman" w:hAnsi="Times New Roman"/>
          <w:sz w:val="26"/>
          <w:szCs w:val="26"/>
          <w:color w:val="auto"/>
          <w:vertAlign w:val="superscript"/>
        </w:rPr>
        <w:t>(5)</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Entities affiliated with Thrive Capital</w:t>
      </w:r>
      <w:r>
        <w:rPr>
          <w:rFonts w:ascii="Times New Roman" w:cs="Times New Roman" w:eastAsia="Times New Roman" w:hAnsi="Times New Roman"/>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123444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3"/>
          <w:szCs w:val="13"/>
          <w:b w:val="1"/>
          <w:bCs w:val="1"/>
          <w:color w:val="auto"/>
        </w:rPr>
        <w:t>Aggregate Principal Amount of</w:t>
      </w:r>
    </w:p>
    <w:p>
      <w:pPr>
        <w:spacing w:after="0" w:line="3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4"/>
          <w:szCs w:val="14"/>
          <w:b w:val="1"/>
          <w:bCs w:val="1"/>
          <w:color w:val="auto"/>
        </w:rPr>
        <w:t>Convertible Note</w:t>
      </w:r>
    </w:p>
    <w:p>
      <w:pPr>
        <w:spacing w:after="0" w:line="84" w:lineRule="exact"/>
        <w:rPr>
          <w:sz w:val="20"/>
          <w:szCs w:val="20"/>
          <w:color w:val="auto"/>
        </w:rPr>
      </w:pPr>
    </w:p>
    <w:p>
      <w:pPr>
        <w:ind w:left="660" w:hanging="179"/>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9,100,000</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w:t>
      </w:r>
    </w:p>
    <w:p>
      <w:pPr>
        <w:spacing w:after="0" w:line="6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w:t>
      </w:r>
    </w:p>
    <w:p>
      <w:pPr>
        <w:spacing w:after="0" w:line="63"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10,800,000</w:t>
      </w:r>
    </w:p>
    <w:p>
      <w:pPr>
        <w:spacing w:after="0" w:line="63"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2,400,000</w:t>
      </w:r>
    </w:p>
    <w:p>
      <w:pPr>
        <w:spacing w:after="0" w:line="257" w:lineRule="exact"/>
        <w:rPr>
          <w:sz w:val="20"/>
          <w:szCs w:val="20"/>
          <w:color w:val="auto"/>
        </w:rPr>
      </w:pPr>
    </w:p>
    <w:p>
      <w:pPr>
        <w:sectPr>
          <w:pgSz w:w="11900" w:h="16838" w:orient="portrait"/>
          <w:cols w:equalWidth="0" w:num="2">
            <w:col w:w="6500" w:space="720"/>
            <w:col w:w="2919"/>
          </w:cols>
          <w:pgMar w:left="320" w:top="114" w:right="1440" w:bottom="1440" w:gutter="0" w:footer="0" w:header="0"/>
          <w:type w:val="continuous"/>
        </w:sectPr>
      </w:pPr>
    </w:p>
    <w:p>
      <w:pPr>
        <w:spacing w:after="0" w:line="116" w:lineRule="exact"/>
        <w:rPr>
          <w:sz w:val="20"/>
          <w:szCs w:val="20"/>
          <w:color w:val="auto"/>
        </w:rPr>
      </w:pPr>
    </w:p>
    <w:p>
      <w:pPr>
        <w:ind w:left="1620" w:right="819" w:hanging="358"/>
        <w:spacing w:after="0" w:line="261"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Founders Fund VI, LP, The Founders Fund VI Principals Fund, LP, and The Founders Fund VI Entrepreneurs Fund, LP. Brian Singerman, a former member of our board of directors, is a general partner at Founders Fund. Keith Rabois, a member of our board of directors, is a general partner at Founders Fund.</w:t>
      </w:r>
    </w:p>
    <w:p>
      <w:pPr>
        <w:spacing w:after="0" w:line="17" w:lineRule="exact"/>
        <w:rPr>
          <w:rFonts w:ascii="Times New Roman" w:cs="Times New Roman" w:eastAsia="Times New Roman" w:hAnsi="Times New Roman"/>
          <w:sz w:val="18"/>
          <w:szCs w:val="18"/>
          <w:color w:val="auto"/>
        </w:rPr>
      </w:pPr>
    </w:p>
    <w:p>
      <w:pPr>
        <w:ind w:left="1620" w:right="1199" w:hanging="358"/>
        <w:spacing w:after="0" w:line="266"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Lightspeed Venture Partners IX, L.P., Lightspeed Venture Partners Select, L.P., and Lightspeed Venture Partners Select II, L.P. Jeremy Liew, a member of our board of directors, is a partner at Lightspeed Venture Partners.</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Levchin is our Chief Executive Officer and the Chairman of our board of directors.</w:t>
      </w:r>
    </w:p>
    <w:p>
      <w:pPr>
        <w:spacing w:after="0" w:line="63" w:lineRule="exact"/>
        <w:rPr>
          <w:rFonts w:ascii="Times New Roman" w:cs="Times New Roman" w:eastAsia="Times New Roman" w:hAnsi="Times New Roman"/>
          <w:sz w:val="18"/>
          <w:szCs w:val="18"/>
          <w:color w:val="auto"/>
        </w:rPr>
      </w:pPr>
    </w:p>
    <w:p>
      <w:pPr>
        <w:ind w:left="1620" w:right="899" w:hanging="358"/>
        <w:spacing w:after="0" w:line="281"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Spark Capital Growth Fund, L.P. and Spark Capital Growth Founders’ Fund, L.P. Jeremy Philips, a member of our board of directors, is a partner at Spark Capital.</w:t>
      </w:r>
    </w:p>
    <w:p>
      <w:pPr>
        <w:spacing w:after="0" w:line="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Jasmine Ventures Pte Ltd.</w:t>
      </w:r>
    </w:p>
    <w:p>
      <w:pPr>
        <w:spacing w:after="0" w:line="63" w:lineRule="exact"/>
        <w:rPr>
          <w:rFonts w:ascii="Times New Roman" w:cs="Times New Roman" w:eastAsia="Times New Roman" w:hAnsi="Times New Roman"/>
          <w:sz w:val="18"/>
          <w:szCs w:val="18"/>
          <w:color w:val="auto"/>
        </w:rPr>
      </w:pPr>
    </w:p>
    <w:p>
      <w:pPr>
        <w:ind w:left="1620" w:right="1219" w:hanging="358"/>
        <w:spacing w:after="0" w:line="282"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Thrive Capital Partners V, L.P. and Claremount V Associates, L.P. Joshua Kushner, a former member of our board of directors, is the Managing Director of Thrive Capital.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Agreements with Shopify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Customer Installment Agreement</w:t>
      </w:r>
    </w:p>
    <w:p>
      <w:pPr>
        <w:spacing w:after="0" w:line="16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On July 16, 2020, we entered into a customer installment program agreement with Shopify which made our platform available to eligible Shopify merchants in the U.S. through Shopify’s Shop Pay Installments. For a description of the customer installment program agreement see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 — Material Agreements — Shopify</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14" w:right="1440" w:bottom="1440" w:gutter="0" w:footer="0" w:header="0"/>
          <w:type w:val="continuous"/>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w:t>
      </w:r>
    </w:p>
    <w:p>
      <w:pPr>
        <w:spacing w:after="0" w:line="148"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On July 16, 2020, we entered into a warrant agreement (the “Original Warrant”) with Shopify pursuant to which we issued a warrant to purchase up to an aggregate of 20,297,595 shares of our existing common stock at a price of $0.01 per share expiring upon the earliest of (i) July 16, 2030, (ii) the occurrence of certain liquidation transactions and (iii) immediately prior to the completion of this offering. The Original Warrant was issued in connection with the customer installment agreement with Shopify, and 25% of the shares issuable under the Original Warrant were vested and became exercisable upon the entry into the customer installment agreement on July 16, 2020. The remaining 75% of the shares issuable under the Original Warrant vest monthly, in equal amounts upon the first monthly anniversary following the GA Phase (as defined in the customer installment agreement), and are subject to accelerated vesting immediately prior to the completion of this offering. On September 1, 2020, Shopify partially exercised the Original Warrant for 25% of the shares issuable under the Original Warrant, or 5,074,398 shares of our existing common stock, at an exercise price of $0.01 per share. On September 1, 2020, we issued Shopify a replacement warrant (the “Replacement Warrant”) to purchase up to an aggregate of 15,223,197 shares of our existing common stock at a price of $0.01 per share on substantially similar terms as the Original Warrant. The warrant contains customary provisions for the adjustment of the exercise price and the number of shares issuable upon the exercise of the warrant in the event of certain stock dividends, stock splits, reorganizations, reclassifications, consolidations, mergers, or similar events affecting our existing common stock and diluting issuances. In connection with the reclassification of each outstanding share of our existing common stock into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a share of Class A common stock and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a share of Class B common stock, the Replacement Warrant will be exercisable for 7,611,598 shares of Class A common stock and 7,611,598 shares of Class B common stock, and the 5,074,398 shares of our existing common stock held by Shopify will be reclassified into 2,537,199 shares of Class A common stock and 2,537,199 shares of Class B common stock.</w:t>
      </w:r>
    </w:p>
    <w:p>
      <w:pPr>
        <w:spacing w:after="0" w:line="200" w:lineRule="exact"/>
        <w:rPr>
          <w:sz w:val="20"/>
          <w:szCs w:val="20"/>
          <w:color w:val="auto"/>
        </w:rPr>
      </w:pPr>
    </w:p>
    <w:p>
      <w:pPr>
        <w:spacing w:after="0" w:line="366"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are obligated to give Shopify reasonable notice prior to the occurrence of this offering and the opportunity to exercise the Replacement Warrant prior to or concurrently with the completion of this offering. Shopify indicated that it expects to exercise the Replacement Warrant immediately prior to the completion of this offering. The shares issuable to Shopify upon exercise of the warrant are entitled to certain registration rights under the Investors’ Rights Agreement as described in greater detail below in the section titled </w:t>
      </w:r>
      <w:r>
        <w:rPr>
          <w:rFonts w:ascii="Times New Roman" w:cs="Times New Roman" w:eastAsia="Times New Roman" w:hAnsi="Times New Roman"/>
          <w:sz w:val="18"/>
          <w:szCs w:val="18"/>
          <w:i w:val="1"/>
          <w:iCs w:val="1"/>
          <w:color w:val="auto"/>
        </w:rPr>
        <w:t>“Description of Capital Stock — Stockholder Registration Rights.”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62"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reclassification of the shares of our common stock, we expect to enter into an exchange agreement with Mr. Levchin and 2012 MRL Investments LLC, an entity affiliated with</w:t>
      </w: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Mr. Levchin, pursuant to which 13,055,968 shares of Class A common stock held by Mr. Levchin and 2012 MRL Investments LLC will be exchanged for 13,055,968 shares of Class B common stock.</w:t>
      </w:r>
    </w:p>
    <w:p>
      <w:pPr>
        <w:spacing w:after="0" w:line="100"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will be identical, except with respect to voting, conversion, and transfer rights. Each share of Class A common stock will be entitled to one vote. Each share of Class B common stock will be entitled to 15 votes and will be convertible at any time into one share of Class A common stock. As a result of the reclassification and exchange, Mr. Levchin</w:t>
      </w:r>
    </w:p>
    <w:p>
      <w:pPr>
        <w:spacing w:after="0" w:line="3" w:lineRule="exact"/>
        <w:rPr>
          <w:sz w:val="20"/>
          <w:szCs w:val="20"/>
          <w:color w:val="auto"/>
        </w:rPr>
      </w:pPr>
    </w:p>
    <w:p>
      <w:pPr>
        <w:ind w:left="1260" w:right="899"/>
        <w:spacing w:after="0" w:line="260" w:lineRule="auto"/>
        <w:rPr>
          <w:sz w:val="20"/>
          <w:szCs w:val="20"/>
          <w:color w:val="auto"/>
        </w:rPr>
      </w:pPr>
      <w:r>
        <w:rPr>
          <w:rFonts w:ascii="Times New Roman" w:cs="Times New Roman" w:eastAsia="Times New Roman" w:hAnsi="Times New Roman"/>
          <w:sz w:val="18"/>
          <w:szCs w:val="18"/>
          <w:color w:val="auto"/>
        </w:rPr>
        <w:t>will have voting control over approximately % of the voting power of our outstanding capital stock immediately following this offering.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62"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Max Levchin, entities affiliated with Lightspeed Venture Partners, entities affiliated with Spark Capital, entities affiliated with Thrive Capital, entities affiliated with Jasmine Ventures other holders of our redeemable convertible preferred stock and Shopify, are party to an amended and restated investors’ rights agreement, dated as of September 11, 2020 (the “Investors’ Rights Agreement”), pursuant to which we granted such holders certain registration rights with respect to the registrable securities held by them. For a description of the Investors’ Rights Agreement see “</w:t>
      </w:r>
      <w:r>
        <w:rPr>
          <w:rFonts w:ascii="Times New Roman" w:cs="Times New Roman" w:eastAsia="Times New Roman" w:hAnsi="Times New Roman"/>
          <w:sz w:val="18"/>
          <w:szCs w:val="18"/>
          <w:i w:val="1"/>
          <w:iCs w:val="1"/>
          <w:color w:val="auto"/>
        </w:rPr>
        <w:t>Description of Capital Stock —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Indemnity Agreements</w:t>
      </w:r>
    </w:p>
    <w:p>
      <w:pPr>
        <w:spacing w:after="0" w:line="14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or will enter into indemnity agreements with each of our current and former directors and officers undertaking to indemnify each of them to the fullest extent permitted by law from and against all liabilities, costs, charges, and expenses incurred as a result of actions in the exercise of their duties as a director or officer. See “</w:t>
      </w:r>
      <w:r>
        <w:rPr>
          <w:rFonts w:ascii="Times New Roman" w:cs="Times New Roman" w:eastAsia="Times New Roman" w:hAnsi="Times New Roman"/>
          <w:sz w:val="18"/>
          <w:szCs w:val="18"/>
          <w:i w:val="1"/>
          <w:iCs w:val="1"/>
          <w:color w:val="auto"/>
        </w:rPr>
        <w:t>Description of Capital Stock — Limitations on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of Officers and Directors.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62" w:lineRule="exact"/>
        <w:rPr>
          <w:sz w:val="20"/>
          <w:szCs w:val="20"/>
          <w:color w:val="auto"/>
        </w:rPr>
      </w:pPr>
    </w:p>
    <w:p>
      <w:pPr>
        <w:ind w:left="1260" w:right="89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 and improper valuation (or the perception thereof). In connection with this offering, our board of directors will adopt a written policy on transactions with related persons. Under the new policy, any related person transaction (as defined in the policy), and any material amendment or modification to a related person transaction, must be reviewed and approved or ratified by a committee of our board of directors composed solely of independent directors who are disinterested or by the disinterested members of our board of directors.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connection with the review and approval or ratification of a related person transaction:</w:t>
      </w:r>
    </w:p>
    <w:p>
      <w:pPr>
        <w:spacing w:after="0" w:line="117" w:lineRule="exact"/>
        <w:rPr>
          <w:sz w:val="20"/>
          <w:szCs w:val="20"/>
          <w:color w:val="auto"/>
        </w:rPr>
      </w:pPr>
    </w:p>
    <w:p>
      <w:pPr>
        <w:jc w:val="both"/>
        <w:ind w:left="1800" w:right="719" w:hanging="178"/>
        <w:spacing w:after="0" w:line="258"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75" w:lineRule="exact"/>
        <w:rPr>
          <w:rFonts w:ascii="Times New Roman" w:cs="Times New Roman" w:eastAsia="Times New Roman" w:hAnsi="Times New Roman"/>
          <w:sz w:val="18"/>
          <w:szCs w:val="18"/>
          <w:color w:val="auto"/>
        </w:rPr>
      </w:pPr>
    </w:p>
    <w:p>
      <w:pPr>
        <w:ind w:left="1800" w:right="939" w:hanging="178"/>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67" w:lineRule="exact"/>
        <w:rPr>
          <w:rFonts w:ascii="Times New Roman" w:cs="Times New Roman" w:eastAsia="Times New Roman" w:hAnsi="Times New Roman"/>
          <w:sz w:val="18"/>
          <w:szCs w:val="18"/>
          <w:color w:val="auto"/>
        </w:rPr>
      </w:pPr>
    </w:p>
    <w:p>
      <w:pPr>
        <w:ind w:left="1800" w:right="939" w:hanging="178"/>
        <w:spacing w:after="0" w:line="258"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advise the committee or disinterested directors, as applicable, as to whether the related person transaction will be required to be disclosed in our applicable filings under the Securities Act or the Exchange Act, and related rules, and, to the extent required to be disclosed, management must ensure that the related person transaction is disclosed in accordance with such Acts and related rules; and</w:t>
      </w:r>
    </w:p>
    <w:p>
      <w:pPr>
        <w:spacing w:after="0" w:line="75" w:lineRule="exact"/>
        <w:rPr>
          <w:rFonts w:ascii="Times New Roman" w:cs="Times New Roman" w:eastAsia="Times New Roman" w:hAnsi="Times New Roman"/>
          <w:sz w:val="18"/>
          <w:szCs w:val="18"/>
          <w:color w:val="auto"/>
        </w:rPr>
      </w:pPr>
    </w:p>
    <w:p>
      <w:pPr>
        <w:ind w:left="1800" w:right="779" w:hanging="178"/>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advise the committee or disinterested directors, as applicable, as to whether the related person transaction constitutes a “personal loan” for purposes of Section 402 of the Sarbanes-Oxley Act.</w:t>
      </w:r>
    </w:p>
    <w:p>
      <w:pPr>
        <w:spacing w:after="0" w:line="95"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addition, the related person transaction policy provides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“outside” or “non-employee” director, as applicable, under the rules and regulations of the SEC, Nasdaq, and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September 30, 2020, and as adjusted to give effect to this offering by:</w:t>
      </w:r>
    </w:p>
    <w:p>
      <w:pPr>
        <w:spacing w:after="0" w:line="54" w:lineRule="exact"/>
        <w:rPr>
          <w:sz w:val="20"/>
          <w:szCs w:val="20"/>
          <w:color w:val="auto"/>
        </w:rPr>
      </w:pPr>
    </w:p>
    <w:p>
      <w:pPr>
        <w:ind w:left="1800" w:hanging="178"/>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outstanding shares of common stock.</w:t>
      </w:r>
    </w:p>
    <w:p>
      <w:pPr>
        <w:spacing w:after="0" w:line="94"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based on information furnished to us, the persons and entities named in the table have sole voting and investment power with respect to all shares that they beneficially own, subject to applicable community property laws.</w:t>
      </w:r>
    </w:p>
    <w:p>
      <w:pPr>
        <w:spacing w:after="0" w:line="12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prior to this offering on 97,294,525 shares of our Class A common stock and 121,400,441 shares of Class B common stock outstanding as of September 30, 2020 on a pro forma basis, which includes: (i) 87,651,906 shares of Class A common stock and 113,763,843 shares of Class B common stock outstanding following (a) the conversion of all outstanding shares of redeemable convertible preferred stock into shares of our common stock, which will occur immediately prior to the reclassification described in clause (b) below, as if such conversion had occurred on September 30, 2020, (b) the reclassification of each share of our common stock outstanding as of September 30, 2020 (including the shares of common stock issued upon the conversion of all outstanding shares of redeemable convertible preferred stock described in clause (a) above) into ½ share of Class A common stock and ½ share of Class B common stock, as if such reclassification had occurred on September 30, 2020, and (c) the issuance of shares of our Class B common stock to Mr. Levchin and 2012 MRL Investments LLC, an entity affiliated with Mr. Levchin, in exchange for all of the Class A common stock held by Mr. Levchin and such entity immediately following the reclassification described in clause</w:t>
      </w:r>
    </w:p>
    <w:p>
      <w:pPr>
        <w:spacing w:after="0" w:line="1" w:lineRule="exact"/>
        <w:rPr>
          <w:sz w:val="20"/>
          <w:szCs w:val="20"/>
          <w:color w:val="auto"/>
        </w:rPr>
      </w:pPr>
    </w:p>
    <w:p>
      <w:pPr>
        <w:ind w:left="1260" w:right="699" w:firstLine="2"/>
        <w:spacing w:after="0" w:line="250" w:lineRule="auto"/>
        <w:tabs>
          <w:tab w:leader="none" w:pos="15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if such exchange and issuance had occurred on September 30, 2020; (ii) (x) 7,611,598 shares of our Class A common stock and 7,611,598 shares of our Class B common stock to be issued upon the exercise of 15,223,197 warrants outstanding as of September 30, 2020 with an exercise price of $0.01 per share, which will be fully vested immediately prior to the completion of this offering, and (y) 25,000 shares of our Class A common stock and 25,000 shares of our Class B common stock to be issued upon the exercise of 50,000 warrants outstanding and vested as of September 30, 2020 with an exercise price of $3.80 per share, in each case, as if such exercise had occurred on September 30, 2020; and (iii) 2,006,021 shares of our Class A common stock that are expected to be issued with respect to RSUs outstanding as of September 30, 2020 upon the vesting and settlement of such RSUs in connection with the completion of this offering. For purposes of calculating the percentage of beneficial ownership prior to this offering, we did</w:t>
      </w:r>
    </w:p>
    <w:p>
      <w:pPr>
        <w:spacing w:after="0" w:line="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include the effect of any voting agreements or voting proxies that terminate upon the offering. We have</w:t>
      </w:r>
    </w:p>
    <w:p>
      <w:pPr>
        <w:spacing w:after="0" w:line="202" w:lineRule="exact"/>
        <w:rPr>
          <w:sz w:val="20"/>
          <w:szCs w:val="20"/>
          <w:color w:val="auto"/>
        </w:rPr>
      </w:pPr>
    </w:p>
    <w:p>
      <w:pPr>
        <w:ind w:left="1260" w:right="879"/>
        <w:spacing w:after="0" w:line="261" w:lineRule="auto"/>
        <w:rPr>
          <w:sz w:val="20"/>
          <w:szCs w:val="20"/>
          <w:color w:val="auto"/>
        </w:rPr>
      </w:pPr>
      <w:r>
        <w:rPr>
          <w:rFonts w:ascii="Times New Roman" w:cs="Times New Roman" w:eastAsia="Times New Roman" w:hAnsi="Times New Roman"/>
          <w:sz w:val="18"/>
          <w:szCs w:val="18"/>
          <w:color w:val="auto"/>
        </w:rPr>
        <w:t>based our calculation of the percentage of beneficial ownership after this offering on shares of our Class A common stock and shares of our Class B common stock outstanding immediately</w:t>
      </w:r>
    </w:p>
    <w:p>
      <w:pPr>
        <w:ind w:left="1260" w:right="879"/>
        <w:spacing w:after="0" w:line="251" w:lineRule="auto"/>
        <w:rPr>
          <w:sz w:val="20"/>
          <w:szCs w:val="20"/>
          <w:color w:val="auto"/>
        </w:rPr>
      </w:pPr>
      <w:r>
        <w:rPr>
          <w:rFonts w:ascii="Times New Roman" w:cs="Times New Roman" w:eastAsia="Times New Roman" w:hAnsi="Times New Roman"/>
          <w:sz w:val="18"/>
          <w:szCs w:val="18"/>
          <w:color w:val="auto"/>
        </w:rPr>
        <w:t>after the completion of this offering and assuming no exercise by the underwriters of their option to purchase additional shares. We have deemed shares of our Class A common stock subject to stock options and warrants (other than the warrants described in (ii) above) that are currently exercisable or exercisable within 60 days of September 30, 2020, or issuable pursuant to RSUs that are subject to vesting and settlement conditions expected to occur within 60 days of September 30, 2020, to be outstanding and beneficially owned by the person holding the stock option, warrant, or RSU for the purpose of computing the percentage ownership of that person. We did not deem these shares outstanding, however, for the purpose of computing the percentage ownership of any other person.</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care of Affirm Holdings, Inc., 650 California Street, San Francisco, CA 94108.</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 and Nature of Beneficial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and Nature of Beneficial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Ownership Prior to this Offering</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7"/>
              </w:rPr>
              <w:t>Ownership After this Offering</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07"/>
        </w:trPr>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Pre-Offering</w:t>
            </w: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  Class</w:t>
            </w:r>
          </w:p>
        </w:tc>
        <w:tc>
          <w:tcPr>
            <w:tcW w:w="9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Class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Post-Offering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Named Executive Officers and</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Max Levchin</w:t>
            </w:r>
            <w:r>
              <w:rPr>
                <w:rFonts w:ascii="Times New Roman" w:cs="Times New Roman" w:eastAsia="Times New Roman" w:hAnsi="Times New Roman"/>
                <w:sz w:val="26"/>
                <w:szCs w:val="26"/>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735,294</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26,847,231</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Sharda Caro del Castillo</w:t>
            </w:r>
            <w:r>
              <w:rPr>
                <w:rFonts w:ascii="Times New Roman" w:cs="Times New Roman" w:eastAsia="Times New Roman" w:hAnsi="Times New Roman"/>
                <w:sz w:val="26"/>
                <w:szCs w:val="26"/>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Libor Michalek</w:t>
            </w:r>
            <w:r>
              <w:rPr>
                <w:rFonts w:ascii="Times New Roman" w:cs="Times New Roman" w:eastAsia="Times New Roman" w:hAnsi="Times New Roman"/>
                <w:sz w:val="26"/>
                <w:szCs w:val="26"/>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1,696,098</w:t>
            </w: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875,265</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Jeremy Liew</w:t>
            </w:r>
            <w:r>
              <w:rPr>
                <w:rFonts w:ascii="Times New Roman" w:cs="Times New Roman" w:eastAsia="Times New Roman" w:hAnsi="Times New Roman"/>
                <w:sz w:val="26"/>
                <w:szCs w:val="26"/>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4,649,167</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4,649,167</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Jeremy G. Philips</w:t>
            </w:r>
            <w:r>
              <w:rPr>
                <w:rFonts w:ascii="Times New Roman" w:cs="Times New Roman" w:eastAsia="Times New Roman" w:hAnsi="Times New Roman"/>
                <w:sz w:val="26"/>
                <w:szCs w:val="26"/>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4,664,619</w:t>
            </w: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4,664,619</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Christa S. Quarles</w:t>
            </w:r>
            <w:r>
              <w:rPr>
                <w:rFonts w:ascii="Times New Roman" w:cs="Times New Roman" w:eastAsia="Times New Roman" w:hAnsi="Times New Roman"/>
                <w:sz w:val="26"/>
                <w:szCs w:val="26"/>
                <w:color w:val="auto"/>
                <w:vertAlign w:val="superscript"/>
              </w:rPr>
              <w:t>(6)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231,705</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Keith Rabois</w:t>
            </w:r>
            <w:r>
              <w:rPr>
                <w:rFonts w:ascii="Times New Roman" w:cs="Times New Roman" w:eastAsia="Times New Roman" w:hAnsi="Times New Roman"/>
                <w:sz w:val="26"/>
                <w:szCs w:val="26"/>
                <w:color w:val="auto"/>
                <w:vertAlign w:val="superscript"/>
              </w:rPr>
              <w:t>(7)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3,339,104</w:t>
            </w: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3,339,104</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officers as a group (10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individuals)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17,624,503</w:t>
            </w:r>
          </w:p>
        </w:tc>
        <w:tc>
          <w:tcPr>
            <w:tcW w:w="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40,485,386</w:t>
            </w: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5% Stockholders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Entities affiliated with Khosla</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600" w:type="dxa"/>
            <w:vAlign w:val="bottom"/>
            <w:gridSpan w:val="2"/>
            <w:shd w:val="clear" w:color="auto" w:fill="CCEEFF"/>
          </w:tcPr>
          <w:p>
            <w:pPr>
              <w:ind w:left="160"/>
              <w:spacing w:after="0" w:line="283" w:lineRule="exact"/>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6"/>
                <w:szCs w:val="26"/>
                <w:color w:val="auto"/>
                <w:vertAlign w:val="superscript"/>
              </w:rPr>
              <w:t>(8)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6,947,972</w:t>
            </w:r>
          </w:p>
        </w:tc>
        <w:tc>
          <w:tcPr>
            <w:tcW w:w="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6,947,972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0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rPr>
              <w:t>Entities affiliated with Founders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60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8,525,053</w:t>
            </w:r>
          </w:p>
        </w:tc>
        <w:tc>
          <w:tcPr>
            <w:tcW w:w="8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8,525,053</w:t>
            </w: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Lightspeed Venture Partners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9,370,230</w:t>
            </w:r>
          </w:p>
        </w:tc>
        <w:tc>
          <w:tcPr>
            <w:tcW w:w="8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9,370,230</w:t>
            </w:r>
          </w:p>
        </w:tc>
        <w:tc>
          <w:tcPr>
            <w:tcW w:w="1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4"/>
            <w:vMerge w:val="continue"/>
            <w:shd w:val="clear" w:color="auto" w:fill="CCEEFF"/>
          </w:tcPr>
          <w:p>
            <w:pPr>
              <w:spacing w:after="0"/>
              <w:rPr>
                <w:sz w:val="8"/>
                <w:szCs w:val="8"/>
                <w:color w:val="auto"/>
              </w:rPr>
            </w:pPr>
          </w:p>
        </w:tc>
        <w:tc>
          <w:tcPr>
            <w:tcW w:w="960" w:type="dxa"/>
            <w:vAlign w:val="bottom"/>
            <w:gridSpan w:val="4"/>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Jasmine Ventures Pte Ltd 5</w:t>
            </w:r>
            <w:r>
              <w:rPr>
                <w:rFonts w:ascii="Times New Roman" w:cs="Times New Roman" w:eastAsia="Times New Roman" w:hAnsi="Times New Roman"/>
                <w:sz w:val="26"/>
                <w:szCs w:val="26"/>
                <w:color w:val="auto"/>
                <w:vertAlign w:val="superscript"/>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11,003,701</w:t>
            </w:r>
          </w:p>
        </w:tc>
        <w:tc>
          <w:tcPr>
            <w:tcW w:w="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11,003,701</w:t>
            </w: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Shopify Inc.</w:t>
            </w:r>
            <w:r>
              <w:rPr>
                <w:rFonts w:ascii="Times New Roman" w:cs="Times New Roman" w:eastAsia="Times New Roman" w:hAnsi="Times New Roman"/>
                <w:sz w:val="26"/>
                <w:szCs w:val="26"/>
                <w:color w:val="auto"/>
                <w:vertAlign w:val="superscript"/>
              </w:rPr>
              <w:t>(12)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10,148,797</w:t>
            </w:r>
          </w:p>
        </w:tc>
        <w:tc>
          <w:tcPr>
            <w:tcW w:w="8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10,148,797</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-3145155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-3145155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-3145155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-3145155</wp:posOffset>
            </wp:positionV>
            <wp:extent cx="603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-3145155</wp:posOffset>
            </wp:positionV>
            <wp:extent cx="1028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-3145155</wp:posOffset>
            </wp:positionV>
            <wp:extent cx="514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-3145155</wp:posOffset>
            </wp:positionV>
            <wp:extent cx="514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-3145155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-3145155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-3145155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58"/>
        <w:spacing w:after="0"/>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77" w:lineRule="exact"/>
        <w:rPr>
          <w:sz w:val="20"/>
          <w:szCs w:val="20"/>
          <w:color w:val="auto"/>
        </w:rPr>
      </w:pPr>
    </w:p>
    <w:p>
      <w:pPr>
        <w:ind w:left="1620" w:right="939" w:hanging="358"/>
        <w:spacing w:after="0" w:line="255"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15,397,650 shares of Class B common stock held by Mr. Levchin, (ii) 735,294 shares of Class A common stock held by the Levchin 2012 Irrevocable Trust, (iii) 735,294 shares of Class B common stock held by the Levchin 2012 Irrevocable Trust and (iv) 10,714,287 shares of Class B common stock held by 2012 MRL Investments LLC. Mr. Levchin has sole voting and investment power over the shares held by 2012 MRL Investments LLC. As joint settlors of the Levchin 2012 Irrevocable Trust, Mr. Levchin and his spouse jointly have the right to acquire the shares held by the trust within 60 days of September 30, 2020 but do not have voting or investment power over such shares.</w:t>
      </w:r>
    </w:p>
    <w:p>
      <w:pPr>
        <w:spacing w:after="0" w:line="256" w:lineRule="exact"/>
        <w:rPr>
          <w:rFonts w:ascii="Times New Roman" w:cs="Times New Roman" w:eastAsia="Times New Roman" w:hAnsi="Times New Roman"/>
          <w:sz w:val="18"/>
          <w:szCs w:val="18"/>
          <w:color w:val="auto"/>
        </w:rPr>
      </w:pPr>
    </w:p>
    <w:p>
      <w:pPr>
        <w:ind w:left="1620" w:right="799" w:hanging="358"/>
        <w:spacing w:after="0" w:line="282"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200,000 shares of Class A common stock issuable upon exercise of outstanding stock options held by Ms. Caro del Castillo within 60 days of September 30, 2020.</w:t>
      </w:r>
    </w:p>
    <w:p>
      <w:pPr>
        <w:spacing w:after="0" w:line="13" w:lineRule="exact"/>
        <w:rPr>
          <w:rFonts w:ascii="Times New Roman" w:cs="Times New Roman" w:eastAsia="Times New Roman" w:hAnsi="Times New Roman"/>
          <w:sz w:val="18"/>
          <w:szCs w:val="18"/>
          <w:color w:val="auto"/>
        </w:rPr>
      </w:pPr>
    </w:p>
    <w:p>
      <w:pPr>
        <w:ind w:left="1620" w:right="799" w:hanging="358"/>
        <w:spacing w:after="0" w:line="282"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820,833 shares of Class A common stock issuable upon exercise of outstanding stock options held by Mr. Michalek within 60 days of September 30, 2020.</w:t>
      </w:r>
    </w:p>
    <w:p>
      <w:pPr>
        <w:spacing w:after="0" w:line="13" w:lineRule="exact"/>
        <w:rPr>
          <w:rFonts w:ascii="Times New Roman" w:cs="Times New Roman" w:eastAsia="Times New Roman" w:hAnsi="Times New Roman"/>
          <w:sz w:val="18"/>
          <w:szCs w:val="18"/>
          <w:color w:val="auto"/>
        </w:rPr>
      </w:pPr>
    </w:p>
    <w:p>
      <w:pPr>
        <w:ind w:left="1620" w:right="859" w:hanging="358"/>
        <w:spacing w:after="0" w:line="261"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2,459,557 shares of Class A common stock held by Lightspeed Venture Partners Select, L.P. (“Lightspeed Select”), (ii) 2,459,557 shares of Class B common stock held by Lightspeed Select,</w:t>
      </w:r>
    </w:p>
    <w:p>
      <w:pPr>
        <w:ind w:left="1620" w:right="959" w:firstLine="2"/>
        <w:spacing w:after="0" w:line="250" w:lineRule="auto"/>
        <w:tabs>
          <w:tab w:leader="none" w:pos="195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934,987 shares of Class A common stock held by Lightspeed Venture Partners Select II, L.P. (“Lightspeed Select II”), (iv) 934,987 shares of Class B common stock held by Lightspeed Select II,</w:t>
      </w:r>
    </w:p>
    <w:p>
      <w:pPr>
        <w:ind w:left="1620" w:right="679" w:firstLine="2"/>
        <w:spacing w:after="0" w:line="253" w:lineRule="auto"/>
        <w:tabs>
          <w:tab w:leader="none" w:pos="188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1,254,623 shares of Class A common stock held by Lightspeed Opportunity Fund, L.P. (“Lightspeed Opportunity”), and (vi) 1,254,623 shares of Class B common stock held by Lightspeed Opportunity. Lightspeed Ultimate General Partner Select, Ltd. (“LUGP Select”) is the sole general partner of Lightspeed General Partner Select, L.P., which is the sole general partner of Lightspeed Select. Barry Eggers, Jeremy Liew, Ravi Mhatre and Peter Nieh are the directors of LUGP Select and share voting and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19"/>
        <w:spacing w:after="0" w:line="238" w:lineRule="auto"/>
        <w:rPr>
          <w:sz w:val="20"/>
          <w:szCs w:val="20"/>
          <w:color w:val="auto"/>
        </w:rPr>
      </w:pPr>
      <w:r>
        <w:rPr>
          <w:rFonts w:ascii="Times New Roman" w:cs="Times New Roman" w:eastAsia="Times New Roman" w:hAnsi="Times New Roman"/>
          <w:sz w:val="18"/>
          <w:szCs w:val="18"/>
          <w:color w:val="auto"/>
        </w:rPr>
        <w:t>dispositive power with respect to the shares held by Lightspeed Select. Lightspeed Ultimate General Partner Select II, Ltd. (“LUGP Select II”) is the sole general partner of Lightspeed General Partner Select II, L.P., which is the sole general partner of Lightspeed Select II. Barry Eggers, Jeremy Liew, Ravi Mhatre and Peter Nieh are the directors of LUGP Select II and share voting and dispositive power with respect to the shares held by Lightspeed Select II. Lightspeed Ultimate General Partner Opportunity Fund, Ltd. (“LUGP Opportunity”) is the sole general partner of Lightspeed General Partner Opportunity Fund, L.P., which is the sole general partner of Lightspeed Opportunity. Arif Janmohamed, Jeremy Liew and Ravi Mhatre are the directors of LUGP Opportunity and share voting and dispositive power with respect to the shares held by Lightspeed Opportunity.</w:t>
      </w:r>
    </w:p>
    <w:p>
      <w:pPr>
        <w:spacing w:after="0" w:line="43" w:lineRule="exact"/>
        <w:rPr>
          <w:sz w:val="20"/>
          <w:szCs w:val="20"/>
          <w:color w:val="auto"/>
        </w:rPr>
      </w:pPr>
    </w:p>
    <w:p>
      <w:pPr>
        <w:ind w:left="1620" w:hanging="358"/>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4,134,391 shares of Class A common stock held by Spark Capital Growth Fund, L.P.,</w:t>
      </w:r>
    </w:p>
    <w:p>
      <w:pPr>
        <w:spacing w:after="0" w:line="27" w:lineRule="exact"/>
        <w:rPr>
          <w:rFonts w:ascii="Times New Roman" w:cs="Times New Roman" w:eastAsia="Times New Roman" w:hAnsi="Times New Roman"/>
          <w:sz w:val="18"/>
          <w:szCs w:val="18"/>
          <w:color w:val="auto"/>
        </w:rPr>
      </w:pPr>
    </w:p>
    <w:p>
      <w:pPr>
        <w:ind w:left="1620" w:right="719" w:firstLine="2"/>
        <w:spacing w:after="0" w:line="251" w:lineRule="auto"/>
        <w:tabs>
          <w:tab w:leader="none" w:pos="190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4,134,391 shares of Class B common stock held by Spark Capital Growth Fund, L.P., (iii) 40,925 shares of Class A common stock held by Spark Capital Growth Founders’ Fund, L.P., (iv) 40,925 shares of Class A common stock held by Spark Capital Growth Founders’ Fund, L.P., (v) 484,361 shares of Class A common stock held by Spark Capital Growth Fund III, L.P., (vi) 484,361 shares of Class B common stock held by Spark Capital Growth Fund III, L.P., (vii) 4,942 shares of Class A common stock held by Spark Capital Growth Founders’ Fund III, L.P., and (viii) 4,942 shares of Class B common stock held by Spark Capital Growth Founders’ Fund III, L.P. Mr. Philips is the managing member of the general partner of these funds, which makes all voting and investment decisions for these funds through its investment committee, of which Mr. Philips is also a member. The address of these entities is 137 Newbury St., 8th Floor, Boston, Massachusetts 02116.</w:t>
      </w:r>
    </w:p>
    <w:p>
      <w:pPr>
        <w:spacing w:after="0" w:line="44" w:lineRule="exact"/>
        <w:rPr>
          <w:rFonts w:ascii="Times New Roman" w:cs="Times New Roman" w:eastAsia="Times New Roman" w:hAnsi="Times New Roman"/>
          <w:sz w:val="18"/>
          <w:szCs w:val="18"/>
          <w:color w:val="auto"/>
        </w:rPr>
      </w:pPr>
    </w:p>
    <w:p>
      <w:pPr>
        <w:ind w:left="1620" w:right="799" w:hanging="358"/>
        <w:spacing w:after="0" w:line="282"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231,705 shares of Class A common stock issuable upon exercise of outstanding stock options held by Ms. Quarles within 60 days of September 30, 2020.</w:t>
      </w:r>
    </w:p>
    <w:p>
      <w:pPr>
        <w:spacing w:after="0" w:line="1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2,205,292 shares of Class A common stock held by The Founders Fund VI, LP,</w:t>
      </w:r>
    </w:p>
    <w:p>
      <w:pPr>
        <w:spacing w:after="0" w:line="27" w:lineRule="exact"/>
        <w:rPr>
          <w:rFonts w:ascii="Times New Roman" w:cs="Times New Roman" w:eastAsia="Times New Roman" w:hAnsi="Times New Roman"/>
          <w:sz w:val="18"/>
          <w:szCs w:val="18"/>
          <w:color w:val="auto"/>
        </w:rPr>
      </w:pPr>
    </w:p>
    <w:p>
      <w:pPr>
        <w:ind w:left="1620" w:right="759" w:firstLine="2"/>
        <w:spacing w:after="0" w:line="251" w:lineRule="auto"/>
        <w:tabs>
          <w:tab w:leader="none" w:pos="190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2,205,292 shares of Class B common stock held by The Founders Fund VI, LP, (iii) 545,294 shares of Class A common stock held by The Founders Fund VI Principals Fund, LP, (iv) 545,294 shares of Class B common stock held by The Founders Fund VI Principals Fund, LP, (v) 27,418 shares of Class A common stock held by The Founders Fund VI Entrepreneurs Fund, LP, (vi) 27,418 shares of Class B common stock held by The Founders Fund VI Entrepreneurs Fund, LP, (vii) 583,468 shares of Class A common stock held by The Founders Fund Growth, LP, (viii) 583,468 shares of Class B common stock held by The Founders Fund Growth, LP, (ix) 37,632 shares of Class A common stock held by The Founders Fund Growth Principals Fund, LP, and (x) 37,632 shares of Class B common stock held by The Founders Fund Growth Principals Fund, LP. Brian Singerman, Peter Thiel and Keith Rabois each have shared voting and investment power over the shares held by each of the foregoing entities. The address for these entities is One Letterman Drive, Building D, 5th Floor, San Francisco, California 94129.</w:t>
      </w:r>
    </w:p>
    <w:p>
      <w:pPr>
        <w:spacing w:after="0" w:line="273"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6,530,469 shares of Class A common stock held by Khosla Ventures IV, LP (“KV IV”),</w:t>
      </w:r>
    </w:p>
    <w:p>
      <w:pPr>
        <w:spacing w:after="0" w:line="27" w:lineRule="exact"/>
        <w:rPr>
          <w:rFonts w:ascii="Times New Roman" w:cs="Times New Roman" w:eastAsia="Times New Roman" w:hAnsi="Times New Roman"/>
          <w:sz w:val="18"/>
          <w:szCs w:val="18"/>
          <w:color w:val="auto"/>
        </w:rPr>
      </w:pPr>
    </w:p>
    <w:p>
      <w:pPr>
        <w:ind w:left="1620" w:right="679" w:firstLine="2"/>
        <w:spacing w:after="0" w:line="252" w:lineRule="auto"/>
        <w:tabs>
          <w:tab w:leader="none" w:pos="190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6,530,469 shares of Class B common stock held by KV IV, (iii) 417,503 shares of Class A common stock held by Khosla Ventures IV (CF), LP (“KV IV CF”), and (iv) 417,503 shares of Class B common stock held by KV IV CF. The general partner of KV IV is Khosla Ventures Associates IV, LLC (“KVA IV”). The general partner of KV IV CF is KVA IV. VK Services is the sole manager of KVA IV. Vinod Khosla is the managing member of VK Services. Each of Mr. Khosla, VK Services and KVA IV may be deemed to share voting and dispositive power of such securities held by KV IV and KV IV CF. The address for each of these entities is 2128 Sand Hill Road, Menlo Park, California 94025.</w:t>
      </w:r>
    </w:p>
    <w:p>
      <w:pPr>
        <w:spacing w:after="0" w:line="39"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3,994,806 shares of Class A common stock held by The Founders Fund V, LP,</w:t>
      </w:r>
    </w:p>
    <w:p>
      <w:pPr>
        <w:spacing w:after="0" w:line="27" w:lineRule="exact"/>
        <w:rPr>
          <w:rFonts w:ascii="Times New Roman" w:cs="Times New Roman" w:eastAsia="Times New Roman" w:hAnsi="Times New Roman"/>
          <w:sz w:val="18"/>
          <w:szCs w:val="18"/>
          <w:color w:val="auto"/>
        </w:rPr>
      </w:pPr>
    </w:p>
    <w:p>
      <w:pPr>
        <w:ind w:left="1620" w:right="679" w:firstLine="2"/>
        <w:spacing w:after="0" w:line="251" w:lineRule="auto"/>
        <w:tabs>
          <w:tab w:leader="none" w:pos="190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3,994,806 shares of Class B common stock held by The Founders Fund V, LP, (iii) 1,074,604 shares of Class A common stock held by The Founders Fund V Principals Fund, LP, (iv) 1,074,604 shares of Class B common stock held by The Founders Fund V Principals Fund, LP, (v) 56,539 shares of Class A common stock held by The Founders Fund V Entrepreneurs Fund, LP, (vi) 56,539 shares of Class B common stock held by The Founders Fund V Entrepreneurs Fund, LP, (vii) 2,209,292 shares of Class A common stock held by The Founders Fund VI, LP, (viii) 2,209,292 shares of Class B common stock held by The Founders Fund VI, LP, (ix) 545,294 shares of Class A common stock held by The Founders Fund VI Principals Fund, LP, (x) 545,294 shares of Class B common stock held by The Founders Fund VI Principals Fund, LP, (xi) 27,418 shares of Class A common stock held by The Founders Fund VI Entrepreneurs Fund, LP, (xii) 27,418 shares of Class B common stock held by The Founders Fund VI Entrepreneurs Fund, LP, (xiii) 583,468 shares of Class A common stock held by The Founders</w:t>
      </w:r>
    </w:p>
    <w:p>
      <w:pPr>
        <w:sectPr>
          <w:pgSz w:w="11900" w:h="16838" w:orient="portrait"/>
          <w:cols w:equalWidth="0" w:num="1">
            <w:col w:w="10139"/>
          </w:cols>
          <w:pgMar w:left="320" w:top="114"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39"/>
        <w:spacing w:after="0" w:line="253" w:lineRule="auto"/>
        <w:rPr>
          <w:sz w:val="20"/>
          <w:szCs w:val="20"/>
          <w:color w:val="auto"/>
        </w:rPr>
      </w:pPr>
      <w:r>
        <w:rPr>
          <w:rFonts w:ascii="Times New Roman" w:cs="Times New Roman" w:eastAsia="Times New Roman" w:hAnsi="Times New Roman"/>
          <w:sz w:val="18"/>
          <w:szCs w:val="18"/>
          <w:color w:val="auto"/>
        </w:rPr>
        <w:t>Fund Growth, LP, (xiv) 583,468 shares of Class B common stock held by The Founders Fund Growth, LP, (xv) 37,632 shares of Class A common stock held by The Founders Fund Growth Principals Fund, LP, and (xvi) 37,632 shares of Class B common stock held by The Founders Fund Growth Principals Fund, LP. Brian Singerman and Peter Thiel each have shared voting and investment power over the shares held by each of The Founders Fund V, LP, The Founders Fund V Principals Fund, LP and The Founders Fund V Entrepreneurs Fund, LP. Brian Singerman, Peter Thiel and Keith Rabois each have shared voting and investment power over the shares held by each of The Founders Fund VI, LP, The Founders Fund VI Principals Fund, LP, The Founders Fund VI Entrepreneurs Fund, LP, The Founders Fund Growth, LP and The Founders Fund Growth Principals Fund, LP. The address for these entities is One Letterman Drive, Building D, 5th Floor, San Francisco, California 94129.</w:t>
      </w:r>
    </w:p>
    <w:p>
      <w:pPr>
        <w:spacing w:after="0" w:line="46" w:lineRule="exact"/>
        <w:rPr>
          <w:sz w:val="20"/>
          <w:szCs w:val="20"/>
          <w:color w:val="auto"/>
        </w:rPr>
      </w:pPr>
    </w:p>
    <w:p>
      <w:pPr>
        <w:ind w:left="1620" w:right="859" w:hanging="358"/>
        <w:spacing w:after="0" w:line="261" w:lineRule="auto"/>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2,459,557 shares of Class A common stock held by Lightspeed Venture Partners Select, L.P. (“Lightspeed Select”), (ii) 2,459,557 shares of Class B common stock held by Lightspeed Select,</w:t>
      </w:r>
    </w:p>
    <w:p>
      <w:pPr>
        <w:ind w:left="1620" w:right="959" w:firstLine="2"/>
        <w:spacing w:after="0" w:line="250" w:lineRule="auto"/>
        <w:tabs>
          <w:tab w:leader="none" w:pos="19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934,987 shares of Class A common stock held by Lightspeed Venture Partners Select II, L.P. (“Lightspeed Select II”), (iv) 934,987 shares of Class B common stock held by Lightspeed Select II,</w:t>
      </w:r>
    </w:p>
    <w:p>
      <w:pPr>
        <w:ind w:left="1620" w:right="679" w:firstLine="2"/>
        <w:spacing w:after="0" w:line="250" w:lineRule="auto"/>
        <w:tabs>
          <w:tab w:leader="none" w:pos="188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1,254,623 shares of Class A common stock held by Lightspeed Opportunity Fund, L.P. (“Lightspeed Opportunity”), (vi) 1,254,623 shares of Class B common stock held by Lightspeed Opportunity,</w:t>
      </w:r>
    </w:p>
    <w:p>
      <w:pPr>
        <w:ind w:left="1620" w:right="759" w:firstLine="2"/>
        <w:spacing w:after="0" w:line="251" w:lineRule="auto"/>
        <w:tabs>
          <w:tab w:leader="none" w:pos="199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4,721,063 shares of Class A common stock held by Lightspeed Venture Partners IX, L.P. (“Lightspeed IX”) and (viii) 4,721,063 shares of Class B common stock held by Lightspeed IX. Lightspeed Ultimate General Partner Select, Ltd. (“LUGP Select”) is the sole general partner of Lightspeed General Partner Select, L.P., which is the sole general partner of Lightspeed Select. Barry Eggers, Jeremy Liew, Ravi Mhatre and Peter Nieh are the directors of LUGP Select and share voting and dispositive power with respect to the shares held by Lightspeed Select. Lightspeed Ultimate General Partner Select II, Ltd. (“LUGP Select II”) is the sole general partner of Lightspeed General Partner Select II, L.P., which is the sole general partner of Lightspeed Select II. Barry Eggers, Jeremy Liew, Ravi Mhatre and Peter Nieh are the directors of LUGP Select II and share voting and dispositive power with respect to the shares held by Lightspeed Select II. Lightspeed Ultimate General Partner Opportunity Fund, Ltd. (“LUGP Opportunity”) is the sole general partner of Lightspeed General Partner Opportunity Fund, L.P., which is the sole general partner of Lightspeed Opportunity. Arif Janmohamed, Jeremy Liew and Ravi Mhatre are the directors of LUGP Opportunity and share voting and dispositive power with respect to the shares held by Lightspeed Opportunity. Lightspeed Ultimate General Partner IX, Ltd. (“LUGP IX”) is the sole general partner of Lightspeed General Partner IX, L.P., which is the sole general partner of Lightspeed IX. Barry Eggers, Ravi Mhatre and Peter Nieh are directors of LUGP IX and share voting and dispositive power over the shares held by Lightspeed IX. The address for these entities is 2200 Sand Hill Road, Menlo Park, California 94025.</w:t>
      </w:r>
    </w:p>
    <w:p>
      <w:pPr>
        <w:spacing w:after="0" w:line="4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11,003,701 shares of Class A common stock held by Jasmine Ventures Pte Ltd 5 and</w:t>
      </w:r>
    </w:p>
    <w:p>
      <w:pPr>
        <w:spacing w:after="0" w:line="27" w:lineRule="exact"/>
        <w:rPr>
          <w:rFonts w:ascii="Times New Roman" w:cs="Times New Roman" w:eastAsia="Times New Roman" w:hAnsi="Times New Roman"/>
          <w:sz w:val="18"/>
          <w:szCs w:val="18"/>
          <w:color w:val="auto"/>
        </w:rPr>
      </w:pPr>
    </w:p>
    <w:p>
      <w:pPr>
        <w:ind w:left="1620" w:right="739" w:firstLine="2"/>
        <w:spacing w:after="0" w:line="251" w:lineRule="auto"/>
        <w:tabs>
          <w:tab w:leader="none" w:pos="190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11,003,701 shares of Class B common stock held by Jasmine Ventures Pte Ltd 5. Jasmine Ventures Pte. Ltd. shares the power to vote and the power to dispose of these shares with GIC Special Investments Pte. Ltd. (“GIC SI”), and GIC Private Limited (“GIC”),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shares. The business address for Jasmine Ventures Pte. Ltd. is 168 Robinson Road, #37-01 Capital Tower, Singapore 068912.</w:t>
      </w:r>
    </w:p>
    <w:p>
      <w:pPr>
        <w:spacing w:after="0" w:line="58" w:lineRule="exact"/>
        <w:rPr>
          <w:rFonts w:ascii="Times New Roman" w:cs="Times New Roman" w:eastAsia="Times New Roman" w:hAnsi="Times New Roman"/>
          <w:sz w:val="18"/>
          <w:szCs w:val="18"/>
          <w:color w:val="auto"/>
        </w:rPr>
      </w:pPr>
    </w:p>
    <w:p>
      <w:pPr>
        <w:ind w:left="1620" w:right="679" w:hanging="358"/>
        <w:spacing w:after="0" w:line="258" w:lineRule="auto"/>
        <w:tabs>
          <w:tab w:leader="none" w:pos="1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2,537,199 shares of Class A common stock held by Shopify Inc., (ii) 2,537,199 shares of Class B common stock held by Shopify Inc., and (iii) 7,611,598 shares of Class A common stock and 7,611,598 shares of Class B common stock issuable upon the exercise of a warrant outstanding as of September 30, 2020 to purchase 15,223,197 shares of our existing common stock with an exercise price of $0.01 per share, which will be fully vested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46" w:lineRule="exact"/>
        <w:rPr>
          <w:sz w:val="20"/>
          <w:szCs w:val="20"/>
          <w:color w:val="auto"/>
        </w:rPr>
      </w:pPr>
    </w:p>
    <w:p>
      <w:pPr>
        <w:ind w:left="1260" w:right="7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 3,200,000,000 shares of capital stock, $0.00001 par value per share, of which:</w:t>
      </w:r>
    </w:p>
    <w:p>
      <w:pPr>
        <w:spacing w:after="0" w:line="54" w:lineRule="exact"/>
        <w:rPr>
          <w:sz w:val="20"/>
          <w:szCs w:val="20"/>
          <w:color w:val="auto"/>
        </w:rPr>
      </w:pPr>
    </w:p>
    <w:p>
      <w:pPr>
        <w:ind w:left="1800" w:hanging="178"/>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3,170,000,000 shares are designated as Class A common stock;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140,000,000 shares are designated as Class B common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shares are designated as preferred stock.</w:t>
      </w:r>
    </w:p>
    <w:p>
      <w:pPr>
        <w:spacing w:after="0" w:line="144" w:lineRule="exact"/>
        <w:rPr>
          <w:sz w:val="20"/>
          <w:szCs w:val="20"/>
          <w:color w:val="auto"/>
        </w:rPr>
      </w:pPr>
    </w:p>
    <w:p>
      <w:pPr>
        <w:ind w:left="1260" w:right="759" w:firstLine="360"/>
        <w:spacing w:after="0" w:line="236" w:lineRule="auto"/>
        <w:rPr>
          <w:sz w:val="20"/>
          <w:szCs w:val="20"/>
          <w:color w:val="auto"/>
        </w:rPr>
      </w:pPr>
      <w:r>
        <w:rPr>
          <w:rFonts w:ascii="Times New Roman" w:cs="Times New Roman" w:eastAsia="Times New Roman" w:hAnsi="Times New Roman"/>
          <w:sz w:val="18"/>
          <w:szCs w:val="18"/>
          <w:color w:val="auto"/>
        </w:rPr>
        <w:t>As of September 30, 2020, assuming: (i) 87,651,906 shares of Class A common stock and 113,763,843 shares of Class B common stock outstanding following (a) the conversion of all outstanding shares of redeemable convertible preferred stock into shares of our common stock, which will occur immediately prior to the reclassification described in clause (b) below, as if such conversion had occurred on September 30, 2020, (b) the reclassification of each share of our common stock outstanding as of September 30, 2020 (including the shares of common stock issued upon the conversion of all outstanding shares of redeemable convertible preferred stock described in clause (a) above) into ½ share of Class A common stock and ½ share of Class B common stock, as if such reclassification had occurred on September 30, 2020, and (c) the issuance of shares of our Class B common stock to Mr. Levchin and 2012 MRL Investments LLC, an entity affiliated with Mr. Levchin, in exchange for all of the Class A common stock held by Mr. Levchin and such entity immediately following the reclassification described in clause</w:t>
      </w:r>
    </w:p>
    <w:p>
      <w:pPr>
        <w:spacing w:after="0" w:line="9" w:lineRule="exact"/>
        <w:rPr>
          <w:sz w:val="20"/>
          <w:szCs w:val="20"/>
          <w:color w:val="auto"/>
        </w:rPr>
      </w:pPr>
    </w:p>
    <w:p>
      <w:pPr>
        <w:ind w:left="1260" w:right="699" w:firstLine="2"/>
        <w:spacing w:after="0" w:line="234" w:lineRule="auto"/>
        <w:tabs>
          <w:tab w:leader="none" w:pos="15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if such exchange and issuance had occurred on September 30, 2020; (ii) (x) 7,611,598 shares of our Class A common stock and 7,611,598 shares of our Class B common stock to be issued upon the exercise of 15,223,197 warrants outstanding as of September 30, 2020 with an exercise price of $0.01 per share, which will be fully vested immediately prior to the completion of this offering, and (y) 25,000 shares of our Class A common stock and 25,000 shares of our Class B common stock to be issued upon the exercise of 50,000 warrants outstanding and vested as of September 30, 2020 with an exercise price of $3.80 per share, in each case, as if such exercise had occurred on September 30, 2020; and (iii) 2,006,021 shares of our Class A common stock that are expected to be issued with respect to RSUs outstanding as of September 30, 2020 upon the vesting and settlement of such RSUs in connection with the completion of this offering, there were 97,274,525 shares of our Class A common stock and 121,400,441 shares of our Class B</w:t>
      </w:r>
    </w:p>
    <w:p>
      <w:pPr>
        <w:spacing w:after="0" w:line="7" w:lineRule="exact"/>
        <w:rPr>
          <w:sz w:val="20"/>
          <w:szCs w:val="20"/>
          <w:color w:val="auto"/>
        </w:rPr>
      </w:pPr>
    </w:p>
    <w:p>
      <w:pPr>
        <w:ind w:left="1260" w:right="919"/>
        <w:spacing w:after="0" w:line="238" w:lineRule="auto"/>
        <w:rPr>
          <w:sz w:val="20"/>
          <w:szCs w:val="20"/>
          <w:color w:val="auto"/>
        </w:rPr>
      </w:pPr>
      <w:r>
        <w:rPr>
          <w:rFonts w:ascii="Times New Roman" w:cs="Times New Roman" w:eastAsia="Times New Roman" w:hAnsi="Times New Roman"/>
          <w:sz w:val="18"/>
          <w:szCs w:val="18"/>
          <w:color w:val="auto"/>
        </w:rPr>
        <w:t>common stock outstanding, held by stockholders of record, and no shares of preferred stock outstanding. Pursuant to our amended and restated certificate of incorporation, our board of directors will have the authority, without stockholder approval except as required by the listing standards of Nasdaq, to issue additional shares of our Class A common stock.</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conversion and transfer rights. In addition, any options to purchase shares of our capital stock and RSUs outstanding prior to the effectiveness of the registration statement of which this prospectus forms a part are eligible to be settled in or exercisable for shares of our Class A common stock.</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held on all matters submitted to a vote of stockholders. Holders of Class B common stock are entitled to 15 votes for each share held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Delaware law could require either holders of our Class A common stock or holders of our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to vote separately in the following circumstances:</w:t>
      </w:r>
    </w:p>
    <w:p>
      <w:pPr>
        <w:spacing w:after="0" w:line="84" w:lineRule="exact"/>
        <w:rPr>
          <w:sz w:val="20"/>
          <w:szCs w:val="20"/>
          <w:color w:val="auto"/>
        </w:rPr>
      </w:pPr>
    </w:p>
    <w:p>
      <w:pPr>
        <w:ind w:left="1800" w:right="1099" w:hanging="178"/>
        <w:spacing w:after="0" w:line="26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54"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1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amended and restated articles of incorporation that will become effective immediately prior to the completion of this offering will provide that stockholders are not entitled to cumulative voting for the election of directors. As a result, the holders of a majority of our voting shares can elect all of the directors then standing for election. Our amended and restated articles of incorporation that will become effective immediately prior to the completion of this offering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819" w:firstLine="360"/>
        <w:spacing w:after="0" w:line="239" w:lineRule="auto"/>
        <w:rPr>
          <w:sz w:val="20"/>
          <w:szCs w:val="20"/>
          <w:color w:val="auto"/>
        </w:rPr>
      </w:pPr>
      <w:r>
        <w:rPr>
          <w:rFonts w:ascii="Times New Roman" w:cs="Times New Roman" w:eastAsia="Times New Roman" w:hAnsi="Times New Roman"/>
          <w:sz w:val="18"/>
          <w:szCs w:val="18"/>
          <w:color w:val="auto"/>
        </w:rPr>
        <w:t>Each outstanding share of Class B common stock is convertible at any time at the option of the holder into one share of Class A common stock. All shares of Class B common stock will automatically convert into shares of Class A common stock upon the earliest to occur of (i) the seven-year anniversary of the closing date of this offering, (ii) the date immediately following an annual meeting of our stockholders if neither Max Levchin, our Founder, Chairman and Chief Executive Officer, nor Nellie Levchin,</w:t>
      </w:r>
    </w:p>
    <w:p>
      <w:pPr>
        <w:ind w:left="1260"/>
        <w:spacing w:after="0" w:line="236" w:lineRule="auto"/>
        <w:rPr>
          <w:sz w:val="20"/>
          <w:szCs w:val="20"/>
          <w:color w:val="auto"/>
        </w:rPr>
      </w:pPr>
      <w:r>
        <w:rPr>
          <w:rFonts w:ascii="Times New Roman" w:cs="Times New Roman" w:eastAsia="Times New Roman" w:hAnsi="Times New Roman"/>
          <w:sz w:val="18"/>
          <w:szCs w:val="18"/>
          <w:color w:val="auto"/>
        </w:rPr>
        <w:t>Mr. Levchin’s spouse, is then serving as one of our officers, employees, directors or consultants, and neither</w:t>
      </w:r>
    </w:p>
    <w:p>
      <w:pPr>
        <w:ind w:left="1260"/>
        <w:spacing w:after="0" w:line="235" w:lineRule="auto"/>
        <w:rPr>
          <w:sz w:val="20"/>
          <w:szCs w:val="20"/>
          <w:color w:val="auto"/>
        </w:rPr>
      </w:pPr>
      <w:r>
        <w:rPr>
          <w:rFonts w:ascii="Times New Roman" w:cs="Times New Roman" w:eastAsia="Times New Roman" w:hAnsi="Times New Roman"/>
          <w:sz w:val="18"/>
          <w:szCs w:val="18"/>
          <w:color w:val="auto"/>
        </w:rPr>
        <w:t>Mr. Levchin or Mrs. Levchin has served in such capacities in the six months prior to such date, (iii) the date</w:t>
      </w:r>
    </w:p>
    <w:p>
      <w:pPr>
        <w:ind w:left="1260"/>
        <w:spacing w:after="0" w:line="235" w:lineRule="auto"/>
        <w:rPr>
          <w:sz w:val="20"/>
          <w:szCs w:val="20"/>
          <w:color w:val="auto"/>
        </w:rPr>
      </w:pPr>
      <w:r>
        <w:rPr>
          <w:rFonts w:ascii="Times New Roman" w:cs="Times New Roman" w:eastAsia="Times New Roman" w:hAnsi="Times New Roman"/>
          <w:sz w:val="18"/>
          <w:szCs w:val="18"/>
          <w:color w:val="auto"/>
        </w:rPr>
        <w:t>on which Mr. Levchin and Mrs. Levchin, together with their permitted transferees, cease to beneficially own</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 the aggregate at least 50% of the number of shares of capital stock beneficially owned by such holders in</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aggregate on the closing date of this offering, or (iv) the death or incapacity of the last to die or become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incapacitated of Mr. Levchin or Mrs. Levchin, subject to extension for a total period of no longer than</w:t>
      </w:r>
    </w:p>
    <w:p>
      <w:pPr>
        <w:ind w:left="1260"/>
        <w:spacing w:after="0" w:line="235" w:lineRule="auto"/>
        <w:rPr>
          <w:sz w:val="20"/>
          <w:szCs w:val="20"/>
          <w:color w:val="auto"/>
        </w:rPr>
      </w:pPr>
      <w:r>
        <w:rPr>
          <w:rFonts w:ascii="Times New Roman" w:cs="Times New Roman" w:eastAsia="Times New Roman" w:hAnsi="Times New Roman"/>
          <w:sz w:val="18"/>
          <w:szCs w:val="18"/>
          <w:color w:val="auto"/>
        </w:rPr>
        <w:t>nine months from such incapacitation or death if approved by a majority of the independent directors then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w:t>
      </w:r>
    </w:p>
    <w:p>
      <w:pPr>
        <w:spacing w:after="0" w:line="111"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addition, each share of Class B common stock will convert automatically into one share of Class A common stock upon (i)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or (ii) in the case of a stockholder who is a natural person (other than</w:t>
      </w:r>
    </w:p>
    <w:p>
      <w:pPr>
        <w:spacing w:after="0" w:line="3" w:lineRule="exact"/>
        <w:rPr>
          <w:sz w:val="20"/>
          <w:szCs w:val="20"/>
          <w:color w:val="auto"/>
        </w:rPr>
      </w:pPr>
    </w:p>
    <w:p>
      <w:pPr>
        <w:ind w:left="1260" w:right="919"/>
        <w:spacing w:after="0" w:line="260" w:lineRule="auto"/>
        <w:rPr>
          <w:sz w:val="20"/>
          <w:szCs w:val="20"/>
          <w:color w:val="auto"/>
        </w:rPr>
      </w:pPr>
      <w:r>
        <w:rPr>
          <w:rFonts w:ascii="Times New Roman" w:cs="Times New Roman" w:eastAsia="Times New Roman" w:hAnsi="Times New Roman"/>
          <w:sz w:val="18"/>
          <w:szCs w:val="18"/>
          <w:color w:val="auto"/>
        </w:rPr>
        <w:t>Mr. Levchin and Mrs. Levchin), the death or incapacity of such stockholder. Once converted into Class A common stock, the Class B common stock will not be reissued.</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transfer by a holder of Class B common stock to any of the persons or entities listed in clauses</w:t>
      </w:r>
    </w:p>
    <w:p>
      <w:pPr>
        <w:spacing w:after="0" w:line="27" w:lineRule="exact"/>
        <w:rPr>
          <w:sz w:val="20"/>
          <w:szCs w:val="20"/>
          <w:color w:val="auto"/>
        </w:rPr>
      </w:pPr>
    </w:p>
    <w:p>
      <w:pPr>
        <w:ind w:left="1260" w:right="719" w:firstLine="2"/>
        <w:spacing w:after="0" w:line="251" w:lineRule="auto"/>
        <w:tabs>
          <w:tab w:leader="none" w:pos="15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below (each, a “Permitted Transferee”) and from any such Permitted Transferee back to such holder of Class B common stock and/or any other Permitted Transferee established by or for such holder of Class B common stock will not trigger an automatic conversion of such stock to Class A common stock: (A) to a trust for the benefit of the holder of Class B common stock or persons other than such holder of Class B common stock, so long as such holder of Class B common stock (or in the case of Mr. Levchin and Mrs. Levchin, one or both of such holders) retains sole dispositive power and voting control, provided the holder of Class B common stock does not receive consideration in exchange for the transfer (other than as a settlor or beneficiary of such trust); (B) to a trust under the terms of which such holder of Class B common stock has retained a “qualified interest” within the meaning of §2702(b)(1) of the Internal Revenue Code (or successor provision) and/or a reversionary interest so long as the holder of Class B common stock (or in the case of Mr. Levchin and Mrs. Levchin, one or both of such holders) retains sole dispositive power and exclusive voting control with respect to the shares of Class B common stock held by such trust; (C) to an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Individual Retirement Account, as defined in Section 408(a) of the Internal Revenue Code (or successor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or a pension, profit sharing, stock bonus or other type of plan or trust of which such holder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Class B common stock (or in the case of Mr. Levchin and Mrs. Levchin, one or both of such holders) is a</w:t>
      </w:r>
    </w:p>
    <w:p>
      <w:pPr>
        <w:ind w:left="1260"/>
        <w:spacing w:after="0" w:line="235" w:lineRule="auto"/>
        <w:rPr>
          <w:sz w:val="20"/>
          <w:szCs w:val="20"/>
          <w:color w:val="auto"/>
        </w:rPr>
      </w:pPr>
      <w:r>
        <w:rPr>
          <w:rFonts w:ascii="Times New Roman" w:cs="Times New Roman" w:eastAsia="Times New Roman" w:hAnsi="Times New Roman"/>
          <w:sz w:val="18"/>
          <w:szCs w:val="18"/>
          <w:color w:val="auto"/>
        </w:rPr>
        <w:t>participant or beneficiary and which satisfies the requirements for qualification under Section 401 of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Internal Revenue Code (or successor provision), so long as such holder of Class B common stock (or in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case of Mr. Levchin and Mrs. Levchin, one or both of such holders) retains sole dispositive power and</w:t>
      </w:r>
    </w:p>
    <w:p>
      <w:pPr>
        <w:ind w:left="1260"/>
        <w:spacing w:after="0" w:line="235" w:lineRule="auto"/>
        <w:rPr>
          <w:sz w:val="20"/>
          <w:szCs w:val="20"/>
          <w:color w:val="auto"/>
        </w:rPr>
      </w:pPr>
      <w:r>
        <w:rPr>
          <w:rFonts w:ascii="Times New Roman" w:cs="Times New Roman" w:eastAsia="Times New Roman" w:hAnsi="Times New Roman"/>
          <w:sz w:val="18"/>
          <w:szCs w:val="18"/>
          <w:color w:val="auto"/>
        </w:rPr>
        <w:t>exclusive voting control with respect to the shares of Class B common stock held in such account, plan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trust; (D) to a corporation, partnership or limited liability company in which such holder of Class B</w:t>
      </w:r>
    </w:p>
    <w:p>
      <w:pPr>
        <w:ind w:left="1260"/>
        <w:spacing w:after="0" w:line="235" w:lineRule="auto"/>
        <w:rPr>
          <w:sz w:val="20"/>
          <w:szCs w:val="20"/>
          <w:color w:val="auto"/>
        </w:rPr>
      </w:pPr>
      <w:r>
        <w:rPr>
          <w:rFonts w:ascii="Times New Roman" w:cs="Times New Roman" w:eastAsia="Times New Roman" w:hAnsi="Times New Roman"/>
          <w:sz w:val="18"/>
          <w:szCs w:val="18"/>
          <w:color w:val="auto"/>
        </w:rPr>
        <w:t>common stock directly, or indirectly through one or more Permitted Transferees, owns shares, partnership</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interests or membership interests, as applicable, with sufficient voting control or otherwise has legally</w:t>
      </w:r>
    </w:p>
    <w:p>
      <w:pPr>
        <w:ind w:left="1260"/>
        <w:spacing w:after="0" w:line="235" w:lineRule="auto"/>
        <w:rPr>
          <w:sz w:val="20"/>
          <w:szCs w:val="20"/>
          <w:color w:val="auto"/>
        </w:rPr>
      </w:pPr>
      <w:r>
        <w:rPr>
          <w:rFonts w:ascii="Times New Roman" w:cs="Times New Roman" w:eastAsia="Times New Roman" w:hAnsi="Times New Roman"/>
          <w:sz w:val="18"/>
          <w:szCs w:val="18"/>
          <w:color w:val="auto"/>
        </w:rPr>
        <w:t>enforceable rights, such that such holder of Class B common stock (or in the case of Mr. Levchin and</w:t>
      </w:r>
    </w:p>
    <w:p>
      <w:pPr>
        <w:ind w:left="1260"/>
        <w:spacing w:after="0" w:line="235" w:lineRule="auto"/>
        <w:rPr>
          <w:sz w:val="20"/>
          <w:szCs w:val="20"/>
          <w:color w:val="auto"/>
        </w:rPr>
      </w:pPr>
      <w:r>
        <w:rPr>
          <w:rFonts w:ascii="Times New Roman" w:cs="Times New Roman" w:eastAsia="Times New Roman" w:hAnsi="Times New Roman"/>
          <w:sz w:val="18"/>
          <w:szCs w:val="18"/>
          <w:color w:val="auto"/>
        </w:rPr>
        <w:t>Mrs. Levchin, one or both of such holders) retains sole dispositive power and exclusive voting control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respect to the shares of Class B common stock held by such corporation, partnership or limited liability</w:t>
      </w:r>
    </w:p>
    <w:p>
      <w:pPr>
        <w:ind w:left="1260"/>
        <w:spacing w:after="0" w:line="235" w:lineRule="auto"/>
        <w:rPr>
          <w:sz w:val="20"/>
          <w:szCs w:val="20"/>
          <w:color w:val="auto"/>
        </w:rPr>
      </w:pPr>
      <w:r>
        <w:rPr>
          <w:rFonts w:ascii="Times New Roman" w:cs="Times New Roman" w:eastAsia="Times New Roman" w:hAnsi="Times New Roman"/>
          <w:sz w:val="18"/>
          <w:szCs w:val="18"/>
          <w:color w:val="auto"/>
        </w:rPr>
        <w:t>company; (E) to an affiliate of a holder of Class B common stock, so long as the person or entity holding</w:t>
      </w:r>
    </w:p>
    <w:p>
      <w:pPr>
        <w:ind w:left="1260"/>
        <w:spacing w:after="0" w:line="235" w:lineRule="auto"/>
        <w:rPr>
          <w:sz w:val="20"/>
          <w:szCs w:val="20"/>
          <w:color w:val="auto"/>
        </w:rPr>
      </w:pPr>
      <w:r>
        <w:rPr>
          <w:rFonts w:ascii="Times New Roman" w:cs="Times New Roman" w:eastAsia="Times New Roman" w:hAnsi="Times New Roman"/>
          <w:sz w:val="18"/>
          <w:szCs w:val="18"/>
          <w:color w:val="auto"/>
        </w:rPr>
        <w:t>sole dispositive power and exclusive voting control with respect to the shares of Class B common stock</w:t>
      </w:r>
    </w:p>
    <w:p>
      <w:pPr>
        <w:ind w:left="1260"/>
        <w:spacing w:after="0" w:line="235" w:lineRule="auto"/>
        <w:rPr>
          <w:sz w:val="20"/>
          <w:szCs w:val="20"/>
          <w:color w:val="auto"/>
        </w:rPr>
      </w:pPr>
      <w:r>
        <w:rPr>
          <w:rFonts w:ascii="Times New Roman" w:cs="Times New Roman" w:eastAsia="Times New Roman" w:hAnsi="Times New Roman"/>
          <w:sz w:val="18"/>
          <w:szCs w:val="18"/>
          <w:color w:val="auto"/>
        </w:rPr>
        <w:t>being transferred retains, directly or indirectly, sole dispositive power and exclusive voting control with</w:t>
      </w:r>
    </w:p>
    <w:p>
      <w:pPr>
        <w:ind w:left="1260"/>
        <w:spacing w:after="0" w:line="235" w:lineRule="auto"/>
        <w:rPr>
          <w:sz w:val="20"/>
          <w:szCs w:val="20"/>
          <w:color w:val="auto"/>
        </w:rPr>
      </w:pPr>
      <w:r>
        <w:rPr>
          <w:rFonts w:ascii="Times New Roman" w:cs="Times New Roman" w:eastAsia="Times New Roman" w:hAnsi="Times New Roman"/>
          <w:sz w:val="18"/>
          <w:szCs w:val="18"/>
          <w:color w:val="auto"/>
        </w:rPr>
        <w:t>respect to such shares following such transfer; and (F) in the case of Mr. Levchin or Mrs. Levchin,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Mrs. Levchin or Mr. Levchin, as applicable, or to such other holder’s Permitted Transferees, or any other</w:t>
      </w:r>
    </w:p>
    <w:p>
      <w:pPr>
        <w:ind w:left="1260"/>
        <w:spacing w:after="0" w:line="235" w:lineRule="auto"/>
        <w:rPr>
          <w:sz w:val="20"/>
          <w:szCs w:val="20"/>
          <w:color w:val="auto"/>
        </w:rPr>
      </w:pPr>
      <w:r>
        <w:rPr>
          <w:rFonts w:ascii="Times New Roman" w:cs="Times New Roman" w:eastAsia="Times New Roman" w:hAnsi="Times New Roman"/>
          <w:sz w:val="18"/>
          <w:szCs w:val="18"/>
          <w:color w:val="auto"/>
        </w:rPr>
        <w:t>entity in which the other holder has, directly or indirectly, sole dispositive power and exclusive voting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control with respect to the shares of Class B common stock held by such entity.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ratably those dividends, if any, as may be declared by the board of directors out of legally available funds.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our preferred stock.</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6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issue in the future.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48"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As of September 30, 2020, options to purchase an aggregate of 41,515,585 shares of Class A common stock were outstanding under our Pre-IPO Stock Plan and 5,387,480 additional shares of Class A common stock were available for future grant under our Pre -IPO Stock Plan. For additional information regarding the terms of this plan see the section titled “</w:t>
      </w:r>
      <w:r>
        <w:rPr>
          <w:rFonts w:ascii="Times New Roman" w:cs="Times New Roman" w:eastAsia="Times New Roman" w:hAnsi="Times New Roman"/>
          <w:sz w:val="18"/>
          <w:szCs w:val="18"/>
          <w:i w:val="1"/>
          <w:iCs w:val="1"/>
          <w:color w:val="auto"/>
        </w:rPr>
        <w:t>Executive Compensation — Equity Incentive Plans.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62"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As of September 30, 2020, we had outstanding RSUs that may be settled for an aggregate of shares of Class A common stock granted pursuant to our Pre-IPO Stock Plan. For additional information regarding the terms of this plan, see the section titled “</w:t>
      </w:r>
      <w:r>
        <w:rPr>
          <w:rFonts w:ascii="Times New Roman" w:cs="Times New Roman" w:eastAsia="Times New Roman" w:hAnsi="Times New Roman"/>
          <w:sz w:val="18"/>
          <w:szCs w:val="18"/>
          <w:i w:val="1"/>
          <w:iCs w:val="1"/>
          <w:color w:val="auto"/>
        </w:rPr>
        <w:t>Executive Compensation — Equity Incentive Plans.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of September 30, 2020, we had warrants outstanding to purchase 7,964,631 shares of our Class A common stock and 7,964,631 shares of our Class B common stock at exercise prices ranging from $0.01 to</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$3.80 per share, of which 356,065 were fully vested. All of the warrants (except for warrants to purchase an aggregate of 153,032 shares of our Class A common stock and 153,032 shares of our Class B common stock) automatically net exercise immediately prior to the completion of this offering if not exercised prior to that time. For purposes of this prospectus we have assumed the 15,223,197 warrants outstanding as of September 30, 2020 with an exercise price of $0.01 per share, which will be fully vested immediately prior to the completion of this offering, and 50,000 warrants outstanding and vested as of September 30, 2020 with an exercise price of $ 3.80 per share, will be exercised immediately prior to the completion of this offering into an aggregate of 7,636,598 shares of our Class A common stock and 7,636,598 shares of our Class B common stock.</w:t>
      </w:r>
    </w:p>
    <w:p>
      <w:pPr>
        <w:spacing w:after="0" w:line="30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warrants outstanding to purchase 153,032 shares of our Class A common stock and 153,032 shares of our Class B common stock with a weighted-average exercise price of $0.79 per share, all of which are fully vested as of September 30, 2020, that will not automatically net exercise immediately prior to the completion of this offering may be exercised by the holders thereof, in whole or in part, at any time or from time to time on any day before the expiration date by paying the purchase price or electing to net exercise. If the warrants are not exercised prior to their expiration, they will automatically net exercise on the expiration date which will occur on May 15, 2024 with respect to a warrant to purchase 76,109 shares of our Class A common stock and 76,109 shares of our Class B common stock and August 5, 2025 with respect to a warrant to purchase 76,923 shares of our Class A common stock and 76,923 shares of our Class B common stock. The warrants also contain provisions for the adjustment of the exercise price and the number of shares issuable upon the exercise of the warrant in the event of certain stock dividends, stock splits, reorganizations, reclassifications, consolidations, mergers, or similar events affecting our common stock, and diluting issuances.</w:t>
      </w:r>
    </w:p>
    <w:p>
      <w:pPr>
        <w:spacing w:after="0" w:line="297"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shares of common stock underlying the warrant issued to Shopify Inc., are entitled to certain registration rights under the Investors’ Rights Agreement as described in greater detail below in the section titled “— </w:t>
      </w:r>
      <w:r>
        <w:rPr>
          <w:rFonts w:ascii="Times New Roman" w:cs="Times New Roman" w:eastAsia="Times New Roman" w:hAnsi="Times New Roman"/>
          <w:sz w:val="18"/>
          <w:szCs w:val="18"/>
          <w:i w:val="1"/>
          <w:iCs w:val="1"/>
          <w:color w:val="auto"/>
        </w:rPr>
        <w:t>Stockholder Registration Rights</w:t>
      </w:r>
      <w:r>
        <w:rPr>
          <w:rFonts w:ascii="Times New Roman" w:cs="Times New Roman" w:eastAsia="Times New Roman" w:hAnsi="Times New Roman"/>
          <w:sz w:val="18"/>
          <w:szCs w:val="18"/>
          <w:color w:val="auto"/>
        </w:rPr>
        <w:t>.” The shares of common stock issuable upon exercise of our warrants are subject to customary market stand-off provisions in connection with this offering. See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Eligible for Future Sale.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819" w:firstLine="360"/>
        <w:spacing w:after="0" w:line="238"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30,000,000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outstanding, and we have no present plan to issue any shares of preferred stock.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Certain holders of shares of our common stock, including substantially all of our former redeemable convertible preferred stockholders, including certain holders of greater than five percent of our capital stock and entities affiliated with certain of our directors, are parties to the Investors’ Rights Agreement pursuant to which they are entitled to certain rights with respect to registration of the Class A common stock held by or issued upon conversion of such shares under the Securities Act. These shares are referred to as registrable securities. The holders of these registrable securities possess registration rights described in additional detail below.</w:t>
      </w:r>
    </w:p>
    <w:p>
      <w:pPr>
        <w:spacing w:after="0" w:line="324"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registration of shares of our Class A common stock pursuant to the exercise of the registration rights described below would enable the holders to resell these shares without restriction under the Securities Act when the applicable registration statement is declared effective. We will pay the registration expenses, other than underwriting discounts and selling commissions in a demand or piggyback registration, of the shares registered pursuant to the demand, piggyback, and Form S-3 registrations described below.</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firstLine="360"/>
        <w:spacing w:after="0" w:line="241"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the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all its shares under Rule 144 without limitation during any three-month period without registration, or (iii) upon consummation of certain liquidation transactions.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The holders of the registrable securities are entitled to certain demand registration rights. Subject to the terms of the lockup agreements described under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 at any time beginning on the earlier of September 11, 2023 or six months after the effective date of the registration statement of which this prospectus forms a part, but in no event before 180 days following the closing of this offering, the holders of more than a majority of the registrable securities then outstanding (or a lesser percent if the anticipated aggregate offering price, net of underwriting discounts and commissions, would exceed</w:t>
      </w:r>
    </w:p>
    <w:p>
      <w:pPr>
        <w:spacing w:after="0" w:line="3" w:lineRule="exact"/>
        <w:rPr>
          <w:sz w:val="20"/>
          <w:szCs w:val="20"/>
          <w:color w:val="auto"/>
        </w:rPr>
      </w:pPr>
    </w:p>
    <w:p>
      <w:pPr>
        <w:ind w:left="1260" w:right="959"/>
        <w:spacing w:after="0" w:line="238" w:lineRule="auto"/>
        <w:rPr>
          <w:sz w:val="20"/>
          <w:szCs w:val="20"/>
          <w:color w:val="auto"/>
        </w:rPr>
      </w:pPr>
      <w:r>
        <w:rPr>
          <w:rFonts w:ascii="Times New Roman" w:cs="Times New Roman" w:eastAsia="Times New Roman" w:hAnsi="Times New Roman"/>
          <w:sz w:val="18"/>
          <w:szCs w:val="18"/>
          <w:color w:val="auto"/>
        </w:rPr>
        <w:t>$5 million), may make a written request that we register all or a portion of their shares, subject to certain specified exceptions. In addition, we must notify all of the other holders of registrable securities of such registration and allow them to include all or a portion of their shares on the applicable registration statement, subject to customary cutbacks.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62"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If we propose to register for offer and sale any of our securities under the Securities Act, either for our own account or for the account of other security holders that are not party to the Investors’ Rights Agreement (other than pursuant to this offering and other specified exceptions), certain major holders for which Rule 144 is not available will be entitled to certain “piggyback” registration rights allowing them to include their registrable securities in such registration, subject to customary cutbacks and other limitations.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The holders of the registrable securities are entitled to certain Form S-3 registration rights. Any holder of registrable securities can make a request that we register for offer and sale their shares on Form S-3 if we are qualified to file a registration statement on Form S-3, subject to certain specified exceptions. In addition, we must notify all of the other holders of registrable securities of such registration and allow them to include all or a portion of their shares on the applicable registration statement. Such request for registration on Form S-3 must cover securities the aggregate offering price of which, after payment of the underwriting discounts and commissions, equals or exceeds $1,000,000. We will not be required to effect more than two registrations on Form S-3 within the 12-month period preceding the date of such request.</w:t>
      </w:r>
    </w:p>
    <w:p>
      <w:pPr>
        <w:spacing w:after="0" w:line="10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Any sales in the public market of any Class A common stock registrable pursuant to the Investors’ Rights Agreement could adversely affect prevailing market prices of our Class A common stock.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this Offering and our Class A Common Stock — Sales, directly or indirectly, of a substantial amount of our Class A common stock in the public markets by our existing security holders may cause the price of our Class A common stock to decline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82" w:lineRule="exact"/>
        <w:rPr>
          <w:sz w:val="20"/>
          <w:szCs w:val="20"/>
          <w:color w:val="auto"/>
        </w:rPr>
      </w:pPr>
    </w:p>
    <w:p>
      <w:pPr>
        <w:ind w:left="1800" w:right="799" w:hanging="178"/>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19"/>
        <w:spacing w:after="0" w:line="258" w:lineRule="auto"/>
        <w:rPr>
          <w:sz w:val="20"/>
          <w:szCs w:val="20"/>
          <w:color w:val="auto"/>
        </w:rPr>
      </w:pPr>
      <w:r>
        <w:rPr>
          <w:rFonts w:ascii="Times New Roman" w:cs="Times New Roman" w:eastAsia="Times New Roman" w:hAnsi="Times New Roman"/>
          <w:sz w:val="18"/>
          <w:szCs w:val="18"/>
          <w:color w:val="auto"/>
        </w:rPr>
        <w:t>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sz w:val="20"/>
          <w:szCs w:val="20"/>
          <w:color w:val="auto"/>
        </w:rPr>
      </w:pPr>
    </w:p>
    <w:p>
      <w:pPr>
        <w:ind w:left="1800" w:right="679" w:hanging="178"/>
        <w:spacing w:after="0" w:line="270"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hanging="178"/>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559" w:hanging="178"/>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819" w:hanging="178"/>
        <w:spacing w:after="0" w:line="275"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260" w:right="819" w:firstLine="360"/>
        <w:spacing w:after="0" w:line="263"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32"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4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include a number of provisions that could deter hostile takeovers or delay or prevent changes in control of our management team, including the following: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Dual class stock</w:t>
      </w:r>
    </w:p>
    <w:p>
      <w:pPr>
        <w:spacing w:after="0" w:line="16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As described above in </w:t>
      </w:r>
      <w:r>
        <w:rPr>
          <w:rFonts w:ascii="Times New Roman" w:cs="Times New Roman" w:eastAsia="Times New Roman" w:hAnsi="Times New Roman"/>
          <w:sz w:val="18"/>
          <w:szCs w:val="18"/>
          <w:i w:val="1"/>
          <w:iCs w:val="1"/>
          <w:color w:val="auto"/>
        </w:rPr>
        <w:t>“— Common Stock — Voting Rights,”</w:t>
      </w:r>
      <w:r>
        <w:rPr>
          <w:rFonts w:ascii="Times New Roman" w:cs="Times New Roman" w:eastAsia="Times New Roman" w:hAnsi="Times New Roman"/>
          <w:sz w:val="18"/>
          <w:szCs w:val="18"/>
          <w:color w:val="auto"/>
        </w:rPr>
        <w:t xml:space="preserve"> our amended and restated certificate of incorporation will provide for a dual class common stock structure, which will provide our current stockholders, executives, employees, directors and their affiliates with significant influence over all matters requiring stockholder approval, including the election of directors and significant corporate transactions, such as a merger or other sale of our company or our assets.</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vacancies</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48"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our board of directors will be classified into three classes of directors. The existence of a classified board of directors could discourage a third-party from making a tender offer or otherwise attempting to obtain control of us, as it is more difficult and time consuming for stockholders to replace a majority of the directors on a classified board of directors. See the section titled </w:t>
      </w:r>
      <w:r>
        <w:rPr>
          <w:rFonts w:ascii="Times New Roman" w:cs="Times New Roman" w:eastAsia="Times New Roman" w:hAnsi="Times New Roman"/>
          <w:sz w:val="18"/>
          <w:szCs w:val="18"/>
          <w:i w:val="1"/>
          <w:iCs w:val="1"/>
          <w:color w:val="auto"/>
        </w:rPr>
        <w:t>“Management — Classified Board of Directors</w:t>
      </w:r>
      <w:r>
        <w:rPr>
          <w:rFonts w:ascii="Times New Roman" w:cs="Times New Roman" w:eastAsia="Times New Roman" w:hAnsi="Times New Roman"/>
          <w:sz w:val="18"/>
          <w:szCs w:val="18"/>
          <w:color w:val="auto"/>
        </w:rPr>
        <w:t>” for additional information.</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any action required or permitted to be taken by our stockholders must be effected at a duly called annual or special meeting of our stockholders and may not be effected by any consent in writing by our stockholders. Our amended and restated certificate of incorporation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3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Directors removed only for cause</w:t>
      </w:r>
    </w:p>
    <w:p>
      <w:pPr>
        <w:spacing w:after="0" w:line="148"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stockholders may remove directors only for cause.</w:t>
      </w:r>
    </w:p>
    <w:p>
      <w:pPr>
        <w:spacing w:after="0" w:line="158" w:lineRule="exact"/>
        <w:rPr>
          <w:sz w:val="20"/>
          <w:szCs w:val="20"/>
          <w:color w:val="auto"/>
        </w:rPr>
      </w:pPr>
    </w:p>
    <w:p>
      <w:pPr>
        <w:ind w:left="1620" w:right="10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Supermajority requirements for amendments of our amended and restated certificate of incorporation and amended and restated bylaws</w:t>
      </w:r>
    </w:p>
    <w:p>
      <w:pPr>
        <w:spacing w:after="0" w:line="90" w:lineRule="exact"/>
        <w:rPr>
          <w:sz w:val="20"/>
          <w:szCs w:val="20"/>
          <w:color w:val="auto"/>
        </w:rPr>
      </w:pPr>
    </w:p>
    <w:p>
      <w:pPr>
        <w:ind w:left="1260" w:right="879" w:firstLine="3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will further provide that the affirmative vote of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 then outstanding shares of capital stock will be required to amend certain provisions of our amended and restated certificate of incorporation, including provisions relating to the classified board, the size of the board, removal of directors, filling vacancies on the board, special meetings of the stockholders, actions by written consent of the stockholders, and cumulative voting. The affirmative vote of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voting power of all of the then outstanding shares of capital stock will be required to amend or repeal our amended and restated bylaws, although our amended and restated bylaws may be amended by a simple majority vote of our board of directors.</w:t>
      </w:r>
    </w:p>
    <w:p>
      <w:pPr>
        <w:spacing w:after="0" w:line="3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amended and restated certificate of incorporation will not provide for cumulative voting.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and bylaws provisions.</w:t>
      </w:r>
    </w:p>
    <w:p>
      <w:pPr>
        <w:spacing w:after="0" w:line="148" w:lineRule="exact"/>
        <w:rPr>
          <w:sz w:val="20"/>
          <w:szCs w:val="20"/>
          <w:color w:val="auto"/>
        </w:rPr>
      </w:pPr>
    </w:p>
    <w:p>
      <w:pPr>
        <w:ind w:left="1260" w:right="799" w:firstLine="360"/>
        <w:spacing w:after="0" w:line="285" w:lineRule="auto"/>
        <w:rPr>
          <w:sz w:val="20"/>
          <w:szCs w:val="20"/>
          <w:color w:val="auto"/>
        </w:rPr>
      </w:pPr>
      <w:r>
        <w:rPr>
          <w:rFonts w:ascii="Times New Roman" w:cs="Times New Roman" w:eastAsia="Times New Roman" w:hAnsi="Times New Roman"/>
          <w:sz w:val="18"/>
          <w:szCs w:val="18"/>
          <w:color w:val="auto"/>
        </w:rPr>
        <w:t>Certain amendments to our amended and restated certificate of incorporation will require the approval of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power of our capital stock. Our amended and restated bylaws will provide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559"/>
        <w:spacing w:after="0" w:line="225" w:lineRule="auto"/>
        <w:rPr>
          <w:sz w:val="20"/>
          <w:szCs w:val="20"/>
          <w:color w:val="auto"/>
        </w:rPr>
      </w:pPr>
      <w:r>
        <w:rPr>
          <w:rFonts w:ascii="Times New Roman" w:cs="Times New Roman" w:eastAsia="Times New Roman" w:hAnsi="Times New Roman"/>
          <w:sz w:val="18"/>
          <w:szCs w:val="18"/>
          <w:color w:val="auto"/>
        </w:rPr>
        <w:t>that approval of stockholders holding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our outstanding capital stock will be required for stockholders to amend or adopt any provision of our bylaws.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Issuance of undesignated preferred stock.</w:t>
      </w:r>
    </w:p>
    <w:p>
      <w:pPr>
        <w:spacing w:after="0" w:line="148"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stockholders, to issue up to 30,000,000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62"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Our amended and restated bylaws will provide that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This provision will not apply to suits brought to enforce any duty or liability created by the Securities Act or the Exchange Act, or the rules and regulations thereunder.</w:t>
      </w:r>
    </w:p>
    <w:p>
      <w:pPr>
        <w:spacing w:after="0" w:line="121" w:lineRule="exact"/>
        <w:rPr>
          <w:sz w:val="20"/>
          <w:szCs w:val="20"/>
          <w:color w:val="auto"/>
        </w:rPr>
      </w:pPr>
    </w:p>
    <w:p>
      <w:pPr>
        <w:ind w:left="1260" w:right="799" w:firstLine="360"/>
        <w:spacing w:after="0" w:line="237" w:lineRule="auto"/>
        <w:rPr>
          <w:sz w:val="20"/>
          <w:szCs w:val="20"/>
          <w:color w:val="auto"/>
        </w:rPr>
      </w:pPr>
      <w:r>
        <w:rPr>
          <w:rFonts w:ascii="Times New Roman" w:cs="Times New Roman" w:eastAsia="Times New Roman" w:hAnsi="Times New Roman"/>
          <w:sz w:val="18"/>
          <w:szCs w:val="18"/>
          <w:color w:val="auto"/>
        </w:rPr>
        <w:t xml:space="preserve">Our amended and restated bylaws will also provide that any person or entity purchasing or otherwise acquiring any interest in shares of our capital stock will be deemed to have notice of and to have consented to the foregoing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0"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will provide that the federal district courts of the United States of America will, to the fullest extent permitted by law, be the sole and exclusive forum for resolving any complaint asserting a cause of action arising under the Securities Act.</w:t>
      </w:r>
    </w:p>
    <w:p>
      <w:pPr>
        <w:spacing w:after="0" w:line="115" w:lineRule="exact"/>
        <w:rPr>
          <w:sz w:val="20"/>
          <w:szCs w:val="20"/>
          <w:color w:val="auto"/>
        </w:rPr>
      </w:pPr>
    </w:p>
    <w:p>
      <w:pPr>
        <w:ind w:left="1260" w:right="859" w:firstLine="360"/>
        <w:spacing w:after="0" w:line="24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Our amended and restated bylaws will contain exclusive forum provisions for certain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which could limit our stockholders’ ability to obtain a favorable judicial forum for disputes with us or our directors, officers, or employees.” </w:t>
      </w:r>
      <w:r>
        <w:rPr>
          <w:rFonts w:ascii="Times New Roman" w:cs="Times New Roman" w:eastAsia="Times New Roman" w:hAnsi="Times New Roman"/>
          <w:sz w:val="18"/>
          <w:szCs w:val="18"/>
          <w:color w:val="auto"/>
        </w:rPr>
        <w:t>for more information on the risks associated with our choice of forum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firstLine="360"/>
        <w:spacing w:after="0" w:line="263"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pacing w:after="0" w:line="31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 of liability, indemnification, and advancement provisions and insurance are useful to attract and retain qualified directors and executive officers.</w:t>
      </w:r>
    </w:p>
    <w:p>
      <w:pPr>
        <w:spacing w:after="0" w:line="120"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2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employees or agents for which indemnification is sought.</w:t>
      </w:r>
    </w:p>
    <w:p>
      <w:pPr>
        <w:spacing w:after="0" w:line="81"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pursuant to which we agreed to indemnify them to the fullest extent permitted by Delaware law.</w:t>
      </w:r>
    </w:p>
    <w:p>
      <w:pPr>
        <w:spacing w:after="0" w:line="9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Class A common stock will be</w:t>
      </w:r>
    </w:p>
    <w:p>
      <w:pPr>
        <w:spacing w:after="0" w:line="27" w:lineRule="exact"/>
        <w:rPr>
          <w:sz w:val="20"/>
          <w:szCs w:val="20"/>
          <w:color w:val="auto"/>
        </w:rPr>
      </w:pPr>
    </w:p>
    <w:p>
      <w:pPr>
        <w:ind w:left="2700"/>
        <w:spacing w:after="0"/>
        <w:tabs>
          <w:tab w:leader="none" w:pos="7580" w:val="left"/>
        </w:tabs>
        <w:rPr>
          <w:sz w:val="20"/>
          <w:szCs w:val="20"/>
          <w:color w:val="auto"/>
        </w:rPr>
      </w:pPr>
      <w:r>
        <w:rPr>
          <w:rFonts w:ascii="Times New Roman" w:cs="Times New Roman" w:eastAsia="Times New Roman" w:hAnsi="Times New Roman"/>
          <w:sz w:val="18"/>
          <w:szCs w:val="18"/>
          <w:color w:val="auto"/>
        </w:rPr>
        <w:t>. The transfer agent and registrar’s address is</w:t>
      </w:r>
      <w:r>
        <w:rPr>
          <w:sz w:val="20"/>
          <w:szCs w:val="20"/>
          <w:color w:val="auto"/>
        </w:rPr>
        <w:tab/>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applied to have our Class A common stock listed on Nasdaq under the symbol “AFRM”.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Class A common stock, and we cannot predict the effect, if any, that market sales of shares of our Class A common stock or the availability of shares of our Class A common stock for sale will have on the market price of our Class A common stock prevailing from time to time. Nevertheless, sales of substantial amounts of our Class A common stock, including shares issued upon exercise of options, warrants, or convertible securities (if any), in the public market following this offering, or the anticipation of such sales or perception that such sales may occur, could adversely affect market prices prevailing from time to time and could impair our ability to raise capital through the sale of our equity securities. No prediction can be made as to the effect, if any, future sales of shares, or the availability of shares for future sales, will have on the market price of our Class A common stock prevailing from time to time.</w:t>
      </w:r>
    </w:p>
    <w:p>
      <w:pPr>
        <w:spacing w:after="0" w:line="121" w:lineRule="exact"/>
        <w:rPr>
          <w:sz w:val="20"/>
          <w:szCs w:val="20"/>
          <w:color w:val="auto"/>
        </w:rPr>
      </w:pPr>
    </w:p>
    <w:p>
      <w:pPr>
        <w:ind w:left="1620"/>
        <w:spacing w:after="0"/>
        <w:tabs>
          <w:tab w:leader="none" w:pos="6120" w:val="left"/>
        </w:tabs>
        <w:rPr>
          <w:sz w:val="20"/>
          <w:szCs w:val="20"/>
          <w:color w:val="auto"/>
        </w:rPr>
      </w:pPr>
      <w:r>
        <w:rPr>
          <w:rFonts w:ascii="Times New Roman" w:cs="Times New Roman" w:eastAsia="Times New Roman" w:hAnsi="Times New Roman"/>
          <w:sz w:val="18"/>
          <w:szCs w:val="18"/>
          <w:color w:val="auto"/>
        </w:rPr>
        <w:t>Upon the closing of this offering, we will have</w:t>
      </w:r>
      <w:r>
        <w:rPr>
          <w:sz w:val="20"/>
          <w:szCs w:val="20"/>
          <w:color w:val="auto"/>
        </w:rPr>
        <w:tab/>
      </w:r>
      <w:r>
        <w:rPr>
          <w:rFonts w:ascii="Times New Roman" w:cs="Times New Roman" w:eastAsia="Times New Roman" w:hAnsi="Times New Roman"/>
          <w:sz w:val="18"/>
          <w:szCs w:val="18"/>
          <w:color w:val="auto"/>
        </w:rPr>
        <w:t>shares of Class A common stock and</w:t>
      </w:r>
    </w:p>
    <w:p>
      <w:pPr>
        <w:spacing w:after="0" w:line="1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shares of Class B common stock issued and outstanding. All of the shares of our Class A</w:t>
      </w:r>
    </w:p>
    <w:p>
      <w:pPr>
        <w:ind w:left="1260"/>
        <w:spacing w:after="0" w:line="234" w:lineRule="auto"/>
        <w:tabs>
          <w:tab w:leader="none" w:pos="5120" w:val="left"/>
        </w:tabs>
        <w:rPr>
          <w:sz w:val="20"/>
          <w:szCs w:val="20"/>
          <w:color w:val="auto"/>
        </w:rPr>
      </w:pPr>
      <w:r>
        <w:rPr>
          <w:rFonts w:ascii="Times New Roman" w:cs="Times New Roman" w:eastAsia="Times New Roman" w:hAnsi="Times New Roman"/>
          <w:sz w:val="18"/>
          <w:szCs w:val="18"/>
          <w:color w:val="auto"/>
        </w:rPr>
        <w:t>common stock sold in this offering (or</w:t>
      </w:r>
      <w:r>
        <w:rPr>
          <w:sz w:val="20"/>
          <w:szCs w:val="20"/>
          <w:color w:val="auto"/>
        </w:rPr>
        <w:tab/>
      </w:r>
      <w:r>
        <w:rPr>
          <w:rFonts w:ascii="Times New Roman" w:cs="Times New Roman" w:eastAsia="Times New Roman" w:hAnsi="Times New Roman"/>
          <w:sz w:val="18"/>
          <w:szCs w:val="18"/>
          <w:color w:val="auto"/>
        </w:rPr>
        <w:t>shares if the underwriters exercise their option to</w:t>
      </w:r>
    </w:p>
    <w:p>
      <w:pPr>
        <w:spacing w:after="0" w:line="1" w:lineRule="exact"/>
        <w:rPr>
          <w:sz w:val="20"/>
          <w:szCs w:val="20"/>
          <w:color w:val="auto"/>
        </w:rPr>
      </w:pPr>
    </w:p>
    <w:p>
      <w:pPr>
        <w:jc w:val="both"/>
        <w:ind w:left="1260" w:right="719"/>
        <w:spacing w:after="0" w:line="239" w:lineRule="auto"/>
        <w:rPr>
          <w:sz w:val="20"/>
          <w:szCs w:val="20"/>
          <w:color w:val="auto"/>
        </w:rPr>
      </w:pPr>
      <w:r>
        <w:rPr>
          <w:rFonts w:ascii="Times New Roman" w:cs="Times New Roman" w:eastAsia="Times New Roman" w:hAnsi="Times New Roman"/>
          <w:sz w:val="18"/>
          <w:szCs w:val="18"/>
          <w:color w:val="auto"/>
        </w:rPr>
        <w:t>purchase additional shares in full) will be freely tradable without restriction or further registration under the Securities Act unless such shares are purchased by “affiliates” as that term is defined in Rule 144 under the Securities Act.</w:t>
      </w:r>
    </w:p>
    <w:p>
      <w:pPr>
        <w:spacing w:after="0" w:line="118"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The remaining outstanding shares of our Class A common stock and Class B common stock will be, and shares of Class A common stock subject to stock options, RSUs, or warrants will be on issuance, “restricted securities” as defined in Rule 144 under the Securities Act. Restricted securities may be sold in the public market only if they are registered under the Securities Act or if they qualify for an exemption from registration under Rule 144 or Rule 701 promulgated pursuant to the Securities Act, which rules are summarized below. In addition, substantially all of our security holders have entered into agreements with us containing market stand-off provisions, or lock-up agreements with the underwriters pursuant to which they have agreed, subject to specific exceptions (including the early release applicable to the Early Release Shares as described below), not to sell any of our stock for up to 180 days following the date of this prospectus, as described below.</w:t>
      </w:r>
    </w:p>
    <w:p>
      <w:pPr>
        <w:spacing w:after="0" w:line="297"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these agreements, subject to the provisions of Rule 144 or Rule 701, shares will be available for sale in the public market as follows:</w:t>
      </w:r>
    </w:p>
    <w:p>
      <w:pPr>
        <w:spacing w:after="0" w:line="54" w:lineRule="exact"/>
        <w:rPr>
          <w:sz w:val="20"/>
          <w:szCs w:val="20"/>
          <w:color w:val="auto"/>
        </w:rPr>
      </w:pPr>
    </w:p>
    <w:p>
      <w:pPr>
        <w:ind w:left="1800" w:right="939" w:hanging="178"/>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of the shares sold in this offering will be immediately available for sale in the public market;</w:t>
      </w:r>
    </w:p>
    <w:p>
      <w:pPr>
        <w:spacing w:after="0" w:line="40" w:lineRule="exact"/>
        <w:rPr>
          <w:rFonts w:ascii="Times New Roman" w:cs="Times New Roman" w:eastAsia="Times New Roman" w:hAnsi="Times New Roman"/>
          <w:sz w:val="18"/>
          <w:szCs w:val="18"/>
          <w:color w:val="auto"/>
        </w:rPr>
      </w:pPr>
    </w:p>
    <w:p>
      <w:pPr>
        <w:ind w:left="1800" w:right="739" w:hanging="178"/>
        <w:spacing w:after="0" w:line="253"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70 days after the date of this prospectus (subject to the terms of the lock-up agreements and market standoff provisions described below), all of our current and former employees, consultants and independent contractors (in each case, other than our directors, officers and greater than 1% stockholders) may sell a number of shares equal to 25% of (i) outstanding shares of Class A common stock and Class B common stock and (ii) shares of Class A common stock subject to stock options and RSUs, each held by such holder or held by trusts for the benefit of such holder or of an</w:t>
      </w:r>
    </w:p>
    <w:p>
      <w:pPr>
        <w:spacing w:after="0" w:line="5" w:lineRule="exact"/>
        <w:rPr>
          <w:sz w:val="20"/>
          <w:szCs w:val="20"/>
          <w:color w:val="auto"/>
        </w:rPr>
      </w:pPr>
    </w:p>
    <w:p>
      <w:pPr>
        <w:ind w:left="1800" w:right="1039"/>
        <w:spacing w:after="0" w:line="250" w:lineRule="auto"/>
        <w:rPr>
          <w:sz w:val="20"/>
          <w:szCs w:val="20"/>
          <w:color w:val="auto"/>
        </w:rPr>
      </w:pPr>
      <w:r>
        <w:rPr>
          <w:rFonts w:ascii="Times New Roman" w:cs="Times New Roman" w:eastAsia="Times New Roman" w:hAnsi="Times New Roman"/>
          <w:sz w:val="18"/>
          <w:szCs w:val="18"/>
          <w:color w:val="auto"/>
        </w:rPr>
        <w:t>immediate family member or affiliate of such holder, and calculated as of the date of release (the “Early Release Shares”). As of September 30, 2020, on a pro forma basis, the outstanding Early</w:t>
      </w:r>
    </w:p>
    <w:p>
      <w:pPr>
        <w:spacing w:after="0" w:line="1" w:lineRule="exact"/>
        <w:rPr>
          <w:sz w:val="20"/>
          <w:szCs w:val="20"/>
          <w:color w:val="auto"/>
        </w:rPr>
      </w:pPr>
    </w:p>
    <w:p>
      <w:pPr>
        <w:ind w:left="1800" w:right="679"/>
        <w:spacing w:after="0" w:line="260" w:lineRule="auto"/>
        <w:rPr>
          <w:sz w:val="20"/>
          <w:szCs w:val="20"/>
          <w:color w:val="auto"/>
        </w:rPr>
      </w:pPr>
      <w:r>
        <w:rPr>
          <w:rFonts w:ascii="Times New Roman" w:cs="Times New Roman" w:eastAsia="Times New Roman" w:hAnsi="Times New Roman"/>
          <w:sz w:val="18"/>
          <w:szCs w:val="18"/>
          <w:color w:val="auto"/>
        </w:rPr>
        <w:t>Release Shares held by such holders was shares of Class A common stock and shares of Class B common stock;</w:t>
      </w:r>
    </w:p>
    <w:p>
      <w:pPr>
        <w:spacing w:after="0" w:line="73" w:lineRule="exact"/>
        <w:rPr>
          <w:sz w:val="20"/>
          <w:szCs w:val="20"/>
          <w:color w:val="auto"/>
        </w:rPr>
      </w:pPr>
    </w:p>
    <w:p>
      <w:pPr>
        <w:ind w:left="1800" w:right="739" w:hanging="178"/>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other than those held by our officers, directors and greater than 1% stockholders, if the date 180 days after the date of this prospectus occurs within five trading days of a trading black-out period under our insider trading policy, such shares not released as a result of the early release described above will be available for sale in the public market beginning on the fifth trading day immediately preceding the commencement of such trading black-out period; and</w:t>
      </w:r>
    </w:p>
    <w:p>
      <w:pPr>
        <w:spacing w:after="0" w:line="75" w:lineRule="exact"/>
        <w:rPr>
          <w:sz w:val="20"/>
          <w:szCs w:val="20"/>
          <w:color w:val="auto"/>
        </w:rPr>
      </w:pPr>
    </w:p>
    <w:p>
      <w:pPr>
        <w:ind w:left="1620"/>
        <w:spacing w:after="0"/>
        <w:tabs>
          <w:tab w:leader="none" w:pos="6340" w:val="left"/>
        </w:tabs>
        <w:rPr>
          <w:sz w:val="20"/>
          <w:szCs w:val="20"/>
          <w:color w:val="auto"/>
        </w:rPr>
      </w:pPr>
      <w:r>
        <w:rPr>
          <w:rFonts w:ascii="Times New Roman" w:cs="Times New Roman" w:eastAsia="Times New Roman" w:hAnsi="Times New Roman"/>
          <w:sz w:val="18"/>
          <w:szCs w:val="18"/>
          <w:color w:val="auto"/>
        </w:rPr>
        <w:t>•  beginning 181 days after the date of this prospectus,</w:t>
      </w:r>
      <w:r>
        <w:rPr>
          <w:sz w:val="20"/>
          <w:szCs w:val="20"/>
          <w:color w:val="auto"/>
        </w:rPr>
        <w:tab/>
      </w:r>
      <w:r>
        <w:rPr>
          <w:rFonts w:ascii="Times New Roman" w:cs="Times New Roman" w:eastAsia="Times New Roman" w:hAnsi="Times New Roman"/>
          <w:sz w:val="18"/>
          <w:szCs w:val="18"/>
          <w:color w:val="auto"/>
        </w:rPr>
        <w:t>shares of our Class A common stock and</w:t>
      </w:r>
    </w:p>
    <w:p>
      <w:pPr>
        <w:spacing w:after="0" w:line="27" w:lineRule="exact"/>
        <w:rPr>
          <w:sz w:val="20"/>
          <w:szCs w:val="20"/>
          <w:color w:val="auto"/>
        </w:rPr>
      </w:pPr>
    </w:p>
    <w:p>
      <w:pPr>
        <w:ind w:left="2320"/>
        <w:spacing w:after="0"/>
        <w:tabs>
          <w:tab w:leader="none" w:pos="5620" w:val="left"/>
          <w:tab w:leader="none" w:pos="8380" w:val="left"/>
        </w:tabs>
        <w:rPr>
          <w:sz w:val="20"/>
          <w:szCs w:val="20"/>
          <w:color w:val="auto"/>
        </w:rPr>
      </w:pPr>
      <w:r>
        <w:rPr>
          <w:rFonts w:ascii="Times New Roman" w:cs="Times New Roman" w:eastAsia="Times New Roman" w:hAnsi="Times New Roman"/>
          <w:sz w:val="18"/>
          <w:szCs w:val="18"/>
          <w:color w:val="auto"/>
        </w:rPr>
        <w:t>Class B common stock, including (i)</w:t>
      </w:r>
      <w:r>
        <w:rPr>
          <w:sz w:val="20"/>
          <w:szCs w:val="20"/>
          <w:color w:val="auto"/>
        </w:rPr>
        <w:tab/>
      </w:r>
      <w:r>
        <w:rPr>
          <w:rFonts w:ascii="Times New Roman" w:cs="Times New Roman" w:eastAsia="Times New Roman" w:hAnsi="Times New Roman"/>
          <w:sz w:val="18"/>
          <w:szCs w:val="18"/>
          <w:color w:val="auto"/>
        </w:rPr>
        <w:t>Early Release Shares and (ii)</w:t>
      </w:r>
      <w:r>
        <w:rPr>
          <w:sz w:val="20"/>
          <w:szCs w:val="20"/>
          <w:color w:val="auto"/>
        </w:rPr>
        <w:tab/>
      </w:r>
      <w:r>
        <w:rPr>
          <w:rFonts w:ascii="Times New Roman" w:cs="Times New Roman" w:eastAsia="Times New Roman" w:hAnsi="Times New Roman"/>
          <w:sz w:val="18"/>
          <w:szCs w:val="18"/>
          <w:color w:val="auto"/>
        </w:rPr>
        <w:t>shares of</w:t>
      </w:r>
    </w:p>
    <w:p>
      <w:pPr>
        <w:spacing w:after="0" w:line="9" w:lineRule="exact"/>
        <w:rPr>
          <w:sz w:val="20"/>
          <w:szCs w:val="20"/>
          <w:color w:val="auto"/>
        </w:rPr>
      </w:pPr>
    </w:p>
    <w:p>
      <w:pPr>
        <w:ind w:left="1800" w:right="679"/>
        <w:spacing w:after="0" w:line="250" w:lineRule="auto"/>
        <w:rPr>
          <w:sz w:val="20"/>
          <w:szCs w:val="20"/>
          <w:color w:val="auto"/>
        </w:rPr>
      </w:pPr>
      <w:r>
        <w:rPr>
          <w:rFonts w:ascii="Times New Roman" w:cs="Times New Roman" w:eastAsia="Times New Roman" w:hAnsi="Times New Roman"/>
          <w:sz w:val="18"/>
          <w:szCs w:val="18"/>
          <w:color w:val="auto"/>
        </w:rPr>
        <w:t>Class A common stock to be issued upon exercise or vesting of stock options and RSUs outstanding as of September 30, 2020 that we expect will be exercisable or vested by the 181 day after the date of</w:t>
      </w:r>
    </w:p>
    <w:p>
      <w:pPr>
        <w:spacing w:after="0" w:line="1" w:lineRule="exact"/>
        <w:rPr>
          <w:sz w:val="20"/>
          <w:szCs w:val="20"/>
          <w:color w:val="auto"/>
        </w:rPr>
      </w:pPr>
    </w:p>
    <w:p>
      <w:pPr>
        <w:ind w:left="1800" w:right="939"/>
        <w:spacing w:after="0" w:line="260" w:lineRule="auto"/>
        <w:rPr>
          <w:sz w:val="20"/>
          <w:szCs w:val="20"/>
          <w:color w:val="auto"/>
        </w:rPr>
      </w:pPr>
      <w:r>
        <w:rPr>
          <w:rFonts w:ascii="Times New Roman" w:cs="Times New Roman" w:eastAsia="Times New Roman" w:hAnsi="Times New Roman"/>
          <w:sz w:val="18"/>
          <w:szCs w:val="18"/>
          <w:color w:val="auto"/>
        </w:rPr>
        <w:t>this prospectus, will become eligible for sale in the public market, of which shares will be held by affiliates and subject to the volume and other restrictions of Rule 144, as described below.</w:t>
      </w:r>
    </w:p>
    <w:p>
      <w:pPr>
        <w:sectPr>
          <w:pgSz w:w="11900" w:h="16838" w:orient="portrait"/>
          <w:cols w:equalWidth="0" w:num="1">
            <w:col w:w="10139"/>
          </w:cols>
          <w:pgMar w:left="320" w:top="114"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In addition, beginning on the date of this prospectus, approximately million shares will be eligible for sale in the public market in order to satisfy tax obligations in connection with the settlement of RSUs for which time-based vesting conditions are satisfied as of the date of this prospectus, in addition to</w:t>
      </w:r>
    </w:p>
    <w:p>
      <w:pPr>
        <w:ind w:left="1260"/>
        <w:spacing w:after="0" w:line="236" w:lineRule="auto"/>
        <w:tabs>
          <w:tab w:leader="none" w:pos="2840" w:val="left"/>
        </w:tabs>
        <w:rPr>
          <w:sz w:val="20"/>
          <w:szCs w:val="20"/>
          <w:color w:val="auto"/>
        </w:rPr>
      </w:pPr>
      <w:r>
        <w:rPr>
          <w:rFonts w:ascii="Times New Roman" w:cs="Times New Roman" w:eastAsia="Times New Roman" w:hAnsi="Times New Roman"/>
          <w:sz w:val="18"/>
          <w:szCs w:val="18"/>
          <w:color w:val="auto"/>
        </w:rPr>
        <w:t>an additional</w:t>
      </w:r>
      <w:r>
        <w:rPr>
          <w:sz w:val="20"/>
          <w:szCs w:val="20"/>
          <w:color w:val="auto"/>
        </w:rPr>
        <w:tab/>
      </w:r>
      <w:r>
        <w:rPr>
          <w:rFonts w:ascii="Times New Roman" w:cs="Times New Roman" w:eastAsia="Times New Roman" w:hAnsi="Times New Roman"/>
          <w:sz w:val="18"/>
          <w:szCs w:val="18"/>
          <w:color w:val="auto"/>
        </w:rPr>
        <w:t>million shares which could be sold during the 180 days after the date of this prospectus</w:t>
      </w:r>
    </w:p>
    <w:p>
      <w:pPr>
        <w:ind w:left="1260" w:right="699"/>
        <w:spacing w:after="0" w:line="234" w:lineRule="auto"/>
        <w:rPr>
          <w:sz w:val="20"/>
          <w:szCs w:val="20"/>
          <w:color w:val="auto"/>
        </w:rPr>
      </w:pPr>
      <w:r>
        <w:rPr>
          <w:rFonts w:ascii="Times New Roman" w:cs="Times New Roman" w:eastAsia="Times New Roman" w:hAnsi="Times New Roman"/>
          <w:sz w:val="18"/>
          <w:szCs w:val="18"/>
          <w:color w:val="auto"/>
        </w:rPr>
        <w:t>in order to satisfy tax obligations in connection with the settlement of RSUs after the date of this prospectus, based on an assumed personal tax rate of % and assuming that withholding occurs at the statutory minimum rate of % and our employees sell additional shares to satisfy their tax obligations at a</w:t>
      </w:r>
    </w:p>
    <w:p>
      <w:pPr>
        <w:ind w:left="1260"/>
        <w:spacing w:after="0" w:line="237" w:lineRule="auto"/>
        <w:tabs>
          <w:tab w:leader="none" w:pos="258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8"/>
          <w:szCs w:val="18"/>
          <w:color w:val="auto"/>
        </w:rPr>
        <w:t>per share, which is the midpoint of the price range set forth on the cover page of this</w:t>
      </w:r>
    </w:p>
    <w:p>
      <w:pPr>
        <w:ind w:left="1260" w:right="739"/>
        <w:spacing w:after="0" w:line="234" w:lineRule="auto"/>
        <w:rPr>
          <w:sz w:val="20"/>
          <w:szCs w:val="20"/>
          <w:color w:val="auto"/>
        </w:rPr>
      </w:pPr>
      <w:r>
        <w:rPr>
          <w:rFonts w:ascii="Times New Roman" w:cs="Times New Roman" w:eastAsia="Times New Roman" w:hAnsi="Times New Roman"/>
          <w:sz w:val="18"/>
          <w:szCs w:val="18"/>
          <w:color w:val="auto"/>
        </w:rPr>
        <w:t>prospectus. The actual number of shares eligible for sale in the public market in connection with tax obligations may differ based on our employees’ personal tax rates. Furthermore, if the stock prices at which</w:t>
      </w:r>
    </w:p>
    <w:p>
      <w:pPr>
        <w:spacing w:after="0" w:line="1" w:lineRule="exact"/>
        <w:rPr>
          <w:sz w:val="20"/>
          <w:szCs w:val="20"/>
          <w:color w:val="auto"/>
        </w:rPr>
      </w:pPr>
    </w:p>
    <w:p>
      <w:pPr>
        <w:ind w:left="1260" w:right="719"/>
        <w:spacing w:after="0" w:line="239" w:lineRule="auto"/>
        <w:rPr>
          <w:sz w:val="20"/>
          <w:szCs w:val="20"/>
          <w:color w:val="auto"/>
        </w:rPr>
      </w:pPr>
      <w:r>
        <w:rPr>
          <w:rFonts w:ascii="Times New Roman" w:cs="Times New Roman" w:eastAsia="Times New Roman" w:hAnsi="Times New Roman"/>
          <w:sz w:val="18"/>
          <w:szCs w:val="18"/>
          <w:color w:val="auto"/>
        </w:rPr>
        <w:t>our employees are able to sell their shares were to decrease from the price of $ per share, which is the midpoint of the price range set forth on the cover page of this prospectus, employees may sell additional shares to satisfy their tax obligations.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 and Market Stand-off Provisions</w:t>
      </w:r>
    </w:p>
    <w:p>
      <w:pPr>
        <w:spacing w:after="0" w:line="148" w:lineRule="exact"/>
        <w:rPr>
          <w:sz w:val="20"/>
          <w:szCs w:val="20"/>
          <w:color w:val="auto"/>
        </w:rPr>
      </w:pPr>
    </w:p>
    <w:p>
      <w:pPr>
        <w:ind w:left="1260" w:right="699" w:firstLine="360"/>
        <w:spacing w:after="0" w:line="236" w:lineRule="auto"/>
        <w:rPr>
          <w:sz w:val="20"/>
          <w:szCs w:val="20"/>
          <w:color w:val="auto"/>
        </w:rPr>
      </w:pPr>
      <w:r>
        <w:rPr>
          <w:rFonts w:ascii="Times New Roman" w:cs="Times New Roman" w:eastAsia="Times New Roman" w:hAnsi="Times New Roman"/>
          <w:sz w:val="18"/>
          <w:szCs w:val="18"/>
          <w:color w:val="auto"/>
        </w:rPr>
        <w:t>All of our directors, officers, and substantially all of our security holders are subject to lock-up agreements or market stand-off provisions pursuant to which each of these persons or entities, with limited exceptions, for a period of up to 180 days after the date of this prospectus, may not, and may not disclose any intention to, without the prior written consent of Morgan Stanley &amp; Co. LLC and Goldman Sachs &amp; Co. LLC, (i) offer, pledge, sell, contract to sell, sell any option or contract to purchase, purchase any option or contract to sell, grant any option, right or warrant to purchase, lend, or otherwise transfer or dispose of, directly or indirectly, any shares of our common stock beneficially owned (as such term is used in Rule 13d-3 of the Exchange Act), by such holder or any other securities so owned convertible into or exercisable or exchangeable for our common stock or (ii) enter into any swap or other arrangement that transfers to another, in whole or in part, any of the economic consequences of ownership of our common stock, whether any such transaction described in clause (i) or (ii) above is to be settled by delivery of our common stock or such other securities, in cash or otherwise, or (iii) make any demand for or exercise any right with respect to the registration of any shares of our common stock or any security convertible into or exercisable or exchangeable for shares of our common stock, subject to certain exceptions as set forth in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provided that such 180 day restricted period will end with respect to the Early Release Shares if at any time beginning 70 days after the date of this prospectus (the “Early Expiration Threshold Date”) (1) we have filed at least one quarterly report on Form 10-Q or annual report on Form 10-K and</w:t>
      </w:r>
    </w:p>
    <w:p>
      <w:pPr>
        <w:spacing w:after="0" w:line="2" w:lineRule="exact"/>
        <w:rPr>
          <w:sz w:val="20"/>
          <w:szCs w:val="20"/>
          <w:color w:val="auto"/>
        </w:rPr>
      </w:pPr>
    </w:p>
    <w:p>
      <w:pPr>
        <w:ind w:left="1260" w:right="699" w:firstLine="2"/>
        <w:spacing w:after="0"/>
        <w:tabs>
          <w:tab w:leader="none" w:pos="152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closing price of our Class A common stock is at least 33% greater than the initial public offering price of our Class A common stock for 10 out of any 15 consecutive trading days ending on or after the Early Expiration Threshold Date (which 15 trading day period may begin prior to or after the Early Expiration Threshold Date), including the last day of such 15 day trading period; and provided further that, if 70 days after the date of this prospectus occurs within a regular quarterly trading black-out period under our insider trading policy, the above referenced early expiration date will be the third trading day immediately following the first date that we are no longer in a black-out period and the closing price of our Class A common stock on such date is greater than the initial public offering price of our Class A common stock. In addition, with respect to shares not released as a result of such early release (other than the shares held by our officers, directors and greater than 1% stockholders), if 180 days after the date of this prospectus occurs within five trading days of a regular quarterly trading black-out period under our insider trading policy, the restricted period will expire on the sixth trading day immediately preceding the commencement of such trading black-out period. These agreements are described in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Morgan Stanley &amp; Co. LLC and Goldman Sachs &amp; Co. LLC may release any of the securities subject to these lock-up agreements or market standoff provisions at any time, subject to applicable notice requirements.</w:t>
      </w:r>
    </w:p>
    <w:p>
      <w:pPr>
        <w:spacing w:after="0" w:line="3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or market standoff provisions described above.</w:t>
      </w:r>
    </w:p>
    <w:p>
      <w:pPr>
        <w:spacing w:after="0" w:line="77" w:lineRule="exact"/>
        <w:rPr>
          <w:sz w:val="20"/>
          <w:szCs w:val="20"/>
          <w:color w:val="auto"/>
        </w:rPr>
      </w:pPr>
    </w:p>
    <w:p>
      <w:pPr>
        <w:ind w:left="1260" w:right="919" w:firstLine="360"/>
        <w:spacing w:after="0" w:line="24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upon expiration of the lock-up agreements or market standoff provisions described above. Beginning 90 days after the date of this prospectus, within any three-month period, such stockholders may sell a number of shares that does not exceed the greater of:</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one percent of the number of shares of Class A common stock then outstanding, which will equal</w:t>
      </w:r>
    </w:p>
    <w:p>
      <w:pPr>
        <w:spacing w:after="0" w:line="27" w:lineRule="exact"/>
        <w:rPr>
          <w:sz w:val="20"/>
          <w:szCs w:val="20"/>
          <w:color w:val="auto"/>
        </w:rPr>
      </w:pPr>
    </w:p>
    <w:p>
      <w:pPr>
        <w:ind w:left="1800" w:right="1399"/>
        <w:spacing w:after="0" w:line="260" w:lineRule="auto"/>
        <w:rPr>
          <w:sz w:val="20"/>
          <w:szCs w:val="20"/>
          <w:color w:val="auto"/>
        </w:rPr>
      </w:pPr>
      <w:r>
        <w:rPr>
          <w:rFonts w:ascii="Times New Roman" w:cs="Times New Roman" w:eastAsia="Times New Roman" w:hAnsi="Times New Roman"/>
          <w:sz w:val="18"/>
          <w:szCs w:val="18"/>
          <w:color w:val="auto"/>
        </w:rPr>
        <w:t>approximately shares immediately after this offering, assuming no exercise of the underwriters’ option to purchase additional shares of our Class A common stock from us; or</w:t>
      </w:r>
    </w:p>
    <w:p>
      <w:pPr>
        <w:spacing w:after="0" w:line="60" w:lineRule="exact"/>
        <w:rPr>
          <w:sz w:val="20"/>
          <w:szCs w:val="20"/>
          <w:color w:val="auto"/>
        </w:rPr>
      </w:pPr>
    </w:p>
    <w:p>
      <w:pPr>
        <w:ind w:left="1800" w:right="719" w:hanging="178"/>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Class A common stock on Nasdaq during the four calendar weeks preceding the filing of a notice on Form 144 with respect to the sale.</w:t>
      </w:r>
    </w:p>
    <w:p>
      <w:pPr>
        <w:spacing w:after="0" w:line="54"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acquired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(as defined in</w:t>
      </w:r>
    </w:p>
    <w:p>
      <w:pPr>
        <w:spacing w:after="0" w:line="2" w:lineRule="exact"/>
        <w:rPr>
          <w:sz w:val="20"/>
          <w:szCs w:val="20"/>
          <w:color w:val="auto"/>
        </w:rPr>
      </w:pPr>
    </w:p>
    <w:p>
      <w:pPr>
        <w:ind w:left="1260" w:right="699"/>
        <w:spacing w:after="0" w:line="236" w:lineRule="auto"/>
        <w:rPr>
          <w:sz w:val="20"/>
          <w:szCs w:val="20"/>
          <w:color w:val="auto"/>
        </w:rPr>
      </w:pPr>
      <w:r>
        <w:rPr>
          <w:rFonts w:ascii="Times New Roman" w:cs="Times New Roman" w:eastAsia="Times New Roman" w:hAnsi="Times New Roman"/>
          <w:sz w:val="18"/>
          <w:szCs w:val="18"/>
          <w:color w:val="auto"/>
        </w:rPr>
        <w:t>Rule 144) during the immediately preceding 90 days, the sale may be made under Rule 144 without compliance with that rule’s public information, holding period, volume limitation, or notice requirements. If such a person is an affiliate, the sale may be made under Rule 144 without compliance with that rule’s holding period requirement, but subject to the other Rule 144 requirements. All holders of Rule 701 shares, however, are required by that rule to wait until 90 days after the date of this prospectus before selling those shares under Rule 701, subject to the expiration of the lock-up agreements or market standoff provisions described above.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2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Following the consummation of this offering, we intend to file one or more registration statements on Form S-8 under the Securities Act to register the issuance and sale of all of the shares of our Class A common stock reserved for issuance under our equity incentive plans. Any such Form S-8 registration statement will become effective automatically upon filing. Accordingly, shares registered under such registration statement will be available for sale in the open market following the effective date, unless such shares are subject to vesting restrictions, Rule 144 restrictions applicable to our affiliates, or the lock-up or market stand-off restrictions described above. In addition, we intend to file a registration statement on Form S-8 covering shares of our Class A common stock issued pursuant to our Amended and Restated 2012 Stock Plan permitting the resale of such shares by non-affiliates in the public market without restriction under the Securities Act and the sale by affiliates in the public market subject to compliance with the resale provisions of Rule 144.</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have granted demand, Form S-3, and piggyback registration rights to certain of our stockholders to sell our Class A common stock. Registration of the sale of these shares under the Securities Act would result in these shares becoming freely tradable without restriction under the Securities Act immediately upon the effectiveness of the related registration statement, except for shares purchased by affiliates. See the section titled “</w:t>
      </w:r>
      <w:r>
        <w:rPr>
          <w:rFonts w:ascii="Times New Roman" w:cs="Times New Roman" w:eastAsia="Times New Roman" w:hAnsi="Times New Roman"/>
          <w:sz w:val="18"/>
          <w:szCs w:val="18"/>
          <w:i w:val="1"/>
          <w:iCs w:val="1"/>
          <w:color w:val="auto"/>
        </w:rPr>
        <w:t>Description of Capital Stock — Stockholder Registration Rights</w:t>
      </w:r>
      <w:r>
        <w:rPr>
          <w:rFonts w:ascii="Times New Roman" w:cs="Times New Roman" w:eastAsia="Times New Roman" w:hAnsi="Times New Roman"/>
          <w:sz w:val="18"/>
          <w:szCs w:val="18"/>
          <w:color w:val="auto"/>
        </w:rPr>
        <w:t>” for additional information.</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4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non-U.S. holders of shares of our Class A common stock that hold such shares as capital assets (generally, for investment). This summary does not consider specific facts and circumstances that may be relevant to a particular holder’s tax position and does not consider the non-income tax consequences (including any U.S. federal estate or gift tax considerations)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Class A common stock as part of a hedging, integrated, or conversion transaction, a constructive sale, or a straddle; a person that received shares of our Class A common stock as compensation; a controlled foreign corporation; a passive foreign investment company; or a former U.S. citizen). This summary is based upon the United States Internal Revenue Code of 1986, as amended (the “Code”), existing and proposed Treasury regulations, Internal Revenue Service (“IRS”) rulings and pronouncements, and judicial decisions in effect, all of which are subject to change, possibly on a retroactive basis, or differing interpretations.</w:t>
      </w:r>
    </w:p>
    <w:p>
      <w:pPr>
        <w:spacing w:after="0" w:line="288" w:lineRule="exact"/>
        <w:rPr>
          <w:sz w:val="20"/>
          <w:szCs w:val="20"/>
          <w:color w:val="auto"/>
        </w:rPr>
      </w:pPr>
    </w:p>
    <w:p>
      <w:pPr>
        <w:ind w:left="1260" w:right="899" w:firstLine="360"/>
        <w:spacing w:after="0" w:line="246" w:lineRule="auto"/>
        <w:rPr>
          <w:sz w:val="20"/>
          <w:szCs w:val="20"/>
          <w:color w:val="auto"/>
        </w:rPr>
      </w:pPr>
      <w:r>
        <w:rPr>
          <w:rFonts w:ascii="Times New Roman" w:cs="Times New Roman" w:eastAsia="Times New Roman" w:hAnsi="Times New Roman"/>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32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our Class A common stock who is:</w:t>
      </w:r>
    </w:p>
    <w:p>
      <w:pPr>
        <w:spacing w:after="0" w:line="41" w:lineRule="exact"/>
        <w:rPr>
          <w:sz w:val="20"/>
          <w:szCs w:val="20"/>
          <w:color w:val="auto"/>
        </w:rPr>
      </w:pPr>
    </w:p>
    <w:p>
      <w:pPr>
        <w:ind w:left="1800" w:hanging="178"/>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17"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800" w:right="699" w:hanging="178"/>
        <w:spacing w:after="0" w:line="261"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1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 “non- U.S. holder” is a beneficial owner of shares of our Class A common stock that is not an entity classified as a partnership for U.S. federal income tax purposes and is not a U.S. holder.</w:t>
      </w:r>
    </w:p>
    <w:p>
      <w:pPr>
        <w:spacing w:after="0" w:line="81"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If a partnership or other pass -through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tax consequences of the purchase, ownership, and disposition of shares of our Class A common stock.</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0"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 xml:space="preserve">As described under the section titled “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have not paid and do not anticipate paying dividends. However, any dividends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(discussed below), and to such right under the applicable income tax treaty on a properly completed IRS Form W-8BEN or IRS Form W-8BEN-E. If, however, a non- 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w:t>
      </w: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66" w:lineRule="auto"/>
        <w:rPr>
          <w:sz w:val="20"/>
          <w:szCs w:val="20"/>
          <w:color w:val="auto"/>
        </w:rPr>
      </w:pPr>
      <w:r>
        <w:rPr>
          <w:rFonts w:ascii="Times New Roman" w:cs="Times New Roman" w:eastAsia="Times New Roman" w:hAnsi="Times New Roman"/>
          <w:sz w:val="18"/>
          <w:szCs w:val="18"/>
          <w:color w:val="auto"/>
        </w:rPr>
        <w:t>Instead, such dividends are subject to U.S. federal income tax at regular rates applicable to U.S. persons generally and, for corporate holders, may also be subject to a 30% “branch profits tax” unless the non-U.S. holder qualifies for a lower rate under an applicable U.S. income tax treaty.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4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any gain on a sale, exchange, or other taxable disposition of shares of our Class A common stock unless:</w:t>
      </w:r>
    </w:p>
    <w:p>
      <w:pPr>
        <w:spacing w:after="0" w:line="54" w:lineRule="exact"/>
        <w:rPr>
          <w:sz w:val="20"/>
          <w:szCs w:val="20"/>
          <w:color w:val="auto"/>
        </w:rPr>
      </w:pPr>
    </w:p>
    <w:p>
      <w:pPr>
        <w:ind w:left="1800" w:right="679" w:hanging="178"/>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U.S. and, in the case of certain income tax treaties, is attributable to a permanent establishment or fixed base maintained by the non-U.S. holder in the U.S.;</w:t>
      </w:r>
    </w:p>
    <w:p>
      <w:pPr>
        <w:spacing w:after="0" w:line="67"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183 or more days in the tax year of the disposition and certain other conditions are satisfied; or</w:t>
      </w:r>
    </w:p>
    <w:p>
      <w:pPr>
        <w:spacing w:after="0" w:line="53" w:lineRule="exact"/>
        <w:rPr>
          <w:rFonts w:ascii="Times New Roman" w:cs="Times New Roman" w:eastAsia="Times New Roman" w:hAnsi="Times New Roman"/>
          <w:sz w:val="18"/>
          <w:szCs w:val="18"/>
          <w:color w:val="auto"/>
        </w:rPr>
      </w:pPr>
    </w:p>
    <w:p>
      <w:pPr>
        <w:ind w:left="1800" w:right="799" w:hanging="178"/>
        <w:spacing w:after="0" w:line="255"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(“USRPHC”) under Section 897 of the Code during the applicable statutory period and the non-U.S. holder’s shares in us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21"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above will be subject to U.S. federal income tax on a net income basis at generally applicable U.S. federal income tax rates and, for a non-U.S. holder that is a corporation, may also be subject to an additional “branch profits tax” at a 30% rate (or such lower rate as may be specified by an applicable income tax treaty).</w:t>
      </w:r>
    </w:p>
    <w:p>
      <w:pPr>
        <w:spacing w:after="0" w:line="11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will generally be subject to U.S. federal income tax at a 30% rate (or such lower rate as may be specified by an applicable income tax treaty), but may be offset by certain U.S.-source capital losses, if any, of the non-U.S. holder.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Under the Foreign Account Tax Compliance Act (“FATCA”),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Class A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Goldman Sachs &amp; Co. LLC and Allen &amp; Company LLC are acting as representatives, have severally agreed to purchase, and we have agreed to sell to them, severally, the number of shares of Class A common stock indicated below:</w:t>
      </w:r>
    </w:p>
    <w:p>
      <w:pPr>
        <w:spacing w:after="0" w:line="133" w:lineRule="exact"/>
        <w:rPr>
          <w:sz w:val="20"/>
          <w:szCs w:val="20"/>
          <w:color w:val="auto"/>
        </w:rPr>
      </w:pPr>
    </w:p>
    <w:p>
      <w:pPr>
        <w:ind w:left="1260"/>
        <w:spacing w:after="0"/>
        <w:tabs>
          <w:tab w:leader="none" w:pos="8360" w:val="left"/>
        </w:tabs>
        <w:rPr>
          <w:sz w:val="20"/>
          <w:szCs w:val="20"/>
          <w:color w:val="auto"/>
        </w:rPr>
      </w:pPr>
      <w:r>
        <w:rPr>
          <w:rFonts w:ascii="Times New Roman" w:cs="Times New Roman" w:eastAsia="Times New Roman" w:hAnsi="Times New Roman"/>
          <w:sz w:val="13"/>
          <w:szCs w:val="13"/>
          <w:b w:val="1"/>
          <w:bCs w:val="1"/>
          <w:color w:val="auto"/>
        </w:rPr>
        <w:t>Name</w:t>
      </w:r>
      <w:r>
        <w:rPr>
          <w:sz w:val="20"/>
          <w:szCs w:val="20"/>
          <w:color w:val="auto"/>
        </w:rPr>
        <w:tab/>
      </w:r>
      <w:r>
        <w:rPr>
          <w:rFonts w:ascii="Times New Roman" w:cs="Times New Roman" w:eastAsia="Times New Roman" w:hAnsi="Times New Roman"/>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40640</wp:posOffset>
            </wp:positionV>
            <wp:extent cx="5212080" cy="1631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1454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146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146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8890</wp:posOffset>
            </wp:positionV>
            <wp:extent cx="5212080" cy="1714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19685</wp:posOffset>
            </wp:positionV>
            <wp:extent cx="3429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36830</wp:posOffset>
            </wp:positionV>
            <wp:extent cx="3429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77"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340"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Class A common stock directly to the public at the offering price listed on the cover page of this prospectus and part to certain dealers at the</w:t>
      </w:r>
    </w:p>
    <w:p>
      <w:pPr>
        <w:ind w:left="1260" w:right="679"/>
        <w:spacing w:after="0" w:line="253" w:lineRule="auto"/>
        <w:rPr>
          <w:sz w:val="20"/>
          <w:szCs w:val="20"/>
          <w:color w:val="auto"/>
        </w:rPr>
      </w:pPr>
      <w:r>
        <w:rPr>
          <w:rFonts w:ascii="Times New Roman" w:cs="Times New Roman" w:eastAsia="Times New Roman" w:hAnsi="Times New Roman"/>
          <w:sz w:val="18"/>
          <w:szCs w:val="18"/>
          <w:color w:val="auto"/>
        </w:rPr>
        <w:t>public offering price less a concession not to exceed $ per share. After the initial offering of the shares of Class A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w:t>
      </w:r>
    </w:p>
    <w:p>
      <w:pPr>
        <w:spacing w:after="0" w:line="27" w:lineRule="exact"/>
        <w:rPr>
          <w:sz w:val="20"/>
          <w:szCs w:val="20"/>
          <w:color w:val="auto"/>
        </w:rPr>
      </w:pPr>
    </w:p>
    <w:p>
      <w:pPr>
        <w:ind w:left="1260" w:right="759"/>
        <w:spacing w:after="0" w:line="251" w:lineRule="auto"/>
        <w:rPr>
          <w:sz w:val="20"/>
          <w:szCs w:val="20"/>
          <w:color w:val="auto"/>
        </w:rPr>
      </w:pPr>
      <w:r>
        <w:rPr>
          <w:rFonts w:ascii="Times New Roman" w:cs="Times New Roman" w:eastAsia="Times New Roman" w:hAnsi="Times New Roman"/>
          <w:sz w:val="18"/>
          <w:szCs w:val="18"/>
          <w:color w:val="auto"/>
        </w:rPr>
        <w:t>to purchase up to additional shares of Class A common stock at the public offering price listed on the cover page of this prospectus, less underwriting discounts and commissions. The underwriters may exercise this option solely for the purpose of covering the underwriters’ option to purchase additional shares,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6"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Class A common stock.</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33655</wp:posOffset>
            </wp:positionV>
            <wp:extent cx="10801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62" w:lineRule="exact"/>
        <w:rPr>
          <w:sz w:val="20"/>
          <w:szCs w:val="20"/>
          <w:color w:val="auto"/>
        </w:rPr>
      </w:pPr>
    </w:p>
    <w:p>
      <w:pPr>
        <w:ind w:left="6940"/>
        <w:spacing w:after="0"/>
        <w:tabs>
          <w:tab w:leader="none" w:pos="7740" w:val="left"/>
          <w:tab w:leader="none" w:pos="8660" w:val="left"/>
        </w:tabs>
        <w:rPr>
          <w:sz w:val="20"/>
          <w:szCs w:val="20"/>
          <w:color w:val="auto"/>
        </w:rPr>
      </w:pPr>
      <w:r>
        <w:rPr>
          <w:rFonts w:ascii="Times New Roman" w:cs="Times New Roman" w:eastAsia="Times New Roman" w:hAnsi="Times New Roman"/>
          <w:sz w:val="14"/>
          <w:szCs w:val="14"/>
          <w:b w:val="1"/>
          <w:bCs w:val="1"/>
          <w:color w:val="auto"/>
        </w:rPr>
        <w:t>Per Share</w:t>
      </w:r>
      <w:r>
        <w:rPr>
          <w:sz w:val="20"/>
          <w:szCs w:val="20"/>
          <w:color w:val="auto"/>
        </w:rPr>
        <w:tab/>
      </w:r>
      <w:r>
        <w:rPr>
          <w:rFonts w:ascii="Times New Roman" w:cs="Times New Roman" w:eastAsia="Times New Roman" w:hAnsi="Times New Roman"/>
          <w:sz w:val="14"/>
          <w:szCs w:val="14"/>
          <w:b w:val="1"/>
          <w:bCs w:val="1"/>
          <w:color w:val="auto"/>
        </w:rPr>
        <w:t>No Exercise</w:t>
      </w:r>
      <w:r>
        <w:rPr>
          <w:sz w:val="20"/>
          <w:szCs w:val="20"/>
          <w:color w:val="auto"/>
        </w:rPr>
        <w:tab/>
      </w:r>
      <w:r>
        <w:rPr>
          <w:rFonts w:ascii="Times New Roman" w:cs="Times New Roman" w:eastAsia="Times New Roman" w:hAnsi="Times New Roman"/>
          <w:sz w:val="13"/>
          <w:szCs w:val="13"/>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5212080" cy="1714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631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before expenses, to us</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w:t>
      </w:r>
    </w:p>
    <w:p>
      <w:pPr>
        <w:spacing w:after="0" w:line="16" w:lineRule="exact"/>
        <w:rPr>
          <w:sz w:val="20"/>
          <w:szCs w:val="20"/>
          <w:color w:val="auto"/>
        </w:rPr>
      </w:pPr>
    </w:p>
    <w:p>
      <w:pPr>
        <w:jc w:val="both"/>
        <w:ind w:left="1260" w:right="1299"/>
        <w:spacing w:after="0" w:line="234" w:lineRule="auto"/>
        <w:rPr>
          <w:sz w:val="20"/>
          <w:szCs w:val="20"/>
          <w:color w:val="auto"/>
        </w:rPr>
      </w:pPr>
      <w:r>
        <w:rPr>
          <w:rFonts w:ascii="Times New Roman" w:cs="Times New Roman" w:eastAsia="Times New Roman" w:hAnsi="Times New Roman"/>
          <w:sz w:val="18"/>
          <w:szCs w:val="18"/>
          <w:color w:val="auto"/>
        </w:rPr>
        <w:t>commissions, are approximately $ million. We have agreed to reimburse the underwriters for expenses relating to clearance of this offering with the Financial Industry Regulatory Authority, Inc.</w:t>
      </w:r>
    </w:p>
    <w:p>
      <w:pPr>
        <w:spacing w:after="0" w:line="1" w:lineRule="exact"/>
        <w:rPr>
          <w:sz w:val="20"/>
          <w:szCs w:val="20"/>
          <w:color w:val="auto"/>
        </w:rPr>
      </w:pPr>
    </w:p>
    <w:p>
      <w:pPr>
        <w:ind w:left="1260"/>
        <w:spacing w:after="0"/>
        <w:tabs>
          <w:tab w:leader="none" w:pos="3280" w:val="left"/>
        </w:tabs>
        <w:rPr>
          <w:sz w:val="20"/>
          <w:szCs w:val="20"/>
          <w:color w:val="auto"/>
        </w:rPr>
      </w:pPr>
      <w:r>
        <w:rPr>
          <w:rFonts w:ascii="Times New Roman" w:cs="Times New Roman" w:eastAsia="Times New Roman" w:hAnsi="Times New Roman"/>
          <w:sz w:val="18"/>
          <w:szCs w:val="18"/>
          <w:color w:val="auto"/>
        </w:rPr>
        <w:t>(“FINRA”), up to $</w:t>
      </w:r>
      <w:r>
        <w:rPr>
          <w:sz w:val="20"/>
          <w:szCs w:val="20"/>
          <w:color w:val="auto"/>
        </w:rPr>
        <w:tab/>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applied to list our Class A common stock on Nasdaq under the trading symbol “AFRM”.</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and all directors and officers and the holders of substantially all of our outstanding equity securities have are subject to market stand-off agreements or have entered into lock-up agreements providing that, subject to certain exceptions, without the prior written consent of Morgan Stanley &amp; Co. LLC and Goldman Sachs &amp; Co. LLC on behalf of the underwriters, we and they will not, during the period ending up to 180 days after the date of this prospectus (the “restricted period”):</w:t>
      </w:r>
    </w:p>
    <w:p>
      <w:pPr>
        <w:spacing w:after="0" w:line="77" w:lineRule="exact"/>
        <w:rPr>
          <w:sz w:val="20"/>
          <w:szCs w:val="20"/>
          <w:color w:val="auto"/>
        </w:rPr>
      </w:pPr>
    </w:p>
    <w:p>
      <w:pPr>
        <w:ind w:left="1800" w:right="839" w:hanging="178"/>
        <w:spacing w:after="0" w:line="261"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shares of Class A common stock;</w:t>
      </w:r>
    </w:p>
    <w:p>
      <w:pPr>
        <w:spacing w:after="0" w:line="71"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confidentially submit or file any registration statement with the SEC relating to the offering of any shares of Class A common stock or any securities convertible into or exercisable or exchangeable for Class A common stock; or</w:t>
      </w:r>
    </w:p>
    <w:p>
      <w:pPr>
        <w:spacing w:after="0" w:line="67" w:lineRule="exact"/>
        <w:rPr>
          <w:rFonts w:ascii="Times New Roman" w:cs="Times New Roman" w:eastAsia="Times New Roman" w:hAnsi="Times New Roman"/>
          <w:sz w:val="18"/>
          <w:szCs w:val="18"/>
          <w:color w:val="auto"/>
        </w:rPr>
      </w:pPr>
    </w:p>
    <w:p>
      <w:pPr>
        <w:ind w:left="1800" w:right="1059" w:hanging="178"/>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Class A common stock;</w:t>
      </w:r>
    </w:p>
    <w:p>
      <w:pPr>
        <w:spacing w:after="0" w:line="94"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or publicly disclose the intention to do any of the foregoing, whether any such transaction described above is to be settled by delivery of Class A common stock or such other securities, in cash or otherwise; provided that such restricted period will end with respect to the Early Release Shares if at any time beginning 70 days after the date of this prospectus (1) we have filed at least one quarterly report on Form 10 -Q or annual report on Form 10-K and (2) the last reported closing price of our Class A common stock is at least 33% greater than the initial public offering price of our Class A common stock for 10 out of any 15 consecutive trading days, including the last day, ending on or after the 70th day after the date of this prospectus; and provided further that, if 70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a regular quarterly trading black-out period under our insider trading policy, the above referenced early expiration date will be the third trading day immediately following the first date that we are no longer in a black-out period and the closing price of our Class A common stock on such date is greater than the initial public offering price of our Class A common stock. In addition, we and each such person agrees that, without the prior written consent of Morgan Stanley &amp; Co. LLC and Goldman Sachs &amp; Co. LLC on behalf of the underwriters, we or such other person will not, during the restricted period, make any demand for, or the exercise any right with respect to, the registration of any shares of Class A common stock or any security convertible into or exercisable or exchangeable for Class A common stock.</w:t>
      </w:r>
    </w:p>
    <w:p>
      <w:pPr>
        <w:spacing w:after="0" w:line="257"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With respect to the lock-up agreements that have been entered into by our directors, executive officers, and holders that together represent approximately % of our outstanding stock, stock options, and other securities convertible into or exchangeable or exercisable for our Class A common stock, the restrictions described in the immediately preceding paragraph do not apply:</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699" w:hanging="358"/>
        <w:spacing w:after="0" w:line="256"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transactions relating to shares of Class A common stock or other securities acquired from the underwriters in this offering (except, in the case of our officers or directors, with respect to any issuer-directed shares such officers or directors may purchase in this offering) or in open market transactions after the completion of this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is required or voluntarily made in connection with subsequent sales of Class A common stock or other securities acquired in this offering or in such open market transactions;</w:t>
      </w:r>
    </w:p>
    <w:p>
      <w:pPr>
        <w:spacing w:after="0" w:line="106" w:lineRule="exact"/>
        <w:rPr>
          <w:rFonts w:ascii="Times New Roman" w:cs="Times New Roman" w:eastAsia="Times New Roman" w:hAnsi="Times New Roman"/>
          <w:sz w:val="18"/>
          <w:szCs w:val="18"/>
          <w:color w:val="auto"/>
        </w:rPr>
      </w:pPr>
    </w:p>
    <w:p>
      <w:pPr>
        <w:ind w:left="1980" w:right="779" w:hanging="358"/>
        <w:spacing w:after="0" w:line="256"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of shares of Class A common stock or any security convertible into or exercisable or exchangeable for Class A common stock as (i) a bona fide gift or for bona fide estate planning purposes, (ii) upon death or by will, testamentary document or intestate succession, (iii) to an immediate family member of the lock-up signatory or to any trust for the direct or indirect benefit of the lock-up signatory or the immediate family of the lock-up signatory, or (iv) if the lock-up signatory is a trust, to any trustor or beneficiary of the lock-up signatory or the estate of any such beneficiary;</w:t>
      </w:r>
    </w:p>
    <w:p>
      <w:pPr>
        <w:spacing w:after="0" w:line="335" w:lineRule="exact"/>
        <w:rPr>
          <w:rFonts w:ascii="Times New Roman" w:cs="Times New Roman" w:eastAsia="Times New Roman" w:hAnsi="Times New Roman"/>
          <w:sz w:val="18"/>
          <w:szCs w:val="18"/>
          <w:color w:val="auto"/>
        </w:rPr>
      </w:pPr>
    </w:p>
    <w:p>
      <w:pPr>
        <w:ind w:left="1980" w:right="699" w:hanging="358"/>
        <w:spacing w:after="0" w:line="254"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distributions, transfers or dispositions of shares of Class A common stock or any security convertible into or exercisable or exchangeable for Class A common stock as part of a distribution, transfer or disposition without consideration by the lock-up signatory to its stockholders, current or former partners (general or limited), members, beneficiaries or other equity holders, or to the estates of any such stockholders, partners, beneficiaries or other equity holders, or to another business entity that is an affiliate (as defined in Rule 405 promulgated under the Securities Act of 1933, as amended) of the lock-up signatory, or to any investment fund or other entity controlling or managing, controlled or managed by, or under common control with, the lock-up signatory or affiliates of the lock-up signatory;</w:t>
      </w:r>
    </w:p>
    <w:p>
      <w:pPr>
        <w:spacing w:after="0" w:line="120" w:lineRule="exact"/>
        <w:rPr>
          <w:rFonts w:ascii="Times New Roman" w:cs="Times New Roman" w:eastAsia="Times New Roman" w:hAnsi="Times New Roman"/>
          <w:sz w:val="18"/>
          <w:szCs w:val="18"/>
          <w:color w:val="auto"/>
        </w:rPr>
      </w:pPr>
    </w:p>
    <w:p>
      <w:pPr>
        <w:ind w:left="1980" w:right="679" w:hanging="358"/>
        <w:spacing w:after="0" w:line="252"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 the receipt by the lock-up signatory from us of shares of Class A common stock upon the exercise of options, settlement of restricted stock units or other equity awards or the exercise of warrants which are outstanding as of the date of this prospectus and are disclosed in this prospectus, or (ii) the transfer of shares of Class A common stock or any securities convertible into or exercisable or exchangeable for Class A common stock upon a vesting or settlement event or upon the exercise of options, restricted stock units or warrants on a “cashless” or “net exercise” basis to the extent permitted by the instruments representing such securities, options, restricted stock units or warrants (and any transfer necessary in respect of such amount needed for the payment of taxes, including estimated taxes, due as a result of such vesting, settlement or exercise whether by means of a “net settlement” or otherwise) so long as such “cashless” exercise or “net exercise” is effected solely by the surrender of outstanding securities, options, restricted</w:t>
      </w:r>
    </w:p>
    <w:p>
      <w:pPr>
        <w:spacing w:after="0" w:line="3" w:lineRule="exact"/>
        <w:rPr>
          <w:rFonts w:ascii="Times New Roman" w:cs="Times New Roman" w:eastAsia="Times New Roman" w:hAnsi="Times New Roman"/>
          <w:sz w:val="18"/>
          <w:szCs w:val="18"/>
          <w:color w:val="auto"/>
        </w:rPr>
      </w:pPr>
    </w:p>
    <w:p>
      <w:pPr>
        <w:ind w:left="1980" w:right="6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units or warrants (or the Class A common stock issuable upon the exercise or settlement thereof) to us or our cancellation of all or a portion thereof to pay the exercise price and/or withholding tax and remittance obligations; provided (x) that, in the case of (i), the shares of Class A common stock received upon exercise or settlement of the security, option, restricted stock unit or warrant are subject to the terms of the lock-up agreement, and (y) that any filing under Section 16(a) of the Exchange Act shall clearly indicate in the footnotes thereto that (A) the filing relates to the circumstances described in (i) or (ii), as the case may be, and (B) no shares were sold by the reporting person;</w:t>
      </w:r>
    </w:p>
    <w:p>
      <w:pPr>
        <w:spacing w:after="0" w:line="323" w:lineRule="exact"/>
        <w:rPr>
          <w:rFonts w:ascii="Times New Roman" w:cs="Times New Roman" w:eastAsia="Times New Roman" w:hAnsi="Times New Roman"/>
          <w:sz w:val="18"/>
          <w:szCs w:val="18"/>
          <w:color w:val="auto"/>
        </w:rPr>
      </w:pPr>
    </w:p>
    <w:p>
      <w:pPr>
        <w:ind w:left="1980" w:right="679" w:hanging="358"/>
        <w:spacing w:after="0" w:line="255"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facilitating the establishment of a trading plan on behalf of a shareholder, officer or director pursuant to Rule 10b5-1 under the Exchange Act for the transfer of shares of Class A common stock (a “10b5-1 Plan”), provided that (i) such 10b5-1 Plan does not provide for the transfer of Class A common stock during the restricted period (except as otherwise allowed pursuant to clause</w:t>
      </w:r>
    </w:p>
    <w:p>
      <w:pPr>
        <w:spacing w:after="0" w:line="2" w:lineRule="exact"/>
        <w:rPr>
          <w:rFonts w:ascii="Times New Roman" w:cs="Times New Roman" w:eastAsia="Times New Roman" w:hAnsi="Times New Roman"/>
          <w:sz w:val="18"/>
          <w:szCs w:val="18"/>
          <w:color w:val="auto"/>
        </w:rPr>
      </w:pPr>
    </w:p>
    <w:p>
      <w:pPr>
        <w:ind w:left="1980" w:right="7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below) and (ii) to the extent a public announcement or filing under the Exchange Act, if any, is required of or voluntarily made by or on behalf of the lock-up signatory or us regarding the establishment of such 10b5-1 Plan, such announcement or filing will include a statement to the effect that no transfer of Class A common stock may be made under such 10b5-1 Plan during the restricted period;</w:t>
      </w:r>
    </w:p>
    <w:p>
      <w:pPr>
        <w:spacing w:after="0" w:line="119" w:lineRule="exact"/>
        <w:rPr>
          <w:rFonts w:ascii="Times New Roman" w:cs="Times New Roman" w:eastAsia="Times New Roman" w:hAnsi="Times New Roman"/>
          <w:sz w:val="18"/>
          <w:szCs w:val="18"/>
          <w:color w:val="auto"/>
        </w:rPr>
      </w:pPr>
    </w:p>
    <w:p>
      <w:pPr>
        <w:ind w:left="1980" w:right="899" w:hanging="358"/>
        <w:spacing w:after="0" w:line="282"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sales in open market transactions (including, without limitation, the establishment of a 10b5-1 Plan and any sales pursuant to such 10b5-1 Plan) during the restricted period to generate</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7" w:name="page208"/>
    <w:bookmarkEnd w:id="20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979"/>
        <w:spacing w:after="0" w:line="256" w:lineRule="auto"/>
        <w:rPr>
          <w:sz w:val="20"/>
          <w:szCs w:val="20"/>
          <w:color w:val="auto"/>
        </w:rPr>
      </w:pPr>
      <w:r>
        <w:rPr>
          <w:rFonts w:ascii="Times New Roman" w:cs="Times New Roman" w:eastAsia="Times New Roman" w:hAnsi="Times New Roman"/>
          <w:sz w:val="18"/>
          <w:szCs w:val="18"/>
          <w:color w:val="auto"/>
        </w:rPr>
        <w:t>such amount of net proceeds to the lock-up signatory from such sales (after deducting commissions) in an aggregate amount up to the total amount of taxes or estimated taxes (as applicable) that become due as a result of the vesting and/or settlement of restricted stock units held by the lock-up signatory and issued pursuant to a plan or arrangement described in this prospectus that are scheduled to vest and/or settle immediately prior to or during the restricted period;</w:t>
      </w:r>
    </w:p>
    <w:p>
      <w:pPr>
        <w:spacing w:after="0" w:line="106" w:lineRule="exact"/>
        <w:rPr>
          <w:sz w:val="20"/>
          <w:szCs w:val="20"/>
          <w:color w:val="auto"/>
        </w:rPr>
      </w:pPr>
    </w:p>
    <w:p>
      <w:pPr>
        <w:ind w:left="1980" w:right="679" w:hanging="358"/>
        <w:spacing w:after="0" w:line="256" w:lineRule="auto"/>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to us in connection with the conversion, exchange or reclassification of the outstanding equity securities into shares of Class A common stock, or any reclassification, exchange or conversion of our Class A common stock (including the conversion of shares of Class B common stock into Class A common stock), as described and as contemplated in this prospectus, provided that any such shares of Class A common stock received upon such conversion, exchange or reclassification shall be subject to the terms of the lock-up agreement;</w:t>
      </w:r>
    </w:p>
    <w:p>
      <w:pPr>
        <w:spacing w:after="0" w:line="119" w:lineRule="exact"/>
        <w:rPr>
          <w:rFonts w:ascii="Times New Roman" w:cs="Times New Roman" w:eastAsia="Times New Roman" w:hAnsi="Times New Roman"/>
          <w:sz w:val="18"/>
          <w:szCs w:val="18"/>
          <w:color w:val="auto"/>
        </w:rPr>
      </w:pPr>
    </w:p>
    <w:p>
      <w:pPr>
        <w:ind w:left="1980" w:right="959" w:hanging="358"/>
        <w:spacing w:after="0" w:line="266" w:lineRule="auto"/>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 of Class A common stock or any security convertible into or exercisable or exchangeable for Class A common stock that occurs by operation of law pursuant to a qualified domestic order in connection with a divorce settlement or other court order;</w:t>
      </w:r>
    </w:p>
    <w:p>
      <w:pPr>
        <w:spacing w:after="0" w:line="108" w:lineRule="exact"/>
        <w:rPr>
          <w:rFonts w:ascii="Times New Roman" w:cs="Times New Roman" w:eastAsia="Times New Roman" w:hAnsi="Times New Roman"/>
          <w:sz w:val="18"/>
          <w:szCs w:val="18"/>
          <w:color w:val="auto"/>
        </w:rPr>
      </w:pPr>
    </w:p>
    <w:p>
      <w:pPr>
        <w:ind w:left="1980" w:right="799" w:hanging="358"/>
        <w:spacing w:after="0" w:line="261" w:lineRule="auto"/>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transfer of Class A common stock or any security convertible into or exercisable or exchangeable for Class A common stock to us pursuant to arrangements under which we have the option to repurchase such securities or a right of first refusal with respect to transfers of such securities;</w:t>
      </w:r>
    </w:p>
    <w:p>
      <w:pPr>
        <w:spacing w:after="0" w:line="112" w:lineRule="exact"/>
        <w:rPr>
          <w:rFonts w:ascii="Times New Roman" w:cs="Times New Roman" w:eastAsia="Times New Roman" w:hAnsi="Times New Roman"/>
          <w:sz w:val="18"/>
          <w:szCs w:val="18"/>
          <w:color w:val="auto"/>
        </w:rPr>
      </w:pPr>
    </w:p>
    <w:p>
      <w:pPr>
        <w:ind w:left="1980" w:right="779" w:hanging="358"/>
        <w:spacing w:after="0" w:line="256" w:lineRule="auto"/>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conversion of the outstanding preferred stock into shares of Class A common stock prior to or in connection with the consummation of this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shares of Class A common stock received upon such conversion shall be subject to the terms of the lock-up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(y) that any filing under Section 16(a) of the Exchange Act shall clearly indicate in the footnotes thereto that (A) the filing relates to the circumstances described in this clause (j), and (B) no shares were sold by the reporting person; or</w:t>
      </w:r>
    </w:p>
    <w:p>
      <w:pPr>
        <w:spacing w:after="0" w:line="119" w:lineRule="exact"/>
        <w:rPr>
          <w:rFonts w:ascii="Times New Roman" w:cs="Times New Roman" w:eastAsia="Times New Roman" w:hAnsi="Times New Roman"/>
          <w:sz w:val="18"/>
          <w:szCs w:val="18"/>
          <w:color w:val="auto"/>
        </w:rPr>
      </w:pPr>
    </w:p>
    <w:p>
      <w:pPr>
        <w:ind w:left="1980" w:right="679" w:hanging="358"/>
        <w:spacing w:after="0" w:line="261" w:lineRule="auto"/>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 of shares of Class A common stock or any security convertible into or exercisable or exchangeable for Class A common stock in connection with a bona fide third-party tender offer, merger, consolidation or other similar transaction, that is approved by our Board of Directors, made to all holders of Class A common stock involving a change of control of us;</w:t>
      </w:r>
    </w:p>
    <w:p>
      <w:pPr>
        <w:spacing w:after="0" w:line="97"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 (b) or (c), (i) each donee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distributee shall sign and deliver a lock-up agreement and (ii) no filing under Section 16(a) of the Exchange Act, reporting a reduction in beneficial ownership of shares of Class A common stock, shall be required or shall be voluntarily made during the restricted period;</w:t>
      </w:r>
    </w:p>
    <w:p>
      <w:pPr>
        <w:spacing w:after="0" w:line="112"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sale pursuant to clause (f), filings under Section 16(a)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shall only be permissible if such filing shall clearly indicate in the footnotes thereto that the filing relates to securities being sold to generate net proceeds up to the total amount of taxes or estimated taxes (as applicable) that became due as a result of the vesting and/or settlement of our equity awards;</w:t>
      </w:r>
    </w:p>
    <w:p>
      <w:pPr>
        <w:spacing w:after="0" w:line="11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or distribution pursuant to clause (h), each donee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distributee shall sign and deliver a lock-up agreement and (ii) no filing under Section 16(a) of the Exchange Act, reporting a reduction in beneficial ownership of shares of Class A common stock, shall be required or shall be voluntarily made during the restricted period, unless such filing is required and clearly indicates in the footnotes thereto that the transfer is by operation of law, court order, or in connection with a divorce settlement; and</w:t>
      </w:r>
    </w:p>
    <w:p>
      <w:pPr>
        <w:spacing w:after="0" w:line="323"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in the case of any transfer pursuant to clause (g) or (i), no public announcement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under Section 16(a) of the Exchange Act, or any other public filing or disclosure shall be made during the restricted period, unless such filing is required and clearly indicates in the footnotes thereto in the case of clause (g) or (i) that the transfer is to us in connection with the conversion, exchange or reclassification of the outstanding equity securities into shares of Class A common stock (including the conversion of shares of Class B common stock into Class A common stock), or a repurchase by us, as the case may be.</w:t>
      </w:r>
    </w:p>
    <w:p>
      <w:pPr>
        <w:sectPr>
          <w:pgSz w:w="11900" w:h="16838" w:orient="portrait"/>
          <w:cols w:equalWidth="0" w:num="1">
            <w:col w:w="10139"/>
          </w:cols>
          <w:pgMar w:left="320" w:top="114"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8" w:name="page209"/>
    <w:bookmarkEnd w:id="20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The lockup restrictions described above do not apply to us with respect to certain transactions, including in connection with (i) the sale of our Class A common stock to the underwriters pursuant to the underwriting agreement; (ii) the issuance of shares of our Class A common stock or securities convertible into or exercisable for shares of our Class A common stock upon the exercise of an option or warrant or the conversion of a security or upon the vesting of equity-based awards (in each case, including net exercise, conversion or settlement and in respect of tax withholding payments due upon the exercise of options or the vesting of equity -based awards), in each case outstanding on the date of the underwriting agreement and described in this prospectus; (iii) our filing of any registration statement relating to securities granted or to be granted pursuant to any plan in effect on the date of the underwriting agreement and described in this prospectus; (iv) the issuance of up to 5% of the outstanding shares of our Class A common stock, or securities convertible into, exercisable for, or which are otherwise exchangeable for or represent the right to receive up to 5% of the outstanding shares of our Class A common stock, immediately following the closing of this offering, in acquisitions or other similar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recipients enter into a lockup agreement with the underwriters; and (v) our establishment or amendment of a trading plan pursuant to Rule 10b5 -1 under the Exchange Act for the transfer of shares of our Class A common stock, provided that (a) such plan or amendment does not provide for the transfer of shares of our Class A common stock during the restricted period and (b) to the extent we are required to or voluntarily make a public announcement or filing under the Exchange Act regarding the establishment or amendment of such plan, such announcement or filing must include a statement to the effect that no transfer of our Class A common stock may be made under such plan during the restricted period.</w:t>
      </w:r>
    </w:p>
    <w:p>
      <w:pPr>
        <w:spacing w:after="0" w:line="25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Record holders of our securities are typically the parties to the lockup agreements with the underwriters and the market standoff agreements with us referred to above, while holders of beneficial interests in our shares who are not also record holders in respect of such shares are not typically subject to any such agreements or other similar restrictions. Accordingly, we believe that holders of beneficial interests who are not record holders and are not bound by market standoff or lockup agreements could enter into transactions with respect to those beneficial interests that negatively impact our stock price. In addition, an equityholder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this offering.</w:t>
      </w:r>
    </w:p>
    <w:p>
      <w:pPr>
        <w:spacing w:after="0" w:line="311"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Morgan Stanley &amp; Co. LLC and Goldman Sachs &amp; Co. LLC, may release the common stock and other securities subject to the lock-up agreements described above or the market stand-off agreements described above in whole or in part at any time; provided that, if the shareholder is one of our officers or directors, Morgan Stanley &amp; Co.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w:t>
      </w: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spacing w:after="0" w:line="242" w:lineRule="auto"/>
        <w:rPr>
          <w:sz w:val="20"/>
          <w:szCs w:val="20"/>
          <w:color w:val="auto"/>
        </w:rPr>
      </w:pPr>
      <w:r>
        <w:rPr>
          <w:rFonts w:ascii="Times New Roman" w:cs="Times New Roman" w:eastAsia="Times New Roman" w:hAnsi="Times New Roman"/>
          <w:sz w:val="18"/>
          <w:szCs w:val="18"/>
          <w:color w:val="auto"/>
        </w:rPr>
        <w:t>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In addition, certain of the underwriters or their respective affiliates are lenders and/or arrangers under our warehouse loans, securitization facility administrative agents or investors, and flow forward agreement counterparties. For example, an affiliate of Morgan Stanley &amp; Co. LLC is a lender under our warehouse funding facility, Barclays Capital Inc. acted as structuring agent and bookrunner under our securitization facilities, and in connection with our revolving unsecured credit facility, affiliates of certain of the underwriters are expected to act as arrangers and bookrunners. Additionally, Allen &amp; Company LLC and certain of its employees and related parties are stockholders.</w:t>
      </w: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48"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sell or a solicitation of an offer to buy any securities offered by this prospectus in any jurisdiction in which such an offer or a solicitation is unlawful.</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United Kingdom</w:t>
      </w:r>
    </w:p>
    <w:p>
      <w:pPr>
        <w:spacing w:after="0" w:line="148"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offer of shares of our Class A common stock may be made to the public in that Relevant State other than:</w:t>
      </w:r>
    </w:p>
    <w:p>
      <w:pPr>
        <w:spacing w:after="0" w:line="108" w:lineRule="exact"/>
        <w:rPr>
          <w:sz w:val="20"/>
          <w:szCs w:val="20"/>
          <w:color w:val="auto"/>
        </w:rPr>
      </w:pPr>
    </w:p>
    <w:p>
      <w:pPr>
        <w:ind w:left="1980" w:hanging="358"/>
        <w:spacing w:after="0"/>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ind w:left="1980" w:right="1399" w:hanging="358"/>
        <w:spacing w:after="0" w:line="282" w:lineRule="auto"/>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94" w:lineRule="exact"/>
        <w:rPr>
          <w:rFonts w:ascii="Times New Roman" w:cs="Times New Roman" w:eastAsia="Times New Roman" w:hAnsi="Times New Roman"/>
          <w:sz w:val="18"/>
          <w:szCs w:val="18"/>
          <w:color w:val="auto"/>
        </w:rPr>
      </w:pPr>
    </w:p>
    <w:p>
      <w:pPr>
        <w:ind w:left="1980" w:right="679" w:hanging="358"/>
        <w:spacing w:after="0" w:line="261" w:lineRule="auto"/>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of our common stock shall require us or any of our representatives to publish a prospectus pursuant to Article 3 of the Prospectus Regulation or supplement a prospectus pursuant to Article 23 of the Prospectus Regulation.</w:t>
      </w:r>
    </w:p>
    <w:p>
      <w:pPr>
        <w:spacing w:after="0" w:line="99"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of our Class A common stock or to whom any offer is made will be deemed to have represented, acknowledged and agreed to and with each of the representatives and us that it is a “qualified investor” as defined in the Prospectus Regulation.</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the case of any shares of our Class A common stock being offered to a financial intermediary as that term is used in Article 5 of the Prospectus Regulation, each such financial intermediary will be deemed to have represented, acknowledged and agreed that the shares of our Class A common stock acquired by it in the offer have not been acquired on a nondiscretionary basis on behalf of, nor have they been acquired with a view to their offer or resale to, persons in circumstances which may give rise to an offer of any shares of our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124"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Relevant State means the communication in any form and by means of sufficient information on the terms of the offer and the shares of our Class A common stock to be offered so as to enable an investor to decide to purchase shares of our Class A common stock, and the expression “Prospectus Regulation” means Regulation (EU) 2017/1129.</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58" w:lineRule="exact"/>
        <w:rPr>
          <w:sz w:val="20"/>
          <w:szCs w:val="20"/>
          <w:color w:val="auto"/>
        </w:rPr>
      </w:pPr>
    </w:p>
    <w:p>
      <w:pPr>
        <w:ind w:left="1980" w:right="679" w:hanging="358"/>
        <w:spacing w:after="0" w:line="258" w:lineRule="auto"/>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115" w:lineRule="exact"/>
        <w:rPr>
          <w:rFonts w:ascii="Times New Roman" w:cs="Times New Roman" w:eastAsia="Times New Roman" w:hAnsi="Times New Roman"/>
          <w:sz w:val="18"/>
          <w:szCs w:val="18"/>
          <w:color w:val="auto"/>
        </w:rPr>
      </w:pPr>
    </w:p>
    <w:p>
      <w:pPr>
        <w:ind w:left="1980" w:right="959" w:hanging="358"/>
        <w:spacing w:after="0" w:line="266" w:lineRule="auto"/>
        <w:tabs>
          <w:tab w:leader="none" w:pos="1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48" w:lineRule="exact"/>
        <w:rPr>
          <w:sz w:val="20"/>
          <w:szCs w:val="20"/>
          <w:color w:val="auto"/>
        </w:rPr>
      </w:pPr>
    </w:p>
    <w:p>
      <w:pPr>
        <w:jc w:val="both"/>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the shares of our Class A common stock.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w:t>
      </w:r>
    </w:p>
    <w:p>
      <w:pPr>
        <w:spacing w:after="0" w:line="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shares constitutes a</w:t>
      </w:r>
    </w:p>
    <w:p>
      <w:pPr>
        <w:sectPr>
          <w:pgSz w:w="11900" w:h="16838" w:orient="portrait"/>
          <w:cols w:equalWidth="0" w:num="1">
            <w:col w:w="10139"/>
          </w:cols>
          <w:pgMar w:left="320" w:top="114"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prospectus pursuant to the FinSA, and neither this prospectus nor any other offering or marketing material relating to the shares may be publicly distributed or otherwise made publicly available in Switzerland.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16"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6"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 of our Class A common stock may not be offered or sold by means of any document other than</w:t>
      </w:r>
    </w:p>
    <w:p>
      <w:pPr>
        <w:spacing w:after="0" w:line="16" w:lineRule="exact"/>
        <w:rPr>
          <w:sz w:val="20"/>
          <w:szCs w:val="20"/>
          <w:color w:val="auto"/>
        </w:rPr>
      </w:pPr>
    </w:p>
    <w:p>
      <w:pPr>
        <w:ind w:left="1260" w:right="719" w:firstLine="2"/>
        <w:spacing w:after="0"/>
        <w:tabs>
          <w:tab w:leader="none" w:pos="14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3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w:t>
      </w:r>
    </w:p>
    <w:p>
      <w:pPr>
        <w:spacing w:after="0" w:line="2" w:lineRule="exact"/>
        <w:rPr>
          <w:sz w:val="20"/>
          <w:szCs w:val="20"/>
          <w:color w:val="auto"/>
        </w:rPr>
      </w:pPr>
    </w:p>
    <w:p>
      <w:pPr>
        <w:ind w:left="1260" w:right="759" w:firstLine="2"/>
        <w:spacing w:after="0" w:line="238" w:lineRule="auto"/>
        <w:tabs>
          <w:tab w:leader="none" w:pos="14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17"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by a relevant person which is:</w:t>
      </w:r>
    </w:p>
    <w:p>
      <w:pPr>
        <w:spacing w:after="0" w:line="81" w:lineRule="exact"/>
        <w:rPr>
          <w:sz w:val="20"/>
          <w:szCs w:val="20"/>
          <w:color w:val="auto"/>
        </w:rPr>
      </w:pPr>
    </w:p>
    <w:p>
      <w:pPr>
        <w:ind w:left="1980" w:right="1019" w:hanging="358"/>
        <w:spacing w:after="0" w:line="266" w:lineRule="auto"/>
        <w:tabs>
          <w:tab w:leader="none" w:pos="1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839"/>
        <w:spacing w:after="0" w:line="245" w:lineRule="auto"/>
        <w:rPr>
          <w:sz w:val="20"/>
          <w:szCs w:val="20"/>
          <w:color w:val="auto"/>
        </w:rPr>
      </w:pPr>
      <w:r>
        <w:rPr>
          <w:rFonts w:ascii="Times New Roman" w:cs="Times New Roman" w:eastAsia="Times New Roman" w:hAnsi="Times New Roman"/>
          <w:sz w:val="18"/>
          <w:szCs w:val="18"/>
          <w:color w:val="auto"/>
        </w:rPr>
        <w:t>and each beneficiary is an accredited investor, securities or securities- based derivatives contracts (each as defined in Section 2(1) of the SFA) of that corporation or the beneficiaries’ rights and interest in that trust shall not be transferable within six months after that corporation or that trust has acquired shares of our Class A common stock under Section 275 of the SFA except:</w:t>
      </w:r>
    </w:p>
    <w:p>
      <w:pPr>
        <w:spacing w:after="0" w:line="100" w:lineRule="exact"/>
        <w:rPr>
          <w:sz w:val="20"/>
          <w:szCs w:val="20"/>
          <w:color w:val="auto"/>
        </w:rPr>
      </w:pPr>
    </w:p>
    <w:p>
      <w:pPr>
        <w:ind w:left="2340" w:hanging="358"/>
        <w:spacing w:after="0"/>
        <w:tabs>
          <w:tab w:leader="none" w:pos="2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pursuant to</w:t>
      </w:r>
    </w:p>
    <w:p>
      <w:pPr>
        <w:spacing w:after="0" w:line="27"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275(1A), and in accordance with the conditions, specified in Section 275 of the SFA;</w:t>
      </w:r>
    </w:p>
    <w:p>
      <w:pPr>
        <w:spacing w:after="0" w:line="125" w:lineRule="exact"/>
        <w:rPr>
          <w:rFonts w:ascii="Times New Roman" w:cs="Times New Roman" w:eastAsia="Times New Roman" w:hAnsi="Times New Roman"/>
          <w:sz w:val="18"/>
          <w:szCs w:val="18"/>
          <w:color w:val="auto"/>
        </w:rPr>
      </w:pPr>
    </w:p>
    <w:p>
      <w:pPr>
        <w:ind w:left="2340" w:hanging="358"/>
        <w:spacing w:after="0"/>
        <w:tabs>
          <w:tab w:leader="none" w:pos="2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given for the transfer; or</w:t>
      </w:r>
    </w:p>
    <w:p>
      <w:pPr>
        <w:spacing w:after="0" w:line="157" w:lineRule="exact"/>
        <w:rPr>
          <w:rFonts w:ascii="Times New Roman" w:cs="Times New Roman" w:eastAsia="Times New Roman" w:hAnsi="Times New Roman"/>
          <w:sz w:val="18"/>
          <w:szCs w:val="18"/>
          <w:color w:val="auto"/>
        </w:rPr>
      </w:pPr>
    </w:p>
    <w:p>
      <w:pPr>
        <w:ind w:left="2340" w:hanging="358"/>
        <w:spacing w:after="0"/>
        <w:tabs>
          <w:tab w:leader="none" w:pos="2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44"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09"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 -sale,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48"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our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our Class A common stock. The shares of our Class A common stock may only be transferred to QIIs.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62"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our Class A common stock constitutes either a “small number private placement” or a “small number private secondary distribution” (each as is described in Paragraph 4, Article 23- 13 of the FIEL) . Disclosure regarding any such solicitation, as is otherwise prescribed in Paragraph 1, Article 4 of the FIEL, has not been made in relation to the shares of our Class A common stock. The shares of our Class A common stock may only be transferred en bloc without subdivision to a single investor.</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62"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99"/>
        <w:spacing w:after="0" w:line="266" w:lineRule="auto"/>
        <w:rPr>
          <w:sz w:val="20"/>
          <w:szCs w:val="20"/>
          <w:color w:val="auto"/>
        </w:rPr>
      </w:pPr>
      <w:r>
        <w:rPr>
          <w:rFonts w:ascii="Times New Roman" w:cs="Times New Roman" w:eastAsia="Times New Roman" w:hAnsi="Times New Roman"/>
          <w:sz w:val="18"/>
          <w:szCs w:val="18"/>
          <w:color w:val="auto"/>
        </w:rPr>
        <w:t>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by this prospectus will be passed upon for us by Skadden, Arps, Slate, Meagher &amp; Flom LLP. Certain legal matters relating to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Affirm Holdings, Inc. at June 30, 2019 and for the year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as of and for the year ended June 30,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7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CHANGE IN ACCOUNTANTS</w:t>
      </w:r>
    </w:p>
    <w:p>
      <w:pPr>
        <w:spacing w:after="0" w:line="16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In preparation for this offering, we undertook a competitive request for proposal process to select our independent registered public accounting firm. Following this process, on March 30, 2020, we retained Deloitte &amp; Touche LLP as our independent registered public accounting firm, and Ernst &amp; Young LLP was dismissed as our independent auditor, however, Ernst &amp; Young LLP is still engaged to provide services with respect to our consolidated financial statements as of and for the fiscal year ended June 30, 2019 included in this prospectus, including performing additional audit procedures required by the standards of the Public Company Accounting Oversight Board. The decision to change our independent auditors was approved by our board of directors.</w:t>
      </w:r>
    </w:p>
    <w:p>
      <w:pPr>
        <w:spacing w:after="0" w:line="324"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Ernst &amp; Young LLP issued a report on our audited financial statements for the fiscal year ended June 30, 2019. This report did not contain an adverse opinion or a disclaimer of opinion, and was not qualified or modified as to uncertainty, audit scope, or accounting principles. During our two most recent fiscal years, we had no disagreements with Ernst &amp; Young LLP on any matter of accounting principles or practices, financial statement disclosure, or auditing scope or procedure, which disagreements, if not resolved to its satisfaction, would have caused Ernst &amp; Young LLP to make reference in connection with its report. During our two most recent fiscal years and the subsequent interim period preceding our dismissal of Ernst &amp; Young LLP, there were no reportable events as such term is defined in Item 304(a)(1)(v) of Regulation S-K.</w:t>
      </w:r>
    </w:p>
    <w:p>
      <w:pPr>
        <w:spacing w:after="0" w:line="34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During our two most recent fiscal years and subsequent interim period preceding our engagement of Deloitte &amp; Touche LLP, neither we, nor anyone acting on our behalf, consulted with Deloitte &amp; Touche LLP on matters that involved (i) the application of accounting principles to a specified transaction, either completed or proposed, the type of audit opinion that might be rendered on our financial statements, and neither a written report nor oral advice was provided to us that Deloitte &amp; Touche LLP concluded was an important factor considered by the Company in reaching a decision as to any accounting, auditing, or financial reporting issue, or (ii) any other matter that was either the subject of a disagreement as that term is used in Item 304(a)(1)(iv) of Regulation S-K or a reportable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Class A common stock, we refer you to the registration statement and exhibits to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2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We currently do not file periodic reports with the SEC. 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on the website of the SEC referred to above. We also maintain a website at www.affirm.com. Upon completion of this offering, you may access these materials free of charge as soon as reasonably practicable after they are electronically filed with or furnished to the SEC.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7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as of and for the years ended June 30, 2019 and 2020</w:t>
            </w:r>
          </w:p>
        </w:tc>
        <w:tc>
          <w:tcPr>
            <w:tcW w:w="380" w:type="dxa"/>
            <w:vAlign w:val="bottom"/>
            <w:shd w:val="clear" w:color="auto" w:fill="CCEEFF"/>
          </w:tcPr>
          <w:p>
            <w:pPr>
              <w:spacing w:after="0"/>
              <w:rPr>
                <w:sz w:val="21"/>
                <w:szCs w:val="21"/>
                <w:color w:val="auto"/>
              </w:rPr>
            </w:pPr>
          </w:p>
        </w:tc>
      </w:tr>
      <w:tr>
        <w:trPr>
          <w:trHeight w:val="257"/>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Report of Independent Registered Public Accounting Firms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F-2</w:t>
              </w:r>
            </w:hyperlink>
          </w:p>
        </w:tc>
      </w:tr>
      <w:tr>
        <w:trPr>
          <w:trHeight w:val="257"/>
        </w:trPr>
        <w:tc>
          <w:tcPr>
            <w:tcW w:w="7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80" w:type="dxa"/>
            <w:vAlign w:val="bottom"/>
            <w:shd w:val="clear" w:color="auto" w:fill="CCEEFF"/>
          </w:tcPr>
          <w:p>
            <w:pPr>
              <w:spacing w:after="0"/>
              <w:rPr>
                <w:sz w:val="22"/>
                <w:szCs w:val="22"/>
                <w:color w:val="auto"/>
              </w:rPr>
            </w:pPr>
          </w:p>
        </w:tc>
      </w:tr>
      <w:tr>
        <w:trPr>
          <w:trHeight w:val="27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Consolidated Balance Sheets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F-4</w:t>
              </w:r>
            </w:hyperlink>
          </w:p>
        </w:tc>
      </w:tr>
      <w:tr>
        <w:trPr>
          <w:trHeight w:val="27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Consolidated Statements of Operations and Comprehensive Loss</w:t>
              </w:r>
            </w:hyperlink>
          </w:p>
        </w:tc>
        <w:tc>
          <w:tcPr>
            <w:tcW w:w="3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F-6</w:t>
              </w:r>
            </w:hyperlink>
          </w:p>
        </w:tc>
      </w:tr>
      <w:tr>
        <w:trPr>
          <w:trHeight w:val="216"/>
        </w:trPr>
        <w:tc>
          <w:tcPr>
            <w:tcW w:w="64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222">
              <w:r>
                <w:rPr>
                  <w:rFonts w:ascii="Times New Roman" w:cs="Times New Roman" w:eastAsia="Times New Roman" w:hAnsi="Times New Roman"/>
                  <w:sz w:val="18"/>
                  <w:szCs w:val="18"/>
                  <w:color w:val="0000EE"/>
                </w:rPr>
                <w:t>Consolidated Statements of Changes in Redeemable Convertible Preferred Stock and</w:t>
              </w:r>
            </w:hyperlink>
          </w:p>
        </w:tc>
        <w:tc>
          <w:tcPr>
            <w:tcW w:w="14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60" w:type="dxa"/>
            <w:vAlign w:val="bottom"/>
            <w:gridSpan w:val="5"/>
          </w:tcPr>
          <w:p>
            <w:pPr>
              <w:spacing w:after="0" w:line="196" w:lineRule="exact"/>
              <w:rPr>
                <w:rFonts w:ascii="Times New Roman" w:cs="Times New Roman" w:eastAsia="Times New Roman" w:hAnsi="Times New Roman"/>
                <w:sz w:val="18"/>
                <w:szCs w:val="18"/>
                <w:color w:val="0000EE"/>
              </w:rPr>
            </w:pPr>
            <w:hyperlink w:anchor="page222">
              <w:r>
                <w:rPr>
                  <w:rFonts w:ascii="Times New Roman" w:cs="Times New Roman" w:eastAsia="Times New Roman" w:hAnsi="Times New Roman"/>
                  <w:sz w:val="18"/>
                  <w:szCs w:val="18"/>
                  <w:color w:val="0000EE"/>
                </w:rPr>
                <w:t>Stockholders’ Deficit</w:t>
              </w:r>
            </w:hyperlink>
          </w:p>
        </w:tc>
        <w:tc>
          <w:tcPr>
            <w:tcW w:w="3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F-7</w:t>
              </w:r>
            </w:hyperlink>
          </w:p>
        </w:tc>
      </w:tr>
      <w:tr>
        <w:trPr>
          <w:trHeight w:val="34"/>
        </w:trPr>
        <w:tc>
          <w:tcPr>
            <w:tcW w:w="180" w:type="dxa"/>
            <w:vAlign w:val="bottom"/>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Consolidated Statements of Cash Flows</w:t>
              </w:r>
            </w:hyperlink>
          </w:p>
        </w:tc>
        <w:tc>
          <w:tcPr>
            <w:tcW w:w="3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F-8</w:t>
              </w:r>
            </w:hyperlink>
          </w:p>
        </w:tc>
      </w:tr>
      <w:tr>
        <w:trPr>
          <w:trHeight w:val="27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Notes to Consolidated Financial Statements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F-9</w:t>
              </w:r>
            </w:hyperlink>
          </w:p>
        </w:tc>
      </w:tr>
      <w:tr>
        <w:trPr>
          <w:trHeight w:val="234"/>
        </w:trPr>
        <w:tc>
          <w:tcPr>
            <w:tcW w:w="7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as of June 30, 2020 and September 30, 2020</w:t>
            </w:r>
          </w:p>
        </w:tc>
        <w:tc>
          <w:tcPr>
            <w:tcW w:w="380" w:type="dxa"/>
            <w:vAlign w:val="bottom"/>
            <w:shd w:val="clear" w:color="auto" w:fill="CCEEFF"/>
          </w:tcPr>
          <w:p>
            <w:pPr>
              <w:spacing w:after="0"/>
              <w:rPr>
                <w:sz w:val="20"/>
                <w:szCs w:val="20"/>
                <w:color w:val="auto"/>
              </w:rPr>
            </w:pPr>
          </w:p>
        </w:tc>
      </w:tr>
      <w:tr>
        <w:trPr>
          <w:trHeight w:val="252"/>
        </w:trPr>
        <w:tc>
          <w:tcPr>
            <w:tcW w:w="180" w:type="dxa"/>
            <w:vAlign w:val="bottom"/>
            <w:shd w:val="clear" w:color="auto" w:fill="CCEEFF"/>
          </w:tcPr>
          <w:p>
            <w:pPr>
              <w:spacing w:after="0"/>
              <w:rPr>
                <w:sz w:val="21"/>
                <w:szCs w:val="21"/>
                <w:color w:val="auto"/>
              </w:rPr>
            </w:pPr>
          </w:p>
        </w:tc>
        <w:tc>
          <w:tcPr>
            <w:tcW w:w="7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for the three months ended September 30, 2019 and 2020</w:t>
            </w:r>
          </w:p>
        </w:tc>
        <w:tc>
          <w:tcPr>
            <w:tcW w:w="380" w:type="dxa"/>
            <w:vAlign w:val="bottom"/>
            <w:shd w:val="clear" w:color="auto" w:fill="CCEEFF"/>
          </w:tcPr>
          <w:p>
            <w:pPr>
              <w:spacing w:after="0"/>
              <w:rPr>
                <w:sz w:val="21"/>
                <w:szCs w:val="21"/>
                <w:color w:val="auto"/>
              </w:rPr>
            </w:pPr>
          </w:p>
        </w:tc>
      </w:tr>
      <w:tr>
        <w:trPr>
          <w:trHeight w:val="27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Condensed Consolidated Balance Sheets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F-45</w:t>
              </w:r>
            </w:hyperlink>
          </w:p>
        </w:tc>
      </w:tr>
      <w:tr>
        <w:trPr>
          <w:trHeight w:val="27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62">
              <w:r>
                <w:rPr>
                  <w:rFonts w:ascii="Times New Roman" w:cs="Times New Roman" w:eastAsia="Times New Roman" w:hAnsi="Times New Roman"/>
                  <w:sz w:val="18"/>
                  <w:szCs w:val="18"/>
                  <w:u w:val="single" w:color="auto"/>
                  <w:color w:val="0000EE"/>
                </w:rPr>
                <w:t>Condensed Consolidated Statements of Operations and Comprehensive Loss</w:t>
              </w:r>
            </w:hyperlink>
          </w:p>
        </w:tc>
        <w:tc>
          <w:tcPr>
            <w:tcW w:w="3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62">
              <w:r>
                <w:rPr>
                  <w:rFonts w:ascii="Times New Roman" w:cs="Times New Roman" w:eastAsia="Times New Roman" w:hAnsi="Times New Roman"/>
                  <w:sz w:val="18"/>
                  <w:szCs w:val="18"/>
                  <w:u w:val="single" w:color="auto"/>
                  <w:color w:val="0000EE"/>
                </w:rPr>
                <w:t>F-47</w:t>
              </w:r>
            </w:hyperlink>
          </w:p>
        </w:tc>
      </w:tr>
      <w:tr>
        <w:trPr>
          <w:trHeight w:val="216"/>
        </w:trPr>
        <w:tc>
          <w:tcPr>
            <w:tcW w:w="7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263">
              <w:r>
                <w:rPr>
                  <w:rFonts w:ascii="Times New Roman" w:cs="Times New Roman" w:eastAsia="Times New Roman" w:hAnsi="Times New Roman"/>
                  <w:sz w:val="18"/>
                  <w:szCs w:val="18"/>
                  <w:color w:val="0000EE"/>
                </w:rPr>
                <w:t>Condensed Consolidated Statements of Changes in Redeemable Convertible Preferred Stock and</w:t>
              </w:r>
            </w:hyperlink>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60" w:type="dxa"/>
            <w:vAlign w:val="bottom"/>
            <w:gridSpan w:val="5"/>
          </w:tcPr>
          <w:p>
            <w:pPr>
              <w:spacing w:after="0" w:line="196" w:lineRule="exact"/>
              <w:rPr>
                <w:rFonts w:ascii="Times New Roman" w:cs="Times New Roman" w:eastAsia="Times New Roman" w:hAnsi="Times New Roman"/>
                <w:sz w:val="18"/>
                <w:szCs w:val="18"/>
                <w:color w:val="0000EE"/>
              </w:rPr>
            </w:pPr>
            <w:hyperlink w:anchor="page263">
              <w:r>
                <w:rPr>
                  <w:rFonts w:ascii="Times New Roman" w:cs="Times New Roman" w:eastAsia="Times New Roman" w:hAnsi="Times New Roman"/>
                  <w:sz w:val="18"/>
                  <w:szCs w:val="18"/>
                  <w:color w:val="0000EE"/>
                </w:rPr>
                <w:t>Stockholders’ Deficit</w:t>
              </w:r>
            </w:hyperlink>
          </w:p>
        </w:tc>
        <w:tc>
          <w:tcPr>
            <w:tcW w:w="3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263">
              <w:r>
                <w:rPr>
                  <w:rFonts w:ascii="Times New Roman" w:cs="Times New Roman" w:eastAsia="Times New Roman" w:hAnsi="Times New Roman"/>
                  <w:sz w:val="18"/>
                  <w:szCs w:val="18"/>
                  <w:u w:val="single" w:color="auto"/>
                  <w:color w:val="0000EE"/>
                </w:rPr>
                <w:t>F-48</w:t>
              </w:r>
            </w:hyperlink>
          </w:p>
        </w:tc>
      </w:tr>
      <w:tr>
        <w:trPr>
          <w:trHeight w:val="34"/>
        </w:trPr>
        <w:tc>
          <w:tcPr>
            <w:tcW w:w="180" w:type="dxa"/>
            <w:vAlign w:val="bottom"/>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Condensed Consolidated Statements of Cash Flows</w:t>
              </w:r>
            </w:hyperlink>
          </w:p>
        </w:tc>
        <w:tc>
          <w:tcPr>
            <w:tcW w:w="3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F-49</w:t>
              </w:r>
            </w:hyperlink>
          </w:p>
        </w:tc>
      </w:tr>
      <w:tr>
        <w:trPr>
          <w:trHeight w:val="27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Notes to Condensed Consolidated Financial Statements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F-50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-2794000</wp:posOffset>
            </wp:positionV>
            <wp:extent cx="52120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779" w:firstLine="1122"/>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Affirm Holdings, Inc.</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Affirm Holdings, Inc. and subsidiaries (the “Company”) as of June 30, 2020, the related consolidated statements of operations and comprehensive loss, changes in redeemable convertible preferred stock and stockholders’ deficit, and cash flows for the year then ended, and the related notes collectively referred to as the “financial statements”). In our opinion, the financial statements present fairly, in all material respects, the financial position of the Company as of June 30, 2020, and the results of its operations and its cash flows for the year then ended, in conformity with accounting principles generally accepted in the United States of America.</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7,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2619" w:firstLine="1951"/>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Affirm Holdings, Inc.</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Affirm Holdings, Inc. (the Company) as of June 30, 2019, the related consolidated statements of operations, changes in redeemable convertible preferred stock and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at June 30, 2019 and the results of its operations and its cash flows for the year then ended in conformity with U.S. generally accepted accounting principles.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3"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served as the Company’s auditor from 2017 to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320,448</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735,414</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1,034,312</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(66,260)</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(95,137)</w:t>
            </w:r>
          </w:p>
        </w:tc>
        <w:tc>
          <w:tcPr>
            <w:tcW w:w="0" w:type="dxa"/>
            <w:vAlign w:val="bottom"/>
          </w:tcPr>
          <w:p>
            <w:pPr>
              <w:spacing w:after="0"/>
              <w:rPr>
                <w:sz w:val="1"/>
                <w:szCs w:val="1"/>
                <w:color w:val="auto"/>
              </w:rPr>
            </w:pPr>
          </w:p>
        </w:tc>
      </w:tr>
      <w:tr>
        <w:trPr>
          <w:trHeight w:val="270"/>
        </w:trPr>
        <w:tc>
          <w:tcPr>
            <w:tcW w:w="636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669,154</w:t>
            </w:r>
          </w:p>
        </w:tc>
        <w:tc>
          <w:tcPr>
            <w:tcW w:w="18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939,175</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48,140</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41,413</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1,148,505</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1,402,251</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1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to third-party loan owners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 debt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569,234</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817,926</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613,845</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$0.00001 par value, 124,453,009 shares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at June 30, 2019 and 2020; 122,653,704 and 122,115,971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at June 30, 2019 and 2020, respectively; liquidation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of $802,917 and $809,032 at June 30, 2019 and 2020, respectively</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$0.00001 par value; 232,000,000 shares authorized at June 30,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2019 and 2020; 47,078,208 and 47,684,427 shares issued and outstanding at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30, 2019 and 2020, respectively</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63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54,824</w:t>
            </w: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80,373</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(318,238)</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(447,167)</w:t>
            </w:r>
          </w:p>
        </w:tc>
        <w:tc>
          <w:tcPr>
            <w:tcW w:w="0" w:type="dxa"/>
            <w:vAlign w:val="bottom"/>
          </w:tcPr>
          <w:p>
            <w:pPr>
              <w:spacing w:after="0"/>
              <w:rPr>
                <w:sz w:val="1"/>
                <w:szCs w:val="1"/>
                <w:color w:val="auto"/>
              </w:rPr>
            </w:pPr>
          </w:p>
        </w:tc>
      </w:tr>
      <w:tr>
        <w:trPr>
          <w:trHeight w:val="277"/>
        </w:trPr>
        <w:tc>
          <w:tcPr>
            <w:tcW w:w="63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(263,414)</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(367,096)</w:t>
            </w:r>
          </w:p>
        </w:tc>
        <w:tc>
          <w:tcPr>
            <w:tcW w:w="0" w:type="dxa"/>
            <w:vAlign w:val="bottom"/>
          </w:tcPr>
          <w:p>
            <w:pPr>
              <w:spacing w:after="0"/>
              <w:rPr>
                <w:sz w:val="1"/>
                <w:szCs w:val="1"/>
                <w:color w:val="auto"/>
              </w:rPr>
            </w:pPr>
          </w:p>
        </w:tc>
      </w:tr>
      <w:tr>
        <w:trPr>
          <w:trHeight w:val="302"/>
        </w:trPr>
        <w:tc>
          <w:tcPr>
            <w:tcW w:w="63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shd w:val="clear" w:color="auto" w:fill="CCEEFF"/>
              </w:rPr>
              <w:t>Total Liabilities, Redeemable Convertible Preferred Stock and Stockholders’ Deficit</w:t>
            </w: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1,148,505</w:t>
            </w:r>
          </w:p>
        </w:tc>
        <w:tc>
          <w:tcPr>
            <w:tcW w:w="180" w:type="dxa"/>
            <w:vAlign w:val="bottom"/>
            <w:tcBorders>
              <w:top w:val="single" w:sz="8" w:color="CCEEFF"/>
              <w:bottom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1,402,251</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-222250</wp:posOffset>
            </wp:positionV>
            <wp:extent cx="52120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-410845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-2313940</wp:posOffset>
            </wp:positionV>
            <wp:extent cx="52120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-2502535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-4070985</wp:posOffset>
            </wp:positionV>
            <wp:extent cx="52120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-4773930</wp:posOffset>
            </wp:positionV>
            <wp:extent cx="52120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12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consolidated balance sheets above. The assets in the table below may only be used to settle obligations of consolidated VIEs and are in excess of those obligations. Additionally, the assets and liabilities in the table below include third-party assets and liabilities of consolidated VIEs only and exclude intercompany balances that eliminate upon consolidation.</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of consolidated VIEs, included in total assets above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w:t>
            </w:r>
          </w:p>
        </w:tc>
        <w:tc>
          <w:tcPr>
            <w:tcW w:w="80" w:type="dxa"/>
            <w:vAlign w:val="bottom"/>
          </w:tcPr>
          <w:p>
            <w:pPr>
              <w:spacing w:after="0"/>
              <w:rPr>
                <w:sz w:val="22"/>
                <w:szCs w:val="22"/>
                <w:color w:val="auto"/>
              </w:rPr>
            </w:pPr>
          </w:p>
        </w:tc>
      </w:tr>
      <w:tr>
        <w:trPr>
          <w:trHeight w:val="257"/>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664,779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935,085</w:t>
            </w:r>
          </w:p>
        </w:tc>
        <w:tc>
          <w:tcPr>
            <w:tcW w:w="80" w:type="dxa"/>
            <w:vAlign w:val="bottom"/>
            <w:shd w:val="clear" w:color="auto" w:fill="CCEEFF"/>
          </w:tcPr>
          <w:p>
            <w:pPr>
              <w:spacing w:after="0"/>
              <w:rPr>
                <w:sz w:val="22"/>
                <w:szCs w:val="22"/>
                <w:color w:val="auto"/>
              </w:rPr>
            </w:pPr>
          </w:p>
        </w:tc>
      </w:tr>
      <w:tr>
        <w:trPr>
          <w:trHeight w:val="26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(87,467)</w:t>
            </w:r>
          </w:p>
        </w:tc>
      </w:tr>
      <w:tr>
        <w:trPr>
          <w:trHeight w:val="257"/>
        </w:trPr>
        <w:tc>
          <w:tcPr>
            <w:tcW w:w="6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602,279</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847,618</w:t>
            </w:r>
          </w:p>
        </w:tc>
        <w:tc>
          <w:tcPr>
            <w:tcW w:w="80" w:type="dxa"/>
            <w:vAlign w:val="bottom"/>
            <w:tcBorders>
              <w:top w:val="single" w:sz="8" w:color="CCEEFF"/>
            </w:tcBorders>
            <w:shd w:val="clear" w:color="auto" w:fill="CCEEFF"/>
          </w:tcPr>
          <w:p>
            <w:pPr>
              <w:spacing w:after="0"/>
              <w:rPr>
                <w:sz w:val="22"/>
                <w:szCs w:val="22"/>
                <w:color w:val="auto"/>
              </w:rPr>
            </w:pPr>
          </w:p>
        </w:tc>
      </w:tr>
      <w:tr>
        <w:trPr>
          <w:trHeight w:val="25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80" w:type="dxa"/>
            <w:vAlign w:val="bottom"/>
          </w:tcPr>
          <w:p>
            <w:pPr>
              <w:spacing w:after="0"/>
              <w:rPr>
                <w:sz w:val="22"/>
                <w:szCs w:val="22"/>
                <w:color w:val="auto"/>
              </w:rPr>
            </w:pPr>
          </w:p>
        </w:tc>
      </w:tr>
      <w:tr>
        <w:trPr>
          <w:trHeight w:val="264"/>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30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of consolidated VIEs</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635,037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887,897</w:t>
            </w:r>
          </w:p>
        </w:tc>
        <w:tc>
          <w:tcPr>
            <w:tcW w:w="80" w:type="dxa"/>
            <w:vAlign w:val="bottom"/>
          </w:tcPr>
          <w:p>
            <w:pPr>
              <w:spacing w:after="0"/>
              <w:rPr>
                <w:sz w:val="24"/>
                <w:szCs w:val="24"/>
                <w:color w:val="auto"/>
              </w:rPr>
            </w:pPr>
          </w:p>
        </w:tc>
      </w:tr>
      <w:tr>
        <w:trPr>
          <w:trHeight w:val="203"/>
        </w:trPr>
        <w:tc>
          <w:tcPr>
            <w:tcW w:w="60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of consolidated VIEs, included in total liabilities above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57"/>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2"/>
                <w:szCs w:val="22"/>
                <w:color w:val="auto"/>
              </w:rPr>
            </w:pPr>
          </w:p>
        </w:tc>
      </w:tr>
      <w:tr>
        <w:trPr>
          <w:trHeight w:val="257"/>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22"/>
                <w:szCs w:val="22"/>
                <w:color w:val="auto"/>
              </w:rPr>
            </w:pPr>
          </w:p>
        </w:tc>
      </w:tr>
      <w:tr>
        <w:trPr>
          <w:trHeight w:val="27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3"/>
                <w:szCs w:val="23"/>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 debt</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569,234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817,926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7"/>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of consolidated VIEs</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570,995</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820,715</w:t>
            </w:r>
          </w:p>
        </w:tc>
        <w:tc>
          <w:tcPr>
            <w:tcW w:w="80" w:type="dxa"/>
            <w:vAlign w:val="bottom"/>
            <w:tcBorders>
              <w:bottom w:val="single" w:sz="8" w:color="CCEEFF"/>
            </w:tcBorders>
          </w:tcPr>
          <w:p>
            <w:pPr>
              <w:spacing w:after="0"/>
              <w:rPr>
                <w:sz w:val="24"/>
                <w:szCs w:val="24"/>
                <w:color w:val="auto"/>
              </w:rPr>
            </w:pPr>
          </w:p>
        </w:tc>
      </w:tr>
      <w:tr>
        <w:trPr>
          <w:trHeight w:val="27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67,182</w:t>
            </w:r>
          </w:p>
        </w:tc>
        <w:tc>
          <w:tcPr>
            <w:tcW w:w="80" w:type="dxa"/>
            <w:vAlign w:val="bottom"/>
            <w:shd w:val="clear" w:color="auto" w:fill="CCEEFF"/>
          </w:tcPr>
          <w:p>
            <w:pPr>
              <w:spacing w:after="0"/>
              <w:rPr>
                <w:sz w:val="24"/>
                <w:szCs w:val="24"/>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-1910715</wp:posOffset>
            </wp:positionV>
            <wp:extent cx="52120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467169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132,363</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Servicing income</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 net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264,367</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73,383</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 costs</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76,071</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391,808</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(127,441)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(120,419)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vMerge w:val="continue"/>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(120,455)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Return to Preferred Stockholders on Repurchase</w:t>
            </w:r>
          </w:p>
        </w:tc>
        <w:tc>
          <w:tcPr>
            <w:tcW w:w="1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(14,113)</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vMerge w:val="continue"/>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(134,568)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Other Comprehensive Loss</w:t>
            </w: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608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tcBorders>
              <w:right w:val="single" w:sz="8" w:color="CCEEFF"/>
            </w:tcBorders>
            <w:gridSpan w:val="2"/>
            <w:vMerge w:val="continue"/>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(120,455)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6"/>
              </w:rPr>
              <w:t>47,345,328</w:t>
            </w:r>
          </w:p>
        </w:tc>
        <w:tc>
          <w:tcPr>
            <w:tcW w:w="2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47,856,720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attributable to common stockholders – basic and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(unaudited)</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weighted average common shares outstanding – basic and diluted</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171,764,609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-624840</wp:posOffset>
            </wp:positionV>
            <wp:extent cx="457771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-1362075</wp:posOffset>
            </wp:positionV>
            <wp:extent cx="457771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-2099310</wp:posOffset>
            </wp:positionV>
            <wp:extent cx="457771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-2476500</wp:posOffset>
            </wp:positionV>
            <wp:extent cx="45777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-2836545</wp:posOffset>
            </wp:positionV>
            <wp:extent cx="457771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-3196590</wp:posOffset>
            </wp:positionV>
            <wp:extent cx="457771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-4876800</wp:posOffset>
            </wp:positionV>
            <wp:extent cx="457771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-5871210</wp:posOffset>
            </wp:positionV>
            <wp:extent cx="45688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38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REDEEMABLE CONVERTIBLE PREFERRED</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STOCK AND STOCKHOLDERS’ DEFICIT</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25"/>
        </w:trPr>
        <w:tc>
          <w:tcPr>
            <w:tcW w:w="2880" w:type="dxa"/>
            <w:vAlign w:val="bottom"/>
          </w:tcPr>
          <w:p>
            <w:pPr>
              <w:spacing w:after="0"/>
              <w:rPr>
                <w:sz w:val="2"/>
                <w:szCs w:val="2"/>
                <w:color w:val="auto"/>
              </w:rPr>
            </w:pPr>
          </w:p>
        </w:tc>
        <w:tc>
          <w:tcPr>
            <w:tcW w:w="17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88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60" w:type="dxa"/>
            <w:vAlign w:val="bottom"/>
            <w:tcBorders>
              <w:lef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94"/>
        </w:trPr>
        <w:tc>
          <w:tcPr>
            <w:tcW w:w="2880" w:type="dxa"/>
            <w:vAlign w:val="bottom"/>
          </w:tcPr>
          <w:p>
            <w:pPr>
              <w:spacing w:after="0"/>
              <w:rPr>
                <w:sz w:val="8"/>
                <w:szCs w:val="8"/>
                <w:color w:val="auto"/>
              </w:rPr>
            </w:pPr>
          </w:p>
        </w:tc>
        <w:tc>
          <w:tcPr>
            <w:tcW w:w="174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Borders>
              <w:left w:val="single" w:sz="8" w:color="auto"/>
            </w:tcBorders>
          </w:tcPr>
          <w:p>
            <w:pPr>
              <w:spacing w:after="0"/>
              <w:rPr>
                <w:sz w:val="8"/>
                <w:szCs w:val="8"/>
                <w:color w:val="auto"/>
              </w:rPr>
            </w:pPr>
          </w:p>
        </w:tc>
        <w:tc>
          <w:tcPr>
            <w:tcW w:w="138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880" w:type="dxa"/>
            <w:vAlign w:val="bottom"/>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60" w:type="dxa"/>
            <w:vAlign w:val="bottom"/>
            <w:tcBorders>
              <w:left w:val="single" w:sz="8" w:color="auto"/>
            </w:tcBorders>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Accumulated</w:t>
            </w:r>
          </w:p>
        </w:tc>
        <w:tc>
          <w:tcPr>
            <w:tcW w:w="108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Stockholders’</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80" w:type="dxa"/>
            <w:vAlign w:val="bottom"/>
            <w:gridSpan w:val="5"/>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8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left w:val="single" w:sz="8" w:color="auto"/>
            </w:tcBorders>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left w:val="single" w:sz="8" w:color="auto"/>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2018</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100,443,538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$495,376</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44,486,618</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$ 28,092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$(197,364)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$(169,272)</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tcBorders>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3,451,035</w:t>
            </w:r>
          </w:p>
        </w:tc>
        <w:tc>
          <w:tcPr>
            <w:tcW w:w="12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6,475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43"/>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(859,445)</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redeemable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net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of $4,217</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23,310,166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303,083</w:t>
            </w:r>
          </w:p>
        </w:tc>
        <w:tc>
          <w:tcPr>
            <w:tcW w:w="60" w:type="dxa"/>
            <w:vAlign w:val="bottom"/>
            <w:tcBorders>
              <w:left w:val="single" w:sz="8" w:color="auto"/>
            </w:tcBorders>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redeemable</w:t>
            </w:r>
          </w:p>
        </w:tc>
        <w:tc>
          <w:tcPr>
            <w:tcW w:w="9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(14,113)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tcBorders>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36,582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0" w:type="dxa"/>
            <w:vAlign w:val="bottom"/>
          </w:tcPr>
          <w:p>
            <w:pPr>
              <w:spacing w:after="0"/>
              <w:rPr>
                <w:sz w:val="1"/>
                <w:szCs w:val="1"/>
                <w:color w:val="auto"/>
              </w:rPr>
            </w:pPr>
          </w:p>
        </w:tc>
      </w:tr>
      <w:tr>
        <w:trPr>
          <w:trHeight w:val="277"/>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(120,455)</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(120,455)</w:t>
            </w:r>
          </w:p>
        </w:tc>
        <w:tc>
          <w:tcPr>
            <w:tcW w:w="0" w:type="dxa"/>
            <w:vAlign w:val="bottom"/>
          </w:tcPr>
          <w:p>
            <w:pPr>
              <w:spacing w:after="0"/>
              <w:rPr>
                <w:sz w:val="1"/>
                <w:szCs w:val="1"/>
                <w:color w:val="auto"/>
              </w:rPr>
            </w:pPr>
          </w:p>
        </w:tc>
      </w:tr>
      <w:tr>
        <w:trPr>
          <w:trHeight w:val="20"/>
        </w:trPr>
        <w:tc>
          <w:tcPr>
            <w:tcW w:w="28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2019</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122,653,704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$798,074</w:t>
            </w:r>
          </w:p>
        </w:tc>
        <w:tc>
          <w:tcPr>
            <w:tcW w:w="60" w:type="dxa"/>
            <w:vAlign w:val="bottom"/>
            <w:tcBorders>
              <w:left w:val="single" w:sz="8" w:color="auto"/>
            </w:tcBorders>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47,078,208</w:t>
            </w:r>
          </w:p>
        </w:tc>
        <w:tc>
          <w:tcPr>
            <w:tcW w:w="12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$ 54,824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$(318,238)</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$(263,414)</w:t>
            </w:r>
          </w:p>
        </w:tc>
        <w:tc>
          <w:tcPr>
            <w:tcW w:w="0" w:type="dxa"/>
            <w:vAlign w:val="bottom"/>
          </w:tcPr>
          <w:p>
            <w:pPr>
              <w:spacing w:after="0"/>
              <w:rPr>
                <w:sz w:val="1"/>
                <w:szCs w:val="1"/>
                <w:color w:val="auto"/>
              </w:rPr>
            </w:pPr>
          </w:p>
        </w:tc>
      </w:tr>
      <w:tr>
        <w:trPr>
          <w:trHeight w:val="20"/>
        </w:trPr>
        <w:tc>
          <w:tcPr>
            <w:tcW w:w="28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2,101,317</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tcBorders>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(1,495,098)</w:t>
            </w:r>
          </w:p>
        </w:tc>
        <w:tc>
          <w:tcPr>
            <w:tcW w:w="12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(16,331)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38"/>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redeemable convertible</w:t>
            </w:r>
          </w:p>
        </w:tc>
        <w:tc>
          <w:tcPr>
            <w:tcW w:w="9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net of issuance</w:t>
            </w:r>
          </w:p>
        </w:tc>
        <w:tc>
          <w:tcPr>
            <w:tcW w:w="9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left w:val="single" w:sz="8" w:color="auto"/>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$0</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1,175,872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15,481</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redeemable</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(1,713,605)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60" w:type="dxa"/>
            <w:vAlign w:val="bottom"/>
            <w:tcBorders>
              <w:left w:val="single" w:sz="8" w:color="auto"/>
            </w:tcBorders>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(13,205)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0" w:type="dxa"/>
            <w:vAlign w:val="bottom"/>
          </w:tcPr>
          <w:p>
            <w:pPr>
              <w:spacing w:after="0"/>
              <w:rPr>
                <w:sz w:val="1"/>
                <w:szCs w:val="1"/>
                <w:color w:val="auto"/>
              </w:rPr>
            </w:pPr>
          </w:p>
        </w:tc>
      </w:tr>
      <w:tr>
        <w:trPr>
          <w:trHeight w:val="238"/>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beneficial</w:t>
            </w:r>
          </w:p>
        </w:tc>
        <w:tc>
          <w:tcPr>
            <w:tcW w:w="9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option</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0" w:type="dxa"/>
            <w:vAlign w:val="bottom"/>
          </w:tcPr>
          <w:p>
            <w:pPr>
              <w:spacing w:after="0"/>
              <w:rPr>
                <w:sz w:val="1"/>
                <w:szCs w:val="1"/>
                <w:color w:val="auto"/>
              </w:rPr>
            </w:pPr>
          </w:p>
        </w:tc>
      </w:tr>
      <w:tr>
        <w:trPr>
          <w:trHeight w:val="25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tcBorders>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32,545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0" w:type="dxa"/>
            <w:vAlign w:val="bottom"/>
          </w:tcPr>
          <w:p>
            <w:pPr>
              <w:spacing w:after="0"/>
              <w:rPr>
                <w:sz w:val="1"/>
                <w:szCs w:val="1"/>
                <w:color w:val="auto"/>
              </w:rPr>
            </w:pPr>
          </w:p>
        </w:tc>
      </w:tr>
      <w:tr>
        <w:trPr>
          <w:trHeight w:val="257"/>
        </w:trPr>
        <w:tc>
          <w:tcPr>
            <w:tcW w:w="2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right w:val="single" w:sz="8" w:color="CCEEFF"/>
            </w:tcBorders>
            <w:shd w:val="clear" w:color="auto" w:fill="CCEEFF"/>
          </w:tcPr>
          <w:p>
            <w:pPr>
              <w:spacing w:after="0"/>
              <w:rPr>
                <w:sz w:val="22"/>
                <w:szCs w:val="22"/>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(302)</w:t>
            </w:r>
          </w:p>
        </w:tc>
        <w:tc>
          <w:tcPr>
            <w:tcW w:w="14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9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auto"/>
            </w:tcBorders>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(112,598)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(112,598)</w:t>
            </w:r>
          </w:p>
        </w:tc>
        <w:tc>
          <w:tcPr>
            <w:tcW w:w="0" w:type="dxa"/>
            <w:vAlign w:val="bottom"/>
          </w:tcPr>
          <w:p>
            <w:pPr>
              <w:spacing w:after="0"/>
              <w:rPr>
                <w:sz w:val="1"/>
                <w:szCs w:val="1"/>
                <w:color w:val="auto"/>
              </w:rPr>
            </w:pPr>
          </w:p>
        </w:tc>
      </w:tr>
      <w:tr>
        <w:trPr>
          <w:trHeight w:val="20"/>
        </w:trPr>
        <w:tc>
          <w:tcPr>
            <w:tcW w:w="28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80" w:type="dxa"/>
            <w:vAlign w:val="bottom"/>
            <w:tcBorders>
              <w:right w:val="single" w:sz="8" w:color="CCEEFF"/>
            </w:tcBorders>
            <w:vMerge w:val="continue"/>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122,115,971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804,170</w:t>
            </w:r>
          </w:p>
        </w:tc>
        <w:tc>
          <w:tcPr>
            <w:tcW w:w="60" w:type="dxa"/>
            <w:vAlign w:val="bottom"/>
            <w:tcBorders>
              <w:left w:val="single" w:sz="8" w:color="auto"/>
              <w:right w:val="single" w:sz="8" w:color="CCEEFF"/>
            </w:tcBorders>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47,684,427</w:t>
            </w:r>
          </w:p>
        </w:tc>
        <w:tc>
          <w:tcPr>
            <w:tcW w:w="1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w:t>
            </w:r>
          </w:p>
        </w:tc>
        <w:tc>
          <w:tcPr>
            <w:tcW w:w="8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$ 80,373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(447,167)</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(302)</w:t>
            </w:r>
          </w:p>
        </w:tc>
        <w:tc>
          <w:tcPr>
            <w:tcW w:w="140" w:type="dxa"/>
            <w:vAlign w:val="bottom"/>
            <w:tcBorders>
              <w:right w:val="single" w:sz="8" w:color="CCEEFF"/>
            </w:tcBorders>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(367,096)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6442710</wp:posOffset>
            </wp:positionH>
            <wp:positionV relativeFrom="paragraph">
              <wp:posOffset>-265430</wp:posOffset>
            </wp:positionV>
            <wp:extent cx="514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-265430</wp:posOffset>
            </wp:positionV>
            <wp:extent cx="24828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-265430</wp:posOffset>
            </wp:positionV>
            <wp:extent cx="23177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-265430</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-265430</wp:posOffset>
            </wp:positionV>
            <wp:extent cx="1289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-265430</wp:posOffset>
            </wp:positionV>
            <wp:extent cx="12001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-265430</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-265430</wp:posOffset>
            </wp:positionV>
            <wp:extent cx="24688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688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-2134235</wp:posOffset>
            </wp:positionV>
            <wp:extent cx="514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-2134235</wp:posOffset>
            </wp:positionV>
            <wp:extent cx="24828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-2134235</wp:posOffset>
            </wp:positionV>
            <wp:extent cx="23177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-2134235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-2134235</wp:posOffset>
            </wp:positionV>
            <wp:extent cx="12890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-2134235</wp:posOffset>
            </wp:positionV>
            <wp:extent cx="12001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-2134235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-2134235</wp:posOffset>
            </wp:positionV>
            <wp:extent cx="24688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688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-2322195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-3865245</wp:posOffset>
            </wp:positionV>
            <wp:extent cx="514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-3865245</wp:posOffset>
            </wp:positionV>
            <wp:extent cx="6032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-3865245</wp:posOffset>
            </wp:positionV>
            <wp:extent cx="24599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-3865245</wp:posOffset>
            </wp:positionV>
            <wp:extent cx="1714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-3865245</wp:posOffset>
            </wp:positionV>
            <wp:extent cx="514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-3865245</wp:posOffset>
            </wp:positionV>
            <wp:extent cx="514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-3865245</wp:posOffset>
            </wp:positionV>
            <wp:extent cx="514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-3865245</wp:posOffset>
            </wp:positionV>
            <wp:extent cx="514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bookmarkStart w:id="223" w:name="page224"/>
    <w:bookmarkEnd w:id="22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16510</wp:posOffset>
            </wp:positionV>
            <wp:extent cx="120015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9" w:lineRule="exact"/>
        <w:rPr>
          <w:sz w:val="20"/>
          <w:szCs w:val="20"/>
          <w:color w:val="auto"/>
        </w:rPr>
      </w:pPr>
    </w:p>
    <w:p>
      <w:pPr>
        <w:ind w:left="788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6985</wp:posOffset>
            </wp:positionV>
            <wp:extent cx="464629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320" w:type="dxa"/>
            <w:vAlign w:val="bottom"/>
            <w:tcBorders>
              <w:top w:val="single" w:sz="8" w:color="CCEEFF"/>
              <w:right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(120,455)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premiums and discounts on loans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(19,375)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sales of loans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servicing assets and liabilities</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fair value of convertible debt derivative</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tax expense</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loans held for sale</w:t>
            </w: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(858,661)</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(2,101,483)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loans held for sale</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813,309</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right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(24,791)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(17,105)</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Accrued interest payable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Borders>
              <w:right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Payable to third-party loan owners</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(87,649)</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Purchases of loans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99"/>
              </w:rPr>
              <w:t>(1,892,508)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(2,830,320)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the sale of loans</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147,103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303,433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Principal repayments of loans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1,412,927</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2,294,833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(19,406)</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funding debt</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1,354,550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2,132,805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Payments of debt issuance costs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(4,850)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Principal repayments of funding debt</w:t>
            </w: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99"/>
              </w:rPr>
              <w:t>(1,080,481)</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(1,882,155)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issuance of convertible debt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issuance of redeemable convertible preferred stock, net</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303,083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Repurchases of redeemable convertible preferred stock</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(14,498)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(22,591)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Proceeds from issuance of common stock</w:t>
            </w: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120,271</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357,771</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Cash payments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27,838</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28,085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right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Stock-based compensation included in capitalized internal-use software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2,882</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Additions to property, equipment and software included in accrued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-833755</wp:posOffset>
            </wp:positionV>
            <wp:extent cx="46545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-1108075</wp:posOffset>
            </wp:positionV>
            <wp:extent cx="465455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-2428240</wp:posOffset>
            </wp:positionV>
            <wp:extent cx="465455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-3508375</wp:posOffset>
            </wp:positionV>
            <wp:extent cx="465455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2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hanging="358"/>
        <w:spacing w:after="0"/>
        <w:tabs>
          <w:tab w:leader="none" w:pos="16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technology-driven payments network and partnership with an originating bank, Affirm enables consumers to confidently pay for a purchase over time, with terms ranging from one to forty-eight months. When a consumer applies for a loan through our platform, the loan is underwritten using our proprietary risk model. Once approved and the consumer selects their preferred repayment option, the majority of loans are funded and issued by our originating bank partner.</w:t>
      </w:r>
    </w:p>
    <w:p>
      <w:pPr>
        <w:spacing w:after="0" w:line="124"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June 2019 Merger Transaction</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On June 18, 2019, Affirm, Inc., the operating entity originally founded in 2012, consummated a reorganization by interposing a holding company between Affirm, Inc. and its shareholders. To accomplish this, Affirm, Inc. formed Affirm Holdings, Inc., which was incorporated in Delaware on June 12, 2019, and Accompany Merger Sub, Inc. (“Merger Sub”), as a wholly owned subsidiary of Affirm Holdings, Inc. Affirm, Inc. merged with Merger Sub, with Affirm, Inc. as the surviving entity, by issuing identical shares of stock of Affirm Holdings, Inc. in exchange for their equity interest in Affirm, Inc. After the merger, all of the shareholders of Affirm, Inc. became 100% shareholders of Affirm Holdings, Inc., and Affirm, Inc. became a wholly owned subsidiary of Affirm Holdings, Inc.</w:t>
      </w:r>
    </w:p>
    <w:p>
      <w:pPr>
        <w:spacing w:after="0" w:line="111"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merger was considered a transaction between entities under common control. Accordingly, Affirm Holdings, Inc. recognized the assets and liabilities of Affirm, Inc. at their carrying values. There was no effect to consolidated operating loss or to consolidated net loss.</w:t>
      </w:r>
    </w:p>
    <w:p>
      <w:pPr>
        <w:spacing w:after="0" w:line="185" w:lineRule="exact"/>
        <w:rPr>
          <w:sz w:val="20"/>
          <w:szCs w:val="20"/>
          <w:color w:val="auto"/>
        </w:rPr>
      </w:pPr>
    </w:p>
    <w:p>
      <w:pPr>
        <w:ind w:left="1620" w:hanging="358"/>
        <w:spacing w:after="0"/>
        <w:tabs>
          <w:tab w:leader="none" w:pos="16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accounting principles generally accepted in the United States of America (“GAAP”), as contained in the Financial Accounting Standards Board (“FASB”) Accounting Standards Codification (“ASC”).</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financial statements have been prepared on a consolidated basis. Under this basis of presentation, our financial statements consolidate all wholly owned subsidiaries and variable interest entities (“VIEs”), in which we have a controlling financial interest. These include various Delaware business trusts established to enter into warehouse credit agreements with certain lenders for funding debt facilities.</w:t>
      </w:r>
    </w:p>
    <w:p>
      <w:pPr>
        <w:spacing w:after="0" w:line="11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A VIE is a legal entity that has a total equity investment that is insufficient to finance its activities without additional subordinated financial support or whose equity investors lack the characteristics of a controlling financial interest. Our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 We consolidate a VIE when we are deemed to be the primary beneficiary. We assess whether or not we are the primary beneficiary of a VIE on an ongoing basis.</w:t>
      </w: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w:t>
      </w:r>
    </w:p>
    <w:p>
      <w:pPr>
        <w:spacing w:after="0" w:line="148"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in our consolidated statements of operations for the year ended June 30, 2020 are computed as if the IPO had occurred on the later of July 1, 2019 and the date the equity instruments were issued or vested. The weighted average common shares used in the unaudited pro forma basic and diluted net loss per share attributable to common stockholders is calculated after giving effect to: (i) the automatic conversion of all our outstanding shares of redeemable convertible preferred stock into 122,115,971 shares of common stock;</w:t>
      </w:r>
    </w:p>
    <w:p>
      <w:pPr>
        <w:spacing w:after="0" w:line="3" w:lineRule="exact"/>
        <w:rPr>
          <w:sz w:val="20"/>
          <w:szCs w:val="20"/>
          <w:color w:val="auto"/>
        </w:rPr>
      </w:pPr>
    </w:p>
    <w:p>
      <w:pPr>
        <w:ind w:left="1260" w:right="679" w:firstLine="2"/>
        <w:spacing w:after="0"/>
        <w:tabs>
          <w:tab w:leader="none" w:pos="15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our convertible debt into 4,444,321 shares of common stock; (iii) the vesting of 998,268 RSUs with vesting conditions contingent upon the closing of the proposed IPO; and (iv) the required net exercise of 50,000 vested common stock warrants. The conversion of our redeemable convertible preferred stock is based on a conversion ratio of 1:1 which is determined by dividing the original issue price for the specific series of redeemable convertible preferred shares by the conversion price for that series of redeemable convertible preferred shares. The conversion of our convertible debt is based on: (i) the conversion of our convertible debt to 4,444,321 shares of Series G redeemable convertible preferred stock which occurred as part of our Series G financing that closed subsequent to June 30, 2020, and (ii) the automatic conversion of the 4,444,321 shares of Series G redeemable convertible preferred stock into common stock upon the closing of our proposed IPO. The vesting of our RSUs with vesting conditions contingent upon the closing of the proposed IPO results in the recognition of additional stock-based compensation expense of $12.3 million. The numerator used in the unaudited pro forma basic and diluted net loss per share attributable to common stockholders excludes (i) any adjustment related to the assumed extinguishment of our convertible debt as the potential adjustment would not have a continuing impact on our statements of operations; and (ii) the excess return to redeemable convertible preferred stockholders on repurchase as the redeemable convertible preferred stock was assumed to have been converted into common shares as of July 1, 2019.</w:t>
      </w:r>
    </w:p>
    <w:p>
      <w:pPr>
        <w:spacing w:after="0" w:line="259"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shares of common stock expected to be issued and the proceeds expected to be received in our proposed IPO are excluded from the pro forma net loss per share attributable to common stockholders, basic and diluted.</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use of estimates, judgments and assumptions that affect the reported amounts in the consolidated financial statements and the accompanying notes. Material estimates that are particularly susceptible to significant change relate to determination of the allowance for credit losses, capitalized software development costs, valuation allowance for deferred tax assets, convertible debt derivatives, and loss on loan purchase commitment.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106" w:lineRule="exact"/>
        <w:rPr>
          <w:sz w:val="20"/>
          <w:szCs w:val="20"/>
          <w:color w:val="auto"/>
        </w:rPr>
      </w:pPr>
    </w:p>
    <w:p>
      <w:pPr>
        <w:ind w:left="1260" w:right="1419" w:firstLine="360"/>
        <w:spacing w:after="0" w:line="266"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consolidated financial statement; therefore, actual results could differ materially from those estimates.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conduct our operations through a single operating segment and, therefore, one reportable segment. Operating segments are components of a company for which separate financial information is internally produced for regular use by the Chief Operating Decision Maker (“CODM”) to allocate resources and assess the performance of the business. Our CODM, the Chief Executive Officer of Affirm Holdings, Inc., uses a variety of measures to assess the performance of the business; however, detailed profitability information that could be used to allocate resources and assess the performance of the business is managed and reviewed for the consolidated company as a whole.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checking, money market and savings accounts held at financial institutions or highly liquid investments purchased with an original maturity of three months or less.</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Restricted cash consists primarily of: (i) deposits restricted by standby letters of credit for office leases;</w:t>
      </w:r>
    </w:p>
    <w:p>
      <w:pPr>
        <w:spacing w:after="0" w:line="16" w:lineRule="exact"/>
        <w:rPr>
          <w:sz w:val="20"/>
          <w:szCs w:val="20"/>
          <w:color w:val="auto"/>
        </w:rPr>
      </w:pPr>
    </w:p>
    <w:p>
      <w:pPr>
        <w:ind w:left="1260" w:right="699" w:firstLine="2"/>
        <w:spacing w:after="0" w:line="239" w:lineRule="auto"/>
        <w:tabs>
          <w:tab w:leader="none" w:pos="15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held in accounts as collateral for an originating bank partner; and (iii) servicing funds held in accounts contractually restricted by agreements with warehouse credit facilities and third-party loan owners. We have no ability to draw on such funds as long as they remain restricted under the applicable agreements.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w:t>
      </w:r>
    </w:p>
    <w:p>
      <w:pPr>
        <w:spacing w:after="0" w:line="162"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We purchase our loans from an originating bank partner pursuant to the terms outlined in the executed loan sale program agreement. Loan receivables that we have the intent and ability to hold for the foreseeable future or until maturity or payoff are classified as held for investment and are reported at amortized cost, which includes unpaid principal balances, any related premiums including fees paid to the originating bank partner and discounts due to loan commitment liability, where applicable, adjusted for any charge-offs and the allowance for credit losses.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162" w:lineRule="exact"/>
        <w:rPr>
          <w:sz w:val="20"/>
          <w:szCs w:val="20"/>
          <w:color w:val="auto"/>
        </w:rPr>
      </w:pPr>
    </w:p>
    <w:p>
      <w:pPr>
        <w:ind w:left="1260" w:right="839" w:firstLine="360"/>
        <w:spacing w:after="0" w:line="241" w:lineRule="auto"/>
        <w:rPr>
          <w:sz w:val="20"/>
          <w:szCs w:val="20"/>
          <w:color w:val="auto"/>
        </w:rPr>
      </w:pPr>
      <w:r>
        <w:rPr>
          <w:rFonts w:ascii="Times New Roman" w:cs="Times New Roman" w:eastAsia="Times New Roman" w:hAnsi="Times New Roman"/>
          <w:sz w:val="18"/>
          <w:szCs w:val="18"/>
          <w:color w:val="auto"/>
        </w:rPr>
        <w:t>We sell certain loans to third-party loan buyers. A loan is initially classified as held for sale when the whole loan is identified as for sale. Loans classified as held for sale are recorded at the lower of amortized cost or fair value. A loan that is initially designated as held for sale or held for investment may be reclassified when our intent for that loan changes. When a loan held for investment is reclassified to held for sale, any allowance for the credit loss related to that loan is released and any fair value adjustment to record the loan at the lower of amortized cost or fair value is recorded.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4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We account for the loan sales in accordance with ASC 860, which states that a transfer of financial assets, a group of financial assets, or a participating interest in a financial asset is accounted for as a sale if all of the following conditions are met:</w:t>
      </w:r>
    </w:p>
    <w:p>
      <w:pPr>
        <w:spacing w:after="0" w:line="109" w:lineRule="exact"/>
        <w:rPr>
          <w:sz w:val="20"/>
          <w:szCs w:val="20"/>
          <w:color w:val="auto"/>
        </w:rPr>
      </w:pPr>
    </w:p>
    <w:p>
      <w:pPr>
        <w:ind w:left="1980" w:right="999" w:hanging="358"/>
        <w:spacing w:after="0" w:line="282" w:lineRule="auto"/>
        <w:tabs>
          <w:tab w:leader="none" w:pos="1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assets are isolated from the transferor and its consolidated affiliates as well as its creditors;</w:t>
      </w:r>
    </w:p>
    <w:p>
      <w:pPr>
        <w:spacing w:after="0" w:line="80" w:lineRule="exact"/>
        <w:rPr>
          <w:rFonts w:ascii="Times New Roman" w:cs="Times New Roman" w:eastAsia="Times New Roman" w:hAnsi="Times New Roman"/>
          <w:sz w:val="18"/>
          <w:szCs w:val="18"/>
          <w:color w:val="auto"/>
        </w:rPr>
      </w:pPr>
    </w:p>
    <w:p>
      <w:pPr>
        <w:ind w:left="1980" w:right="919" w:hanging="358"/>
        <w:spacing w:after="0" w:line="282" w:lineRule="auto"/>
        <w:tabs>
          <w:tab w:leader="none" w:pos="1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or beneficial interest holders have the right to pledge or exchange the transferred financial assets; and</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does not maintain effective control of the transferred assets.</w:t>
      </w:r>
    </w:p>
    <w:p>
      <w:pPr>
        <w:spacing w:after="0" w:line="158"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For the years ended June 30, 2019 and June 30, 2020, all loan sales met the requirements for sale treatment in accordance with ASC 860. We record the gain or loss on the sale of a loan at the sale date in an amount equal to the proceeds received, adjusted for initial recognition of servicing assets or liabilities obtained at the date of sale, less the carrying value of the loan.</w:t>
      </w:r>
    </w:p>
    <w:p>
      <w:pPr>
        <w:spacing w:after="0" w:line="10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Upon the sale of a loan to a third-party loan buyer in which we retain servicing rights, we may recognize a servicing asset or liability. Receiving more than adequate compensation, as defined by ASC 860, “Transfers and Servicing”, for servicing those loans, results in recognition of a servicing asset. Receiving less than adequate compensation results in a servicing liability. Servicing assets and liabilities are recorded at fair value and are presented as a component of other assets or accrued expenses and other liabilities, respectively. The recognition of a servicing asset results in a corresponding increase to the gain or loss on sale of loans. The recognition of a servicing liability results in a corresponding decrease to gain on sales of loans. The servicing rights are marked to fair value each period, with the subsequent adjustment recognized in servicing income. The subsequent measurement includes changes in inputs or assumptions used in the valuation model.</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Losses on loan receivables are recognized when they are incurred, which requires us to make our best estimate of incurred losses inherent in the portfolio. The method for calculating the best estimate of incurred</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spacing w:after="0" w:line="245" w:lineRule="auto"/>
        <w:rPr>
          <w:sz w:val="20"/>
          <w:szCs w:val="20"/>
          <w:color w:val="auto"/>
        </w:rPr>
      </w:pPr>
      <w:r>
        <w:rPr>
          <w:rFonts w:ascii="Times New Roman" w:cs="Times New Roman" w:eastAsia="Times New Roman" w:hAnsi="Times New Roman"/>
          <w:sz w:val="18"/>
          <w:szCs w:val="18"/>
          <w:color w:val="auto"/>
        </w:rPr>
        <w:t>losses takes into account our historical experience, adjusted for current conditions and our judgment concerning the probable effects of relevant observable data, trends and market factors. The allowance for credit losses is maintained at a level sufficient to provide for incurred credit losses based on evaluating known and inherent risks in the loan portfolio.</w:t>
      </w:r>
    </w:p>
    <w:p>
      <w:pPr>
        <w:spacing w:after="0" w:line="100"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In estimating the allowance for credit losses, management utilizes a migration analysis of delinquent and current loan receivables. Migration analysis is a technique used to estimate the likelihood that a loan receivable will progress through various stages of delinquency and to charge-off. The analysis focuses on the pertinent factors underlying the quality of the loan portfolio. These factors include historical performance, the age of the receivable balance, seasonality, customer credit-worthiness, changes in the size and composition of the loan portfolio, delinquency levels, bankruptcy filings, actual credit loss experience, and current economic conditions.</w:t>
      </w:r>
    </w:p>
    <w:p>
      <w:pPr>
        <w:spacing w:after="0" w:line="32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When available information confirms that specific loans or portions thereof are uncollectible, identified amounts are charged against the allowance for credit losses. The existence of some or all of the following criteria will generally confirm that a loss has been incurred: the loan is 120 days past due and the borrower has not demonstrated the ability or intent to bring the loan current.</w:t>
      </w:r>
    </w:p>
    <w:p>
      <w:pPr>
        <w:spacing w:after="0" w:line="113"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The underlying assumptions, estimates and assessments we use to provide for losses are updated each period to reflect our view of current conditions, which can result in changes to our assumptions. Changes in such estimates can significantly affect the allowance and provision for credit losses. It is possible that we will experience credit losses that are different from our current estimates.</w:t>
      </w:r>
    </w:p>
    <w:p>
      <w:pPr>
        <w:spacing w:after="0" w:line="10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 provision for credit losses is charged against income and added to the allowance for credit losses based on regular assessments of the loan portfolio. Loans are charged-off in accordance with our charge-off policy, as the contractual principal or interest become 120 days past due. Charge-offs are recorded as a reduction to the allowance for credit losses. Costs incurred to recover charged-off loans are recorded as collection expenses and are included in processing and servicing on the consolidated statements of operations. Accrued and unpaid interest is charged-off when a loan is 120 days past due and is recorded as a reduction in interest income. Subsequent recoveries of the unpaid principal balance, if any, are credited to the allowance for credit losses. Subsequent recoveries of unpaid interest, if any, are credited to interest income.</w:t>
      </w:r>
    </w:p>
    <w:p>
      <w:pPr>
        <w:spacing w:after="0" w:line="3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From time to time, we experience operational losses when loans are obtained through fraudulent means.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loans are charged off and included within the provision for credit losses when fraud is identified.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62" w:lineRule="exact"/>
        <w:rPr>
          <w:sz w:val="20"/>
          <w:szCs w:val="20"/>
          <w:color w:val="auto"/>
        </w:rPr>
      </w:pPr>
    </w:p>
    <w:p>
      <w:pPr>
        <w:ind w:left="1260" w:right="999" w:firstLine="360"/>
        <w:spacing w:after="0" w:line="245" w:lineRule="auto"/>
        <w:rPr>
          <w:sz w:val="20"/>
          <w:szCs w:val="20"/>
          <w:color w:val="auto"/>
        </w:rPr>
      </w:pPr>
      <w:r>
        <w:rPr>
          <w:rFonts w:ascii="Times New Roman" w:cs="Times New Roman" w:eastAsia="Times New Roman" w:hAnsi="Times New Roman"/>
          <w:sz w:val="18"/>
          <w:szCs w:val="18"/>
          <w:color w:val="auto"/>
        </w:rPr>
        <w:t>Our accounts receivable consists primarily of amounts due from payment processors, merchant partners, and third-party loan owners. We evaluate accounts receivable estimated to be uncollectible and provide allowances, as necessary, for doubtful accounts. As of June 30, 2020, this allowance was $3.1 million. We did not record an allowance for the period ended June 30, 2019.</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48" w:lineRule="exact"/>
        <w:rPr>
          <w:sz w:val="20"/>
          <w:szCs w:val="20"/>
          <w:color w:val="auto"/>
        </w:rPr>
      </w:pPr>
    </w:p>
    <w:p>
      <w:pPr>
        <w:ind w:left="1260" w:right="879" w:firstLine="360"/>
        <w:spacing w:after="0" w:line="241" w:lineRule="auto"/>
        <w:rPr>
          <w:sz w:val="20"/>
          <w:szCs w:val="20"/>
          <w:color w:val="auto"/>
        </w:rPr>
      </w:pPr>
      <w:r>
        <w:rPr>
          <w:rFonts w:ascii="Times New Roman" w:cs="Times New Roman" w:eastAsia="Times New Roman" w:hAnsi="Times New Roman"/>
          <w:sz w:val="18"/>
          <w:szCs w:val="18"/>
          <w:color w:val="auto"/>
        </w:rPr>
        <w:t>Property, equipment and software consist of computer and office equipment, capitalized internally developed software and website development costs and leasehold improvements. Property, equipment and software is stated at cost less accumulated depreciation and amortization. Depreciation and amortization expenses are recognized using the straight-line method over the estimated useful lives of the assets which range from three to five years. Leasehold improvements are depreciated over the shorter of the improvement’s estimated useful life or the remaining lease term.</w:t>
      </w:r>
    </w:p>
    <w:p>
      <w:pPr>
        <w:spacing w:after="0" w:line="116"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We capitalize costs to develop internally developed software when preliminary development efforts are successfully completed, management has authorized and committed project funding, and it is probable that the project will be completed and the software or website will function and be used as intended. Capitalized internal-use software costs primarily include salaries and payroll-related costs for employees directly involved in the development efforts, software licenses acquired and fees paid to external consultants. Such costs are amortized on a straight-line basis over the estimated useful life of the related asset, which ranges from three</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41" w:lineRule="auto"/>
        <w:rPr>
          <w:sz w:val="20"/>
          <w:szCs w:val="20"/>
          <w:color w:val="auto"/>
        </w:rPr>
      </w:pPr>
      <w:r>
        <w:rPr>
          <w:rFonts w:ascii="Times New Roman" w:cs="Times New Roman" w:eastAsia="Times New Roman" w:hAnsi="Times New Roman"/>
          <w:sz w:val="18"/>
          <w:szCs w:val="18"/>
          <w:color w:val="auto"/>
        </w:rPr>
        <w:t>to five years. Costs incurred prior to meeting these criteria, together with costs incurred for training and maintenance, are expensed as incurred. Costs incurred for enhancements that are expected to result in additional functionality are capitalized and expensed over the estimated useful life of the upgrades. Capitalized internally developed software costs are included in property, equipment and software, and amortization expense is included in technology and data analytics expense in the consolidated statements of operations.</w:t>
      </w:r>
    </w:p>
    <w:p>
      <w:pPr>
        <w:spacing w:after="0" w:line="311"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Property, equipment and software is tested for impairment when there is an indication that the carrying value of an asset group may not be recoverable. Carrying values are not recoverable when the undiscounted cash flows estimated to be generated by the assets are less than their carrying values. When an asset is determined not to be recoverable, the impairment is measured based on the excess, if any, of the carrying value of the asset over its respective fair value and recorded in the period the determination is made.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Funding Debt, Convertible Debt, and Debt Issuance Costs</w:t>
      </w:r>
    </w:p>
    <w:p>
      <w:pPr>
        <w:spacing w:after="0" w:line="162"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We borrow from various lenders to finance the purchase of loans from our originating bank partner. These borrowings are carried at amortized cost. Costs incurred in connection with borrowings, such as banker fees, commitment fees and legal fees, are classified as deferred debt issuance costs. We defer these costs and amortize them on a straight-line basis over the term of the debt. Interest payments and amortization of debt issuance costs incurred on debt used to fund purchases of loans from our originating bank partner are presented as funding costs in the consolidated statements of operations. Unamortized debt issuance costs are presented as a reduction of the associated debt.</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analyze our convertible debt instruments for embedded derivatives that may require bifurcation from the host. Where we determine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for measurement purposes. The embedded derivative is carried at fair value with changes in fair value recognized in net loss during the period of change. The Fair Value of the embedded derivatives was determined utilizing a Monte Carlo Simulation (“MCS”) . The MCS model utilizes probabilities and expectations for future events, to account for the impact of a change of control transaction, initial public offering (“IPO”), next equity financing or a maturity conversion event. The impact of these probability weighted events are calculated over 50,000 independent iterations. The fair value of the embedded derivatives is the enhancement value of the convertibles notes with the embedded derivatives over the value of the convertible notes without these features. The enhanced value of the convertible notes with the embedded features is based on the average value over all iterations.</w:t>
      </w:r>
    </w:p>
    <w:p>
      <w:pPr>
        <w:spacing w:after="0" w:line="28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If the conversion features of a convertible note provide for a rate of conversion that is below market value, this feature is characterized as a beneficial conversion feature (“BCF”). A BCF is recorded as a debt discount pursuant to ASC Topic 470-20 “Debt with Conversion and Other Options.” In those circumstances, the convertible note is recorded net of the discount related to the BCF and we amortize the discount to funding costs over the life of the note using the effective interest method.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the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the deferred tax asset will not be realized.</w:t>
      </w:r>
    </w:p>
    <w:p>
      <w:pPr>
        <w:spacing w:after="0" w:line="116"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federal and state tax laws and regulations. ASC 740, “Income Taxes”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02"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We record unrecognized tax benefits as liabilities in accordance with ASC 740 and adjusts these liabilities when our judgment changes as a result of the evaluation of new information not previously</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819"/>
        <w:spacing w:after="0" w:line="232" w:lineRule="auto"/>
        <w:rPr>
          <w:sz w:val="20"/>
          <w:szCs w:val="20"/>
          <w:color w:val="auto"/>
        </w:rPr>
      </w:pPr>
      <w:r>
        <w:rPr>
          <w:rFonts w:ascii="Times New Roman" w:cs="Times New Roman" w:eastAsia="Times New Roman" w:hAnsi="Times New Roman"/>
          <w:sz w:val="18"/>
          <w:szCs w:val="18"/>
          <w:color w:val="auto"/>
        </w:rPr>
        <w:t>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w:t>
      </w:r>
    </w:p>
    <w:p>
      <w:pPr>
        <w:spacing w:after="0" w:line="135" w:lineRule="exact"/>
        <w:rPr>
          <w:sz w:val="20"/>
          <w:szCs w:val="20"/>
          <w:color w:val="auto"/>
        </w:rPr>
      </w:pPr>
    </w:p>
    <w:p>
      <w:pPr>
        <w:ind w:left="1260" w:right="779" w:firstLine="360"/>
        <w:spacing w:after="0" w:line="227" w:lineRule="auto"/>
        <w:rPr>
          <w:sz w:val="20"/>
          <w:szCs w:val="20"/>
          <w:color w:val="auto"/>
        </w:rPr>
      </w:pPr>
      <w:r>
        <w:rPr>
          <w:rFonts w:ascii="Times New Roman" w:cs="Times New Roman" w:eastAsia="Times New Roman" w:hAnsi="Times New Roman"/>
          <w:sz w:val="18"/>
          <w:szCs w:val="18"/>
          <w:color w:val="auto"/>
        </w:rPr>
        <w:t>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where available. If such quoted market prices are not available, fair value is based upon internally developed models that use, as inputs, observable market-based parameters to the greatest extent possible.</w:t>
      </w:r>
    </w:p>
    <w:p>
      <w:pPr>
        <w:spacing w:after="0" w:line="108" w:lineRule="exact"/>
        <w:rPr>
          <w:sz w:val="20"/>
          <w:szCs w:val="20"/>
          <w:color w:val="auto"/>
        </w:rPr>
      </w:pPr>
    </w:p>
    <w:p>
      <w:pPr>
        <w:ind w:left="1260" w:right="1239" w:firstLine="360"/>
        <w:spacing w:after="0" w:line="250" w:lineRule="auto"/>
        <w:rPr>
          <w:sz w:val="20"/>
          <w:szCs w:val="20"/>
          <w:color w:val="auto"/>
        </w:rPr>
      </w:pPr>
      <w:r>
        <w:rPr>
          <w:rFonts w:ascii="Times New Roman" w:cs="Times New Roman" w:eastAsia="Times New Roman" w:hAnsi="Times New Roman"/>
          <w:sz w:val="18"/>
          <w:szCs w:val="18"/>
          <w:color w:val="auto"/>
        </w:rPr>
        <w:t>Additionally, ASC 820 establishes a fair value hierarchy that prioritizes the use of inputs used in valuation methodologies into the following three levels:</w:t>
      </w:r>
    </w:p>
    <w:p>
      <w:pPr>
        <w:spacing w:after="0" w:line="55" w:lineRule="exact"/>
        <w:rPr>
          <w:sz w:val="20"/>
          <w:szCs w:val="20"/>
          <w:color w:val="auto"/>
        </w:rPr>
      </w:pPr>
    </w:p>
    <w:p>
      <w:pPr>
        <w:ind w:left="1800" w:right="859" w:hanging="178"/>
        <w:spacing w:after="0" w:line="266"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to the valuation methodology are quoted prices, unadjusted, for identical assets or liabilities in active markets. A quoted price in an active market provides the most reliable evidence of fair value and shall be used to measure fair value whenever available.</w:t>
      </w:r>
    </w:p>
    <w:p>
      <w:pPr>
        <w:spacing w:after="0" w:line="54" w:lineRule="exact"/>
        <w:rPr>
          <w:rFonts w:ascii="Times New Roman" w:cs="Times New Roman" w:eastAsia="Times New Roman" w:hAnsi="Times New Roman"/>
          <w:sz w:val="18"/>
          <w:szCs w:val="18"/>
          <w:color w:val="auto"/>
        </w:rPr>
      </w:pPr>
    </w:p>
    <w:p>
      <w:pPr>
        <w:ind w:left="1800" w:right="779" w:hanging="178"/>
        <w:spacing w:after="0" w:line="259"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294"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to the valuation methodology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146"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Merchant Network Revenue consists of merchant fees. Merchant partners are charged a fee on each transaction processed through the Affirm platform. The fees range depending on the individual arrangement between us and each merchant and vary based on the terms of the product offering. The fee is recognized as earned when the terms of the executed merchant agreement have been fulfilled and the merchant successfully confirms the transaction.</w:t>
      </w:r>
    </w:p>
    <w:p>
      <w:pPr>
        <w:spacing w:after="0" w:line="117"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From time to time, we offer merchant partners promotional incentives to offer our products to their customers, such as fee reductions or rebates. These amounts, as well as refunds, are recorded as a reduction of revenue and netted against merchant network revenue.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Virtual Card Network Revenue</w:t>
      </w:r>
    </w:p>
    <w:p>
      <w:pPr>
        <w:spacing w:after="0" w:line="16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have agreements with issuer processors to facilitate the origination of loans through the issuance of virtual debit cards to be used by consumers at checkout. Consumers can apply through the Affirm app and, upon approval, receive a single-use virtual debit card to be used for their purchase online or offline at a non-integrated merchant. The merchants are charged interchange fees for virtual debit card transactions by the issuer processors, as with all debit card purchases, and the issuer processor shares a portion of this revenue with us. This revenue is recognized as a percentage of both our loan volume transacted on the payment processor network and net interchange income, and this revenue is presented net of associated processing fees.</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accrue interest income under the effective interest rate method. Interest income on a loan is accrued daily, based on the finance charge disclosed to the consumer, over the term of the loan based upon the</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42" w:lineRule="auto"/>
        <w:rPr>
          <w:sz w:val="20"/>
          <w:szCs w:val="20"/>
          <w:color w:val="auto"/>
        </w:rPr>
      </w:pPr>
      <w:r>
        <w:rPr>
          <w:rFonts w:ascii="Times New Roman" w:cs="Times New Roman" w:eastAsia="Times New Roman" w:hAnsi="Times New Roman"/>
          <w:sz w:val="18"/>
          <w:szCs w:val="18"/>
          <w:color w:val="auto"/>
        </w:rPr>
        <w:t>principal outstanding. The accrual of interest on a loan is suspended if a formal dispute involving either us or the merchant of record is opened, or a loan is 120 days past due. Upon the resolution of a dispute against the borrower, the accrual of interest is resumed and any interest that would have been earned during the disputed period is retroactively accrued. As of June 30, 2019 and 2020, the balance of loans held for investment on non-accrual status was $0.2 million and $0.3 million, respectively.</w:t>
      </w:r>
    </w:p>
    <w:p>
      <w:pPr>
        <w:spacing w:after="0" w:line="104"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We continue to accrue interest income until either the interest accrued equals the amount of the finance charge disclosed to the consumer, the principal balance of the loan is paid in full, or the account is charged-off in the period the account becomes 120 days past due or meets other charge-off policy requirements. Past due status is based on the contractual terms of the loans. Previously recognized interest receivable from charged-off loans that was accrued but not collected from the customer is reversed.</w:t>
      </w:r>
    </w:p>
    <w:p>
      <w:pPr>
        <w:spacing w:after="0" w:line="117"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Any discounts or premiums on loan receivables created upon purchase of the loan from our originating bank partner are amortized over the life of the loan using the effective interest method. The amortization is presented together as interest income in the consolidated statements of operations.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160"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Loss on Loan Purchase Commitment</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purchase loans from our originating bank partner that are processed through our platform and our originating bank partner puts back to us. Under the terms of the agreement with our originating bank partner, we are generally required to pay the principal amount plus accrued interest for such loans. In certain instances, our originating bank partner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w:t>
      </w:r>
    </w:p>
    <w:p>
      <w:pPr>
        <w:spacing w:after="0" w:line="117"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Due to the nature of this arrangement with our originating bank partner, we recognize a net liability for this commitment when the merchant confirms the transaction. This liability is recorded at fair value, which is determined by the difference between the estimated fair value of the loan and the anticipated purchase price. Upon purchase, the liability is included in the amortized cost basis of the purchased loan as a discount, which is amortized into interest income over the life of the loan.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within sales and marketing in our consolidated statements of operations. For the years ended June 30, 2019 and 2020, advertising costs totaled $2.6 million and $3.3 million,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Rent expense on operating leases is recorded on a straight -line basis over the term of the executed lease agreement and allocated to the respective expense line item in the consolidated statements of operations based on employee headcount. Any difference between the rent paid and the straight-line rent expense is recognized as deferred rent within other assets or deferred lease liability within accrued expenses and other liabilities, respectively.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Our wholly-owned foreign subsidiary, Affirm Canada Holdings Ltd., uses the local currency of its respective country as its functional currency. Assets and liabilities of this subsidiary are translated into U.S. dollars at exchange rates prevailing at the balance sheet dates. Revenues, costs, and expenses of this</w:t>
      </w: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42" w:lineRule="auto"/>
        <w:rPr>
          <w:sz w:val="20"/>
          <w:szCs w:val="20"/>
          <w:color w:val="auto"/>
        </w:rPr>
      </w:pPr>
      <w:r>
        <w:rPr>
          <w:rFonts w:ascii="Times New Roman" w:cs="Times New Roman" w:eastAsia="Times New Roman" w:hAnsi="Times New Roman"/>
          <w:sz w:val="18"/>
          <w:szCs w:val="18"/>
          <w:color w:val="auto"/>
        </w:rPr>
        <w:t>subsidiary are translated into U.S. dollars using daily exchange rates when incurred. Gains and losses resulting from these translations are recorded as a component of accumulated other comprehensive income (loss) (“AOCI”). Gains and losses from the remeasurement of foreign currency transactions into the functional currency are recognized as other income (expense), net, in our consolidated statements of operations.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4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accordance with ASC Topic 718, “Compensation -Stock Compensation”, equity-classified stock-based compensation provided to employees is measured based on the grant date fair value of the awards and recognized as a compensation expense on a straight-line basis over the period during which the award holder is required to perform services in exchange for the award (the requisite service period). In addition, we made an accounting policy election to estimate the expected forfeiture rate and only recognize expense for those awards expected to vest. We estimate the forfeiture rate based on the historical experience of our share-based awards that are granted and forfeited prior to vesting.</w:t>
      </w:r>
    </w:p>
    <w:p>
      <w:pPr>
        <w:spacing w:after="0" w:line="117"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We account for stock-based awards to non-employees, including consultants, in accordance with ASC Topic 505-50, “Equity-Based Payments to Non-Employees”, which requires the fair value of the equity awards granted to non-employees to be remeasured as of each reporting date.</w:t>
      </w:r>
    </w:p>
    <w:p>
      <w:pPr>
        <w:spacing w:after="0" w:line="109"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have granted restricted stock units (“RSUs”) which are subject to two vesting conditions: a service-based vesting condition that is typically four years from the date of grant, and a performance-based vesting condition (i.e. a liquidity event in the form of either a change of control or an initial public offering). Stock based compensation is recognized only when it is determined that it is probable that a liquidity event will occur. As of June 30, 2019 and June 30, 2020, it was not probable that a liquidity event would occur and, accordingly, no stock compensation expense has been recognized in any period presented.</w:t>
      </w:r>
    </w:p>
    <w:p>
      <w:pPr>
        <w:spacing w:after="0" w:line="103"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Upon exercise or vesting of a share-based award, if the tax deduction exceeds the compensation cost that was previously recorded for financial statement purposes this will result in an excess tax benefit. ASU 2016-09, “Compensation-Stock Compensation (718) Improvements to Employee Share-Based Payment Accounting” requires us to recognize all excess tax benefits or tax deficiencies through the income statement as income tax expense/benefit. Under previous GAAP, any excess tax benefits were recognized in additional paid-in capital to offset current-period and subsequent -period tax deficiencies. Adoption should be applied using the modified retrospective transition method by means of a cumulative-effect adjustment to equity as of the beginning of the period in which guidance was adopted.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We calculate net income or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Our common stock issued upon the early exercise of stock options and redeemable convertible preferred stock are participating securities. We consider any shares issued upon early exercise of stock options, subject to repurchase, to be participating securities because holders of such shares have non-forfeitable dividend rights in the event a cash dividend is declared on our common stock. These participating securities do not contractually require the holders of such shares to participate in our losses. As such, net losses for the years presented were not allocated to our participating securities.</w:t>
      </w:r>
    </w:p>
    <w:p>
      <w:pPr>
        <w:spacing w:after="0" w:line="337" w:lineRule="exact"/>
        <w:rPr>
          <w:sz w:val="20"/>
          <w:szCs w:val="20"/>
          <w:color w:val="auto"/>
        </w:rPr>
      </w:pPr>
    </w:p>
    <w:p>
      <w:pPr>
        <w:ind w:left="1260" w:right="719" w:firstLine="360"/>
        <w:spacing w:after="0" w:line="275" w:lineRule="auto"/>
        <w:rPr>
          <w:sz w:val="20"/>
          <w:szCs w:val="20"/>
          <w:color w:val="auto"/>
        </w:rPr>
      </w:pPr>
      <w:r>
        <w:rPr>
          <w:rFonts w:ascii="Times New Roman" w:cs="Times New Roman" w:eastAsia="Times New Roman" w:hAnsi="Times New Roman"/>
          <w:sz w:val="18"/>
          <w:szCs w:val="18"/>
          <w:color w:val="auto"/>
        </w:rPr>
        <w:t>We calculate basic net loss per share attributable to common stockholders by dividing net loss attributable to common stockholders by the weighted average number of common shares outstanding for the period.</w:t>
      </w:r>
    </w:p>
    <w:p>
      <w:pPr>
        <w:spacing w:after="0" w:line="309"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We calculate diluted net loss per share attributable to common stockholders by dividing net loss attributable to common stockholder by the weighted average number of common shares outstanding after giving consideration to the dilutive effect of our redeemable convertible preferred stock, stock options, restricted stock units, convertible debt and common stock warrants that are outstanding during the period. We have generated a net loss in all periods presented, therefore the basic and diluted net loss per share</w:t>
      </w: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79"/>
        <w:spacing w:after="0" w:line="245" w:lineRule="auto"/>
        <w:rPr>
          <w:sz w:val="20"/>
          <w:szCs w:val="20"/>
          <w:color w:val="auto"/>
        </w:rPr>
      </w:pPr>
      <w:r>
        <w:rPr>
          <w:rFonts w:ascii="Times New Roman" w:cs="Times New Roman" w:eastAsia="Times New Roman" w:hAnsi="Times New Roman"/>
          <w:sz w:val="18"/>
          <w:szCs w:val="18"/>
          <w:color w:val="auto"/>
        </w:rPr>
        <w:t>attributable to common stockholders are the same as the inclusion of the potentially dilutive securities would be anti-dilutive. During the years ended June 30, 2019 and June 30, 2020, the excess of the repurchase price of preferred stock over its carrying value has been recorded as an increase to net loss to determine net loss attributable to common stockholders, basic and diluted.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48"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public business entities or</w:t>
      </w:r>
    </w:p>
    <w:p>
      <w:pPr>
        <w:spacing w:after="0" w:line="1" w:lineRule="exact"/>
        <w:rPr>
          <w:sz w:val="20"/>
          <w:szCs w:val="20"/>
          <w:color w:val="auto"/>
        </w:rPr>
      </w:pPr>
    </w:p>
    <w:p>
      <w:pPr>
        <w:ind w:left="1260" w:right="719" w:firstLine="2"/>
        <w:spacing w:after="0" w:line="238" w:lineRule="auto"/>
        <w:tabs>
          <w:tab w:leader="none" w:pos="15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same time periods as non-public business entities, for as long as we qualify as an emerging growth company. We have elected to adopt new or revised accounting guidance within the same time period as non-public business entities, unless, as indicated below, management determines it is preferable to take advantage of early adoption provisions provided for within the applicable guidance.</w:t>
      </w:r>
    </w:p>
    <w:p>
      <w:pPr>
        <w:spacing w:after="0" w:line="117"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January 2016, the Financial Accounting Standards Board (“FASB”) issued Accounting Standards Update (“ASU”) 2016-01, “Financial Instruments — Overall (Subtopic 825-10) — Recognition and Measurement of Financial Assets and Financial Liabilities”, to make targeting improvements to address certain aspects of recognition, measurement, presentation and disclosures of financial instruments. Subsequent to the issuance of ASU 2016-01, the FASB issued ASU 2018 -03, “Technical Corrections and Improvements to Financial Instruments — Overall (Subtopic 825-10)” in February 2018, to clarify certain aspects of the guidance issued in ASU 2016-01. We adopted the remaining provisions of the standard during the fiscal year beginning July 1, 2019 and determined the effects of the adoption of this standard did not have a material impact on our consolidated financial statements.</w:t>
      </w:r>
    </w:p>
    <w:p>
      <w:pPr>
        <w:spacing w:after="0" w:line="12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seeks to simplify several aspects of the accounting for share-based payment transactions, including the income tax consequences, classification of awards as either equity or liabilities, and classification on the statement of cash flows, among other things. We adopted ASU 2016- 09 for our fiscal year beginning July 1, 2018, under the modified retrospective method. We have recorded additional deferred tax assets of $0.2 million for excess tax benefits recognized in earlier periods as of June 30, 2018, wholly offset by a valuation allowance.</w:t>
      </w:r>
    </w:p>
    <w:p>
      <w:pPr>
        <w:spacing w:after="0" w:line="104"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that restricted cash and restricted cash equivalents to be included within the beginning and ending total cash amounts reported in the consolidated statements of cash flows. We adopted ASU 2016-18 for our fiscal year beginning July 1, 2019, and the effects of the adoption are presented retrospectively in our consolidated statements of cash flows.</w:t>
      </w:r>
    </w:p>
    <w:p>
      <w:pPr>
        <w:spacing w:after="0" w:line="11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In February 2018, the FASB issued ASU 2018-02, “Reporting Comprehensive Income (Topic 220): Reclassification of Certain Tax Effects from Accumulated Other Comprehensive Income”. ASU 2018-02 allows a reclassification from accumulated other comprehensive income to retained earnings for stranded tax effects resulting from the Tax Cuts and Jobs Act. Consequently, the amendments eliminate the stranded tax effects resulting from the Tax Cuts and Jobs Act and will improve the usefulness of information reported to financial statement users. However, because the amendments only relate to the classification of the income tax effects of the Tax Cuts and Jobs Act, the underlying guidance that requires that the effect of a change in tax laws or rates be included in income from continuing operations is not affected. We adopted ASU 2018-02 for our fiscal year beginning July 1, 2019, and determined the effects of the adoption of this standard did not have a material impact on our consolidated financial statements.</w:t>
      </w:r>
    </w:p>
    <w:p>
      <w:pPr>
        <w:spacing w:after="0" w:line="12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have adopted all new accounting pronouncements that are in effect and applicable to us for the year ended June 30,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ASC 606 requires revenue to be recognized in an amount that reflects the consideration to which the entity</w:t>
      </w: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1" w:lineRule="auto"/>
        <w:rPr>
          <w:sz w:val="20"/>
          <w:szCs w:val="20"/>
          <w:color w:val="auto"/>
        </w:rPr>
      </w:pPr>
      <w:r>
        <w:rPr>
          <w:rFonts w:ascii="Times New Roman" w:cs="Times New Roman" w:eastAsia="Times New Roman" w:hAnsi="Times New Roman"/>
          <w:sz w:val="18"/>
          <w:szCs w:val="18"/>
          <w:color w:val="auto"/>
        </w:rPr>
        <w:t>expects to be entitled in exchange of goods or services and also requires additional disclosure about the nature, amount, timing, and uncertainty of revenue and cash flows from customer contracts. Subsequent to the issuance of ASU 2014-09, the FASB issued several amendments to ASC 606 to clarify or improve the revenue recognition standard such as principal versus agent considerations in ASU 2016- 08, technical corrections and improvements to ASC 606 in ASU 2016- 20, clarifying the scope of asset derecognition guidance and accounting for partial sales of nonfinancial asset in ASU 2017-05.</w:t>
      </w:r>
    </w:p>
    <w:p>
      <w:pPr>
        <w:spacing w:after="0" w:line="103"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We have elected to adopt the effective date deferral standard and will adopt ASU 2014-09 and its related amendments for our annual reporting period beginning July 1, 2020.</w:t>
      </w:r>
    </w:p>
    <w:p>
      <w:pPr>
        <w:spacing w:after="0" w:line="315"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ASC 606 explicitly excludes revenue generated in accordance with ASC 310, Receivables, and ASC 860, Transfers and Servicing. Accordingly, we have concluded that interest income, gains on loan sales and servicing income will not be affected by the adoption of ASC 606 and its related amendments. Merchant network revenue and virtual card network revenue will be within the scope of ASC 606. We believe the adoption of this standard will not have a material impact on our consolidated financial statements.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that substantially modifies lessee accounting for leases, and requires most leases to be recognized on the balance sheet with enhanced disclosures. Leases will be classified as either finance or operating, with classification affecting the pattern of expense recognition in the income statement. Subsequent to the issuance of ASU 2016-02, the FASB issued several amendments to ASC 842 to clarify or improve the new leases standard such as codification and targeted improvements in ASUs 2018-10, 2018-11 and 2019 -01, narrow-scope improvements for lessors in ASU 2018-20, etc. For private companies, the amendments in ASU 2016 -02 are effective for fiscal years beginning after December 15, 2019, and interim periods within fiscal years beginning after December 15, 2020. The effective dates in ASU 2016-02 for private companies were deferred by one year pursuant to the FASB’s issuance of ASU 2019-10, “Financial Instruments — Credit Losses (Topic 326), Derivatives and Hedging (Topic 815), and Leases (Topic 842): Effective Dates” in November 2019.</w:t>
      </w:r>
    </w:p>
    <w:p>
      <w:pPr>
        <w:spacing w:after="0" w:line="105"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As noted above, in June 2020, the FASB issued ASU 2020- 05,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private entities that have not yet issued their financial statements or made financial statements available for issuance, to adopt ASC 842 for fiscal years beginning after December 15, 2021, and interim reporting periods within fiscal years beginning after December 15, 2022. We have elected to adopt the effective date deferral standard and will adopt ASU 2016- 02 and its related amendments for our annual reporting period beginning July 1, 2022. We are currently evaluating the impact of adopting ASU 2016-02 and its amendments on our consolidated financial statements.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160"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In June 2016, the FASB issued amendments on ASU 2016-13, “Financial Instruments — Credit Losses (Topic 326)”. The amendments will replace the incurred loss impairment methodology in current US GAAP with a methodology that measures expected credit losses based on historical experience, current conditions and a reasonable and supportable forecast. This amendment is generally referred to as the current expected credit loss (CECL) standard. The amendments in this standard will be recognized through a cumulative-effect adjustment to retained earnings as of the beginning of the first reporting period in which the guidance is effective. Subsequent to the issuance of ASU 2016 -13, the FASB issued several amendments to ASC 326 to clarify or improve the financial instruments credit losses standard such as codification and targeted</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6" w:lineRule="auto"/>
        <w:rPr>
          <w:sz w:val="20"/>
          <w:szCs w:val="20"/>
          <w:color w:val="auto"/>
        </w:rPr>
      </w:pPr>
      <w:r>
        <w:rPr>
          <w:rFonts w:ascii="Times New Roman" w:cs="Times New Roman" w:eastAsia="Times New Roman" w:hAnsi="Times New Roman"/>
          <w:sz w:val="18"/>
          <w:szCs w:val="18"/>
          <w:color w:val="auto"/>
        </w:rPr>
        <w:t>improvements in ASUs 2018-19, 2019-04, 2019-05, 2019-11 and 2020-03. For private companies, the amendments in ASU 2016-13 were initially effective for fiscal years beginning after December 15, 2021, and interim periods therein. The effective dates in ASU 2016-13 for private companies were deferred by one year (fiscal years beginning after December 15, 2022) pursuant to the FASB’s Issuance of ASU 2019-10, “Financial Instruments — Credit Losses (Topic 326), Derivatives and Hedging (Topic 815), and Leases (Topic 842): Effective Dates” in November 2019.”</w:t>
      </w:r>
    </w:p>
    <w:p>
      <w:pPr>
        <w:spacing w:after="0" w:line="106"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standard dictates that institutions estimate the cash flows that are not expected to be collected over the contractual life of the loan, adjusted for prepayments. Our current methodology also estimates the total expected cash flow not expected to be collected on our consolidated balance sheets. Based on preliminary analysis, we do not expect that the consideration of forward-looking information, i.e. the reasonable and supportable forecast, will result in a material impact to our consolidated financial statements. However, we are still in the process of evaluating the impact.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Compensation — Stock Compensation</w:t>
      </w:r>
    </w:p>
    <w:p>
      <w:pPr>
        <w:spacing w:after="0" w:line="160"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2018-07, “Compensation — Stock Compensation (Topic 718): Improvements to Nonemployee Share Based Payment Accounting” that expands on the scope of ASC 718 to include share-based payment transactions for acquiring goods and services from nonemployee. For non-public business entities, the amendments are effective for fiscal years beginning after December 15, 2019, and interim periods within fiscal years beginning after December 15, 2020. Early adoption is permitted, but no earlier than an entity’s adoption of ASC 606. We have not yet adopted ASC 606 for the year ended June 30, 2020, but we do not expect this standard to have a material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Fair Value Measurement Disclosures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Framework — Changes to Disclosure Requirements for Fair Value Measurement” which eliminates, adds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modifies certain disclosure requirements for fair value measurements. The guidance promotes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framework to help improve the effectiveness of disclosures in the notes to the financial statements and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for all entities for fiscal years, and interim periods within those years beginning after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15, 2019 with early adoption permitted for any removed or modified disclosure requirements.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currently evaluating the impact of adopting this amendment on our consolidated financial statements.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updates relate to financial statement disclosures only, we do not expect this to have a material effect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consolidated financial statements.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that simplifies the accounting for income taxes by removing certain exceptions to the general principles in such areas as intraperiod tax allocation, year to date losses in interim periods and deferred tax liabilities related to outside basis differences. Amendments also include simplifications in other areas such as franchise taxes, step-up in tax basis goodwill, separate entity financial statements and interim recognition of enactment of tax laws or rate changes. For all other entities, the amendments are effective for fiscal years beginning after December 15, 2021, and interim periods within fiscal years beginning after December 15, 2022. We are currently evaluating the impact of adopting this amendment on our consolidated financial statements.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60"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ASU is effective for all entities upon issuance as of March 12, 2020 through December 31, 2022. We are in the process of reviewing our revolving credit agreements and loan sale</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4" w:lineRule="auto"/>
        <w:rPr>
          <w:sz w:val="20"/>
          <w:szCs w:val="20"/>
          <w:color w:val="auto"/>
        </w:rPr>
      </w:pPr>
      <w:r>
        <w:rPr>
          <w:rFonts w:ascii="Times New Roman" w:cs="Times New Roman" w:eastAsia="Times New Roman" w:hAnsi="Times New Roman"/>
          <w:sz w:val="18"/>
          <w:szCs w:val="18"/>
          <w:color w:val="auto"/>
        </w:rPr>
        <w:t>agreements that utilize LIBOR as the reference rate and introducing new fallback language to these agreements. We expect the impact of this change to have an immaterial impact on our consolidated financial statements.</w:t>
      </w:r>
    </w:p>
    <w:p>
      <w:pPr>
        <w:spacing w:after="0" w:line="368" w:lineRule="exact"/>
        <w:rPr>
          <w:sz w:val="20"/>
          <w:szCs w:val="20"/>
          <w:color w:val="auto"/>
        </w:rPr>
      </w:pPr>
    </w:p>
    <w:p>
      <w:pPr>
        <w:ind w:left="1620" w:hanging="358"/>
        <w:spacing w:after="0"/>
        <w:tabs>
          <w:tab w:leader="none" w:pos="16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Income</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consisted of the following components for the years ended June 30 (in thousands):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5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unpaid principal balance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$103,731</w:t>
            </w:r>
          </w:p>
        </w:tc>
        <w:tc>
          <w:tcPr>
            <w:tcW w:w="24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$163,374</w:t>
            </w:r>
          </w:p>
        </w:tc>
        <w:tc>
          <w:tcPr>
            <w:tcW w:w="60" w:type="dxa"/>
            <w:vAlign w:val="bottom"/>
          </w:tcPr>
          <w:p>
            <w:pPr>
              <w:spacing w:after="0"/>
              <w:rPr>
                <w:sz w:val="21"/>
                <w:szCs w:val="21"/>
                <w:color w:val="auto"/>
              </w:rPr>
            </w:pP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 on loans held for investment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21,833</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60" w:type="dxa"/>
            <w:vAlign w:val="bottom"/>
          </w:tcPr>
          <w:p>
            <w:pPr>
              <w:spacing w:after="0"/>
              <w:rPr>
                <w:sz w:val="22"/>
                <w:szCs w:val="22"/>
                <w:color w:val="auto"/>
              </w:rPr>
            </w:pPr>
          </w:p>
        </w:tc>
      </w:tr>
      <w:tr>
        <w:trPr>
          <w:trHeight w:val="256"/>
        </w:trPr>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60" w:type="dxa"/>
            <w:vAlign w:val="bottom"/>
          </w:tcPr>
          <w:p>
            <w:pPr>
              <w:spacing w:after="0"/>
              <w:rPr>
                <w:sz w:val="22"/>
                <w:szCs w:val="22"/>
                <w:color w:val="auto"/>
              </w:rPr>
            </w:pPr>
          </w:p>
        </w:tc>
      </w:tr>
      <w:tr>
        <w:trPr>
          <w:trHeight w:val="26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0"/>
        </w:trPr>
        <w:tc>
          <w:tcPr>
            <w:tcW w:w="58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$119,404</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$186,730</w:t>
            </w:r>
          </w:p>
        </w:tc>
        <w:tc>
          <w:tcPr>
            <w:tcW w:w="60" w:type="dxa"/>
            <w:vAlign w:val="bottom"/>
          </w:tcPr>
          <w:p>
            <w:pPr>
              <w:spacing w:after="0"/>
              <w:rPr>
                <w:sz w:val="22"/>
                <w:szCs w:val="22"/>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3033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68" w:lineRule="exact"/>
        <w:rPr>
          <w:sz w:val="20"/>
          <w:szCs w:val="20"/>
          <w:color w:val="auto"/>
        </w:rPr>
      </w:pPr>
    </w:p>
    <w:p>
      <w:pPr>
        <w:ind w:left="1620" w:hanging="358"/>
        <w:spacing w:after="0"/>
        <w:tabs>
          <w:tab w:leader="none" w:pos="16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Held for Investment and Allowance for Credit Losses</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held for investment consisted of the following as of June 30 (in thousands):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$742,525</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$1,054,077</w:t>
            </w:r>
          </w:p>
        </w:tc>
        <w:tc>
          <w:tcPr>
            <w:tcW w:w="60" w:type="dxa"/>
            <w:vAlign w:val="bottom"/>
          </w:tcPr>
          <w:p>
            <w:pPr>
              <w:spacing w:after="0"/>
              <w:rPr>
                <w:sz w:val="21"/>
                <w:szCs w:val="2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60" w:type="dxa"/>
            <w:vAlign w:val="bottom"/>
          </w:tcPr>
          <w:p>
            <w:pPr>
              <w:spacing w:after="0"/>
              <w:rPr>
                <w:sz w:val="22"/>
                <w:szCs w:val="22"/>
                <w:color w:val="auto"/>
              </w:rPr>
            </w:pPr>
          </w:p>
        </w:tc>
      </w:tr>
      <w:tr>
        <w:trPr>
          <w:trHeight w:val="2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60" w:type="dxa"/>
            <w:vAlign w:val="bottom"/>
          </w:tcPr>
          <w:p>
            <w:pPr>
              <w:spacing w:after="0"/>
              <w:rPr>
                <w:sz w:val="22"/>
                <w:szCs w:val="22"/>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due to loan commitment liability</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(13,068)</w:t>
            </w:r>
          </w:p>
        </w:tc>
        <w:tc>
          <w:tcPr>
            <w:tcW w:w="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(28,659)</w:t>
            </w:r>
          </w:p>
        </w:tc>
      </w:tr>
      <w:tr>
        <w:trPr>
          <w:trHeight w:val="26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Loans held for sale</w:t>
            </w: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(3,420)</w:t>
            </w: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60" w:type="dxa"/>
            <w:vAlign w:val="bottom"/>
          </w:tcPr>
          <w:p>
            <w:pPr>
              <w:spacing w:after="0"/>
              <w:rPr>
                <w:sz w:val="22"/>
                <w:szCs w:val="22"/>
                <w:color w:val="auto"/>
              </w:rPr>
            </w:pPr>
          </w:p>
        </w:tc>
      </w:tr>
      <w:tr>
        <w:trPr>
          <w:trHeight w:val="263"/>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$735,414</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$1,034,312</w:t>
            </w:r>
          </w:p>
        </w:tc>
        <w:tc>
          <w:tcPr>
            <w:tcW w:w="60" w:type="dxa"/>
            <w:vAlign w:val="bottom"/>
          </w:tcPr>
          <w:p>
            <w:pPr>
              <w:spacing w:after="0"/>
              <w:rPr>
                <w:sz w:val="22"/>
                <w:szCs w:val="22"/>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-1036955</wp:posOffset>
            </wp:positionV>
            <wp:extent cx="42176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91"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Generally, loans are originated by our originating bank partner through our technology platform and later purchased by us. During the years ended June 30, 2019 and June 30, 2020, we purchased loans from our originating bank partner in the amount of $2,744.8 million and $4,726.5 million, respectively.</w:t>
      </w:r>
    </w:p>
    <w:p>
      <w:pPr>
        <w:spacing w:after="0" w:line="96"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These loans have a variety of lending terms as well as lengths ranging from one to forty-eight months. We evaluate all loans as a homogeneous loan portfolio given it focuses on one product segment, point-of-sale unsecured installment loans.</w:t>
      </w:r>
    </w:p>
    <w:p>
      <w:pPr>
        <w:spacing w:after="0" w:line="10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32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The ITACs model analyzes the characteristics of an applicant’s attributes that are shown to be predictive of both willingness and ability to repay including, but not limited to: basic features of a borrower’s credit profile, a borrower’s prior repayment performance with other creditors, current credit utilization, and legal and policy changes. When an applicant passes both fraud and credit policy checks, they are assigned an ITACs score. ITACs is also widely used for portfolio performance monitoring. Our risk organization closely tracks the distribution of applicant ITACs as well as the ITACs of captured loans to monitor for signs of a changing credit profile within the portfolio. Repayment performance within each ITACs band is also monitored to ensure both the integrity of the risk scoring models and to measure possible changes in consumer behavior amongst various credit tiers.</w:t>
      </w: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an analysis of the credit quality of the unpaid principal balance of loans held for investment by ITACs for the years ended June 30 (in thousands):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39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$425,070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746,758</w:t>
            </w:r>
          </w:p>
        </w:tc>
      </w:tr>
      <w:tr>
        <w:trPr>
          <w:trHeight w:val="257"/>
        </w:trPr>
        <w:tc>
          <w:tcPr>
            <w:tcW w:w="5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94–96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204,214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196,083</w:t>
            </w:r>
          </w:p>
        </w:tc>
      </w:tr>
      <w:tr>
        <w:trPr>
          <w:trHeight w:val="256"/>
        </w:trPr>
        <w:tc>
          <w:tcPr>
            <w:tcW w:w="360" w:type="dxa"/>
            <w:vAlign w:val="bottom"/>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82,368</w:t>
            </w:r>
          </w:p>
        </w:tc>
      </w:tr>
      <w:tr>
        <w:trPr>
          <w:trHeight w:val="25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&lt;90</w:t>
            </w:r>
          </w:p>
        </w:tc>
        <w:tc>
          <w:tcPr>
            <w:tcW w:w="39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r>
      <w:tr>
        <w:trPr>
          <w:trHeight w:val="283"/>
        </w:trPr>
        <w:tc>
          <w:tcPr>
            <w:tcW w:w="360" w:type="dxa"/>
            <w:vAlign w:val="bottom"/>
          </w:tcPr>
          <w:p>
            <w:pPr>
              <w:spacing w:after="0"/>
              <w:rPr>
                <w:sz w:val="24"/>
                <w:szCs w:val="24"/>
                <w:color w:val="auto"/>
              </w:rPr>
            </w:pPr>
          </w:p>
        </w:tc>
        <w:tc>
          <w:tcPr>
            <w:tcW w:w="5520" w:type="dxa"/>
            <w:vAlign w:val="bottom"/>
            <w:tcBorders>
              <w:bottom w:val="single" w:sz="8" w:color="CCEEFF"/>
            </w:tcBorders>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No score</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w:t>
            </w:r>
          </w:p>
        </w:tc>
      </w:tr>
      <w:tr>
        <w:trPr>
          <w:trHeight w:val="257"/>
        </w:trPr>
        <w:tc>
          <w:tcPr>
            <w:tcW w:w="5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unpaid principal balance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$742,525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1,054,077</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-1130935</wp:posOffset>
            </wp:positionV>
            <wp:extent cx="421767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24" w:lineRule="exact"/>
        <w:rPr>
          <w:sz w:val="20"/>
          <w:szCs w:val="20"/>
          <w:color w:val="auto"/>
        </w:rPr>
      </w:pPr>
    </w:p>
    <w:p>
      <w:pPr>
        <w:ind w:left="1620" w:right="959" w:hanging="358"/>
        <w:spacing w:after="0" w:line="282"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represents loan receivables in experimental products or new markets without sufficient data currently available for use of the Affirm scoring methodology.</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unpaid principal balance related to loans held for investment by delinquency status as of June 30 (in thousands):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Non-delinquent loans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$725,648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$1,019,492</w:t>
            </w:r>
          </w:p>
        </w:tc>
      </w:tr>
      <w:tr>
        <w:trPr>
          <w:trHeight w:val="270"/>
        </w:trPr>
        <w:tc>
          <w:tcPr>
            <w:tcW w:w="5880" w:type="dxa"/>
            <w:vAlign w:val="bottom"/>
            <w:gridSpan w:val="3"/>
          </w:tcPr>
          <w:p>
            <w:pPr>
              <w:ind w:left="360"/>
              <w:spacing w:after="0" w:line="270" w:lineRule="exact"/>
              <w:rPr>
                <w:sz w:val="20"/>
                <w:szCs w:val="20"/>
                <w:color w:val="auto"/>
              </w:rPr>
            </w:pPr>
            <w:r>
              <w:rPr>
                <w:rFonts w:ascii="Times New Roman" w:cs="Times New Roman" w:eastAsia="Times New Roman" w:hAnsi="Times New Roman"/>
                <w:sz w:val="18"/>
                <w:szCs w:val="18"/>
                <w:color w:val="auto"/>
              </w:rPr>
              <w:t>4 – 29 calendar days past due</w:t>
            </w:r>
            <w:r>
              <w:rPr>
                <w:rFonts w:ascii="Times New Roman" w:cs="Times New Roman" w:eastAsia="Times New Roman" w:hAnsi="Times New Roman"/>
                <w:sz w:val="26"/>
                <w:szCs w:val="26"/>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r>
      <w:tr>
        <w:trPr>
          <w:trHeight w:val="257"/>
        </w:trPr>
        <w:tc>
          <w:tcPr>
            <w:tcW w:w="360" w:type="dxa"/>
            <w:vAlign w:val="bottom"/>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56"/>
        </w:trPr>
        <w:tc>
          <w:tcPr>
            <w:tcW w:w="5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63"/>
        </w:trPr>
        <w:tc>
          <w:tcPr>
            <w:tcW w:w="360" w:type="dxa"/>
            <w:vAlign w:val="bottom"/>
          </w:tcPr>
          <w:p>
            <w:pPr>
              <w:spacing w:after="0"/>
              <w:rPr>
                <w:sz w:val="22"/>
                <w:szCs w:val="22"/>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90-119 calendar days past due</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64"/>
        </w:trPr>
        <w:tc>
          <w:tcPr>
            <w:tcW w:w="5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unpaid principal balance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$742,525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$1,054,077</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3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-1139190</wp:posOffset>
            </wp:positionV>
            <wp:extent cx="421767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2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Loans are not considered delinquent until they are 4 calendar days past due.</w:t>
      </w:r>
    </w:p>
    <w:p>
      <w:pPr>
        <w:spacing w:after="0" w:line="15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at a level that is appropriate to absorb probable losses inherent in unsecured consumer loan receivables. The allowance for credit losses covers estimated losses. When loans are charged off, we may continue to attempt to recover amounts from the respective borrowers.</w:t>
      </w:r>
    </w:p>
    <w:p>
      <w:pPr>
        <w:spacing w:after="0" w:line="95"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for the years ended June 30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194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$ 35,949</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w:t>
            </w:r>
          </w:p>
        </w:tc>
        <w:tc>
          <w:tcPr>
            <w:tcW w:w="60" w:type="dxa"/>
            <w:vAlign w:val="bottom"/>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6"/>
                <w:szCs w:val="26"/>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101,540</w:t>
            </w:r>
          </w:p>
        </w:tc>
        <w:tc>
          <w:tcPr>
            <w:tcW w:w="60" w:type="dxa"/>
            <w:vAlign w:val="bottom"/>
          </w:tcPr>
          <w:p>
            <w:pPr>
              <w:spacing w:after="0"/>
              <w:rPr>
                <w:sz w:val="23"/>
                <w:szCs w:val="23"/>
                <w:color w:val="auto"/>
              </w:rPr>
            </w:pPr>
          </w:p>
        </w:tc>
      </w:tr>
      <w:tr>
        <w:trPr>
          <w:trHeight w:val="256"/>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(81,052)</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60" w:type="dxa"/>
            <w:vAlign w:val="bottom"/>
          </w:tcPr>
          <w:p>
            <w:pPr>
              <w:spacing w:after="0"/>
              <w:rPr>
                <w:sz w:val="22"/>
                <w:szCs w:val="22"/>
                <w:color w:val="auto"/>
              </w:rPr>
            </w:pPr>
          </w:p>
        </w:tc>
      </w:tr>
      <w:tr>
        <w:trPr>
          <w:trHeight w:val="264"/>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$ 66,260</w:t>
            </w:r>
          </w:p>
        </w:tc>
        <w:tc>
          <w:tcPr>
            <w:tcW w:w="2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95,137</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-290830</wp:posOffset>
            </wp:positionV>
            <wp:extent cx="431165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-967740</wp:posOffset>
            </wp:positionV>
            <wp:extent cx="430339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24" w:lineRule="exact"/>
        <w:rPr>
          <w:sz w:val="20"/>
          <w:szCs w:val="20"/>
          <w:color w:val="auto"/>
        </w:rPr>
      </w:pPr>
    </w:p>
    <w:p>
      <w:pPr>
        <w:ind w:left="1620" w:right="699" w:hanging="358"/>
        <w:spacing w:after="0" w:line="263" w:lineRule="auto"/>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provision for merchant losses of zero and $3.2 million and provision for repurchase of fraudulent loans sold of $0.6 million and $0.4 million, for the years ended June 30, 2019 and 2020, respectively, which are included in the provision for credit losses line on the consolidated statements of operations.</w:t>
      </w: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hanging="358"/>
        <w:spacing w:after="0"/>
        <w:tabs>
          <w:tab w:leader="none" w:pos="16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 net</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software, net, consist of the following as of June 30 (in thousands):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5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 – 5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$24,294</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$ 40,444</w:t>
            </w:r>
          </w:p>
        </w:tc>
        <w:tc>
          <w:tcPr>
            <w:tcW w:w="60" w:type="dxa"/>
            <w:vAlign w:val="bottom"/>
          </w:tcPr>
          <w:p>
            <w:pPr>
              <w:spacing w:after="0"/>
              <w:rPr>
                <w:sz w:val="21"/>
                <w:szCs w:val="21"/>
                <w:color w:val="auto"/>
              </w:rPr>
            </w:pPr>
          </w:p>
        </w:tc>
      </w:tr>
      <w:tr>
        <w:trPr>
          <w:trHeight w:val="25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Life of lease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60" w:type="dxa"/>
            <w:vAlign w:val="bottom"/>
          </w:tcPr>
          <w:p>
            <w:pPr>
              <w:spacing w:after="0"/>
              <w:rPr>
                <w:sz w:val="22"/>
                <w:szCs w:val="22"/>
                <w:color w:val="auto"/>
              </w:rPr>
            </w:pPr>
          </w:p>
        </w:tc>
      </w:tr>
      <w:tr>
        <w:trPr>
          <w:trHeight w:val="257"/>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1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5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60" w:type="dxa"/>
            <w:vAlign w:val="bottom"/>
          </w:tcPr>
          <w:p>
            <w:pPr>
              <w:spacing w:after="0"/>
              <w:rPr>
                <w:sz w:val="22"/>
                <w:szCs w:val="22"/>
                <w:color w:val="auto"/>
              </w:rPr>
            </w:pPr>
          </w:p>
        </w:tc>
      </w:tr>
      <w:tr>
        <w:trPr>
          <w:trHeight w:val="263"/>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8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3 years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60" w:type="dxa"/>
            <w:vAlign w:val="bottom"/>
          </w:tcPr>
          <w:p>
            <w:pPr>
              <w:spacing w:after="0"/>
              <w:rPr>
                <w:sz w:val="22"/>
                <w:szCs w:val="22"/>
                <w:color w:val="auto"/>
              </w:rPr>
            </w:pPr>
          </w:p>
        </w:tc>
      </w:tr>
      <w:tr>
        <w:trPr>
          <w:trHeight w:val="257"/>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42,468</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65,792</w:t>
            </w:r>
          </w:p>
        </w:tc>
        <w:tc>
          <w:tcPr>
            <w:tcW w:w="60" w:type="dxa"/>
            <w:vAlign w:val="bottom"/>
          </w:tcPr>
          <w:p>
            <w:pPr>
              <w:spacing w:after="0"/>
              <w:rPr>
                <w:sz w:val="22"/>
                <w:szCs w:val="22"/>
                <w:color w:val="auto"/>
              </w:rPr>
            </w:pPr>
          </w:p>
        </w:tc>
      </w:tr>
      <w:tr>
        <w:trPr>
          <w:trHeight w:val="26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(17,652)</w:t>
            </w:r>
          </w:p>
        </w:tc>
      </w:tr>
      <w:tr>
        <w:trPr>
          <w:trHeight w:val="26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9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$33,645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$ 48,140</w:t>
            </w:r>
          </w:p>
        </w:tc>
        <w:tc>
          <w:tcPr>
            <w:tcW w:w="60" w:type="dxa"/>
            <w:vAlign w:val="bottom"/>
          </w:tcPr>
          <w:p>
            <w:pPr>
              <w:spacing w:after="0"/>
              <w:rPr>
                <w:sz w:val="22"/>
                <w:szCs w:val="22"/>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9171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479171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47834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91"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$5.3 million and $9.4 million for the years ended June 30, 2019 and 2020, respectively. Depreciation expense on leasehold improvements, furniture and equipment, and computer equipment is included as a component of general and administrative expenses in the consolidated statements of operations. Amortization expense on internally developed software is included as a component of technology and data analytics expense in the consolidated statements of operations.</w:t>
      </w:r>
    </w:p>
    <w:p>
      <w:pPr>
        <w:spacing w:after="0" w:line="12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fiscal years ended June 30, 2019 and June 30, 2020.</w:t>
      </w:r>
    </w:p>
    <w:p>
      <w:pPr>
        <w:spacing w:after="0" w:line="158" w:lineRule="exact"/>
        <w:rPr>
          <w:sz w:val="20"/>
          <w:szCs w:val="20"/>
          <w:color w:val="auto"/>
        </w:rPr>
      </w:pPr>
    </w:p>
    <w:p>
      <w:pPr>
        <w:ind w:left="1620" w:hanging="358"/>
        <w:spacing w:after="0"/>
        <w:tabs>
          <w:tab w:leader="none" w:pos="16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161"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consisted of the following as of June 30 (in thousands):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reserves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Promote amount asset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6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12,849</w:t>
            </w:r>
          </w:p>
        </w:tc>
      </w:tr>
      <w:tr>
        <w:trPr>
          <w:trHeight w:val="26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23,348</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-1036320</wp:posOffset>
            </wp:positionV>
            <wp:extent cx="436308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Processing Reserves</w:t>
      </w:r>
    </w:p>
    <w:p>
      <w:pPr>
        <w:spacing w:after="0" w:line="16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We have partnered with an open application programming interface (“API”) virtual debit card issuer (the “issuer”) to facilitate purchase transactions through the creation of virtual cards to be used by consumers at checkout. To ensure no interruptions to the timely creation and loading of virtual debit cards, we are required to maintain minimum levels of cash reserves with the issuer. During the year ended June 30, 2020, we entered into an agreement in which this reserve requirement is now funded by a bank partner. Funds previously contributed into the reserve since the inception of the partnership were returned to us.</w:t>
      </w:r>
    </w:p>
    <w:p>
      <w:pPr>
        <w:spacing w:after="0" w:line="106"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Additionally, we have partnered with payment processors and originating banks to facilitate the processing of payments on loans that we service. Similarly, to ensure no interruptions of services, we are required to maintain certain minimum cash reserves with each partner.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Promote Amount Asset</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 July 2017, we executed a loan sale agreement with a third-party loan buyer. Under this agreement, the loan buyer agreed to share with us a promote amount with respect to each monthly cohort of loan sales, to the extent the internal rate of return (“IRR”) for such monthly cohort of loan sales exceeds the 7%. At</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66" w:lineRule="auto"/>
        <w:rPr>
          <w:sz w:val="20"/>
          <w:szCs w:val="20"/>
          <w:color w:val="auto"/>
        </w:rPr>
      </w:pPr>
      <w:r>
        <w:rPr>
          <w:rFonts w:ascii="Times New Roman" w:cs="Times New Roman" w:eastAsia="Times New Roman" w:hAnsi="Times New Roman"/>
          <w:sz w:val="18"/>
          <w:szCs w:val="18"/>
          <w:color w:val="auto"/>
        </w:rPr>
        <w:t>each sale date, we determine the fair value of the promote amount by discounting our share of estimated cashflows as they exceed the IRR threshold.</w:t>
      </w:r>
    </w:p>
    <w:p>
      <w:pPr>
        <w:spacing w:after="0" w:line="81"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In September 2019, we entered into a letter agreement with the third-party loan buyer to settle the promote amount asset for $11.1 million in cash.</w:t>
      </w:r>
    </w:p>
    <w:p>
      <w:pPr>
        <w:spacing w:after="0" w:line="158" w:lineRule="exact"/>
        <w:rPr>
          <w:sz w:val="20"/>
          <w:szCs w:val="20"/>
          <w:color w:val="auto"/>
        </w:rPr>
      </w:pPr>
    </w:p>
    <w:p>
      <w:pPr>
        <w:ind w:left="1620" w:hanging="358"/>
        <w:spacing w:after="0"/>
        <w:tabs>
          <w:tab w:leader="none" w:pos="16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160"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We offer a 401(k) plan to all full-time employees. Eligibility for the plan is effective on the first of the month following an employee’s first 90 days of service. Employees may elect to contribute to a traditional 401(k) plan, which qualifies as a deferred compensation arrangement under Section 401 of the Internal Revenue Code (“IRC”). In this case, participating employees defer a portion of their pre-tax earnings. Employees may also contribute to a Roth 401(k) plan using post-tax dollars. We have not made any matching contributions to date.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146"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We provide health and welfare benefits to our employees, including health, dental, prescription drug and vision for which we are fully -insured. The expense incurred associated with these benefits was $4.4 million and $7.1 million for the years ended June 30, 2019 and 2020, respectively.</w:t>
      </w:r>
    </w:p>
    <w:p>
      <w:pPr>
        <w:spacing w:after="0" w:line="173" w:lineRule="exact"/>
        <w:rPr>
          <w:sz w:val="20"/>
          <w:szCs w:val="20"/>
          <w:color w:val="auto"/>
        </w:rPr>
      </w:pPr>
    </w:p>
    <w:p>
      <w:pPr>
        <w:ind w:left="1620" w:hanging="358"/>
        <w:spacing w:after="0"/>
        <w:tabs>
          <w:tab w:leader="none" w:pos="16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totaling 269,404 rentable square feet. The Company’s corporate headquarters are located in San Francisco, California. We also lease office space in New York City, New York; Pittsburgh, Pennsylvania; Salt Lake City, Utah; and Chicago, Illinois.</w:t>
      </w:r>
    </w:p>
    <w:p>
      <w:pPr>
        <w:spacing w:after="0" w:line="100" w:lineRule="exact"/>
        <w:rPr>
          <w:sz w:val="20"/>
          <w:szCs w:val="20"/>
          <w:color w:val="auto"/>
        </w:rPr>
      </w:pPr>
    </w:p>
    <w:p>
      <w:pPr>
        <w:ind w:left="1260" w:right="879" w:firstLine="360"/>
        <w:spacing w:after="0" w:line="242"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consolidated balance sheets and totaled $7.1 million and $9.7 million as of June 30, 2019 and 2020, respectively.</w:t>
      </w:r>
    </w:p>
    <w:p>
      <w:pPr>
        <w:spacing w:after="0" w:line="117"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Total rent expense incurred for all locations totaled $7.7 million and $13.7 million for the years ended June 30, 2019 and 2020, respectively, and is allocated between functional operating expense lines in the consolidated statements of operations based on headcount.</w:t>
      </w:r>
    </w:p>
    <w:p>
      <w:pPr>
        <w:spacing w:after="0" w:line="109"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As of June 30, 2020, future minimum lease commitments under operating leases were as follows (in thousands) for the fiscal years ended:</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r>
      <w:tr>
        <w:trPr>
          <w:trHeight w:val="24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25,146</w:t>
            </w: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99,764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37197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48"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 and claims when those matters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50" w:lineRule="auto"/>
        <w:rPr>
          <w:sz w:val="20"/>
          <w:szCs w:val="20"/>
          <w:color w:val="auto"/>
        </w:rPr>
      </w:pPr>
      <w:r>
        <w:rPr>
          <w:rFonts w:ascii="Times New Roman" w:cs="Times New Roman" w:eastAsia="Times New Roman" w:hAnsi="Times New Roman"/>
          <w:sz w:val="18"/>
          <w:szCs w:val="18"/>
          <w:color w:val="auto"/>
        </w:rPr>
        <w:t>present loss contingencies which are both probable and reasonably estimable. All such liabilities arising from current legal and regulatory matters have been recorded in accrued expenses and other liabilities and these matters are immaterial.</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48"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principally of cash, cash equivalents, and restricted cash. We maintain our cash, cash equivalents and restricted cash in accounts at regulated domestic financial institutions and conducts ongoing evaluations of the creditworthiness of the financial institutions with which it does business.</w:t>
      </w:r>
    </w:p>
    <w:p>
      <w:pPr>
        <w:spacing w:after="0" w:line="113" w:lineRule="exact"/>
        <w:rPr>
          <w:sz w:val="20"/>
          <w:szCs w:val="20"/>
          <w:color w:val="auto"/>
        </w:rPr>
      </w:pPr>
    </w:p>
    <w:p>
      <w:pPr>
        <w:ind w:left="1260" w:right="919" w:firstLine="360"/>
        <w:spacing w:after="0" w:line="242" w:lineRule="auto"/>
        <w:rPr>
          <w:sz w:val="20"/>
          <w:szCs w:val="20"/>
          <w:color w:val="auto"/>
        </w:rPr>
      </w:pPr>
      <w:r>
        <w:rPr>
          <w:rFonts w:ascii="Times New Roman" w:cs="Times New Roman" w:eastAsia="Times New Roman" w:hAnsi="Times New Roman"/>
          <w:sz w:val="18"/>
          <w:szCs w:val="18"/>
          <w:color w:val="auto"/>
        </w:rPr>
        <w:t>We are exposed to default risk on loan receivables originated by and purchased from our originating bank partner. The ultimate collectability of a substantial portion of the loan portfolio is susceptible to changes in economic and market conditions. For the years ended June 30, 2019 and 2020, approximately 15% and 15% of loan receivables related to customers residing in the state of California, respectively. No other states or provinces exceeded 10%.</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Revenue</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For the year ended June 30, 2019, approximately 20% of total revenues was driven by one merchant partner. For the year ended June 30, 2020, approximately 28% of total revenues was driven by one merchant partner.</w:t>
      </w:r>
    </w:p>
    <w:p>
      <w:pPr>
        <w:spacing w:after="0" w:line="368" w:lineRule="exact"/>
        <w:rPr>
          <w:sz w:val="20"/>
          <w:szCs w:val="20"/>
          <w:color w:val="auto"/>
        </w:rPr>
      </w:pPr>
    </w:p>
    <w:p>
      <w:pPr>
        <w:ind w:left="1620" w:hanging="358"/>
        <w:spacing w:after="0"/>
        <w:tabs>
          <w:tab w:leader="none" w:pos="16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62" w:lineRule="exact"/>
        <w:rPr>
          <w:sz w:val="20"/>
          <w:szCs w:val="20"/>
          <w:color w:val="auto"/>
        </w:rPr>
      </w:pPr>
    </w:p>
    <w:p>
      <w:pPr>
        <w:jc w:val="both"/>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directors, principal officers, their immediate families, and affiliated companies in which they are principal stockholders (commonly referred to as related parties).</w:t>
      </w:r>
    </w:p>
    <w:p>
      <w:pPr>
        <w:spacing w:after="0" w:line="109"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We earned sublease income with affiliated companies which has been recognized as other income in the consolidated statements of operations. During the years ended June 30, 2019 and 2020, we received</w:t>
      </w:r>
    </w:p>
    <w:p>
      <w:pPr>
        <w:spacing w:after="0" w:line="1" w:lineRule="exact"/>
        <w:rPr>
          <w:sz w:val="20"/>
          <w:szCs w:val="20"/>
          <w:color w:val="auto"/>
        </w:rPr>
      </w:pPr>
    </w:p>
    <w:p>
      <w:pPr>
        <w:ind w:left="1260" w:right="1119"/>
        <w:spacing w:after="0" w:line="239" w:lineRule="auto"/>
        <w:rPr>
          <w:sz w:val="20"/>
          <w:szCs w:val="20"/>
          <w:color w:val="auto"/>
        </w:rPr>
      </w:pPr>
      <w:r>
        <w:rPr>
          <w:rFonts w:ascii="Times New Roman" w:cs="Times New Roman" w:eastAsia="Times New Roman" w:hAnsi="Times New Roman"/>
          <w:sz w:val="18"/>
          <w:szCs w:val="18"/>
          <w:color w:val="auto"/>
        </w:rPr>
        <w:t>$0.4 million and $0.1 million in payments from affiliated companies, primarily for occupancy related expenses, which is recorded as a part of other income (expense), net, on the consolidated statements of operations.</w:t>
      </w:r>
    </w:p>
    <w:p>
      <w:pPr>
        <w:spacing w:after="0" w:line="104"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Additionally, some of our directors, principal officers, and their immediate families have opened accounts with and received loans facilitated by us, in accordance with our regular consumer loan offerings. The outstanding balance and interest earned on such accounts is immaterial.</w:t>
      </w:r>
    </w:p>
    <w:p>
      <w:pPr>
        <w:spacing w:after="0" w:line="173" w:lineRule="exact"/>
        <w:rPr>
          <w:sz w:val="20"/>
          <w:szCs w:val="20"/>
          <w:color w:val="auto"/>
        </w:rPr>
      </w:pPr>
    </w:p>
    <w:p>
      <w:pPr>
        <w:ind w:left="1620" w:hanging="358"/>
        <w:spacing w:after="0"/>
        <w:tabs>
          <w:tab w:leader="none" w:pos="16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$16,088</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64"/>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15,614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$27,810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36308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5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Funding Debt</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Through trusts, we entered into warehouse credit facilities with certain lenders from June 2016 to 2020 to finance our purchases of loans and to pay fees and expenses related to the applicable facilities. Each trust entered into a credit agreement and security agreement with a commercial bank as administrative agent and a national banking association as collateral trustee and paying agent. Borrowings under these agreements are referred to as funding debt and these funds can only be used for the purposes of facilitating loan purchases, with advance rates ranging from 80-88%. These revolving facilities mature between 2022 and 2026, and subject to covenant compliance generally permit borrowings up to 12 months prior to the final</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spacing w:after="0" w:line="250" w:lineRule="auto"/>
        <w:rPr>
          <w:sz w:val="20"/>
          <w:szCs w:val="20"/>
          <w:color w:val="auto"/>
        </w:rPr>
      </w:pPr>
      <w:r>
        <w:rPr>
          <w:rFonts w:ascii="Times New Roman" w:cs="Times New Roman" w:eastAsia="Times New Roman" w:hAnsi="Times New Roman"/>
          <w:sz w:val="18"/>
          <w:szCs w:val="18"/>
          <w:color w:val="auto"/>
        </w:rPr>
        <w:t>maturity date. As of June 30, 2020, the aggregate commitment amount of these agreements was $1,425.0 million of which $824.6 million was drawn, with $600.4 million remaining available, excluding deferred debt issuance costs.</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Funding debt and its aggregate future maturities consists of the following (in thousands):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Funding Debt Outstanding</w:t>
            </w:r>
          </w:p>
        </w:tc>
      </w:tr>
      <w:tr>
        <w:trPr>
          <w:trHeight w:val="2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Final Maturity Fiscal Year</w:t>
            </w:r>
          </w:p>
        </w:tc>
        <w:tc>
          <w:tcPr>
            <w:tcW w:w="94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$325,504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spacing w:after="0"/>
              <w:rPr>
                <w:sz w:val="21"/>
                <w:szCs w:val="21"/>
                <w:color w:val="auto"/>
              </w:rPr>
            </w:pP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171,133</w:t>
            </w:r>
          </w:p>
        </w:tc>
        <w:tc>
          <w:tcPr>
            <w:tcW w:w="4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653,447</w:t>
            </w:r>
          </w:p>
        </w:tc>
        <w:tc>
          <w:tcPr>
            <w:tcW w:w="40" w:type="dxa"/>
            <w:vAlign w:val="bottom"/>
            <w:tcBorders>
              <w:left w:val="single" w:sz="8" w:color="CCEEFF"/>
            </w:tcBorders>
          </w:tcPr>
          <w:p>
            <w:pPr>
              <w:spacing w:after="0"/>
              <w:rPr>
                <w:sz w:val="22"/>
                <w:szCs w:val="22"/>
                <w:color w:val="auto"/>
              </w:rPr>
            </w:pP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spacing w:after="0"/>
              <w:rPr>
                <w:sz w:val="22"/>
                <w:szCs w:val="22"/>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$573,929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824,580</w:t>
            </w:r>
          </w:p>
        </w:tc>
        <w:tc>
          <w:tcPr>
            <w:tcW w:w="40" w:type="dxa"/>
            <w:vAlign w:val="bottom"/>
            <w:tcBorders>
              <w:left w:val="single" w:sz="8" w:color="CCEEFF"/>
            </w:tcBorders>
          </w:tcPr>
          <w:p>
            <w:pPr>
              <w:spacing w:after="0"/>
              <w:rPr>
                <w:sz w:val="22"/>
                <w:szCs w:val="22"/>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(6,654)</w:t>
            </w: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817,926</w:t>
            </w:r>
          </w:p>
        </w:tc>
        <w:tc>
          <w:tcPr>
            <w:tcW w:w="40" w:type="dxa"/>
            <w:vAlign w:val="bottom"/>
            <w:tcBorders>
              <w:left w:val="single" w:sz="8" w:color="CCEEFF"/>
            </w:tcBorders>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-385445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-565150</wp:posOffset>
            </wp:positionV>
            <wp:extent cx="47491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-1559560</wp:posOffset>
            </wp:positionV>
            <wp:extent cx="1371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-1559560</wp:posOffset>
            </wp:positionV>
            <wp:extent cx="13716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Some of the loans purchased from the originating bank partner are pledged as collateral for borrowings in our funding debt facilities. The unpaid principal balance of these loans totaled $716.5 million and $990.7 million as of June 30, 2019 and 2020, respectively.</w:t>
      </w:r>
    </w:p>
    <w:p>
      <w:pPr>
        <w:spacing w:after="0" w:line="96"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Borrowings under these facilities bear interest at an annual benchmark rate of LIBOR (London Inter-bank Offered Rate)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117"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These agreements contain certain covenants. As of June 30, 2020, we were in compliance with all applicable covenants in the agreements.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Convertible Debt</w:t>
      </w:r>
    </w:p>
    <w:p>
      <w:pPr>
        <w:spacing w:after="0" w:line="148"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In April 2020, we entered into a note purchase agreement with various investors pursuant to which we issued convertible notes in an aggregate amount of $75.0 million with maturity dates in April 2021 and bearing interest at a rate of 1.00% per annum.</w:t>
      </w:r>
    </w:p>
    <w:p>
      <w:pPr>
        <w:spacing w:after="0" w:line="109"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principal and any unpaid accrued interest of each convertible note will automatically convert into shares of redeemable convertible preferred stock upon the closing of a financing in which we receive no less than $50.0 million in proceeds from the issuance of redeemable convertible preferred stock. Where an issuance of the redeemable convertible preferred stock results in proceeds of less than $50.0 million, the holders of a majority of the interest in the aggregate principal amount of the convertible notes, may elect, at their option, to convert the principal amount and any unpaid accrued interest on each convertible note into shares of redeemable convertible preferred stock. In these situations, the conversion price is equal to the lesser of a discounted conversion price and a conversion price cap. The discounted conversion price varies depending on the time that has elapsed between the issuance of the convertible notes and the closing of the relevant financing. The conversion cap is determined based on a fixed valuation of the company and on our capitalization determined immediately before the closing of the relevant financing on a fully diluted basis.</w:t>
      </w:r>
    </w:p>
    <w:p>
      <w:pPr>
        <w:spacing w:after="0" w:line="118"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In the event of a liquidation transaction or a qualified initial public offering, the holders of a majority of the interest in the aggregate principal amount of the convertible notes, may elect, at their option, to redeem the convertible notes in cash or convert the convertible notes into shares of common stock. Upon a redemption in cash, the redemption price varies depending on the time that has elapsed between the issuance of the convertible notes and the corporate transaction or the qualified initial public offering. If conversion</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79"/>
        <w:spacing w:after="0" w:line="245" w:lineRule="auto"/>
        <w:rPr>
          <w:sz w:val="20"/>
          <w:szCs w:val="20"/>
          <w:color w:val="auto"/>
        </w:rPr>
      </w:pPr>
      <w:r>
        <w:rPr>
          <w:rFonts w:ascii="Times New Roman" w:cs="Times New Roman" w:eastAsia="Times New Roman" w:hAnsi="Times New Roman"/>
          <w:sz w:val="18"/>
          <w:szCs w:val="18"/>
          <w:color w:val="auto"/>
        </w:rPr>
        <w:t>to common stock is elected, the conversion price is determined based on a fixed valuation of the company and on our capitalization immediately before the closing of the liquidation transaction or qualified initial public offering on a fully diluted basis. A qualified initial public offering is one where the gross proceeds are no less than $50.0 million.</w:t>
      </w:r>
    </w:p>
    <w:p>
      <w:pPr>
        <w:spacing w:after="0" w:line="100" w:lineRule="exact"/>
        <w:rPr>
          <w:sz w:val="20"/>
          <w:szCs w:val="20"/>
          <w:color w:val="auto"/>
        </w:rPr>
      </w:pPr>
    </w:p>
    <w:p>
      <w:pPr>
        <w:ind w:left="1260" w:right="979" w:firstLine="360"/>
        <w:spacing w:after="0" w:line="242" w:lineRule="auto"/>
        <w:rPr>
          <w:sz w:val="20"/>
          <w:szCs w:val="20"/>
          <w:color w:val="auto"/>
        </w:rPr>
      </w:pPr>
      <w:r>
        <w:rPr>
          <w:rFonts w:ascii="Times New Roman" w:cs="Times New Roman" w:eastAsia="Times New Roman" w:hAnsi="Times New Roman"/>
          <w:sz w:val="18"/>
          <w:szCs w:val="18"/>
          <w:color w:val="auto"/>
        </w:rPr>
        <w:t>Upon maturity, the holders of a majority of the interest in the aggregate principal amount of the convertible notes, may elect, at their option, to convert, at a fixed conversion price, the principal amount and any unpaid accrued interest into shares of a newly authorized series G-1 redeemable convertible preferred stock having similar rights, privileges, preferences and restrictions as our Series G redeemable convertible preferred stock.</w:t>
      </w:r>
    </w:p>
    <w:p>
      <w:pPr>
        <w:spacing w:after="0" w:line="11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In accordance with the accounting guidance on embedded conversion and redemption features in ASC 815, “Derivatives and Hedging”, we valued and bifurcated several derivatives from the host debt instrument because these embedded derivatives met the all the bifurcation criteria. The $2.8 million initial value of the bifurcated derivatives was recorded as a liability with the offset being recorded as a debt discount. Both the liability and the offsetting debt discount are presented together in convertible debt on the consolidated balance sheets. The resulting debt discount is being amortized to interest expense at an effective interest rate of 1.0% over the one-year term of the convertible notes. This interest expense is recorded in funding costs within operating expenses on our consolidated statement of operations. The change in fair value of these embedded derivatives is recognized in other income (expense), net, during the period of the change.</w:t>
      </w:r>
    </w:p>
    <w:p>
      <w:pPr>
        <w:spacing w:after="0" w:line="12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In addition, the issuance of the convertible notes gave rise to a beneficial conversion feature because the rate of conversion upon maturity of the convertible notes was below the fair value of our redeemable convertible preferred stock on the issuance date. The intrinsic value of the beneficial conversion feature of $5.6 million was recorded as a debt discount with a corresponding amount to additional paid-in capital within stockholders’ deficit. The debt discount is presented within convertible notes in the consolidated balance sheets. The intrinsic value was calculated as the number of shares of redeemable convertible preferred stock available upon conversion multiplied by the difference between the effective conversion price per share and the fair value of the redeemable convertible preferred stock on the issuance date. We are amortizing this discount to funding costs over the one-year term of the convertible notes using the straight-line method.</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carrying value of the convertible debt as of June 30, 2020 is as follows (in thousands):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Convertible notes</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$75,000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Less: Deferred debt issuance costs</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discount</w:t>
            </w: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carrying value of convertible debt</w:t>
            </w:r>
          </w:p>
        </w:tc>
        <w:tc>
          <w:tcPr>
            <w:tcW w:w="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$67,615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convertible debt</w:t>
            </w: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74,222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-847725</wp:posOffset>
            </wp:positionV>
            <wp:extent cx="436308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148"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consolidate VIEs when we are deemed to be the primary beneficiary. See Note 2. Summary of Significant Accounting Policies for additional information. We established certain entities (deemed to be VIEs) to enter into warehouse credit facilities for the purpose of purchasing loans from our originating bank partner. See Note 11. Funding Debt for additional information. The creditors of the VIEs above have no recourse to the general credit of the Company as the primary beneficiary of the VIEs and the liabilities of the VIEs can only be settled by the respective VIE’s assets.</w:t>
      </w:r>
    </w:p>
    <w:p>
      <w:pPr>
        <w:spacing w:after="0" w:line="116"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did not have any transactions with unconsolidated VIEs during the years ended June 30, 2019 and 2020.</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Fair Value of Financial Assets and Liabilities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14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June 30, 2019 (in thousands):</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6"/>
                <w:szCs w:val="16"/>
                <w:color w:val="auto"/>
              </w:rPr>
            </w:pP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Promote amount asset</w:t>
            </w:r>
          </w:p>
        </w:tc>
        <w:tc>
          <w:tcPr>
            <w:tcW w:w="4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8,878</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49"/>
        </w:trPr>
        <w:tc>
          <w:tcPr>
            <w:tcW w:w="20" w:type="dxa"/>
            <w:vAlign w:val="bottom"/>
          </w:tcPr>
          <w:p>
            <w:pPr>
              <w:spacing w:after="0"/>
              <w:rPr>
                <w:sz w:val="21"/>
                <w:szCs w:val="21"/>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10,558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10,558</w:t>
            </w:r>
          </w:p>
        </w:tc>
      </w:tr>
      <w:tr>
        <w:trPr>
          <w:trHeight w:val="156"/>
        </w:trPr>
        <w:tc>
          <w:tcPr>
            <w:tcW w:w="20" w:type="dxa"/>
            <w:vAlign w:val="bottom"/>
          </w:tcPr>
          <w:p>
            <w:pPr>
              <w:spacing w:after="0"/>
              <w:rPr>
                <w:sz w:val="13"/>
                <w:szCs w:val="13"/>
                <w:color w:val="auto"/>
              </w:rPr>
            </w:pPr>
          </w:p>
        </w:tc>
        <w:tc>
          <w:tcPr>
            <w:tcW w:w="45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Servicing liabilities</w:t>
            </w:r>
          </w:p>
        </w:tc>
        <w:tc>
          <w:tcPr>
            <w:tcW w:w="4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1,130</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-1130935</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-1130935</wp:posOffset>
            </wp:positionV>
            <wp:extent cx="38404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1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June 30, 2020 (in thousands):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70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w w:val="92"/>
              </w:rPr>
              <w:t>Level 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assets</w:t>
            </w:r>
          </w:p>
        </w:tc>
        <w:tc>
          <w:tcPr>
            <w:tcW w:w="14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2,132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Constant maturity swaps</w:t>
            </w:r>
          </w:p>
        </w:tc>
        <w:tc>
          <w:tcPr>
            <w:tcW w:w="1440" w:type="dxa"/>
            <w:vAlign w:val="bottom"/>
            <w:gridSpan w:val="3"/>
            <w:shd w:val="clear" w:color="auto" w:fill="CCEEFF"/>
          </w:tcPr>
          <w:p>
            <w:pPr>
              <w:ind w:left="1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3,297</w:t>
            </w:r>
          </w:p>
        </w:tc>
        <w:tc>
          <w:tcPr>
            <w:tcW w:w="3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03"/>
        </w:trPr>
        <w:tc>
          <w:tcPr>
            <w:tcW w:w="35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Servicing liabilities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1,540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Performance fee liability</w:t>
            </w: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Convertible debt derivative</w:t>
            </w: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6,607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9,022</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12,319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-179070</wp:posOffset>
            </wp:positionV>
            <wp:extent cx="14605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-179070</wp:posOffset>
            </wp:positionV>
            <wp:extent cx="39090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-993775</wp:posOffset>
            </wp:positionV>
            <wp:extent cx="14605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-993775</wp:posOffset>
            </wp:positionV>
            <wp:extent cx="39090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-1268095</wp:posOffset>
            </wp:positionV>
            <wp:extent cx="13716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-1268095</wp:posOffset>
            </wp:positionV>
            <wp:extent cx="39001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18"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During the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instruments are recorded at fair value, based on prices quoted for similar financial instruments in markets that are not active, and are presented within other assets on the consolidated balance sheets, together with the collateral amount required by the agreements. Any changes in the fair value of these financial instruments is reflected in other income (expense), net, on the consolidated statements of operations.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transfers between levels for the years ended June 30, 2019 and 2020.</w:t>
      </w:r>
    </w:p>
    <w:p>
      <w:pPr>
        <w:spacing w:after="0" w:line="221"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We evaluate our financial assets and liabilities subject to fair value measurements on a recurring basis to determine the appropriate level at which to classify them each reporting period. Since our promote amount asset, servicing assets and liabilities, performance fee liability, and convertible debt derivatives do not trade in an active market with readily observable prices, we use significant unobservable inputs to measure fair value. This determination requires significant judgements to be made.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Promote Amount Asset</w:t>
      </w:r>
    </w:p>
    <w:p>
      <w:pPr>
        <w:spacing w:after="0" w:line="160"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See Note 6. Other Assets for a description of the promote amount asset. On September 13, 2019, Affirm Loan Asset Sales I LLC, a wholly owned subsidiary of Affirm Holdings, Inc., executed a side letter agreement with an existing third-party loan buyer to settle the promote amount asset.</w:t>
      </w:r>
    </w:p>
    <w:p>
      <w:pPr>
        <w:spacing w:after="0" w:line="95"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activity related to the fair value of the promote amount asset for the years ended June 30 (in thousands):</w:t>
      </w: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Promote</w:t>
            </w:r>
          </w:p>
        </w:tc>
      </w:tr>
      <w:tr>
        <w:trPr>
          <w:trHeight w:val="190"/>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Amount Asset</w:t>
            </w:r>
          </w:p>
        </w:tc>
      </w:tr>
      <w:tr>
        <w:trPr>
          <w:trHeight w:val="23"/>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2018</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21"/>
                <w:szCs w:val="21"/>
                <w:color w:val="auto"/>
              </w:rPr>
            </w:pPr>
          </w:p>
        </w:tc>
      </w:tr>
      <w:tr>
        <w:trPr>
          <w:trHeight w:val="25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22"/>
                <w:szCs w:val="2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tcPr>
          <w:p>
            <w:pPr>
              <w:spacing w:after="0"/>
              <w:rPr>
                <w:sz w:val="22"/>
                <w:szCs w:val="22"/>
                <w:color w:val="auto"/>
              </w:rPr>
            </w:pPr>
          </w:p>
        </w:tc>
      </w:tr>
      <w:tr>
        <w:trPr>
          <w:trHeight w:val="257"/>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2"/>
                <w:szCs w:val="22"/>
                <w:color w:val="auto"/>
              </w:rPr>
            </w:pPr>
          </w:p>
        </w:tc>
      </w:tr>
      <w:tr>
        <w:trPr>
          <w:trHeight w:val="257"/>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2"/>
                <w:szCs w:val="22"/>
                <w:color w:val="auto"/>
              </w:rPr>
            </w:pPr>
          </w:p>
        </w:tc>
      </w:tr>
      <w:tr>
        <w:trPr>
          <w:trHeight w:val="263"/>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promote amount asset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(11,126)</w:t>
            </w:r>
          </w:p>
        </w:tc>
      </w:tr>
      <w:tr>
        <w:trPr>
          <w:trHeight w:val="20"/>
        </w:trPr>
        <w:tc>
          <w:tcPr>
            <w:tcW w:w="6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-1379220</wp:posOffset>
            </wp:positionV>
            <wp:extent cx="420052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years ended June 30, 2019 and 2020, we sold loans with an unpaid balance of</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$1,014.2 million and $2,664.4 million, respectively, of which we retained servicing rights. As of June 30,</w:t>
      </w:r>
    </w:p>
    <w:p>
      <w:pPr>
        <w:ind w:left="1260"/>
        <w:spacing w:after="0" w:line="234" w:lineRule="auto"/>
        <w:rPr>
          <w:sz w:val="20"/>
          <w:szCs w:val="20"/>
          <w:color w:val="auto"/>
        </w:rPr>
      </w:pPr>
      <w:r>
        <w:rPr>
          <w:rFonts w:ascii="Times New Roman" w:cs="Times New Roman" w:eastAsia="Times New Roman" w:hAnsi="Times New Roman"/>
          <w:sz w:val="18"/>
          <w:szCs w:val="18"/>
          <w:color w:val="auto"/>
        </w:rPr>
        <w:t>2019 and 2020, we serviced loans we sold with a remaining unpaid principal balance of $608.4 million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$1,365.6 million, respectively.</w:t>
      </w:r>
    </w:p>
    <w:p>
      <w:pPr>
        <w:spacing w:after="0" w:line="111"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146"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46"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Default Rate</w:t>
      </w:r>
    </w:p>
    <w:p>
      <w:pPr>
        <w:spacing w:after="0" w:line="146" w:lineRule="exact"/>
        <w:rPr>
          <w:sz w:val="20"/>
          <w:szCs w:val="20"/>
          <w:color w:val="auto"/>
        </w:rPr>
      </w:pPr>
    </w:p>
    <w:p>
      <w:pPr>
        <w:ind w:left="1260" w:right="999" w:firstLine="360"/>
        <w:spacing w:after="0" w:line="250"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 -offs, thus affecting the projected unpaid principal balance and expected term of the loan, which are used to project future servicing revenues and expenses.</w:t>
      </w:r>
    </w:p>
    <w:p>
      <w:pPr>
        <w:spacing w:after="0" w:line="96" w:lineRule="exact"/>
        <w:rPr>
          <w:sz w:val="20"/>
          <w:szCs w:val="20"/>
          <w:color w:val="auto"/>
        </w:rPr>
      </w:pPr>
    </w:p>
    <w:p>
      <w:pPr>
        <w:ind w:left="1260" w:right="1039" w:firstLine="360"/>
        <w:spacing w:after="0" w:line="241" w:lineRule="auto"/>
        <w:rPr>
          <w:sz w:val="20"/>
          <w:szCs w:val="20"/>
          <w:color w:val="auto"/>
        </w:rPr>
      </w:pPr>
      <w:r>
        <w:rPr>
          <w:rFonts w:ascii="Times New Roman" w:cs="Times New Roman" w:eastAsia="Times New Roman" w:hAnsi="Times New Roman"/>
          <w:sz w:val="18"/>
          <w:szCs w:val="18"/>
          <w:color w:val="auto"/>
        </w:rPr>
        <w:t>For the years ended June 30, 2019 and 2020, we earned $5.1 million and $14.8 million of servicing income, respectively. As of June 30, 2019 and 2020, the aggregate fair value of the servicing assets was measured at $1.7 million and $2.1 million, respectively, and presented within other assets on the consolidated balance sheets. As of June 30, 2019 and 2020, the aggregate fair value of the servicing liabilities was measured at $1.1 million and $1.5 million, respectively, and presented within accrued expenses and other liabilities on the consolidated balance sheets.</w:t>
      </w:r>
    </w:p>
    <w:p>
      <w:pPr>
        <w:spacing w:after="0" w:line="116"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and liabilities for the years ended June 30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Servicing</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Servicing</w:t>
            </w:r>
          </w:p>
        </w:tc>
      </w:tr>
      <w:tr>
        <w:trPr>
          <w:trHeight w:val="195"/>
        </w:trPr>
        <w:tc>
          <w:tcPr>
            <w:tcW w:w="58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6"/>
              </w:rPr>
              <w:t>Liabilities</w:t>
            </w:r>
          </w:p>
        </w:tc>
        <w:tc>
          <w:tcPr>
            <w:tcW w:w="60" w:type="dxa"/>
            <w:vAlign w:val="bottom"/>
          </w:tcPr>
          <w:p>
            <w:pPr>
              <w:spacing w:after="0"/>
              <w:rPr>
                <w:sz w:val="16"/>
                <w:szCs w:val="16"/>
                <w:color w:val="auto"/>
              </w:rPr>
            </w:pPr>
          </w:p>
        </w:tc>
      </w:tr>
      <w:tr>
        <w:trPr>
          <w:trHeight w:val="21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60" w:type="dxa"/>
            <w:vAlign w:val="bottom"/>
            <w:tcBorders>
              <w:left w:val="single" w:sz="8" w:color="CCEEFF"/>
            </w:tcBorders>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(2,492)</w:t>
            </w: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60" w:type="dxa"/>
            <w:vAlign w:val="bottom"/>
            <w:tcBorders>
              <w:left w:val="single" w:sz="8" w:color="CCEEFF"/>
            </w:tcBorders>
          </w:tcPr>
          <w:p>
            <w:pPr>
              <w:spacing w:after="0"/>
              <w:rPr>
                <w:sz w:val="21"/>
                <w:szCs w:val="2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(1,130)</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(2,845)</w:t>
            </w:r>
          </w:p>
        </w:tc>
        <w:tc>
          <w:tcPr>
            <w:tcW w:w="60" w:type="dxa"/>
            <w:vAlign w:val="bottom"/>
            <w:tcBorders>
              <w:left w:val="single" w:sz="8" w:color="CCEEFF"/>
            </w:tcBorders>
          </w:tcPr>
          <w:p>
            <w:pPr>
              <w:spacing w:after="0"/>
              <w:rPr>
                <w:sz w:val="18"/>
                <w:szCs w:val="18"/>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(1,447)</w:t>
            </w: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6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(1,540)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-187960</wp:posOffset>
            </wp:positionV>
            <wp:extent cx="4749165" cy="1714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-624840</wp:posOffset>
            </wp:positionV>
            <wp:extent cx="1714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-1062355</wp:posOffset>
            </wp:positionV>
            <wp:extent cx="435483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4" w:name="page245"/>
    <w:bookmarkEnd w:id="24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servicing assets and liabilities as of June 30, 2019:</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21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360" w:type="dxa"/>
            <w:vAlign w:val="bottom"/>
          </w:tcPr>
          <w:p>
            <w:pPr>
              <w:spacing w:after="0"/>
              <w:rPr>
                <w:sz w:val="19"/>
                <w:szCs w:val="19"/>
                <w:color w:val="auto"/>
              </w:rPr>
            </w:pPr>
          </w:p>
        </w:tc>
        <w:tc>
          <w:tcPr>
            <w:tcW w:w="3080" w:type="dxa"/>
            <w:vAlign w:val="bottom"/>
            <w:gridSpan w:val="3"/>
          </w:tcPr>
          <w:p>
            <w:pPr>
              <w:ind w:left="860"/>
              <w:spacing w:after="0" w:line="23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0.97%</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0.97%</w:t>
            </w:r>
          </w:p>
        </w:tc>
      </w:tr>
      <w:tr>
        <w:trPr>
          <w:trHeight w:val="230"/>
        </w:trPr>
        <w:tc>
          <w:tcPr>
            <w:tcW w:w="2360" w:type="dxa"/>
            <w:vAlign w:val="bottom"/>
            <w:shd w:val="clear" w:color="auto" w:fill="CCEEFF"/>
          </w:tcPr>
          <w:p>
            <w:pPr>
              <w:spacing w:after="0"/>
              <w:rPr>
                <w:sz w:val="19"/>
                <w:szCs w:val="19"/>
                <w:color w:val="auto"/>
              </w:rPr>
            </w:pP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2.50%</w:t>
            </w: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Servicing liabilities</w:t>
            </w: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236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ind w:left="860"/>
              <w:spacing w:after="0" w:line="243"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2.75%</w:t>
            </w:r>
          </w:p>
        </w:tc>
      </w:tr>
      <w:tr>
        <w:trPr>
          <w:trHeight w:val="257"/>
        </w:trPr>
        <w:tc>
          <w:tcPr>
            <w:tcW w:w="2360" w:type="dxa"/>
            <w:vAlign w:val="bottom"/>
          </w:tcPr>
          <w:p>
            <w:pPr>
              <w:spacing w:after="0"/>
              <w:rPr>
                <w:sz w:val="22"/>
                <w:szCs w:val="22"/>
                <w:color w:val="auto"/>
              </w:rPr>
            </w:pP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15.26%</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-967740</wp:posOffset>
            </wp:positionV>
            <wp:extent cx="1371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-967740</wp:posOffset>
            </wp:positionV>
            <wp:extent cx="1371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-967740</wp:posOffset>
            </wp:positionV>
            <wp:extent cx="13716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-967740</wp:posOffset>
            </wp:positionV>
            <wp:extent cx="204851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120015</wp:posOffset>
            </wp:positionV>
            <wp:extent cx="123444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Estimated cost of servicing a loan as a percentage of unpaid principal balance</w:t>
      </w:r>
    </w:p>
    <w:p>
      <w:pPr>
        <w:spacing w:after="0" w:line="144"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servicing assets and liabilities as of June 30, 2020: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3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21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360" w:type="dxa"/>
            <w:vAlign w:val="bottom"/>
          </w:tcPr>
          <w:p>
            <w:pPr>
              <w:spacing w:after="0"/>
              <w:rPr>
                <w:sz w:val="19"/>
                <w:szCs w:val="19"/>
                <w:color w:val="auto"/>
              </w:rPr>
            </w:pPr>
          </w:p>
        </w:tc>
        <w:tc>
          <w:tcPr>
            <w:tcW w:w="3080" w:type="dxa"/>
            <w:vAlign w:val="bottom"/>
            <w:gridSpan w:val="3"/>
          </w:tcPr>
          <w:p>
            <w:pPr>
              <w:ind w:left="860"/>
              <w:spacing w:after="0" w:line="23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0.89%</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0.76%</w:t>
            </w:r>
          </w:p>
        </w:tc>
      </w:tr>
      <w:tr>
        <w:trPr>
          <w:trHeight w:val="229"/>
        </w:trPr>
        <w:tc>
          <w:tcPr>
            <w:tcW w:w="2360" w:type="dxa"/>
            <w:vAlign w:val="bottom"/>
            <w:shd w:val="clear" w:color="auto" w:fill="CCEEFF"/>
          </w:tcPr>
          <w:p>
            <w:pPr>
              <w:spacing w:after="0"/>
              <w:rPr>
                <w:sz w:val="19"/>
                <w:szCs w:val="19"/>
                <w:color w:val="auto"/>
              </w:rPr>
            </w:pP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0.82%</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0.82%</w:t>
            </w: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Servicing liabilities</w:t>
            </w: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236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ind w:left="860"/>
              <w:spacing w:after="0" w:line="243"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2.55%</w:t>
            </w:r>
          </w:p>
        </w:tc>
      </w:tr>
      <w:tr>
        <w:trPr>
          <w:trHeight w:val="257"/>
        </w:trPr>
        <w:tc>
          <w:tcPr>
            <w:tcW w:w="2360" w:type="dxa"/>
            <w:vAlign w:val="bottom"/>
          </w:tcPr>
          <w:p>
            <w:pPr>
              <w:spacing w:after="0"/>
              <w:rPr>
                <w:sz w:val="22"/>
                <w:szCs w:val="22"/>
                <w:color w:val="auto"/>
              </w:rPr>
            </w:pP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10.99%</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-968375</wp:posOffset>
            </wp:positionV>
            <wp:extent cx="1371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-968375</wp:posOffset>
            </wp:positionV>
            <wp:extent cx="1371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-968375</wp:posOffset>
            </wp:positionV>
            <wp:extent cx="1371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-968375</wp:posOffset>
            </wp:positionV>
            <wp:extent cx="204851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120015</wp:posOffset>
            </wp:positionV>
            <wp:extent cx="123444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Estimated cost of servicing a loan as a percentage of unpaid principal balance</w:t>
      </w:r>
    </w:p>
    <w:p>
      <w:pPr>
        <w:spacing w:after="0" w:line="158"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effect adverse changes in estimates would have on the fair value of the servicing assets and liabilities as of June 30, 2019 and 2020, respectively, given hypothetical changes in significant unobservable inputs (in thousands):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68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28"/>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default rate assumption:</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(1,338)</w:t>
            </w:r>
          </w:p>
        </w:tc>
      </w:tr>
      <w:tr>
        <w:trPr>
          <w:trHeight w:val="24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(1,482)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(2,675)</w:t>
            </w:r>
          </w:p>
        </w:tc>
        <w:tc>
          <w:tcPr>
            <w:tcW w:w="60" w:type="dxa"/>
            <w:vAlign w:val="bottom"/>
          </w:tcPr>
          <w:p>
            <w:pPr>
              <w:spacing w:after="0"/>
              <w:rPr>
                <w:sz w:val="21"/>
                <w:szCs w:val="21"/>
                <w:color w:val="auto"/>
              </w:rPr>
            </w:pPr>
          </w:p>
        </w:tc>
      </w:tr>
      <w:tr>
        <w:trPr>
          <w:trHeight w:val="243"/>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1"/>
                <w:szCs w:val="21"/>
                <w:color w:val="auto"/>
              </w:rPr>
            </w:pPr>
          </w:p>
        </w:tc>
      </w:tr>
      <w:tr>
        <w:trPr>
          <w:trHeight w:val="257"/>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default rate assumption: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r>
      <w:tr>
        <w:trPr>
          <w:trHeight w:val="25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2"/>
                <w:szCs w:val="22"/>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(1,438)</w:t>
            </w:r>
          </w:p>
        </w:tc>
      </w:tr>
      <w:tr>
        <w:trPr>
          <w:trHeight w:val="25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(2,875)</w:t>
            </w:r>
          </w:p>
        </w:tc>
        <w:tc>
          <w:tcPr>
            <w:tcW w:w="60" w:type="dxa"/>
            <w:vAlign w:val="bottom"/>
          </w:tcPr>
          <w:p>
            <w:pPr>
              <w:spacing w:after="0"/>
              <w:rPr>
                <w:sz w:val="22"/>
                <w:szCs w:val="22"/>
                <w:color w:val="auto"/>
              </w:rPr>
            </w:pPr>
          </w:p>
        </w:tc>
      </w:tr>
      <w:tr>
        <w:trPr>
          <w:trHeight w:val="25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2"/>
                <w:szCs w:val="22"/>
                <w:color w:val="auto"/>
              </w:rPr>
            </w:pPr>
          </w:p>
        </w:tc>
      </w:tr>
      <w:tr>
        <w:trPr>
          <w:trHeight w:val="28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-2887980</wp:posOffset>
            </wp:positionV>
            <wp:extent cx="5212080" cy="15430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-3196590</wp:posOffset>
            </wp:positionV>
            <wp:extent cx="484314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5" w:name="page246"/>
    <w:bookmarkEnd w:id="24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14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our agreement with our originating bank partner,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income (expense), net, on the consolidated statements of operations.</w:t>
      </w:r>
    </w:p>
    <w:p>
      <w:pPr>
        <w:spacing w:after="0" w:line="120"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for the years ended June 30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190"/>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Fee Liability</w:t>
            </w:r>
          </w:p>
        </w:tc>
      </w:tr>
      <w:tr>
        <w:trPr>
          <w:trHeight w:val="23"/>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2018</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loans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tcPr>
          <w:p>
            <w:pPr>
              <w:spacing w:after="0"/>
              <w:rPr>
                <w:sz w:val="22"/>
                <w:szCs w:val="22"/>
                <w:color w:val="auto"/>
              </w:rPr>
            </w:pPr>
          </w:p>
        </w:tc>
      </w:tr>
      <w:tr>
        <w:trPr>
          <w:trHeight w:val="263"/>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22"/>
                <w:szCs w:val="22"/>
                <w:color w:val="auto"/>
              </w:rPr>
            </w:pPr>
          </w:p>
        </w:tc>
      </w:tr>
      <w:tr>
        <w:trPr>
          <w:trHeight w:val="257"/>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loans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1,054</w:t>
            </w:r>
          </w:p>
        </w:tc>
        <w:tc>
          <w:tcPr>
            <w:tcW w:w="140" w:type="dxa"/>
            <w:vAlign w:val="bottom"/>
            <w:shd w:val="clear" w:color="auto" w:fill="CCEEFF"/>
          </w:tcPr>
          <w:p>
            <w:pPr>
              <w:spacing w:after="0"/>
              <w:rPr>
                <w:sz w:val="22"/>
                <w:szCs w:val="22"/>
                <w:color w:val="auto"/>
              </w:rPr>
            </w:pPr>
          </w:p>
        </w:tc>
      </w:tr>
      <w:tr>
        <w:trPr>
          <w:trHeight w:val="263"/>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spacing w:after="0"/>
              <w:rPr>
                <w:sz w:val="22"/>
                <w:szCs w:val="22"/>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23481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5"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the performance fee liability as of June 30, 2019 and 2020:</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3"/>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Refund rate</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r>
      <w:tr>
        <w:trPr>
          <w:trHeight w:val="25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 rate</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-496570</wp:posOffset>
            </wp:positionV>
            <wp:extent cx="1371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-496570</wp:posOffset>
            </wp:positionV>
            <wp:extent cx="137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-496570</wp:posOffset>
            </wp:positionV>
            <wp:extent cx="137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 adverse changes in estimates would have on the fair value of the performance fee liability as of June 30, 2019 and 2020, respectively, given hypothetical changes in significant unobservable inputs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Performance fee liability</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(25)</w:t>
            </w:r>
          </w:p>
        </w:tc>
        <w:tc>
          <w:tcPr>
            <w:tcW w:w="60" w:type="dxa"/>
            <w:vAlign w:val="bottom"/>
          </w:tcPr>
          <w:p>
            <w:pPr>
              <w:spacing w:after="0"/>
              <w:rPr>
                <w:sz w:val="22"/>
                <w:szCs w:val="22"/>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(23)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(50)</w:t>
            </w:r>
          </w:p>
        </w:tc>
      </w:tr>
      <w:tr>
        <w:trPr>
          <w:trHeight w:val="270"/>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 rate assumption:</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Refund rate increase of 25%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Refund rate increase of 50%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 rate assumption:</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-685165</wp:posOffset>
            </wp:positionV>
            <wp:extent cx="4749165" cy="1714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-342265</wp:posOffset>
            </wp:positionV>
            <wp:extent cx="4749165" cy="1714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-1696720</wp:posOffset>
            </wp:positionV>
            <wp:extent cx="45262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Debt Derivative Liability</w:t>
      </w:r>
    </w:p>
    <w:p>
      <w:pPr>
        <w:spacing w:after="0" w:line="160"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See Note 12. Convertible Debt for a description of the convertible debt derivative liability. The fair value of the embedded derivatives is determined using a Monte Carlo Simulation (“MCS”). The MCS model utilizes probabilities and expectations for future events, to account for the impact of a change of control transaction, IPO, next equity financing or a maturity conversion event. The impact of these probability weighted events are calculated over 50,000 independent iterations. The fair value of the embedded derivatives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6" w:name="page247"/>
    <w:bookmarkEnd w:id="24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spacing w:after="0" w:line="250" w:lineRule="auto"/>
        <w:rPr>
          <w:sz w:val="20"/>
          <w:szCs w:val="20"/>
          <w:color w:val="auto"/>
        </w:rPr>
      </w:pPr>
      <w:r>
        <w:rPr>
          <w:rFonts w:ascii="Times New Roman" w:cs="Times New Roman" w:eastAsia="Times New Roman" w:hAnsi="Times New Roman"/>
          <w:sz w:val="18"/>
          <w:szCs w:val="18"/>
          <w:color w:val="auto"/>
        </w:rPr>
        <w:t>is the enhancement value of the convertibles notes with the embedded derivatives over the value of the convertible note, without these features. The enhanced value of the convertible notes, with the embedded features is based on the average value over all iterations.</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Significant assumptions used in the valuation of our convertible debt derivative liability are as follows:</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Condition Probabilities</w:t>
      </w:r>
    </w:p>
    <w:p>
      <w:pPr>
        <w:spacing w:after="0" w:line="160"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We estimate the conditional probabilities of a qualified or non-qualified financing event, corporate transaction, or qualified IPO and maturity conversion. These probabilities are determined on a daily basis over the term of the notes.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Series F Redeemable Convertible Preferred Stock Price Volatilities</w:t>
      </w:r>
    </w:p>
    <w:p>
      <w:pPr>
        <w:spacing w:after="0" w:line="160"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estimate the price of these shares using an industry-standard Option Pricing Model and a range of potential volatilities.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46"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estimate a discount rate associated with these embedded derivatives utilizing an industry-standard Capital Asset Pricing Model.</w:t>
      </w:r>
    </w:p>
    <w:p>
      <w:pPr>
        <w:spacing w:after="0" w:line="95"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convertible debt derivative liability for the years ended June 30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Convertible Debt</w:t>
            </w:r>
          </w:p>
        </w:tc>
      </w:t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Derivative Liability</w:t>
            </w:r>
          </w:p>
        </w:tc>
      </w:tr>
      <w:tr>
        <w:trPr>
          <w:trHeight w:val="23"/>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 of debt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2,773</w:t>
            </w:r>
          </w:p>
        </w:tc>
        <w:tc>
          <w:tcPr>
            <w:tcW w:w="340" w:type="dxa"/>
            <w:vAlign w:val="bottom"/>
          </w:tcPr>
          <w:p>
            <w:pPr>
              <w:spacing w:after="0"/>
              <w:rPr>
                <w:sz w:val="22"/>
                <w:szCs w:val="22"/>
                <w:color w:val="auto"/>
              </w:rPr>
            </w:pPr>
          </w:p>
        </w:tc>
      </w:tr>
      <w:tr>
        <w:trPr>
          <w:trHeight w:val="263"/>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3,834</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6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6,607</w:t>
            </w:r>
          </w:p>
        </w:tc>
        <w:tc>
          <w:tcPr>
            <w:tcW w:w="340" w:type="dxa"/>
            <w:vAlign w:val="bottom"/>
          </w:tcPr>
          <w:p>
            <w:pPr>
              <w:spacing w:after="0"/>
              <w:rPr>
                <w:sz w:val="22"/>
                <w:szCs w:val="22"/>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00304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91"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the convertible debt derivative liability as of June 30, 2020:</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r>
      <w:tr>
        <w:trPr>
          <w:trHeight w:val="23"/>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 probabilities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2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Series F redeemable convertible preferred stock price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1"/>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28.70%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6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-633730</wp:posOffset>
            </wp:positionV>
            <wp:extent cx="1371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-633730</wp:posOffset>
            </wp:positionV>
            <wp:extent cx="1371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-633730</wp:posOffset>
            </wp:positionV>
            <wp:extent cx="1371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effect adverse changes in estimates would have on the fair value of the convertible debt derivative liability as of June 30, 2020, given hypothetical changes in significant unobservable inputs (in thousands):</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Convertible debt derivative liability</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 probabilities assumption:</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Condition probabilities increase of 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22"/>
                <w:szCs w:val="22"/>
                <w:color w:val="auto"/>
              </w:rPr>
            </w:pPr>
          </w:p>
        </w:tc>
      </w:tr>
      <w:tr>
        <w:trPr>
          <w:trHeight w:val="257"/>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Condition probabilities increase of 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60" w:type="dxa"/>
            <w:vAlign w:val="bottom"/>
          </w:tcPr>
          <w:p>
            <w:pPr>
              <w:spacing w:after="0"/>
              <w:rPr>
                <w:sz w:val="22"/>
                <w:szCs w:val="22"/>
                <w:color w:val="auto"/>
              </w:rPr>
            </w:pPr>
          </w:p>
        </w:tc>
      </w:tr>
      <w:tr>
        <w:trPr>
          <w:trHeight w:val="257"/>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Volatility assumption:</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Volatility increase of 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23"/>
                <w:szCs w:val="23"/>
                <w:color w:val="auto"/>
              </w:rPr>
            </w:pPr>
          </w:p>
        </w:tc>
      </w:tr>
      <w:tr>
        <w:trPr>
          <w:trHeight w:val="27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Volatility increase of 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23"/>
                <w:szCs w:val="23"/>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(1,109)</w:t>
            </w:r>
          </w:p>
        </w:tc>
        <w:tc>
          <w:tcPr>
            <w:tcW w:w="60" w:type="dxa"/>
            <w:vAlign w:val="bottom"/>
          </w:tcPr>
          <w:p>
            <w:pPr>
              <w:spacing w:after="0"/>
              <w:rPr>
                <w:sz w:val="23"/>
                <w:szCs w:val="23"/>
                <w:color w:val="auto"/>
              </w:rPr>
            </w:pPr>
          </w:p>
        </w:tc>
      </w:tr>
      <w:tr>
        <w:trPr>
          <w:trHeight w:val="297"/>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-1696720</wp:posOffset>
            </wp:positionV>
            <wp:extent cx="438023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7" w:name="page248"/>
    <w:bookmarkEnd w:id="24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148"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June 30, 2019 (in thousands):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3260" w:type="dxa"/>
            <w:vAlign w:val="bottom"/>
          </w:tcPr>
          <w:p>
            <w:pPr>
              <w:spacing w:after="0"/>
              <w:rPr>
                <w:sz w:val="16"/>
                <w:szCs w:val="16"/>
                <w:color w:val="auto"/>
              </w:rPr>
            </w:pPr>
          </w:p>
        </w:tc>
        <w:tc>
          <w:tcPr>
            <w:tcW w:w="14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3"/>
        </w:trPr>
        <w:tc>
          <w:tcPr>
            <w:tcW w:w="3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320,448</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320,448</w:t>
            </w: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r>
      <w:tr>
        <w:trPr>
          <w:trHeight w:val="25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646,920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646,920</w:t>
            </w: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43,102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43,102</w:t>
            </w:r>
          </w:p>
        </w:tc>
      </w:tr>
      <w:tr>
        <w:trPr>
          <w:trHeight w:val="26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24,756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r>
      <w:tr>
        <w:trPr>
          <w:trHeight w:val="30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1,100,053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357,771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71,278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648,770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1,077,819</w:t>
            </w:r>
          </w:p>
        </w:tc>
      </w:tr>
      <w:tr>
        <w:trPr>
          <w:trHeight w:val="203"/>
        </w:trPr>
        <w:tc>
          <w:tcPr>
            <w:tcW w:w="32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10,846</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third-party loan owners</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16,719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7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13,996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77"/>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569,234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565,227</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565,227</w:t>
            </w:r>
          </w:p>
        </w:tc>
      </w:tr>
      <w:tr>
        <w:trPr>
          <w:trHeight w:val="277"/>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42,993</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565,227</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608,220</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-213995</wp:posOffset>
            </wp:positionV>
            <wp:extent cx="14605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-213995</wp:posOffset>
            </wp:positionV>
            <wp:extent cx="14605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-213995</wp:posOffset>
            </wp:positionV>
            <wp:extent cx="14541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-213995</wp:posOffset>
            </wp:positionV>
            <wp:extent cx="300037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-2579370</wp:posOffset>
            </wp:positionV>
            <wp:extent cx="13716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-2579370</wp:posOffset>
            </wp:positionV>
            <wp:extent cx="1371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-2579370</wp:posOffset>
            </wp:positionV>
            <wp:extent cx="13716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299148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8"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June 30, 2020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240" w:type="dxa"/>
            <w:vAlign w:val="bottom"/>
          </w:tcPr>
          <w:p>
            <w:pPr>
              <w:spacing w:after="0"/>
              <w:rPr>
                <w:sz w:val="16"/>
                <w:szCs w:val="16"/>
                <w:color w:val="auto"/>
              </w:rPr>
            </w:pPr>
          </w:p>
        </w:tc>
      </w:tr>
      <w:tr>
        <w:trPr>
          <w:trHeight w:val="23"/>
        </w:trPr>
        <w:tc>
          <w:tcPr>
            <w:tcW w:w="4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267,059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267,059</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1240" w:type="dxa"/>
            <w:vAlign w:val="bottom"/>
          </w:tcPr>
          <w:p>
            <w:pPr>
              <w:spacing w:after="0"/>
              <w:rPr>
                <w:sz w:val="22"/>
                <w:szCs w:val="22"/>
                <w:color w:val="auto"/>
              </w:rPr>
            </w:pPr>
          </w:p>
        </w:tc>
      </w:tr>
      <w:tr>
        <w:trPr>
          <w:trHeight w:val="256"/>
        </w:trPr>
        <w:tc>
          <w:tcPr>
            <w:tcW w:w="4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922,919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922,919</w:t>
            </w:r>
          </w:p>
        </w:tc>
        <w:tc>
          <w:tcPr>
            <w:tcW w:w="1240" w:type="dxa"/>
            <w:vAlign w:val="bottom"/>
          </w:tcPr>
          <w:p>
            <w:pPr>
              <w:spacing w:after="0"/>
              <w:rPr>
                <w:sz w:val="22"/>
                <w:szCs w:val="22"/>
                <w:color w:val="auto"/>
              </w:rPr>
            </w:pPr>
          </w:p>
        </w:tc>
      </w:tr>
      <w:tr>
        <w:trPr>
          <w:trHeight w:val="256"/>
        </w:trPr>
        <w:tc>
          <w:tcPr>
            <w:tcW w:w="4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1240" w:type="dxa"/>
            <w:vAlign w:val="bottom"/>
          </w:tcPr>
          <w:p>
            <w:pPr>
              <w:spacing w:after="0"/>
              <w:rPr>
                <w:sz w:val="22"/>
                <w:szCs w:val="22"/>
                <w:color w:val="auto"/>
              </w:rPr>
            </w:pPr>
          </w:p>
        </w:tc>
      </w:tr>
      <w:tr>
        <w:trPr>
          <w:trHeight w:val="264"/>
        </w:trPr>
        <w:tc>
          <w:tcPr>
            <w:tcW w:w="1260" w:type="dxa"/>
            <w:vAlign w:val="bottom"/>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240" w:type="dxa"/>
            <w:vAlign w:val="bottom"/>
          </w:tcPr>
          <w:p>
            <w:pPr>
              <w:spacing w:after="0"/>
              <w:rPr>
                <w:sz w:val="22"/>
                <w:szCs w:val="22"/>
                <w:color w:val="auto"/>
              </w:rPr>
            </w:pPr>
          </w:p>
        </w:tc>
      </w:tr>
      <w:tr>
        <w:trPr>
          <w:trHeight w:val="303"/>
        </w:trPr>
        <w:tc>
          <w:tcPr>
            <w:tcW w:w="1260" w:type="dxa"/>
            <w:vAlign w:val="bottom"/>
          </w:tcPr>
          <w:p>
            <w:pPr>
              <w:spacing w:after="0"/>
              <w:rPr>
                <w:sz w:val="24"/>
                <w:szCs w:val="24"/>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1,338,747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328,128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71,444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922,919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1,322,491</w:t>
            </w:r>
          </w:p>
        </w:tc>
        <w:tc>
          <w:tcPr>
            <w:tcW w:w="1240" w:type="dxa"/>
            <w:vAlign w:val="bottom"/>
          </w:tcPr>
          <w:p>
            <w:pPr>
              <w:spacing w:after="0"/>
              <w:rPr>
                <w:sz w:val="24"/>
                <w:szCs w:val="24"/>
                <w:color w:val="auto"/>
              </w:rPr>
            </w:pPr>
          </w:p>
        </w:tc>
      </w:tr>
      <w:tr>
        <w:trPr>
          <w:trHeight w:val="203"/>
        </w:trPr>
        <w:tc>
          <w:tcPr>
            <w:tcW w:w="126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40" w:type="dxa"/>
            <w:vAlign w:val="bottom"/>
          </w:tcPr>
          <w:p>
            <w:pPr>
              <w:spacing w:after="0"/>
              <w:rPr>
                <w:sz w:val="17"/>
                <w:szCs w:val="17"/>
                <w:color w:val="auto"/>
              </w:rPr>
            </w:pPr>
          </w:p>
        </w:tc>
      </w:tr>
      <w:tr>
        <w:trPr>
          <w:trHeight w:val="257"/>
        </w:trPr>
        <w:tc>
          <w:tcPr>
            <w:tcW w:w="4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18,361</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124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third-party loan owners</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24,998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240" w:type="dxa"/>
            <w:vAlign w:val="bottom"/>
          </w:tcPr>
          <w:p>
            <w:pPr>
              <w:spacing w:after="0"/>
              <w:rPr>
                <w:sz w:val="22"/>
                <w:szCs w:val="22"/>
                <w:color w:val="auto"/>
              </w:rPr>
            </w:pPr>
          </w:p>
        </w:tc>
      </w:tr>
      <w:tr>
        <w:trPr>
          <w:trHeight w:val="270"/>
        </w:trPr>
        <w:tc>
          <w:tcPr>
            <w:tcW w:w="4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4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1240" w:type="dxa"/>
            <w:vAlign w:val="bottom"/>
          </w:tcPr>
          <w:p>
            <w:pPr>
              <w:spacing w:after="0"/>
              <w:rPr>
                <w:sz w:val="23"/>
                <w:szCs w:val="23"/>
                <w:color w:val="auto"/>
              </w:rPr>
            </w:pPr>
          </w:p>
        </w:tc>
      </w:tr>
      <w:tr>
        <w:trPr>
          <w:trHeight w:val="270"/>
        </w:trPr>
        <w:tc>
          <w:tcPr>
            <w:tcW w:w="4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Convertible debt</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240" w:type="dxa"/>
            <w:vAlign w:val="bottom"/>
          </w:tcPr>
          <w:p>
            <w:pPr>
              <w:spacing w:after="0"/>
              <w:rPr>
                <w:sz w:val="23"/>
                <w:szCs w:val="23"/>
                <w:color w:val="auto"/>
              </w:rPr>
            </w:pPr>
          </w:p>
        </w:tc>
      </w:tr>
      <w:tr>
        <w:trPr>
          <w:trHeight w:val="277"/>
        </w:trPr>
        <w:tc>
          <w:tcPr>
            <w:tcW w:w="126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817,926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805,910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805,910</w:t>
            </w:r>
          </w:p>
        </w:tc>
        <w:tc>
          <w:tcPr>
            <w:tcW w:w="124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70,614</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873,525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944,139</w:t>
            </w:r>
          </w:p>
        </w:tc>
        <w:tc>
          <w:tcPr>
            <w:tcW w:w="1240" w:type="dxa"/>
            <w:vAlign w:val="bottom"/>
          </w:tcPr>
          <w:p>
            <w:pPr>
              <w:spacing w:after="0"/>
              <w:rPr>
                <w:sz w:val="23"/>
                <w:szCs w:val="23"/>
                <w:color w:val="auto"/>
              </w:rPr>
            </w:pPr>
          </w:p>
        </w:tc>
      </w:tr>
      <w:tr>
        <w:trPr>
          <w:trHeight w:val="20"/>
        </w:trPr>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58"/>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F-32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-3548380</wp:posOffset>
            </wp:positionV>
            <wp:extent cx="1371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-3548380</wp:posOffset>
            </wp:positionV>
            <wp:extent cx="13716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-3548380</wp:posOffset>
            </wp:positionV>
            <wp:extent cx="1371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-3548380</wp:posOffset>
            </wp:positionV>
            <wp:extent cx="299148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48" w:name="page249"/>
    <w:bookmarkEnd w:id="24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Redeemable Convertible Preferred Stock and Stockholders’ Deficit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As of June 30, 2020, the authorized capital of the Company included 124,453,009 shares of redeemable convertible preferred stock with a par value of $0.0001, of which 21,428,572 shares have been designated as series A redeemable convertible preferred stock, 19,788,417 shares have been designated as Series B redeemable convertible preferred stock, 15,129,141 shares have been designated as Series C redeemable convertible preferred stock, 22,705,526 shares have been designated as Series D redeemable convertible preferred stock, 21,391,882 shares have been designated as Series E redeemable convertible preferred stock and 24,009,471 shares have been designated as Series F redeemable convertible preferred stock.</w:t>
      </w:r>
    </w:p>
    <w:p>
      <w:pPr>
        <w:spacing w:after="0" w:line="121"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In March 2019, we completed an additional redeemable convertible preferred stock financing agreement which authorized the sale and issuance of up to 24,009,471 shares of Series F redeemable convertible preferred stock at $13.18 per share. As of June 30, 2019, we had issued 23,310,166 shares of Series F redeemable convertible preferred stock for aggregate cash proceeds of $307.3 million, less issuance costs of $4.2 million.</w:t>
      </w:r>
    </w:p>
    <w:p>
      <w:pPr>
        <w:spacing w:after="0" w:line="335"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color w:val="auto"/>
        </w:rPr>
        <w:t>In June 2019, we repurchased 1,100,000 shares of our Series A redeemable convertible preferred stock at $13.18 per share for an aggregate purchase price of $14.5 million. The repurchase was recorded as a decrease to the carrying value of redeemable convertible preferred stock and the excess of the purchase price over the carrying amount of the redeemable convertible preferred stock was recorded to additional paid in capital.</w:t>
      </w:r>
    </w:p>
    <w:p>
      <w:pPr>
        <w:spacing w:after="0" w:line="32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 July 2019, we issued an additional 75,872 shares of our Series F redeemable convertible preferred stock for gross proceeds of $1.0 million.</w:t>
      </w:r>
    </w:p>
    <w:p>
      <w:pPr>
        <w:spacing w:after="0" w:line="9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In August 2019, we issued 1,100,000 shares of our Series A redeemable convertible preferred stock at $13.18 per share for gross proceeds of $14.5 million.</w:t>
      </w:r>
    </w:p>
    <w:p>
      <w:pPr>
        <w:spacing w:after="0" w:line="94"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In November 2019, we repurchased 1,326,611 shares of our Series C redeemable convertible preferred stock at $13.18 per share for an aggregate purchase price of $17.5 million and 386,994 shares of our Series D redeemable convertible preferred stock at $13.18 per share for an aggregate purchase price of $5.1 million. The repurchases were recorded as a decrease to the carrying value of redeemable convertible preferred stock and the excess of the purchase price over the carrying amount of redeemable convertible preferred stock was recorded to additional paid in capital.</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authorized, issued and outstanding redeemable convertible preferred stock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30, 2019 is as follows:</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1620" w:type="dxa"/>
            <w:vAlign w:val="bottom"/>
            <w:gridSpan w:val="5"/>
          </w:tcPr>
          <w:p>
            <w:pPr>
              <w:spacing w:after="0"/>
              <w:rPr>
                <w:sz w:val="2"/>
                <w:szCs w:val="2"/>
                <w:color w:val="auto"/>
              </w:rPr>
            </w:pPr>
          </w:p>
        </w:tc>
      </w:t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20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620" w:type="dxa"/>
            <w:vAlign w:val="bottom"/>
            <w:gridSpan w:val="5"/>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7"/>
              </w:rPr>
              <w:t>Liquidation Preference</w:t>
            </w: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2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3"/>
        </w:trPr>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20,328,572</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60" w:type="dxa"/>
            <w:vAlign w:val="bottom"/>
            <w:shd w:val="clear" w:color="auto" w:fill="CCEEFF"/>
          </w:tcPr>
          <w:p>
            <w:pPr>
              <w:spacing w:after="0"/>
              <w:rPr>
                <w:sz w:val="21"/>
                <w:szCs w:val="21"/>
                <w:color w:val="auto"/>
              </w:rPr>
            </w:pP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60" w:type="dxa"/>
            <w:vAlign w:val="bottom"/>
          </w:tcPr>
          <w:p>
            <w:pPr>
              <w:spacing w:after="0"/>
              <w:rPr>
                <w:sz w:val="22"/>
                <w:szCs w:val="22"/>
                <w:color w:val="auto"/>
              </w:rPr>
            </w:pPr>
          </w:p>
        </w:tc>
      </w:tr>
      <w:tr>
        <w:trPr>
          <w:trHeight w:val="25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15,129,141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15,129,141</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79,905</w:t>
            </w:r>
          </w:p>
        </w:tc>
        <w:tc>
          <w:tcPr>
            <w:tcW w:w="360" w:type="dxa"/>
            <w:vAlign w:val="bottom"/>
            <w:shd w:val="clear" w:color="auto" w:fill="CCEEFF"/>
          </w:tcPr>
          <w:p>
            <w:pPr>
              <w:spacing w:after="0"/>
              <w:rPr>
                <w:sz w:val="22"/>
                <w:szCs w:val="22"/>
                <w:color w:val="auto"/>
              </w:rPr>
            </w:pP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22,705,526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22,705,526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140,000</w:t>
            </w:r>
          </w:p>
        </w:tc>
        <w:tc>
          <w:tcPr>
            <w:tcW w:w="360" w:type="dxa"/>
            <w:vAlign w:val="bottom"/>
          </w:tcPr>
          <w:p>
            <w:pPr>
              <w:spacing w:after="0"/>
              <w:rPr>
                <w:sz w:val="22"/>
                <w:szCs w:val="22"/>
                <w:color w:val="auto"/>
              </w:rPr>
            </w:pPr>
          </w:p>
        </w:tc>
      </w:tr>
      <w:tr>
        <w:trPr>
          <w:trHeight w:val="25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242,435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242,597</w:t>
            </w:r>
          </w:p>
        </w:tc>
        <w:tc>
          <w:tcPr>
            <w:tcW w:w="360" w:type="dxa"/>
            <w:vAlign w:val="bottom"/>
            <w:shd w:val="clear" w:color="auto" w:fill="CCEEFF"/>
          </w:tcPr>
          <w:p>
            <w:pPr>
              <w:spacing w:after="0"/>
              <w:rPr>
                <w:sz w:val="22"/>
                <w:szCs w:val="22"/>
                <w:color w:val="auto"/>
              </w:rPr>
            </w:pPr>
          </w:p>
        </w:tc>
      </w:tr>
      <w:tr>
        <w:trPr>
          <w:trHeight w:val="264"/>
        </w:trPr>
        <w:tc>
          <w:tcPr>
            <w:tcW w:w="2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24,009,471</w:t>
            </w: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23,310,166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303,083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307,300</w:t>
            </w:r>
          </w:p>
        </w:tc>
        <w:tc>
          <w:tcPr>
            <w:tcW w:w="360" w:type="dxa"/>
            <w:vAlign w:val="bottom"/>
            <w:tcBorders>
              <w:bottom w:val="single" w:sz="8" w:color="CCEEFF"/>
            </w:tcBorders>
          </w:tcPr>
          <w:p>
            <w:pPr>
              <w:spacing w:after="0"/>
              <w:rPr>
                <w:sz w:val="22"/>
                <w:szCs w:val="22"/>
                <w:color w:val="auto"/>
              </w:rPr>
            </w:pPr>
          </w:p>
        </w:tc>
      </w:tr>
      <w:tr>
        <w:trPr>
          <w:trHeight w:val="25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124,453,009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122,653,704</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798,074</w:t>
            </w: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802,917</w:t>
            </w:r>
          </w:p>
        </w:tc>
        <w:tc>
          <w:tcPr>
            <w:tcW w:w="360" w:type="dxa"/>
            <w:vAlign w:val="bottom"/>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-196215</wp:posOffset>
            </wp:positionV>
            <wp:extent cx="23177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-196215</wp:posOffset>
            </wp:positionV>
            <wp:extent cx="44577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-196215</wp:posOffset>
            </wp:positionV>
            <wp:extent cx="21463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-196215</wp:posOffset>
            </wp:positionV>
            <wp:extent cx="24003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-1190625</wp:posOffset>
            </wp:positionV>
            <wp:extent cx="13716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-1190625</wp:posOffset>
            </wp:positionV>
            <wp:extent cx="13716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-1190625</wp:posOffset>
            </wp:positionV>
            <wp:extent cx="1371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-1190625</wp:posOffset>
            </wp:positionV>
            <wp:extent cx="1371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authorized, issued and outstanding redeemable convertible preferred stock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30, 2020 is as follows:</w:t>
      </w:r>
    </w:p>
    <w:p>
      <w:pPr>
        <w:spacing w:after="0" w:line="131"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1620" w:type="dxa"/>
            <w:vAlign w:val="bottom"/>
            <w:gridSpan w:val="5"/>
          </w:tcPr>
          <w:p>
            <w:pPr>
              <w:spacing w:after="0"/>
              <w:rPr>
                <w:sz w:val="2"/>
                <w:szCs w:val="2"/>
                <w:color w:val="auto"/>
              </w:rPr>
            </w:pPr>
          </w:p>
        </w:tc>
      </w:t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20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620" w:type="dxa"/>
            <w:vAlign w:val="bottom"/>
            <w:gridSpan w:val="5"/>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7"/>
              </w:rPr>
              <w:t>Liquidation Preference</w:t>
            </w: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3"/>
        </w:trPr>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360" w:type="dxa"/>
            <w:vAlign w:val="bottom"/>
            <w:shd w:val="clear" w:color="auto" w:fill="CCEEFF"/>
          </w:tcPr>
          <w:p>
            <w:pPr>
              <w:spacing w:after="0"/>
              <w:rPr>
                <w:sz w:val="21"/>
                <w:szCs w:val="21"/>
                <w:color w:val="auto"/>
              </w:rPr>
            </w:pP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60" w:type="dxa"/>
            <w:vAlign w:val="bottom"/>
          </w:tcPr>
          <w:p>
            <w:pPr>
              <w:spacing w:after="0"/>
              <w:rPr>
                <w:sz w:val="22"/>
                <w:szCs w:val="22"/>
                <w:color w:val="auto"/>
              </w:rPr>
            </w:pPr>
          </w:p>
        </w:tc>
      </w:tr>
      <w:tr>
        <w:trPr>
          <w:trHeight w:val="25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15,129,141</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13,802,530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360" w:type="dxa"/>
            <w:vAlign w:val="bottom"/>
            <w:shd w:val="clear" w:color="auto" w:fill="CCEEFF"/>
          </w:tcPr>
          <w:p>
            <w:pPr>
              <w:spacing w:after="0"/>
              <w:rPr>
                <w:sz w:val="22"/>
                <w:szCs w:val="22"/>
                <w:color w:val="auto"/>
              </w:rPr>
            </w:pP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22,705,526</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22,318,532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137,471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137,614</w:t>
            </w:r>
          </w:p>
        </w:tc>
        <w:tc>
          <w:tcPr>
            <w:tcW w:w="360" w:type="dxa"/>
            <w:vAlign w:val="bottom"/>
          </w:tcPr>
          <w:p>
            <w:pPr>
              <w:spacing w:after="0"/>
              <w:rPr>
                <w:sz w:val="22"/>
                <w:szCs w:val="22"/>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242,435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242,597</w:t>
            </w:r>
          </w:p>
        </w:tc>
        <w:tc>
          <w:tcPr>
            <w:tcW w:w="360" w:type="dxa"/>
            <w:vAlign w:val="bottom"/>
            <w:shd w:val="clear" w:color="auto" w:fill="CCEEFF"/>
          </w:tcPr>
          <w:p>
            <w:pPr>
              <w:spacing w:after="0"/>
              <w:rPr>
                <w:sz w:val="22"/>
                <w:szCs w:val="22"/>
                <w:color w:val="auto"/>
              </w:rPr>
            </w:pPr>
          </w:p>
        </w:tc>
      </w:tr>
      <w:tr>
        <w:trPr>
          <w:trHeight w:val="263"/>
        </w:trPr>
        <w:tc>
          <w:tcPr>
            <w:tcW w:w="2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24,009,471</w:t>
            </w: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23,386,038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304,064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308,300</w:t>
            </w:r>
          </w:p>
        </w:tc>
        <w:tc>
          <w:tcPr>
            <w:tcW w:w="360" w:type="dxa"/>
            <w:vAlign w:val="bottom"/>
            <w:tcBorders>
              <w:bottom w:val="single" w:sz="8" w:color="CCEEFF"/>
            </w:tcBorders>
          </w:tcPr>
          <w:p>
            <w:pPr>
              <w:spacing w:after="0"/>
              <w:rPr>
                <w:sz w:val="22"/>
                <w:szCs w:val="22"/>
                <w:color w:val="auto"/>
              </w:rPr>
            </w:pPr>
          </w:p>
        </w:tc>
      </w:tr>
      <w:tr>
        <w:trPr>
          <w:trHeight w:val="26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124,453,009</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122,115,971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804,170</w:t>
            </w: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809,032</w:t>
            </w:r>
          </w:p>
        </w:tc>
        <w:tc>
          <w:tcPr>
            <w:tcW w:w="360" w:type="dxa"/>
            <w:vAlign w:val="bottom"/>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-205105</wp:posOffset>
            </wp:positionV>
            <wp:extent cx="23177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-205105</wp:posOffset>
            </wp:positionV>
            <wp:extent cx="4457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-205105</wp:posOffset>
            </wp:positionV>
            <wp:extent cx="21463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24003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-1199515</wp:posOffset>
            </wp:positionV>
            <wp:extent cx="1371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-1199515</wp:posOffset>
            </wp:positionV>
            <wp:extent cx="13716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-1199515</wp:posOffset>
            </wp:positionV>
            <wp:extent cx="13716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-1199515</wp:posOffset>
            </wp:positionV>
            <wp:extent cx="13716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Significant terms of the redeemable convertible preferred stock are as follows: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6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In the event of any liquidation event, either voluntary or involuntary, the holders of each series of redeemable convertible preferred stock shall be entitled to receive on a pari passu basis, prior and in preference to any distributions of any assets of the Company to the holders of the common stock by reason of their ownership thereof, an amount per share equal to the sum of one times the applicable original issuance price plus any declared but unpaid dividends. The original issuance price for Series A redeemable convertible preferred stock, Series B redeemable convertible preferred stock, Series C redeemable convertible preferred stock, Series D redeemable convertible preferred stock, Series E redeemable convertible preferred stock, and Series F redeemable convertible preferred stock is $ 0.35, $ 1.3139, $5.2766, $6.1659, $11.3406, and $13.1831 per share, respectively. If the proceeds distributed among the holders of the redeemable convertible preferred shares are insufficient to permit the payment to such holders of the full preferential amounts the entire assets and funds of the Company legally available for distribution shall be distributed ratably among the holders of the redeemable convertible preferred stock in proportion to the preferential amount that each such holder is otherwise entitled to receive.</w:t>
      </w:r>
    </w:p>
    <w:p>
      <w:pPr>
        <w:spacing w:after="0" w:line="110"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After payment has been made to the holders of the redeemable convertible preferred stock of their full respective preferential amounts, all of the remaining assets of the Company shall be distributed ratably among the holders of common stock.</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holders of each series of redeemable convertible preferred stock shall be entitled to receive dividends, out of any funds legally available, prior and in preference to any declaration or payment of any dividend on Common Stock of the Company, at the rate of $1.0546 per annum for each share of Series F redeemable convertible preferred stock, $0.9072 per annum for each share of Series E redeemable convertible preferred stock, $ 0.4933 per annum for each share of Series D redeemable convertible preferred stock, $0.4221 per annum for each share of Series C redeemable convertible preferred stock, $0.1051 per annum for each share of Series B redeemable convertible preferred stock and $0.0280 per annum for each share of Series A redeemable convertible preferred stock (each as adjusted for stock splits, stock dividends, reclassification and the like) payable quarterly when, as and if declared by the Board of Directors. Such dividends shall not be cumulative.</w:t>
      </w:r>
    </w:p>
    <w:p>
      <w:pPr>
        <w:spacing w:after="0" w:line="31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Following the payment in full of any dividends to the holders of redeemable convertible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redeemable convertible preferred stock and common stock pro rata based on the number of shares of common stock then held by each holder (assuming conversion of all such Series A redeemable convertible preferred stock into common stock), until each such holder of common stock or Series A redeemable convertible preferred stock has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0" w:name="page251"/>
    <w:bookmarkEnd w:id="25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1" w:lineRule="auto"/>
        <w:rPr>
          <w:sz w:val="20"/>
          <w:szCs w:val="20"/>
          <w:color w:val="auto"/>
        </w:rPr>
      </w:pPr>
      <w:r>
        <w:rPr>
          <w:rFonts w:ascii="Times New Roman" w:cs="Times New Roman" w:eastAsia="Times New Roman" w:hAnsi="Times New Roman"/>
          <w:sz w:val="18"/>
          <w:szCs w:val="18"/>
          <w:color w:val="auto"/>
        </w:rPr>
        <w:t>received an additional $0.0771 per share (as adjusted for stock splits, stock dividends, reclassification and the like) and then among the holders of Series A redeemable convertible preferred stock, the Series B redeemable convertible preferred stock and common stock pro rata based on the number of shares of common stock then held by each holder (assuming conversion of all such Series A redeemable convertible preferred stock into common stock), until each such holder of common stock, Series A redeemable convertible preferred stock or Series B redeemable convertible preferred stock has received an additional $0.3170 per share (as adjusted for stock splits, stock dividends, reclassification and the like) and then among the holders of Series A redeemable convertible preferred stock, the Series B redeemable convertible preferred stock, the Series C redeemable convertible preferred stock and common stock pro rata based on the number of shares of common stock then held by each holder (assuming conversion of all such Series A redeemable convertible preferred stock, Series B redeemable convertible preferred stock and Series C redeemable convertible preferred stock into common stock), until each holder of common stock, Series A redeemable convertible preferred stock, Series B redeemable convertible preferred stock or Series C redeemable convertible preferred stock has received an additional $0.0712 per share (as adjusted for stock splits, stock dividends, reclassification and the like) and then among holders of Series A redeemable convertible preferred stock, the Series B redeemable convertible preferred stock, the Series C redeemable convertible preferred stock, the Series D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and Series D redeemable convertible preferred stock into Common Stock) until each such holder of common stock, Series A redeemable convertible preferred stock, Series B redeemable convertible preferred stock, Series C redeemable convertible preferred stock or Series D redeemable convertible preferred stock has received an additional $0.4139 per share (as adjusted for stock splits, stock dividends, reclassification and the like), and then among the holders of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Series D redeemable convertible preferred stock, Series E redeemable convertible preferred stock and Series F redeemable convertible preferred stock into common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46"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holders of redeemable convertible preferred stock shall have the same voting rights as a holder of common stock. The holders of common stock and redeemable convertible preferred stock shall vote together as a single class in all matters. Each holder of common stock shall be entitled to one vote for each share of common stock held, and each holder of redeemable convertible preferred stock shall be entitled to the number of votes equal to the number of shares of common stock into which such shares of redeemable convertible preferred stock could then be converted. The holders of the common stock, voting separately as a single class shall be entitled to elect three (3) directors of the Company. The holders of the Series B redeemable convertible preferred stock, voting separately as a single class shall be entitled to elect two</w:t>
      </w:r>
    </w:p>
    <w:p>
      <w:pPr>
        <w:spacing w:after="0" w:line="1" w:lineRule="exact"/>
        <w:rPr>
          <w:sz w:val="20"/>
          <w:szCs w:val="20"/>
          <w:color w:val="auto"/>
        </w:rPr>
      </w:pPr>
    </w:p>
    <w:p>
      <w:pPr>
        <w:ind w:left="1260" w:right="719" w:firstLine="2"/>
        <w:spacing w:after="0" w:line="251" w:lineRule="auto"/>
        <w:tabs>
          <w:tab w:leader="none" w:pos="152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 The holders of the Series C redeemable convertible preferred stock, voting separately as a single class shall be entitled to elect one (1) director of the Company. The holders of the Series D redeemable convertible preferred stock, voting separately as a single class shall be entitled to elect one (1) director of the Company. The holders of the common stock and redeemable convertible preferred stock (excluding the Series E redeemable convertible preferred stock), voting together as a single class on an as converted basis, shall be entitled to elect all other directors of the Company. The holders of the Series F redeemable convertible preferred stock, voting separately as a single class, shall be entitled to elect one (1) director of the Company.</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60"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color w:val="auto"/>
        </w:rPr>
        <w:t>Each share of redeemable convertible preferred stock is convertible to common stock at the option of the holder. Such conversion is determined by dividing the original issue price by the then-effective conversion price (adjusted for any stock dividends, combinations, or splits with respect to such shares). At June 30, 2020, each share of redeemable convertible preferred stock was convertible into one share of common stock.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1" w:name="page252"/>
    <w:bookmarkEnd w:id="25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Each share of redeemable convertible preferred stock shall automatically be converted into shares of common stock at the conversion rate then in effect for such series of redeemable convertible preferred stock immediately upon the earlier of (i) the Company’s sale of its common stock in a firm commitment underwritten public offering pursuant to a registration statement under the Securities Act of 1933, as amended, resulting in a post-offering market capitalization of the Company of at least $ 2,000,000,000 and for the total offering with gross proceeds to the Company of not less than $ 100,000,000 or (ii) the date or upon the occurrence of an event, specified by written consent or agreement of each of (A) the holders of at least sixty percent (60%) of the Series B redeemable convertible preferred stock then outstanding, voting as a separate series, (B) the holders of at least seventy- five percent (75%) of the Series C redeemable convertible preferred stock then outstanding, voting as a separate series and (C) the holders of at least a majority of the Series D redeemable convertible preferred stock then outstanding, voting as a separate series, (D) the holders of a majority of the Series E redeemable convertible preferred stock then outstanding, voting as separate series, and (E) either (x) the holders of at least eighty-five (85%) of the then outstanding shares of Series F redeemable convertible preferred stock, voting as a separate series, or (y) the holders of a majority of the then outstanding shares of Series F redeemable convertible preferred stock, voting as a separate series, provided that such majority includes the Special Series F Investor Vote.</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redeemable convertible preferred stock does not have any redemption rights that are at the election of the holders. However, the redeemable convertible preferred stock is entitled to payment upon the occurrence of certain contingent events. As it relates to payment upon the occurrence of a contingent event, we evaluated the redeemable convertible preferred stock in accordance with the guidance in ASC 480, “Distinguishing Liabilities from Equity”, and determined that the payment of liquidation amounts due upon the occurrence of a contingent event is not solely within our control and accordingly the redeemable convertible preferred stock is classified in temporary equity in the consolidated balance sheet. As it relates to the accretion to redemption value, the redeemable convertible preferred stock is not currently redeemable, nor is it probable that the instrument will become redeemable, as it is only redeemable upon the occurrence of a contingent event. Accordingly, no accretion has been recognized for the redeemable convertible preferred stock and it will not be accreted until it is probable that the shares will become redeemable.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June 30, 2019 and 2020, we had shares of common stock reserved for issuance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122,653,704</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122,115,971</w:t>
            </w:r>
          </w:p>
        </w:tc>
      </w:tr>
      <w:tr>
        <w:trPr>
          <w:trHeight w:val="203"/>
        </w:trPr>
        <w:tc>
          <w:tcPr>
            <w:tcW w:w="5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1,608,370</w:t>
            </w:r>
          </w:p>
        </w:tc>
        <w:tc>
          <w:tcPr>
            <w:tcW w:w="11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706,065</w:t>
            </w:r>
          </w:p>
        </w:tc>
      </w:tr>
      <w:tr>
        <w:trPr>
          <w:trHeight w:val="203"/>
        </w:trPr>
        <w:tc>
          <w:tcPr>
            <w:tcW w:w="5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Available outstanding under stock option plan</w:t>
            </w:r>
          </w:p>
        </w:tc>
        <w:tc>
          <w:tcPr>
            <w:tcW w:w="9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43,596,828</w:t>
            </w:r>
          </w:p>
        </w:tc>
        <w:tc>
          <w:tcPr>
            <w:tcW w:w="11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50,771,657</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future grant under stock option plan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3,649,298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4,904,531</w:t>
            </w: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171,508,200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178,498,224</w:t>
            </w: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-170815</wp:posOffset>
            </wp:positionV>
            <wp:extent cx="41744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-702310</wp:posOffset>
            </wp:positionV>
            <wp:extent cx="416623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91"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common stock is not mandatorily redeemable. Each holder of common stock shall have the right to one vote per share of Common Stock and shall be entitled to notice of any stockholders’ meeting in accordance with the Bylaws of the Company, and shall be entitled to vote upon such matters and in such manner as may be provided by law. Subject to the prior rights of holders of all classes of stock at the time outstanding having prior rights as to dividends, the holders of the common stock shall be entitled to receive, when and as declared by the Board of Directors, out of any assets of the Company legally available therefore, such dividends as may be declared from time to time by the Board of Directors. Upon the liquidation, dissolution or winding up of the Company, or the occurrence of a liquidation transaction, the assets of the Company shall be distributed in accordance with the liquidation preferences referenced in the redeemable convertible preferred stock section above.</w:t>
      </w:r>
    </w:p>
    <w:p>
      <w:pPr>
        <w:spacing w:after="0" w:line="127"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Amounts paid to employees for the repurchase of common stock are charged to equity to the extent the amount paid does not exceed the fair value of the instrument repurchased. Any excess of the repurchase price over the fair value of the instrument is recognized as additional compensation cost within the operating expense line associated with the employee’s function, on the consolidated statement of operations.</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4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Common stock warrants are included as a component of additional paid-in capital on the consolidated balance sheets.</w:t>
      </w:r>
    </w:p>
    <w:p>
      <w:pPr>
        <w:spacing w:after="0" w:line="95"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During the year ended June 30, 2014, we issued warrants to purchase 152,219 shares of common stock in connection with the extension of a line of credit. The exercise price was $0.281 per share and the term of the warrants was 10 years. We valued the warrants at issuance using the Black -Scholes-Merton option pricing model with the following assumptions: a dividend yield of zero, years to maturity of 10 years, volatility of 34% and a risk-free interest rate of 2.54%.</w:t>
      </w:r>
    </w:p>
    <w:p>
      <w:pPr>
        <w:spacing w:after="0" w:line="117"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During the year ended June 30, 2015, we issued warrants to purchase 1,302,305 shares of common stock in connection with the issuance of funding debt. The exercise price was $0.01 per share and the term of the warrants was 10 years. We valued the warrants at issuance using the Black-Scholes -Merton option pricing model with the following assumptions: a dividend yield of zero, years to maturity of 10 years, volatility of 60% and a risk-free interest rate of 2.03%.</w:t>
      </w:r>
    </w:p>
    <w:p>
      <w:pPr>
        <w:spacing w:after="0" w:line="104"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During the year ended June 30, 2016, we issued warrants to purchase 153,846 shares of common stock in connection with the extension of a line of credit. The exercise price was $1.30 per share and the term of the warrants was 10 years. We valued the warrants at issuance using the Black -Scholes-Merton option pricing model with the following assumptions: a dividend yield of zero, years to maturity of 10 years, volatility of 60% and a risk-free interest rate of 2.28%.</w:t>
      </w:r>
    </w:p>
    <w:p>
      <w:pPr>
        <w:spacing w:after="0" w:line="117"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In addition to the above, during the year ended June 30, 2020, we issued warrants to purchase 400,000 shares of common stock in connection with an agreement with a merchant partner. The exercise price was $3.80 per share and the term of the warrants was 10 years. We valued the warrants at issuance using the Black-Scholes -Merton option pricing model with the following assumptions: a dividend yield of zero, years to maturity of 10 years, volatility of 55% and a risk-free rate of 1.54%. In connect with these warrants issued during the year ended June 30, 2020, we recorded an expense of $ 2,758,000 representing the fair value of these warrants which is recorded in our consolidated statements of operations as a component of sales and marketing within operating expenses.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the warrant activity as of June 30, 2020:</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Remaining Life</w:t>
            </w:r>
          </w:p>
        </w:tc>
      </w:tr>
      <w:tr>
        <w:trPr>
          <w:trHeight w:val="187"/>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60" w:type="dxa"/>
            <w:vAlign w:val="bottom"/>
            <w:gridSpan w:val="2"/>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Warrants outstanding, June 30, 2019</w:t>
            </w: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1,608,370</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5.77</w:t>
            </w:r>
          </w:p>
        </w:tc>
        <w:tc>
          <w:tcPr>
            <w:tcW w:w="380" w:type="dxa"/>
            <w:vAlign w:val="bottom"/>
            <w:tcBorders>
              <w:top w:val="single" w:sz="8" w:color="auto"/>
            </w:tcBorders>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Issued</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3.80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w w:val="97"/>
              </w:rPr>
              <w:t>(1,300,825)</w:t>
            </w:r>
          </w:p>
        </w:tc>
        <w:tc>
          <w:tcPr>
            <w:tcW w:w="7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5.42</w:t>
            </w:r>
          </w:p>
        </w:tc>
        <w:tc>
          <w:tcPr>
            <w:tcW w:w="380" w:type="dxa"/>
            <w:vAlign w:val="bottom"/>
            <w:shd w:val="clear" w:color="auto" w:fill="CCEEFF"/>
          </w:tcPr>
          <w:p>
            <w:pPr>
              <w:spacing w:after="0"/>
              <w:rPr>
                <w:sz w:val="17"/>
                <w:szCs w:val="17"/>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80" w:type="dxa"/>
            <w:vAlign w:val="bottom"/>
          </w:tcPr>
          <w:p>
            <w:pPr>
              <w:spacing w:after="0"/>
              <w:rPr>
                <w:sz w:val="18"/>
                <w:szCs w:val="18"/>
                <w:color w:val="auto"/>
              </w:rPr>
            </w:pPr>
          </w:p>
        </w:tc>
      </w:tr>
      <w:tr>
        <w:trPr>
          <w:trHeight w:val="210"/>
        </w:trPr>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June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-170815</wp:posOffset>
            </wp:positionV>
            <wp:extent cx="52120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-702310</wp:posOffset>
            </wp:positionV>
            <wp:extent cx="13716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-702310</wp:posOffset>
            </wp:positionV>
            <wp:extent cx="365188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9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following table summarizes Information about warrants outstanding as of June 30, 2020:</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Remaining Life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95"/>
        </w:trPr>
        <w:tc>
          <w:tcPr>
            <w:tcW w:w="5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June 30, 2014</w:t>
            </w:r>
          </w:p>
        </w:tc>
        <w:tc>
          <w:tcPr>
            <w:tcW w:w="9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152,219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Year ended June 30, 2016</w:t>
            </w: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5"/>
              </w:rPr>
              <w:t>153,846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June 30, 2020</w:t>
            </w: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400,000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9.27</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5"/>
              </w:rPr>
              <w:t>706,065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-624840</wp:posOffset>
            </wp:positionV>
            <wp:extent cx="13716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-624840</wp:posOffset>
            </wp:positionV>
            <wp:extent cx="402018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Stock 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2012 Equity Incentive Plan</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Under our 2012 Equity Incentive Plan (the “Plan”), we may grant incentive and nonqualified stock options, restricted stock, and Restricted Stock Units (“RSUs”) to employees, officers, directors, and</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500"/>
        <w:spacing w:after="0" w:line="266" w:lineRule="auto"/>
        <w:rPr>
          <w:sz w:val="20"/>
          <w:szCs w:val="20"/>
          <w:color w:val="auto"/>
        </w:rPr>
      </w:pPr>
      <w:r>
        <w:rPr>
          <w:rFonts w:ascii="Times New Roman" w:cs="Times New Roman" w:eastAsia="Times New Roman" w:hAnsi="Times New Roman"/>
          <w:sz w:val="18"/>
          <w:szCs w:val="18"/>
          <w:color w:val="auto"/>
        </w:rPr>
        <w:t>consultants. The maximum number of shares of common stock which may be issued under the Plan is 70,609,793 shares. At June 30, 2019 and 2020, there were 3,649,298 and 4,904,531 shares available to be issued under the Plan,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left="1260" w:right="1340" w:firstLine="360"/>
        <w:spacing w:after="0" w:line="254" w:lineRule="auto"/>
        <w:rPr>
          <w:sz w:val="20"/>
          <w:szCs w:val="20"/>
          <w:color w:val="auto"/>
        </w:rPr>
      </w:pPr>
      <w:r>
        <w:rPr>
          <w:rFonts w:ascii="Times New Roman" w:cs="Times New Roman" w:eastAsia="Times New Roman" w:hAnsi="Times New Roman"/>
          <w:sz w:val="18"/>
          <w:szCs w:val="18"/>
          <w:color w:val="auto"/>
        </w:rPr>
        <w:t>Under the Plan, stock options may be granted at a price per share not less than 100% of the fair market value at the date of grant. If the option is granted to a stockholder who holds 10% of our common stock or more, then the exercise price per share shall not be less than 110% of the fair market value per share of common stock on the grant date. The minimum expiration period after termination is extended from three months to seven years for any employee who has been employed with the Company for at least</w:t>
      </w:r>
    </w:p>
    <w:p>
      <w:pPr>
        <w:spacing w:after="0" w:line="3" w:lineRule="exact"/>
        <w:rPr>
          <w:sz w:val="20"/>
          <w:szCs w:val="20"/>
          <w:color w:val="auto"/>
        </w:rPr>
      </w:pPr>
    </w:p>
    <w:p>
      <w:pPr>
        <w:ind w:left="1260" w:right="1360"/>
        <w:spacing w:after="0" w:line="253" w:lineRule="auto"/>
        <w:rPr>
          <w:sz w:val="20"/>
          <w:szCs w:val="20"/>
          <w:color w:val="auto"/>
        </w:rPr>
      </w:pPr>
      <w:r>
        <w:rPr>
          <w:rFonts w:ascii="Times New Roman" w:cs="Times New Roman" w:eastAsia="Times New Roman" w:hAnsi="Times New Roman"/>
          <w:sz w:val="18"/>
          <w:szCs w:val="18"/>
          <w:color w:val="auto"/>
        </w:rPr>
        <w:t>two years. Stock options granted expire at the earlier of three months following termination of employment or ten years from the date of grant. Stock options generally vest over a period of four years or with 25% vesting on the twelve-month anniversary of the employment commencement date, and the remaining on a pro-rata basis each month over the next three years.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summarized our stock option activity during the years ended June 30, 2020:</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2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Term (Years)</w:t>
            </w: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June 30, 2019</w:t>
            </w:r>
          </w:p>
        </w:tc>
        <w:tc>
          <w:tcPr>
            <w:tcW w:w="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43,596,828</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$4.70</w:t>
            </w: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center"/>
              <w:ind w:left="459"/>
              <w:spacing w:after="0" w:line="196" w:lineRule="exact"/>
              <w:rPr>
                <w:sz w:val="20"/>
                <w:szCs w:val="20"/>
                <w:color w:val="auto"/>
              </w:rPr>
            </w:pPr>
            <w:r>
              <w:rPr>
                <w:rFonts w:ascii="Times New Roman" w:cs="Times New Roman" w:eastAsia="Times New Roman" w:hAnsi="Times New Roman"/>
                <w:sz w:val="18"/>
                <w:szCs w:val="18"/>
                <w:color w:val="auto"/>
              </w:rPr>
              <w:t>8.45</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8,239,937</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8.80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3"/>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(800,492)</w:t>
            </w:r>
          </w:p>
        </w:tc>
        <w:tc>
          <w:tcPr>
            <w:tcW w:w="7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3.84</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(8,499,786)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42,536,487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5.17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54</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24,362,906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rPr>
              <w:t>6.72</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$100,716</w:t>
            </w:r>
          </w:p>
        </w:tc>
        <w:tc>
          <w:tcPr>
            <w:tcW w:w="0" w:type="dxa"/>
            <w:vAlign w:val="bottom"/>
          </w:tcPr>
          <w:p>
            <w:pPr>
              <w:spacing w:after="0"/>
              <w:rPr>
                <w:sz w:val="1"/>
                <w:szCs w:val="1"/>
                <w:color w:val="auto"/>
              </w:rPr>
            </w:pPr>
          </w:p>
        </w:tc>
      </w:tr>
      <w:tr>
        <w:trPr>
          <w:trHeight w:val="190"/>
        </w:trPr>
        <w:tc>
          <w:tcPr>
            <w:tcW w:w="3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Vested and exercisable, and expected to</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2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vest thereafter </w:t>
            </w:r>
            <w:r>
              <w:rPr>
                <w:rFonts w:ascii="Times New Roman" w:cs="Times New Roman" w:eastAsia="Times New Roman" w:hAnsi="Times New Roman"/>
                <w:sz w:val="26"/>
                <w:szCs w:val="26"/>
                <w:color w:val="auto"/>
                <w:vertAlign w:val="superscript"/>
              </w:rPr>
              <w:t>(1)</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38,597,807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rPr>
              <w:t>7.41</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$117,762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-856615</wp:posOffset>
            </wp:positionV>
            <wp:extent cx="52120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-1388110</wp:posOffset>
            </wp:positionV>
            <wp:extent cx="1371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-1388110</wp:posOffset>
            </wp:positionV>
            <wp:extent cx="13716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274320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Options expected to vest reflect the application of an estimated forfeiture rate.</w:t>
      </w:r>
    </w:p>
    <w:p>
      <w:pPr>
        <w:spacing w:after="0" w:line="144" w:lineRule="exact"/>
        <w:rPr>
          <w:sz w:val="20"/>
          <w:szCs w:val="20"/>
          <w:color w:val="auto"/>
        </w:rPr>
      </w:pPr>
    </w:p>
    <w:p>
      <w:pPr>
        <w:ind w:left="1260" w:right="1300" w:firstLine="360"/>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options granted for the years ended June 30, 2019 and 2020, was $4.66 and $3.26, respectively. The aggregate intrinsic value of options exercised was approximately $24.3 million and $3.1 million for the years ended June 30, 2019 and 2020, respectively. The total fair value of stock options vested during the years ended June 30, 2019 and 2020 was $26.0 million and $53.9 million, respectively.</w:t>
      </w:r>
    </w:p>
    <w:p>
      <w:pPr>
        <w:spacing w:after="0" w:line="116"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color w:val="auto"/>
        </w:rPr>
        <w:t>Stock-based compensation expense for all stock-based awards is based on the grant-date fair value on a straight-line basis over the requisite service period of the awards, which is generally the option vesting term of four years. The fair value of each option on the date of grant is determined using the Black Scholes-Merton option pricing model using the single-option award approach with the weighted-average assumptions set forth in the table below. Volatility is based on historical volatility rates obtained from certain public companies that operate in the same or related business as us since there is no market or historical data for our common stock. The risk-free interest rate is determined using a U.S. Treasury rate for the period that coincides with the expected term set forth. We used the simplified method to determine an estimate of the expected term of an employee share option.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20" w:type="dxa"/>
            <w:vAlign w:val="bottom"/>
            <w:gridSpan w:val="2"/>
          </w:tcPr>
          <w:p>
            <w:pPr>
              <w:jc w:val="center"/>
              <w:ind w:left="21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36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20" w:type="dxa"/>
            <w:vAlign w:val="bottom"/>
          </w:tcPr>
          <w:p>
            <w:pPr>
              <w:spacing w:after="0"/>
              <w:rPr>
                <w:sz w:val="16"/>
                <w:szCs w:val="16"/>
                <w:color w:val="auto"/>
              </w:rPr>
            </w:pPr>
          </w:p>
        </w:tc>
      </w:tr>
      <w:tr>
        <w:trPr>
          <w:trHeight w:val="24"/>
        </w:trPr>
        <w:tc>
          <w:tcPr>
            <w:tcW w:w="1620" w:type="dxa"/>
            <w:vAlign w:val="bottom"/>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20" w:type="dxa"/>
            <w:vAlign w:val="bottom"/>
            <w:gridSpan w:val="2"/>
            <w:shd w:val="clear" w:color="auto" w:fill="CCEEFF"/>
          </w:tcPr>
          <w:p>
            <w:pPr>
              <w:jc w:val="center"/>
              <w:ind w:left="2194"/>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45%</w:t>
            </w:r>
          </w:p>
        </w:tc>
        <w:tc>
          <w:tcPr>
            <w:tcW w:w="1620" w:type="dxa"/>
            <w:vAlign w:val="bottom"/>
          </w:tcPr>
          <w:p>
            <w:pPr>
              <w:spacing w:after="0"/>
              <w:rPr>
                <w:sz w:val="21"/>
                <w:szCs w:val="21"/>
                <w:color w:val="auto"/>
              </w:rPr>
            </w:pPr>
          </w:p>
        </w:tc>
      </w:tr>
      <w:tr>
        <w:trPr>
          <w:trHeight w:val="256"/>
        </w:trPr>
        <w:tc>
          <w:tcPr>
            <w:tcW w:w="43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Risk-free interest rate</w:t>
            </w:r>
          </w:p>
        </w:tc>
        <w:tc>
          <w:tcPr>
            <w:tcW w:w="3420" w:type="dxa"/>
            <w:vAlign w:val="bottom"/>
            <w:gridSpan w:val="2"/>
          </w:tcPr>
          <w:p>
            <w:pPr>
              <w:jc w:val="center"/>
              <w:ind w:left="2174"/>
              <w:spacing w:after="0"/>
              <w:rPr>
                <w:sz w:val="20"/>
                <w:szCs w:val="20"/>
                <w:color w:val="auto"/>
              </w:rPr>
            </w:pPr>
            <w:r>
              <w:rPr>
                <w:rFonts w:ascii="Times New Roman" w:cs="Times New Roman" w:eastAsia="Times New Roman" w:hAnsi="Times New Roman"/>
                <w:sz w:val="18"/>
                <w:szCs w:val="18"/>
                <w:color w:val="auto"/>
              </w:rPr>
              <w:t>1.91% – 3.07%</w:t>
            </w:r>
          </w:p>
        </w:tc>
        <w:tc>
          <w:tcPr>
            <w:tcW w:w="13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rPr>
              <w:t>0.28% – 1.76%</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420" w:type="dxa"/>
            <w:vAlign w:val="bottom"/>
            <w:gridSpan w:val="2"/>
            <w:shd w:val="clear" w:color="auto" w:fill="CCEEFF"/>
          </w:tcPr>
          <w:p>
            <w:pPr>
              <w:jc w:val="center"/>
              <w:ind w:left="2174"/>
              <w:spacing w:after="0"/>
              <w:rPr>
                <w:sz w:val="20"/>
                <w:szCs w:val="20"/>
                <w:color w:val="auto"/>
              </w:rPr>
            </w:pPr>
            <w:r>
              <w:rPr>
                <w:rFonts w:ascii="Times New Roman" w:cs="Times New Roman" w:eastAsia="Times New Roman" w:hAnsi="Times New Roman"/>
                <w:sz w:val="18"/>
                <w:szCs w:val="18"/>
                <w:color w:val="auto"/>
              </w:rPr>
              <w:t>6.00</w:t>
            </w:r>
          </w:p>
        </w:tc>
        <w:tc>
          <w:tcPr>
            <w:tcW w:w="136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5.87</w:t>
            </w:r>
          </w:p>
        </w:tc>
        <w:tc>
          <w:tcPr>
            <w:tcW w:w="1620" w:type="dxa"/>
            <w:vAlign w:val="bottom"/>
          </w:tcPr>
          <w:p>
            <w:pPr>
              <w:spacing w:after="0"/>
              <w:rPr>
                <w:sz w:val="22"/>
                <w:szCs w:val="22"/>
                <w:color w:val="auto"/>
              </w:rPr>
            </w:pPr>
          </w:p>
        </w:tc>
      </w:tr>
      <w:tr>
        <w:trPr>
          <w:trHeight w:val="283"/>
        </w:trPr>
        <w:tc>
          <w:tcPr>
            <w:tcW w:w="43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Expected dividend</w:t>
            </w:r>
          </w:p>
        </w:tc>
        <w:tc>
          <w:tcPr>
            <w:tcW w:w="22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spacing w:after="0"/>
              <w:rPr>
                <w:sz w:val="24"/>
                <w:szCs w:val="24"/>
                <w:color w:val="auto"/>
              </w:rPr>
            </w:pPr>
          </w:p>
        </w:tc>
      </w:tr>
      <w:tr>
        <w:trPr>
          <w:trHeight w:val="594"/>
        </w:trPr>
        <w:tc>
          <w:tcPr>
            <w:tcW w:w="1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F-38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-1319530</wp:posOffset>
            </wp:positionV>
            <wp:extent cx="402018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02018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54" w:name="page255"/>
    <w:bookmarkEnd w:id="25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At June 30, 2019 and 2020, unrecognized compensation expense related to unvested stock options was approximately $76.8 million and $85.4 million, respectively. The weighted-average period over which such compensation expense will be recognized was approximately 1.31 years and 1.14 years for the years ended June 30, 2019 and 2020, respectively.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 for Non-Employees</w:t>
      </w:r>
    </w:p>
    <w:p>
      <w:pPr>
        <w:spacing w:after="0" w:line="14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In accounting for stock options to non-employees, the fair value of services related to the options granted is recorded as an expense as these services are provided to the Company over the relevant service periods. The Company remeasures any non-vested, non-employee options to fair value at the end of each reporting period using the Black Scholes-Merton option pricing model.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During the year ended June 30, 2020 we awarded 8,776,631 RSUs to certain employees under the Plan. These RSUs were subject to two vesting conditions: a service-based vesting condition (i.e., employment over a period of time) and a performance-based vesting condition (i.e., a liquidity event in the form of either a change of control or an initial public offering, each as defined in the Plan). The service-based vesting condition is typically met over a four year period, either monthly or with 25% vesting on the twelve-month anniversary of the employment commencement date, and the remaining on a pro rata basis each month over the next three years. Employees are able to retain RSUs vested with respect to the service condition upon departure, and such RSUs remain subject to the performance-based vesting condition. As of June 30, 2020, we determined a liquidity event was not probable, and as such, no RSUs were vested or expected to vest. Any RSUs that have not vested will automatically terminate on the expiration date, which is defined by the Plan as seven years from the grant date.</w:t>
      </w: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year ended June 30, 2020:</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r>
      <w:tr>
        <w:trPr>
          <w:trHeight w:val="162"/>
        </w:trPr>
        <w:tc>
          <w:tcPr>
            <w:tcW w:w="54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11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90"/>
        </w:trPr>
        <w:tc>
          <w:tcPr>
            <w:tcW w:w="542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6"/>
                <w:szCs w:val="16"/>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23"/>
        </w:trPr>
        <w:tc>
          <w:tcPr>
            <w:tcW w:w="5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2019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8,776,631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7.97</w:t>
            </w:r>
          </w:p>
        </w:tc>
        <w:tc>
          <w:tcPr>
            <w:tcW w:w="360" w:type="dxa"/>
            <w:vAlign w:val="bottom"/>
          </w:tcPr>
          <w:p>
            <w:pPr>
              <w:spacing w:after="0"/>
              <w:rPr>
                <w:sz w:val="22"/>
                <w:szCs w:val="22"/>
                <w:color w:val="auto"/>
              </w:rPr>
            </w:pPr>
          </w:p>
        </w:tc>
      </w:tr>
      <w:tr>
        <w:trPr>
          <w:trHeight w:val="263"/>
        </w:trPr>
        <w:tc>
          <w:tcPr>
            <w:tcW w:w="5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(541,461)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8.25</w:t>
            </w:r>
          </w:p>
        </w:tc>
        <w:tc>
          <w:tcPr>
            <w:tcW w:w="360" w:type="dxa"/>
            <w:vAlign w:val="bottom"/>
            <w:shd w:val="clear" w:color="auto" w:fill="CCEEFF"/>
          </w:tcPr>
          <w:p>
            <w:pPr>
              <w:spacing w:after="0"/>
              <w:rPr>
                <w:sz w:val="22"/>
                <w:szCs w:val="22"/>
                <w:color w:val="auto"/>
              </w:rPr>
            </w:pPr>
          </w:p>
        </w:tc>
      </w:tr>
      <w:tr>
        <w:trPr>
          <w:trHeight w:val="20"/>
        </w:trPr>
        <w:tc>
          <w:tcPr>
            <w:tcW w:w="54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6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June 30,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8,235,170</w:t>
            </w:r>
          </w:p>
        </w:tc>
        <w:tc>
          <w:tcPr>
            <w:tcW w:w="120" w:type="dxa"/>
            <w:vAlign w:val="bottom"/>
          </w:tcPr>
          <w:p>
            <w:pPr>
              <w:spacing w:after="0"/>
              <w:rPr>
                <w:sz w:val="22"/>
                <w:szCs w:val="22"/>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7.95</w:t>
            </w:r>
          </w:p>
        </w:tc>
        <w:tc>
          <w:tcPr>
            <w:tcW w:w="360" w:type="dxa"/>
            <w:vAlign w:val="bottom"/>
          </w:tcPr>
          <w:p>
            <w:pPr>
              <w:spacing w:after="0"/>
              <w:rPr>
                <w:sz w:val="22"/>
                <w:szCs w:val="22"/>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03733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1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As of June 30, 2020, we had approximately $65.5 million of unrecognized compensation cost related to non-vested RSUs. The fair value of RSUs is equal to the fair market value of common stock on the grant date. To estimate unrecognized compensation costs, the grant date fair value of RSUs was used to measure expense on a straight-line basis over the requisite service periods of the awards.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 with Early Exercise Rights</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the Plan, we allow for early exercise of stock options while retaining the right to repurchase any unvested options upon termination at the original exercise price. The proceeds received from early exercise of stock options has been recorded within accrued expenses and other liabilities on the consolidated balance sheets. For the years ended June 30, 2019 and 2020 the early exercise liability totaled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for the years ended June 30, 2019 and 2020 (in thousands):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$22,647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r>
      <w:tr>
        <w:trPr>
          <w:trHeight w:val="25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w:t>
            </w:r>
          </w:p>
        </w:tc>
      </w:tr>
      <w:tr>
        <w:trPr>
          <w:trHeight w:val="26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4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5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40,871</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w:t>
            </w:r>
          </w:p>
        </w:tc>
      </w:tr>
      <w:tr>
        <w:trPr>
          <w:trHeight w:val="26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4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6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$43,753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7197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36308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18"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In August 2018 and December 2018, we facilitated a series of secondary and tender transactions of our common stock. Under the terms of the offer, a group of certain investors purchased an aggregate of 6,758,080 shares of common stock from certain eligible employees, non-employees, and directors for $10.21 per share for an aggregate purchase price of $69.0 million. We recognized stock-based compensation expense of $9.7 million in connection with the tender offer, which represented the difference between the purchase price and the fair value of common stock on the date of sale.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16" w:lineRule="exact"/>
        <w:rPr>
          <w:sz w:val="20"/>
          <w:szCs w:val="20"/>
          <w:color w:val="auto"/>
        </w:rPr>
      </w:pPr>
    </w:p>
    <w:p>
      <w:pPr>
        <w:ind w:left="1260" w:right="1459" w:firstLine="360"/>
        <w:spacing w:after="0" w:line="282" w:lineRule="auto"/>
        <w:rPr>
          <w:sz w:val="20"/>
          <w:szCs w:val="20"/>
          <w:color w:val="auto"/>
        </w:rPr>
      </w:pPr>
      <w:r>
        <w:rPr>
          <w:rFonts w:ascii="Times New Roman" w:cs="Times New Roman" w:eastAsia="Times New Roman" w:hAnsi="Times New Roman"/>
          <w:sz w:val="18"/>
          <w:szCs w:val="18"/>
          <w:color w:val="auto"/>
        </w:rPr>
        <w:t>The Company’s income tax expense for the years ended June 30, consists of the following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22"/>
                <w:szCs w:val="22"/>
                <w:color w:val="auto"/>
              </w:rPr>
            </w:pPr>
          </w:p>
        </w:tc>
      </w:tr>
      <w:tr>
        <w:trPr>
          <w:trHeight w:val="263"/>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22"/>
                <w:szCs w:val="22"/>
                <w:color w:val="auto"/>
              </w:rPr>
            </w:pPr>
          </w:p>
        </w:tc>
      </w:tr>
      <w:tr>
        <w:trPr>
          <w:trHeight w:val="264"/>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expense</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Pr>
          <w:p>
            <w:pPr>
              <w:spacing w:after="0"/>
              <w:rPr>
                <w:sz w:val="22"/>
                <w:szCs w:val="22"/>
                <w:color w:val="auto"/>
              </w:rPr>
            </w:pP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2"/>
                <w:szCs w:val="22"/>
                <w:color w:val="auto"/>
              </w:rPr>
            </w:pPr>
          </w:p>
        </w:tc>
      </w:tr>
      <w:tr>
        <w:trPr>
          <w:trHeight w:val="25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2"/>
                <w:szCs w:val="22"/>
                <w:color w:val="auto"/>
              </w:rPr>
            </w:pPr>
          </w:p>
        </w:tc>
      </w:tr>
      <w:tr>
        <w:trPr>
          <w:trHeight w:val="26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(445)</w:t>
            </w:r>
          </w:p>
        </w:tc>
        <w:tc>
          <w:tcPr>
            <w:tcW w:w="60" w:type="dxa"/>
            <w:vAlign w:val="bottom"/>
          </w:tcPr>
          <w:p>
            <w:pPr>
              <w:spacing w:after="0"/>
              <w:rPr>
                <w:sz w:val="22"/>
                <w:szCs w:val="22"/>
                <w:color w:val="auto"/>
              </w:rPr>
            </w:pPr>
          </w:p>
        </w:tc>
      </w:tr>
      <w:tr>
        <w:trPr>
          <w:trHeight w:val="26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expense</w:t>
            </w:r>
          </w:p>
        </w:tc>
        <w:tc>
          <w:tcPr>
            <w:tcW w:w="2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(411)</w:t>
            </w:r>
          </w:p>
        </w:tc>
      </w:tr>
      <w:tr>
        <w:trPr>
          <w:trHeight w:val="20"/>
        </w:trPr>
        <w:tc>
          <w:tcPr>
            <w:tcW w:w="6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tcPr>
          <w:p>
            <w:pPr>
              <w:spacing w:after="0"/>
              <w:rPr>
                <w:sz w:val="22"/>
                <w:szCs w:val="22"/>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7484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-1233805</wp:posOffset>
            </wp:positionV>
            <wp:extent cx="447484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-1902460</wp:posOffset>
            </wp:positionV>
            <wp:extent cx="44659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1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Income tax expense attributable to income from continuing operations was $0.4 million for the year ended June 30, 2020 and differed from the amount computed by applying the statutory U.S. federal income tax rate of 21% to pre-tax income from continuing operations. The significant differences for the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99"/>
        <w:spacing w:after="0" w:line="282" w:lineRule="auto"/>
        <w:rPr>
          <w:sz w:val="20"/>
          <w:szCs w:val="20"/>
          <w:color w:val="auto"/>
        </w:rPr>
      </w:pPr>
      <w:r>
        <w:rPr>
          <w:rFonts w:ascii="Times New Roman" w:cs="Times New Roman" w:eastAsia="Times New Roman" w:hAnsi="Times New Roman"/>
          <w:sz w:val="18"/>
          <w:szCs w:val="18"/>
          <w:color w:val="auto"/>
        </w:rPr>
        <w:t>ended June 30, 2019 and 2020, primarily relate to state taxes, non-deductible stock-based compensation, and change in the valuation allowance, as follows (in thousands):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r>
      <w:tr>
        <w:trPr>
          <w:trHeight w:val="23"/>
        </w:trPr>
        <w:tc>
          <w:tcPr>
            <w:tcW w:w="5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(120,419)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(112,222)</w:t>
            </w:r>
          </w:p>
        </w:tc>
        <w:tc>
          <w:tcPr>
            <w:tcW w:w="160" w:type="dxa"/>
            <w:vAlign w:val="bottom"/>
          </w:tcPr>
          <w:p>
            <w:pPr>
              <w:spacing w:after="0"/>
              <w:rPr>
                <w:sz w:val="21"/>
                <w:szCs w:val="21"/>
                <w:color w:val="auto"/>
              </w:rPr>
            </w:pP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Tax rates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(23,567)</w:t>
            </w:r>
          </w:p>
        </w:tc>
        <w:tc>
          <w:tcPr>
            <w:tcW w:w="160" w:type="dxa"/>
            <w:vAlign w:val="bottom"/>
          </w:tcPr>
          <w:p>
            <w:pPr>
              <w:spacing w:after="0"/>
              <w:rPr>
                <w:sz w:val="22"/>
                <w:szCs w:val="22"/>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 of federal tax benefit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(7,964)</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(11,783)</w:t>
            </w: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 and other permanent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Pr>
          <w:p>
            <w:pPr>
              <w:spacing w:after="0"/>
              <w:rPr>
                <w:sz w:val="22"/>
                <w:szCs w:val="22"/>
                <w:color w:val="auto"/>
              </w:rPr>
            </w:pP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derivative liability</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22"/>
                <w:szCs w:val="22"/>
                <w:color w:val="auto"/>
              </w:rPr>
            </w:pPr>
          </w:p>
        </w:tc>
      </w:tr>
      <w:tr>
        <w:trPr>
          <w:trHeight w:val="2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2"/>
                <w:szCs w:val="22"/>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expirations and forfeitures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22"/>
                <w:szCs w:val="22"/>
                <w:color w:val="auto"/>
              </w:rPr>
            </w:pPr>
          </w:p>
        </w:tc>
      </w:tr>
      <w:tr>
        <w:trPr>
          <w:trHeight w:val="2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tax rate</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r>
      <w:tr>
        <w:trPr>
          <w:trHeight w:val="277"/>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33,201</w:t>
            </w:r>
          </w:p>
        </w:tc>
        <w:tc>
          <w:tcPr>
            <w:tcW w:w="160" w:type="dxa"/>
            <w:vAlign w:val="bottom"/>
          </w:tcPr>
          <w:p>
            <w:pPr>
              <w:spacing w:after="0"/>
              <w:rPr>
                <w:sz w:val="24"/>
                <w:szCs w:val="24"/>
                <w:color w:val="auto"/>
              </w:rPr>
            </w:pPr>
          </w:p>
        </w:tc>
      </w:tr>
      <w:tr>
        <w:trPr>
          <w:trHeight w:val="27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spacing w:after="0"/>
              <w:rPr>
                <w:sz w:val="24"/>
                <w:szCs w:val="24"/>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-213995</wp:posOffset>
            </wp:positionV>
            <wp:extent cx="42773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-1876425</wp:posOffset>
            </wp:positionV>
            <wp:extent cx="426910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Components of deferred tax assets (liabilities) as of June 30 are as follows (in thousands):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82,077</w:t>
            </w:r>
          </w:p>
        </w:tc>
        <w:tc>
          <w:tcPr>
            <w:tcW w:w="60" w:type="dxa"/>
            <w:vAlign w:val="bottom"/>
          </w:tcPr>
          <w:p>
            <w:pPr>
              <w:spacing w:after="0"/>
              <w:rPr>
                <w:sz w:val="21"/>
                <w:szCs w:val="21"/>
                <w:color w:val="auto"/>
              </w:rPr>
            </w:pP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30,162</w:t>
            </w:r>
          </w:p>
        </w:tc>
        <w:tc>
          <w:tcPr>
            <w:tcW w:w="6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60" w:type="dxa"/>
            <w:vAlign w:val="bottom"/>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60" w:type="dxa"/>
            <w:vAlign w:val="bottom"/>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reserve</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Borrowing costs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Foregone interest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22"/>
                <w:szCs w:val="22"/>
                <w:color w:val="auto"/>
              </w:rPr>
            </w:pP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derivative liability</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0" w:type="dxa"/>
            <w:vAlign w:val="bottom"/>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 liability</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2"/>
                <w:szCs w:val="22"/>
                <w:color w:val="auto"/>
              </w:rPr>
            </w:pP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r>
      <w:tr>
        <w:trPr>
          <w:trHeight w:val="27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133,670</w:t>
            </w:r>
          </w:p>
        </w:tc>
        <w:tc>
          <w:tcPr>
            <w:tcW w:w="60" w:type="dxa"/>
            <w:vAlign w:val="bottom"/>
          </w:tcPr>
          <w:p>
            <w:pPr>
              <w:spacing w:after="0"/>
              <w:rPr>
                <w:sz w:val="24"/>
                <w:szCs w:val="24"/>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60" w:type="dxa"/>
            <w:vAlign w:val="bottom"/>
          </w:tcPr>
          <w:p>
            <w:pPr>
              <w:spacing w:after="0"/>
              <w:rPr>
                <w:sz w:val="23"/>
                <w:szCs w:val="23"/>
                <w:color w:val="auto"/>
              </w:rPr>
            </w:pP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3"/>
                <w:szCs w:val="23"/>
                <w:color w:val="auto"/>
              </w:rPr>
            </w:pP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Loan selling costs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discount</w:t>
            </w:r>
          </w:p>
        </w:tc>
        <w:tc>
          <w:tcPr>
            <w:tcW w:w="2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60" w:type="dxa"/>
            <w:vAlign w:val="bottom"/>
          </w:tcPr>
          <w:p>
            <w:pPr>
              <w:spacing w:after="0"/>
              <w:rPr>
                <w:sz w:val="23"/>
                <w:szCs w:val="23"/>
                <w:color w:val="auto"/>
              </w:rPr>
            </w:pP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Mark to market adjustment</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 premium</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24"/>
                <w:szCs w:val="24"/>
                <w:color w:val="auto"/>
              </w:rPr>
            </w:pP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(21,223)</w:t>
            </w:r>
          </w:p>
        </w:tc>
      </w:tr>
      <w:tr>
        <w:trPr>
          <w:trHeight w:val="27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(80,726)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(112,107)</w:t>
            </w:r>
          </w:p>
        </w:tc>
        <w:tc>
          <w:tcPr>
            <w:tcW w:w="60" w:type="dxa"/>
            <w:vAlign w:val="bottom"/>
          </w:tcPr>
          <w:p>
            <w:pPr>
              <w:spacing w:after="0"/>
              <w:rPr>
                <w:sz w:val="24"/>
                <w:szCs w:val="24"/>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 net of valuation allowance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-1790700</wp:posOffset>
            </wp:positionV>
            <wp:extent cx="427736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-4122420</wp:posOffset>
            </wp:positionV>
            <wp:extent cx="426910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0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assess the available positive and negative evidence to estimate whether sufficient future taxable income will be generated to permit the use of existing deferred tax assets. A significant piece of objective negative evidence evaluated was the cumulative loss incurred for the periods ended June 30, 2019 and 2020.</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7" w:name="page258"/>
    <w:bookmarkEnd w:id="25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54" w:lineRule="auto"/>
        <w:rPr>
          <w:sz w:val="20"/>
          <w:szCs w:val="20"/>
          <w:color w:val="auto"/>
        </w:rPr>
      </w:pPr>
      <w:r>
        <w:rPr>
          <w:rFonts w:ascii="Times New Roman" w:cs="Times New Roman" w:eastAsia="Times New Roman" w:hAnsi="Times New Roman"/>
          <w:sz w:val="18"/>
          <w:szCs w:val="18"/>
          <w:color w:val="auto"/>
        </w:rPr>
        <w:t>Such objective evidence limits the ability to consider other subjective evidence, such as our projections for future growth. On the basis of this evaluation, as of June 30, 2019 and 2020, a full valuation allowance has been recorded against our US federal and state gross deferred tax asset, net of future reversing deferred tax liabilities. The amount of the deferred tax assets considered realizable, however, could be adjusted if estimates of the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increased by approximately $30.2 million and $31.4 million for the years ended June 30, 2019 and 2020.</w:t>
      </w:r>
    </w:p>
    <w:p>
      <w:pPr>
        <w:spacing w:after="0" w:line="111" w:lineRule="exact"/>
        <w:rPr>
          <w:sz w:val="20"/>
          <w:szCs w:val="20"/>
          <w:color w:val="auto"/>
        </w:rPr>
      </w:pPr>
    </w:p>
    <w:p>
      <w:pPr>
        <w:jc w:val="both"/>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At June 30, 2019 and 2020, we had federal and state net operating loss carryforwards (“NOLs”) of approximately $199.2 million and $130.4 million, and $280.1 million and $292.6 million, respectively, expiring beginning in 2032.</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Of the above NOLs, approximately $1.0 million federal NOLs and $0.9 million state NOLs are from the acquisition of Sweep, Inc. These tax attributes are subject to annual utilization limitation under Internal Revenue Code Section 382.</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The future utilization of all net operating loss and tax credit carryforwards may be subject to an annual limitation, pursuant to Internal Revenue Code Sections 382 and 383, as a result of ownership changes that may have occurred previously or that could occur in the future. Due to the existence of the valuation allowance, future changes under Sections 382 and 383 will not impact our effective rate. In general, an “ownership change”, as defined by the Internal Revenue Code, results from a transaction or series of transactions over a three-year period resulting in an ownership change of more than 50 percentage points of value of the equity ownership of a company by certain shareholders or public groups. Any limitation may result in expiration of all or a portion of the NOL carryforwards before utilization.</w:t>
      </w:r>
    </w:p>
    <w:p>
      <w:pPr>
        <w:spacing w:after="0" w:line="111"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did not have any material unrecognized tax benefits for the years ended June 30, 2019 and 2020. We do not expect the total amount of unrecognized tax benefits to significantly increase or decrease in the next twelve months.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Times New Roman" w:cs="Times New Roman" w:eastAsia="Times New Roman" w:hAnsi="Times New Roman"/>
          <w:sz w:val="18"/>
          <w:szCs w:val="18"/>
          <w:color w:val="auto"/>
        </w:rPr>
        <w:t>We have elected to include interest and penalties as a component of tax expense. During the years ended June 30, 2019 and 2020, we did not recognize accrued interest and penalties related to unrecognized tax benefits. Although the timing and outcome of an income tax audit is highly uncertain, we do not anticipate that the amount of existing unrecognized tax benefits will significantly change during the next twelve months.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file U.S. and state income tax returns with varying statute of limitations. We also expect to file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Canadian tax returns due to the establishment of a Canadian subsidiary during the year ended June 30, 2020.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tax years remain open to examination due to the carryover of unused net operating losses.</w:t>
      </w:r>
    </w:p>
    <w:p>
      <w:pPr>
        <w:spacing w:after="0" w:line="126"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On March 27, 2020, the President signed into law the Coronavirus Aid, Relief, and Economic Security Act (H.R. 748) (the “Cares Act”). Among the changes to the U.S. federal income tax rules, the Cares Act, restores net operating loss carryback that were eliminated by 2017 tax reform and increases the limit on the deduction for net interest expense. Additionally, the Cares Act modified the treatment of Qualified Improvement Property (“QIP”) which, under the Tax Cuts and Jobs Act, were treated as 39-year property not eligible for bonus depreciation. The changes in the Cares Act, modified the tax life for QIP to 15-year tax life and allowed the application of bonus depreciation in the year the assets were placed in service. The change retroactively applies to the 2018 tax year. Based on the changes from the CARES Act, the impacts were not deemed to be material to our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Net Loss per Share Attributable to Common Stockholders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for the years ended June 30,</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2019 and 2020 (in thousands, except share and per share data):</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1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(120,455)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(112,598)</w:t>
            </w:r>
          </w:p>
        </w:tc>
      </w:tr>
      <w:tr>
        <w:trPr>
          <w:trHeight w:val="243"/>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return to preferred stockholders on repurchase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60" w:type="dxa"/>
            <w:vAlign w:val="bottom"/>
          </w:tcPr>
          <w:p>
            <w:pPr>
              <w:spacing w:after="0"/>
              <w:rPr>
                <w:sz w:val="21"/>
                <w:szCs w:val="21"/>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(134,568)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(125,803)</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47,345,328</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47,856,720</w:t>
            </w:r>
          </w:p>
        </w:tc>
        <w:tc>
          <w:tcPr>
            <w:tcW w:w="60" w:type="dxa"/>
            <w:vAlign w:val="bottom"/>
          </w:tcPr>
          <w:p>
            <w:pPr>
              <w:spacing w:after="0"/>
              <w:rPr>
                <w:sz w:val="21"/>
                <w:szCs w:val="21"/>
                <w:color w:val="auto"/>
              </w:rPr>
            </w:pPr>
          </w:p>
        </w:tc>
      </w:tr>
      <w:tr>
        <w:trPr>
          <w:trHeight w:val="205"/>
        </w:trPr>
        <w:tc>
          <w:tcPr>
            <w:tcW w:w="5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21"/>
                <w:szCs w:val="2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-325120</wp:posOffset>
            </wp:positionV>
            <wp:extent cx="41744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-762635</wp:posOffset>
            </wp:positionV>
            <wp:extent cx="41744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-1362710</wp:posOffset>
            </wp:positionV>
            <wp:extent cx="416623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91"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as of June 30, 2019 and 2020 were excluded from the calculation of diluted net loss per share attributable to common stockholders because their inclusion would have been anti-dilutive:</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122,653,704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122,115,971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including early exercised options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43,669,224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42,573,405</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8,235,170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2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7,182,478</w:t>
            </w: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1,608,370</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706,065</w:t>
            </w: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167,931,298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180,813,089</w:t>
            </w: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-899795</wp:posOffset>
            </wp:positionV>
            <wp:extent cx="41662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Unaudited Pro Forma Net Loss per Share Attributable to Common Stockholders</w:t>
      </w:r>
    </w:p>
    <w:p>
      <w:pPr>
        <w:spacing w:after="0" w:line="16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Unaudited pro forma basic and diluted net loss per share attributable to common stockholders for the year ended June 30, 2020 are calculated as follows (in thousands, except share and per share data):</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7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4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(125,803)</w:t>
            </w:r>
          </w:p>
        </w:tc>
      </w:tr>
      <w:tr>
        <w:trPr>
          <w:trHeight w:val="243"/>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return to preferred stockholders on repurchase</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60" w:type="dxa"/>
            <w:vAlign w:val="bottom"/>
          </w:tcPr>
          <w:p>
            <w:pPr>
              <w:spacing w:after="0"/>
              <w:rPr>
                <w:sz w:val="21"/>
                <w:szCs w:val="21"/>
                <w:color w:val="auto"/>
              </w:rPr>
            </w:pPr>
          </w:p>
        </w:tc>
      </w:tr>
      <w:tr>
        <w:trPr>
          <w:trHeight w:val="225"/>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for RSUs with vesting conditions contingent upon an</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IPO</w:t>
            </w: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(12,327)</w:t>
            </w:r>
          </w:p>
        </w:tc>
      </w:tr>
      <w:tr>
        <w:trPr>
          <w:trHeight w:val="26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 common</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47,856,720</w:t>
            </w:r>
          </w:p>
        </w:tc>
        <w:tc>
          <w:tcPr>
            <w:tcW w:w="60" w:type="dxa"/>
            <w:vAlign w:val="bottom"/>
          </w:tcPr>
          <w:p>
            <w:pPr>
              <w:spacing w:after="0"/>
              <w:rPr>
                <w:sz w:val="20"/>
                <w:szCs w:val="20"/>
                <w:color w:val="auto"/>
              </w:rPr>
            </w:pPr>
          </w:p>
        </w:tc>
      </w:tr>
      <w:tr>
        <w:trPr>
          <w:trHeight w:val="238"/>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automatic conversion of all outstanding shares of</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redeemable convertible preferred stock into shares of common stock</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122,662,520</w:t>
            </w:r>
          </w:p>
        </w:tc>
        <w:tc>
          <w:tcPr>
            <w:tcW w:w="60" w:type="dxa"/>
            <w:vAlign w:val="bottom"/>
          </w:tcPr>
          <w:p>
            <w:pPr>
              <w:spacing w:after="0"/>
              <w:rPr>
                <w:sz w:val="20"/>
                <w:szCs w:val="20"/>
                <w:color w:val="auto"/>
              </w:rPr>
            </w:pPr>
          </w:p>
        </w:tc>
      </w:tr>
      <w:tr>
        <w:trPr>
          <w:trHeight w:val="257"/>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conversion of convertible debt into shares of common stock</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765,006</w:t>
            </w:r>
          </w:p>
        </w:tc>
        <w:tc>
          <w:tcPr>
            <w:tcW w:w="60" w:type="dxa"/>
            <w:vAlign w:val="bottom"/>
          </w:tcPr>
          <w:p>
            <w:pPr>
              <w:spacing w:after="0"/>
              <w:rPr>
                <w:sz w:val="22"/>
                <w:szCs w:val="22"/>
                <w:color w:val="auto"/>
              </w:rPr>
            </w:pPr>
          </w:p>
        </w:tc>
      </w:tr>
      <w:tr>
        <w:trPr>
          <w:trHeight w:val="238"/>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vesting of RSUs with vesting conditions contingent upon an</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IPO</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459,638</w:t>
            </w:r>
          </w:p>
        </w:tc>
        <w:tc>
          <w:tcPr>
            <w:tcW w:w="60" w:type="dxa"/>
            <w:vAlign w:val="bottom"/>
          </w:tcPr>
          <w:p>
            <w:pPr>
              <w:spacing w:after="0"/>
              <w:rPr>
                <w:sz w:val="20"/>
                <w:szCs w:val="20"/>
                <w:color w:val="auto"/>
              </w:rPr>
            </w:pPr>
          </w:p>
        </w:tc>
      </w:tr>
      <w:tr>
        <w:trPr>
          <w:trHeight w:val="256"/>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exercise of common stock warrants contingent upon an IPO</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60" w:type="dxa"/>
            <w:vAlign w:val="bottom"/>
          </w:tcPr>
          <w:p>
            <w:pPr>
              <w:spacing w:after="0"/>
              <w:rPr>
                <w:sz w:val="22"/>
                <w:szCs w:val="22"/>
                <w:color w:val="auto"/>
              </w:rPr>
            </w:pPr>
          </w:p>
        </w:tc>
      </w:tr>
      <w:tr>
        <w:trPr>
          <w:trHeight w:val="232"/>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 average common shares used in pro forma net loss per share</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171,764,609</w:t>
            </w:r>
          </w:p>
        </w:tc>
        <w:tc>
          <w:tcPr>
            <w:tcW w:w="60" w:type="dxa"/>
            <w:vAlign w:val="bottom"/>
          </w:tcPr>
          <w:p>
            <w:pPr>
              <w:spacing w:after="0"/>
              <w:rPr>
                <w:sz w:val="20"/>
                <w:szCs w:val="20"/>
                <w:color w:val="auto"/>
              </w:rPr>
            </w:pPr>
          </w:p>
        </w:tc>
      </w:tr>
      <w:tr>
        <w:trPr>
          <w:trHeight w:val="277"/>
        </w:trPr>
        <w:tc>
          <w:tcPr>
            <w:tcW w:w="7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60" w:type="dxa"/>
            <w:vAlign w:val="bottom"/>
          </w:tcPr>
          <w:p>
            <w:pPr>
              <w:spacing w:after="0"/>
              <w:rPr>
                <w:sz w:val="24"/>
                <w:szCs w:val="24"/>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457771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-2082165</wp:posOffset>
            </wp:positionV>
            <wp:extent cx="457771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-2845435</wp:posOffset>
            </wp:positionV>
            <wp:extent cx="456882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9" w:name="page260"/>
    <w:bookmarkEnd w:id="25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hanging="358"/>
        <w:spacing w:after="0"/>
        <w:tabs>
          <w:tab w:leader="none" w:pos="16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 and Geographical Information</w:t>
      </w:r>
    </w:p>
    <w:p>
      <w:pPr>
        <w:spacing w:after="0" w:line="148" w:lineRule="exact"/>
        <w:rPr>
          <w:rFonts w:ascii="Times New Roman" w:cs="Times New Roman" w:eastAsia="Times New Roman" w:hAnsi="Times New Roman"/>
          <w:sz w:val="18"/>
          <w:szCs w:val="18"/>
          <w:b w:val="1"/>
          <w:bCs w:val="1"/>
          <w:color w:val="auto"/>
        </w:rPr>
      </w:pPr>
    </w:p>
    <w:p>
      <w:pPr>
        <w:ind w:left="1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conduct our operations through a single operating segment and, therefore, one reportable segment.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Revenue by geography is based on the billing addresses of the borrower or the location of the merchant’s national headquarters. The following table sets forth revenue by geographic area for the years ended June 30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$506,212</w:t>
            </w:r>
          </w:p>
        </w:tc>
      </w:tr>
      <w:tr>
        <w:trPr>
          <w:trHeight w:val="26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6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$264,367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$509,528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0339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long-lived assets, consisting of property, equipment and software, net, are all located in the United States for the years ended June 30, 2019 and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48"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through October 7, 2020, which is the date that these financial statements were available to be issued. There were no other significant subsequent events identified other than matters described below.</w:t>
      </w:r>
    </w:p>
    <w:p>
      <w:pPr>
        <w:spacing w:after="0" w:line="108" w:lineRule="exact"/>
        <w:rPr>
          <w:sz w:val="20"/>
          <w:szCs w:val="20"/>
          <w:color w:val="auto"/>
        </w:rPr>
      </w:pPr>
    </w:p>
    <w:p>
      <w:pPr>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On July 1, 2020, Affirm Asset Securitization Trust 2020-Z1, entered into a note purchase agreement with Barclays Capital Inc. to issue $150.0 million of fixed rate asset-backed notes with a maturity date of October 15, 2024. The notes bear interest at a rate of 3.46% per year. On July 8, 2020, we contributed $169.8 million of loan receivables to the securitization. We are required to retain 5% of the fair value of the transaction.</w:t>
      </w:r>
    </w:p>
    <w:p>
      <w:pPr>
        <w:spacing w:after="0" w:line="335"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On July 16, 2020, we entered into a customer installment program agreement with Shopify Inc. to offer its payment product on the SHOP App. As part of this agreement, we issued warrants for common stock up to an aggregate of 20,297,595 shares. These warrants vest in accordance with the terms of the agreement, which include an acceleration of vesting for the consummation of an initial public offering.</w:t>
      </w:r>
    </w:p>
    <w:p>
      <w:pPr>
        <w:spacing w:after="0" w:line="99"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On August 5, 2020, Affirm Asset Securitization Trust 2020-A, entered into a note purchase agreement with Barclays Capital Inc., Morgan Stanley &amp; Co. LLC, and Credit Suisse Securities USA LLC to issue $368.3 million of fixed rate asset-backed notes with a maturity date of February 18, 2025. The notes bear interest at rates ranging from 2.10% to 6.23% per year. On the same day, we contributed $404.6 million of loan receivables to the securitization. We are required to retain 5% of the fair value of the transaction.</w:t>
      </w:r>
    </w:p>
    <w:p>
      <w:pPr>
        <w:spacing w:after="0" w:line="116"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On September 11, 2020, we issued 21,824,141 shares of Class G redeemable convertible preferred stock for an aggregate purchase amount of $434.9 million. These shares have a liquidity preference of $434.9 million. As part of this equity financing round, the convertible notes issued in April 2020 converted into 4,444,321 shares of Class G-1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September 30, 2020</w:t>
            </w:r>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tcPr>
          <w:p>
            <w:pPr>
              <w:spacing w:after="0"/>
              <w:rPr>
                <w:sz w:val="17"/>
                <w:szCs w:val="17"/>
                <w:color w:val="auto"/>
              </w:rPr>
            </w:pPr>
          </w:p>
        </w:tc>
        <w:tc>
          <w:tcPr>
            <w:tcW w:w="2140" w:type="dxa"/>
            <w:vAlign w:val="bottom"/>
            <w:gridSpan w:val="3"/>
          </w:tcPr>
          <w:p>
            <w:pPr>
              <w:ind w:left="20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267,059</w:t>
            </w: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684,423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Restricted cash</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61,069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101,451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Loans held for sale</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4,459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4,085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Loans held for investment</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w w:val="97"/>
              </w:rPr>
              <w:t>1,034,312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w w:val="99"/>
              </w:rPr>
              <w:t>1,414,157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gridSpan w:val="2"/>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Loans held for investment, net</w:t>
            </w:r>
          </w:p>
        </w:tc>
        <w:tc>
          <w:tcPr>
            <w:tcW w:w="8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939,175</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97"/>
              </w:rPr>
              <w:t>1,289,884</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Accounts receivable, net</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59,001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49,026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Property, equipment and software, net</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48,140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49,562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72,118</w:t>
            </w:r>
          </w:p>
        </w:tc>
        <w:tc>
          <w:tcPr>
            <w:tcW w:w="180" w:type="dxa"/>
            <w:vAlign w:val="bottom"/>
          </w:tcPr>
          <w:p>
            <w:pPr>
              <w:spacing w:after="0"/>
              <w:rPr>
                <w:sz w:val="18"/>
                <w:szCs w:val="18"/>
                <w:color w:val="auto"/>
              </w:rPr>
            </w:pP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275,052</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1,402,251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2,250,549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2,453,483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4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7"/>
                <w:szCs w:val="17"/>
                <w:color w:val="auto"/>
              </w:rPr>
            </w:pPr>
          </w:p>
        </w:tc>
        <w:tc>
          <w:tcPr>
            <w:tcW w:w="2140" w:type="dxa"/>
            <w:vAlign w:val="bottom"/>
            <w:gridSpan w:val="3"/>
          </w:tcPr>
          <w:p>
            <w:pPr>
              <w:ind w:left="20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18,361</w:t>
            </w: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24,471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Payable to third-party loan owners</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24,998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21,205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Accrued interest payable</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2,132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27,810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25,877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Convertible debt</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74,222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Notes issued by securitization trusts</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498,921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Funding debt</w:t>
            </w: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817,926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698,892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bottom w:val="single" w:sz="8" w:color="CCEEFF"/>
            </w:tcBorders>
            <w:gridSpan w:val="2"/>
            <w:shd w:val="clear" w:color="auto" w:fill="CCEEFF"/>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965,177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1,271,498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24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$0.00001 par value, 124,453,009 and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151,573,897 shares authorized at June 30, 2020 and September 30, 2020;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122,115,971 and 148,384,433 issued and outstanding at June 30, 2020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2020, respectively; liquidation preference of $809,032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$1,319,181 at June 30, 2020 and September 30, 2020, respectively</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804,170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1,327,163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Stockholders’ deficit:</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287,000,000 shares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53,031,446 shares issued and outstanding, actual; no shares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no shares issued and outstanding, pro forma and pro forma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adjusted</w:t>
            </w:r>
          </w:p>
        </w:tc>
        <w:tc>
          <w:tcPr>
            <w:tcW w:w="2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40" w:type="dxa"/>
            <w:vAlign w:val="bottom"/>
            <w:gridSpan w:val="6"/>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$0.00001 per share: no shares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authorized, issued and outstanding, actual;</w:t>
            </w: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w:t>
            </w:r>
          </w:p>
        </w:tc>
        <w:tc>
          <w:tcPr>
            <w:tcW w:w="49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authorized,</w:t>
            </w:r>
          </w:p>
        </w:tc>
        <w:tc>
          <w:tcPr>
            <w:tcW w:w="29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 forma as adjusted</w:t>
            </w:r>
          </w:p>
        </w:tc>
        <w:tc>
          <w:tcPr>
            <w:tcW w:w="8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624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$0.00001 per share: no shares authorized,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actual;</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w:t>
            </w:r>
          </w:p>
        </w:tc>
        <w:tc>
          <w:tcPr>
            <w:tcW w:w="496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pro forma;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as adjusted</w:t>
            </w:r>
          </w:p>
        </w:tc>
        <w:tc>
          <w:tcPr>
            <w:tcW w:w="8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Additional paid in capital</w:t>
            </w:r>
          </w:p>
        </w:tc>
        <w:tc>
          <w:tcPr>
            <w:tcW w:w="8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80,373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114,226</w:t>
            </w:r>
          </w:p>
        </w:tc>
        <w:tc>
          <w:tcPr>
            <w:tcW w:w="180" w:type="dxa"/>
            <w:vAlign w:val="bottom"/>
          </w:tcPr>
          <w:p>
            <w:pPr>
              <w:spacing w:after="0"/>
              <w:rPr>
                <w:sz w:val="17"/>
                <w:szCs w:val="17"/>
                <w:color w:val="auto"/>
              </w:rPr>
            </w:pPr>
          </w:p>
        </w:tc>
        <w:tc>
          <w:tcPr>
            <w:tcW w:w="104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1,660,898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(447,167)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(462,442)</w:t>
            </w:r>
          </w:p>
        </w:tc>
        <w:tc>
          <w:tcPr>
            <w:tcW w:w="18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(479,019)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2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82"/>
        </w:trPr>
        <w:tc>
          <w:tcPr>
            <w:tcW w:w="3280" w:type="dxa"/>
            <w:vAlign w:val="bottom"/>
            <w:tcBorders>
              <w:top w:val="single" w:sz="8" w:color="CCEEFF"/>
              <w:bottom w:val="single" w:sz="8" w:color="CCEEFF"/>
            </w:tcBorders>
            <w:gridSpan w:val="2"/>
            <w:shd w:val="clear" w:color="auto" w:fill="CCEEFF"/>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stockholders’ (deficit) equity</w:t>
            </w: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(367,096)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(348,112)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1,181,985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2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1,402,251</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2,250,549</w:t>
            </w:r>
          </w:p>
        </w:tc>
        <w:tc>
          <w:tcPr>
            <w:tcW w:w="18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$2,453,483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-453390</wp:posOffset>
            </wp:positionV>
            <wp:extent cx="12001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-453390</wp:posOffset>
            </wp:positionV>
            <wp:extent cx="553783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-3693795</wp:posOffset>
            </wp:positionV>
            <wp:extent cx="61804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-4996815</wp:posOffset>
            </wp:positionV>
            <wp:extent cx="12001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-4996815</wp:posOffset>
            </wp:positionV>
            <wp:extent cx="553783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-5511165</wp:posOffset>
            </wp:positionV>
            <wp:extent cx="61804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-6282690</wp:posOffset>
            </wp:positionV>
            <wp:extent cx="12001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-6282690</wp:posOffset>
            </wp:positionV>
            <wp:extent cx="453453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3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bookmarkStart w:id="261" w:name="page262"/>
    <w:bookmarkEnd w:id="26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 (Unaudited)</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2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condensed consolidated balance sheets above. The assets in the table below may only be used to settle obligations of consolidated VIEs and are in excess of those obligations. Additionally, the assets and liabilities in the table below include third-party assets and liabilities of consolidated VIEs only and exclude intercompany balances that eliminate upon consolidation.</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 2020    September 30, 2020</w:t>
            </w:r>
          </w:p>
        </w:tc>
      </w:tr>
      <w:tr>
        <w:trPr>
          <w:trHeight w:val="23"/>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of consolidated VIEs, included in total assets above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5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200" w:type="dxa"/>
            <w:vAlign w:val="bottom"/>
          </w:tcPr>
          <w:p>
            <w:pPr>
              <w:spacing w:after="0"/>
              <w:rPr>
                <w:sz w:val="22"/>
                <w:szCs w:val="22"/>
                <w:color w:val="auto"/>
              </w:rPr>
            </w:pPr>
          </w:p>
        </w:tc>
      </w:tr>
      <w:tr>
        <w:trPr>
          <w:trHeight w:val="257"/>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935,085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1,307,809</w:t>
            </w:r>
          </w:p>
        </w:tc>
        <w:tc>
          <w:tcPr>
            <w:tcW w:w="200" w:type="dxa"/>
            <w:vAlign w:val="bottom"/>
            <w:shd w:val="clear" w:color="auto" w:fill="CCEEFF"/>
          </w:tcPr>
          <w:p>
            <w:pPr>
              <w:spacing w:after="0"/>
              <w:rPr>
                <w:sz w:val="22"/>
                <w:szCs w:val="22"/>
                <w:color w:val="auto"/>
              </w:rPr>
            </w:pPr>
          </w:p>
        </w:tc>
      </w:tr>
      <w:tr>
        <w:trPr>
          <w:trHeight w:val="26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(87,467)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(117,485)</w:t>
            </w:r>
          </w:p>
        </w:tc>
      </w:tr>
      <w:tr>
        <w:trPr>
          <w:trHeight w:val="257"/>
        </w:trPr>
        <w:tc>
          <w:tcPr>
            <w:tcW w:w="5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847,618</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1,190,324</w:t>
            </w:r>
          </w:p>
        </w:tc>
        <w:tc>
          <w:tcPr>
            <w:tcW w:w="200" w:type="dxa"/>
            <w:vAlign w:val="bottom"/>
            <w:tcBorders>
              <w:top w:val="single" w:sz="8" w:color="CCEEFF"/>
            </w:tcBorders>
            <w:shd w:val="clear" w:color="auto" w:fill="CCEEFF"/>
          </w:tcPr>
          <w:p>
            <w:pPr>
              <w:spacing w:after="0"/>
              <w:rPr>
                <w:sz w:val="22"/>
                <w:szCs w:val="22"/>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200" w:type="dxa"/>
            <w:vAlign w:val="bottom"/>
          </w:tcPr>
          <w:p>
            <w:pPr>
              <w:spacing w:after="0"/>
              <w:rPr>
                <w:sz w:val="22"/>
                <w:szCs w:val="22"/>
                <w:color w:val="auto"/>
              </w:rPr>
            </w:pPr>
          </w:p>
        </w:tc>
      </w:tr>
      <w:tr>
        <w:trPr>
          <w:trHeight w:val="263"/>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30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of consolidated VIEs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887,897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1,256,728</w:t>
            </w:r>
          </w:p>
        </w:tc>
        <w:tc>
          <w:tcPr>
            <w:tcW w:w="200" w:type="dxa"/>
            <w:vAlign w:val="bottom"/>
          </w:tcPr>
          <w:p>
            <w:pPr>
              <w:spacing w:after="0"/>
              <w:rPr>
                <w:sz w:val="24"/>
                <w:szCs w:val="24"/>
                <w:color w:val="auto"/>
              </w:rPr>
            </w:pPr>
          </w:p>
        </w:tc>
      </w:tr>
      <w:tr>
        <w:trPr>
          <w:trHeight w:val="203"/>
        </w:trPr>
        <w:tc>
          <w:tcPr>
            <w:tcW w:w="57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of consolidated VIEs, included in total liabilities above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2"/>
                <w:szCs w:val="22"/>
                <w:color w:val="auto"/>
              </w:rPr>
            </w:pPr>
          </w:p>
        </w:tc>
      </w:tr>
      <w:tr>
        <w:trPr>
          <w:trHeight w:val="25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shd w:val="clear" w:color="auto" w:fill="CCEEFF"/>
          </w:tcPr>
          <w:p>
            <w:pPr>
              <w:spacing w:after="0"/>
              <w:rPr>
                <w:sz w:val="22"/>
                <w:szCs w:val="22"/>
                <w:color w:val="auto"/>
              </w:rPr>
            </w:pPr>
          </w:p>
        </w:tc>
      </w:tr>
      <w:tr>
        <w:trPr>
          <w:trHeight w:val="27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23"/>
                <w:szCs w:val="23"/>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498,921</w:t>
            </w:r>
          </w:p>
        </w:tc>
        <w:tc>
          <w:tcPr>
            <w:tcW w:w="200" w:type="dxa"/>
            <w:vAlign w:val="bottom"/>
            <w:shd w:val="clear" w:color="auto" w:fill="CCEEFF"/>
          </w:tcPr>
          <w:p>
            <w:pPr>
              <w:spacing w:after="0"/>
              <w:rPr>
                <w:sz w:val="23"/>
                <w:szCs w:val="23"/>
                <w:color w:val="auto"/>
              </w:rPr>
            </w:pPr>
          </w:p>
        </w:tc>
      </w:tr>
      <w:tr>
        <w:trPr>
          <w:trHeight w:val="277"/>
        </w:trPr>
        <w:tc>
          <w:tcPr>
            <w:tcW w:w="5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Funding debt</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817,926</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698,892</w:t>
            </w:r>
          </w:p>
        </w:tc>
        <w:tc>
          <w:tcPr>
            <w:tcW w:w="200" w:type="dxa"/>
            <w:vAlign w:val="bottom"/>
            <w:tcBorders>
              <w:bottom w:val="single" w:sz="8" w:color="CCEEFF"/>
            </w:tcBorders>
          </w:tcPr>
          <w:p>
            <w:pPr>
              <w:spacing w:after="0"/>
              <w:rPr>
                <w:sz w:val="24"/>
                <w:szCs w:val="2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of consolidated VIEs</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820,715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1,200,395</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7"/>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56,333</w:t>
            </w:r>
          </w:p>
        </w:tc>
        <w:tc>
          <w:tcPr>
            <w:tcW w:w="200" w:type="dxa"/>
            <w:vAlign w:val="bottom"/>
          </w:tcPr>
          <w:p>
            <w:pPr>
              <w:spacing w:after="0"/>
              <w:rPr>
                <w:sz w:val="24"/>
                <w:szCs w:val="24"/>
                <w:color w:val="auto"/>
              </w:rPr>
            </w:pP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-402590</wp:posOffset>
            </wp:positionV>
            <wp:extent cx="52120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-2099945</wp:posOffset>
            </wp:positionV>
            <wp:extent cx="52120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-2767965</wp:posOffset>
            </wp:positionV>
            <wp:extent cx="444881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7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13335</wp:posOffset>
            </wp:positionV>
            <wp:extent cx="129413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6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network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sales of loans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Servicing income</w:t>
            </w: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loan purchase commitment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Funding costs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Processing and servicing</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120,919</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6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Other Comprehensive Loss</w:t>
            </w: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48,403,021</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64,778,024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48,403,021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68,256,189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attributable to common stockholders (unaudited)</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common shares outstanding (unaudited):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206,495,264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209,973,429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-2399665</wp:posOffset>
            </wp:positionV>
            <wp:extent cx="457771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-3128010</wp:posOffset>
            </wp:positionV>
            <wp:extent cx="457771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-3470910</wp:posOffset>
            </wp:positionV>
            <wp:extent cx="457771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-3813810</wp:posOffset>
            </wp:positionV>
            <wp:extent cx="457771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-5417185</wp:posOffset>
            </wp:positionV>
            <wp:extent cx="457771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-6316980</wp:posOffset>
            </wp:positionV>
            <wp:extent cx="456882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REDEEMABLE CONVERTIBLE PREFERRED</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STOCK AND STOCKHOLDERS’ DEFICIT (Unaudited)</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4"/>
                <w:szCs w:val="14"/>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7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2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80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3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10"/>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Paid-In   Accumulated   Comprehensive</w:t>
            </w:r>
          </w:p>
        </w:tc>
        <w:tc>
          <w:tcPr>
            <w:tcW w:w="840" w:type="dxa"/>
            <w:vAlign w:val="bottom"/>
            <w:gridSpan w:val="4"/>
            <w:vMerge w:val="restart"/>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10"/>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0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3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7"/>
                <w:szCs w:val="17"/>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2019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122,653,704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798,074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47,078,208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54,824</w:t>
            </w: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$(318,238)</w:t>
            </w: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$(263,414)</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213,770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(63,719)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redeemable convertible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preferred stock, net of issuance costs</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1,175,872</w:t>
            </w:r>
          </w:p>
        </w:tc>
        <w:tc>
          <w:tcPr>
            <w:tcW w:w="100" w:type="dxa"/>
            <w:vAlign w:val="bottom"/>
          </w:tcPr>
          <w:p>
            <w:pPr>
              <w:spacing w:after="0"/>
              <w:rPr>
                <w:sz w:val="14"/>
                <w:szCs w:val="14"/>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15,484</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 $20</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9,323</w:t>
            </w:r>
          </w:p>
        </w:tc>
        <w:tc>
          <w:tcPr>
            <w:tcW w:w="14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(30,795)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(30,795)</w:t>
            </w:r>
          </w:p>
        </w:tc>
        <w:tc>
          <w:tcPr>
            <w:tcW w:w="0" w:type="dxa"/>
            <w:vAlign w:val="bottom"/>
          </w:tcPr>
          <w:p>
            <w:pPr>
              <w:spacing w:after="0"/>
              <w:rPr>
                <w:sz w:val="1"/>
                <w:szCs w:val="1"/>
                <w:color w:val="auto"/>
              </w:rPr>
            </w:pPr>
          </w:p>
        </w:tc>
      </w:tr>
      <w:tr>
        <w:trPr>
          <w:trHeight w:val="23"/>
        </w:trPr>
        <w:tc>
          <w:tcPr>
            <w:tcW w:w="280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123,829,576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813,558</w:t>
            </w:r>
          </w:p>
        </w:tc>
        <w:tc>
          <w:tcPr>
            <w:tcW w:w="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47,228,259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64,890</w:t>
            </w: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$(349,898)</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$(284,983)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2020</w:t>
            </w: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800" w:type="dxa"/>
            <w:vAlign w:val="bottom"/>
            <w:tcBorders>
              <w:right w:val="single" w:sz="8" w:color="CCEEFF"/>
            </w:tcBorders>
            <w:vMerge w:val="continue"/>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122,115,971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804,170</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47,684,427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80,373</w:t>
            </w:r>
          </w:p>
        </w:tc>
        <w:tc>
          <w:tcPr>
            <w:tcW w:w="140" w:type="dxa"/>
            <w:vAlign w:val="bottom"/>
            <w:tcBorders>
              <w:right w:val="single" w:sz="8" w:color="CCEEFF"/>
            </w:tcBorders>
            <w:shd w:val="clear" w:color="auto" w:fill="CCEEFF"/>
          </w:tcPr>
          <w:p>
            <w:pPr>
              <w:spacing w:after="0"/>
              <w:rPr>
                <w:sz w:val="24"/>
                <w:szCs w:val="2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$(447,167)</w:t>
            </w: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7"/>
              </w:rPr>
              <w:t>(302)</w:t>
            </w:r>
          </w:p>
        </w:tc>
        <w:tc>
          <w:tcPr>
            <w:tcW w:w="8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$(367,096)</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388,246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Vesting and exercise of warrants for</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5,074,398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67,645</w:t>
            </w:r>
          </w:p>
        </w:tc>
        <w:tc>
          <w:tcPr>
            <w:tcW w:w="140" w:type="dxa"/>
            <w:vAlign w:val="bottom"/>
          </w:tcPr>
          <w:p>
            <w:pPr>
              <w:spacing w:after="0"/>
              <w:rPr>
                <w:sz w:val="17"/>
                <w:szCs w:val="17"/>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67,645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redeemable convertible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0" w:type="dxa"/>
            <w:vAlign w:val="bottom"/>
            <w:tcBorders>
              <w:right w:val="single" w:sz="8" w:color="CCEEFF"/>
            </w:tcBorders>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preferred stock, net of issuance costs</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21,824,141</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434,434</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$440</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 debt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4,444,321</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88,559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(42,124)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(42,124)</w:t>
            </w:r>
          </w:p>
        </w:tc>
        <w:tc>
          <w:tcPr>
            <w:tcW w:w="0" w:type="dxa"/>
            <w:vAlign w:val="bottom"/>
          </w:tcPr>
          <w:p>
            <w:pPr>
              <w:spacing w:after="0"/>
              <w:rPr>
                <w:sz w:val="1"/>
                <w:szCs w:val="1"/>
                <w:color w:val="auto"/>
              </w:rPr>
            </w:pPr>
          </w:p>
        </w:tc>
      </w:tr>
      <w:tr>
        <w:trPr>
          <w:trHeight w:val="243"/>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7,175</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(15,275)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3"/>
        </w:trPr>
        <w:tc>
          <w:tcPr>
            <w:tcW w:w="280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148,384,433</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1,327,163</w:t>
            </w:r>
          </w:p>
        </w:tc>
        <w:tc>
          <w:tcPr>
            <w:tcW w:w="8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53,031,446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114,226</w:t>
            </w:r>
          </w:p>
        </w:tc>
        <w:tc>
          <w:tcPr>
            <w:tcW w:w="14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(462,442)</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3"/>
                <w:szCs w:val="23"/>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(348,112)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-3411220</wp:posOffset>
            </wp:positionV>
            <wp:extent cx="5143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-3411220</wp:posOffset>
            </wp:positionV>
            <wp:extent cx="5143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-3411220</wp:posOffset>
            </wp:positionV>
            <wp:extent cx="234886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-3411220</wp:posOffset>
            </wp:positionV>
            <wp:extent cx="5143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-3411220</wp:posOffset>
            </wp:positionV>
            <wp:extent cx="5143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-3411220</wp:posOffset>
            </wp:positionV>
            <wp:extent cx="5143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-3411220</wp:posOffset>
            </wp:positionV>
            <wp:extent cx="5143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bookmarkStart w:id="264" w:name="page265"/>
    <w:bookmarkEnd w:id="26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w:t>
      </w:r>
    </w:p>
    <w:p>
      <w:pPr>
        <w:spacing w:after="0" w:line="25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5080</wp:posOffset>
            </wp:positionV>
            <wp:extent cx="99441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8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(30,795)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(15,275)</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24,844</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40,267</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premiums and discounts on loans</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(6,303)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sales of loans</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(5,725)</w:t>
            </w: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(16,434)</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fair value of servicing assets and liabilities</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fair value of convertible debt derivative</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(30,106)</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commercial agreement asset</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8,426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189"/>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 expense</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loans held for sale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(343,488)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the sale of loans held for sale</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333,156</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338,926</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(1,983)</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10,175</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3,140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(18,529)</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loans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(558,305)</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(1,177,769)</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sale of loans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58,082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of loans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437,642</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749,128</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Additions to property, equipment and software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(67,992)</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(357,761)</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funding debt</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410,534</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773,938</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of funding debt</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(363,226)</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(890,556)</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by securitization trusts</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of notes issued by securitization trusts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(14,777)</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redeemable convertible preferred stock, net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15,484</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62,670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817,811</w:t>
            </w: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(23,851)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357,771</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328,128</w:t>
            </w:r>
          </w:p>
        </w:tc>
        <w:tc>
          <w:tcPr>
            <w:tcW w:w="0" w:type="dxa"/>
            <w:vAlign w:val="bottom"/>
          </w:tcPr>
          <w:p>
            <w:pPr>
              <w:spacing w:after="0"/>
              <w:rPr>
                <w:sz w:val="1"/>
                <w:szCs w:val="1"/>
                <w:color w:val="auto"/>
              </w:rPr>
            </w:pPr>
          </w:p>
        </w:tc>
      </w:tr>
      <w:tr>
        <w:trPr>
          <w:trHeight w:val="20"/>
        </w:trPr>
        <w:tc>
          <w:tcPr>
            <w:tcW w:w="8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333,920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6,595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property, equipment and software included in accrued expenses</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8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warrants in exchange for commercial agreement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convertible debt</w:t>
            </w: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-1073150</wp:posOffset>
            </wp:positionV>
            <wp:extent cx="572643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72643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-1338580</wp:posOffset>
            </wp:positionV>
            <wp:extent cx="572643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-2641600</wp:posOffset>
            </wp:positionV>
            <wp:extent cx="572643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-3430270</wp:posOffset>
            </wp:positionV>
            <wp:extent cx="572643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-6422390</wp:posOffset>
            </wp:positionV>
            <wp:extent cx="571754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35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114" w:right="1299" w:bottom="1440" w:gutter="0" w:footer="0" w:header="0"/>
        </w:sectPr>
      </w:pPr>
    </w:p>
    <w:bookmarkStart w:id="265" w:name="page266"/>
    <w:bookmarkEnd w:id="26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148"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technology-driven payments network and partnership with an originating bank, Affirm enables consumers to confidently pay for a purchase over time, with terms ranging from one to forty-eight months. When a consumer applies for a loan through our platform, the loan is underwritten using our proprietary risk model. Once approved and the consumer selects their preferred repayment option, the majority of loans are funded and issued by our originating bank partner.</w:t>
      </w:r>
    </w:p>
    <w:p>
      <w:pPr>
        <w:spacing w:after="0" w:line="12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of America (“GAAP”), as contained in the Financial Accounting Standards Board (“FASB”) Accounting Standards Codification (“ASC”) and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year ended June 30, 2020. The balance sheet at June 30, 2020 has been derived from the audited financial statements at that date. Management believes these unaudited interim condensed consolidated financial statements reflect all adjustments, consisting of a normal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1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Delaware business trust entities established to enter into warehouse credit agreements with certain lenders for funding debt facilities and asset-backed securitization transactions.</w:t>
      </w:r>
    </w:p>
    <w:p>
      <w:pPr>
        <w:spacing w:after="0" w:line="117"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A variable interest entity (VIE) is a legal entity that has a total equity investment that is insufficient to finance its activities without additional subordinated financial support or whose equity investors lack the characteristics of a controlling financial interest. Our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 We consolidate a VIE when we are deemed to be the primary beneficiary. We assess whether or not we are the primary beneficiary of a VIE on an ongoing basis.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Presentation</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2020 is prepared as if our proposed IPO had occurred on September 30, 2020 after giving effect to: (i) 26,515,723 shares of our Class A common stock and 26,515,723 shares of our Class B common stock to be issued upon the reclassification of the 53,031,446 shares of our common stock outstanding as of September 30, 2020, as if</w:t>
      </w: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5" w:lineRule="auto"/>
        <w:rPr>
          <w:sz w:val="20"/>
          <w:szCs w:val="20"/>
          <w:color w:val="auto"/>
        </w:rPr>
      </w:pPr>
      <w:r>
        <w:rPr>
          <w:rFonts w:ascii="Times New Roman" w:cs="Times New Roman" w:eastAsia="Times New Roman" w:hAnsi="Times New Roman"/>
          <w:sz w:val="18"/>
          <w:szCs w:val="18"/>
          <w:color w:val="auto"/>
        </w:rPr>
        <w:t>such reclassification had occurred on September 30, 2020; (ii) the automatic conversion and reclassification of all our outstanding shares of redeemable convertible preferred stock into 74,192,216 shares of Class A common stock and 74,192,216 shares of Class B common stock; (iii) the issuance of 13,055,968 shares of Class B common stock to Mr. Levchin and 2012 MRL Investments LLC , an entity affiliated with</w:t>
      </w:r>
    </w:p>
    <w:p>
      <w:pPr>
        <w:spacing w:after="0" w:line="3"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Mr. Levchin, upon exchange of 13,055,968 shares of our Class A common stock held by Mr. Levchin and entities affiliated with Mr. Levchin; (iv) the vesting of 1,457,826 RSUs with vesting conditions contingent upon the closing of the proposed IPO, resulting in the recognition of additional stock-based compensation expense of $4.3 million; (v) the automatic net exercise of 50,000 vested common stock warrants; and (vi) the vesting and exercise of 15,223,197 common stock warrants. The conversion of our redeemable convertible preferred stock is based on a conversion ratio of 1:1 which is determined by dividing the original issue price for the specific series of redeemable convertible preferred shares by the conversion price for that series of redeemable convertible preferred shares. The vesting and exercise of the 15,223,197 common stock warrants results in the recognition of an asset of $202.9 million associated with the fair value of these warrants which vest upon an IPO. This asset represents the probable future economic benefit to be realized over the four-year expected benefit period and is valued based on the fair value of the warrants on the grant date. This asset is recognized within other assets on the unaudited pro forma condensed consolidated balance sheet.</w:t>
      </w:r>
    </w:p>
    <w:p>
      <w:pPr>
        <w:spacing w:after="0" w:line="327"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in our condensed consolidated statements of operations for the three months ended September 30, 2020 are computed as if the IPO had occurred on the later of July 1, 2020 and the date the equity instruments were issued or vested. The weighted average common shares used in the unaudited pro forma basic and diluted net loss per share attributable to common stockholders is calculated after giving effect to: (i) 26,515,723 shares of our Class A common stock and 26,515,723 shares of our Class B common stock to be issued upon the reclassification of the 53,031,446 shares of our common stock outstanding as of September 30, 2020, as if such reclassification had occurred on September 30, 2020; (ii) the automatic conversion and reclassification of all our outstanding shares of redeemable convertible preferred stock into 74,192,216 shares of Class A common stock and 74,192,216 shares of Class B common stock; (iii) the issuance of 13,055,968 shares of Class B common stock to Mr. Levchin and entities affiliated with Mr. Levchin upon exchange of 13,055,968 shares of our Class A common stock held by Mr. Levchin and 2012 MRL Investments LLC, an entity affiliated with Mr. Levchin; (iv) the vesting of 1,457,826 RSUs with vesting conditions contingent upon the closing of the proposed IPO; (v) the required net exercise of 50,000 vested common stock warrants; and (vi) the vesting and exercise of 15,223,197 common stock warrants. The conversion of our redeemable convertible preferred stock is based on a conversion ratio of 1:1 which is determined by dividing the original issue price for the specific series of redeemable convertible preferred shares by the conversion price for that series of redeemable convertible preferred shares. The vesting of our RSUs with vesting conditions contingent upon the closing of the proposed IPO results in the recognition of additional stock-based compensation expense of $4.3 million.</w:t>
      </w:r>
    </w:p>
    <w:p>
      <w:pPr>
        <w:spacing w:after="0" w:line="33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shares of common stock expected to be issued and the proceeds expected to be received in our proposed IPO are excluded from the pro forma condensed consolidated balance sheet and the pro forma loss per share attributable to common stockholders, basic and diluted.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the use of estimates, judgments and assumptions that affect the reported amounts in the condensed consolidated financial statements and the accompanying notes. Material estimates that are particularly susceptible to significant change relate to determination of the allowance for credit losses, capitalized software development costs, valuation allowance for deferred tax assets, convertible debt derivatives, and loss on loan purchase commitment.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327"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condensed consolidated financial statement; therefore, actual results could differ materially from those estimates.</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7" w:name="page268"/>
    <w:bookmarkEnd w:id="26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Merchant Network Revenue — Revenue from Contracts with Customers</w:t>
      </w:r>
    </w:p>
    <w:p>
      <w:pPr>
        <w:spacing w:after="0" w:line="146"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Merchant Network Revenue consists of merchant fees. Merchant partners are charged a fee on each transaction processed through the Affirm platform. The fees range depending on the individual arrangement between us and each merchant and vary based on the terms of the product offering. The fee is recognized at the point in time the terms of the executed merchant agreement have been fulfilled and the merchant successfully confirms the transaction.</w:t>
      </w:r>
    </w:p>
    <w:p>
      <w:pPr>
        <w:spacing w:after="0" w:line="116"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based on a number of factors including the end consumer’s credit risk and term of end consumer financing. We do not have any capitalized contract costs, and do not carry any material contract balances.</w:t>
      </w:r>
    </w:p>
    <w:p>
      <w:pPr>
        <w:spacing w:after="0" w:line="336"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Our service comprises a single performance obligation to merchants to facilitate transactions with consumers. From time to time, we offer merchant partners promotional incentives to offer our products to their customers, such as fee reductions or rebates. These amounts, as well as refunds, are recorded as a reduction of revenue and netted against merchant network revenue.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Virtual Card Network Revenue — Revenue from Contracts with Customers</w:t>
      </w:r>
    </w:p>
    <w:p>
      <w:pPr>
        <w:spacing w:after="0" w:line="146"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We have agreements with issuer processors to facilitate transactions through the issuance of virtual debit cards to be used by consumers at checkout. Consumers can apply through the Affirm app and, upon approval, receive a single-use virtual debit card to be used for their purchase online or offline at a non-integrated merchant. The merchants are charged interchange fees for virtual debit card transactions by the issuer processors, as with all debit card purchases, and the issuer processor shares a portion of this revenue with us.</w:t>
      </w:r>
    </w:p>
    <w:p>
      <w:pPr>
        <w:spacing w:after="0" w:line="336"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contracts with issuer processors are defined at the transaction level and do not extend beyond the service already provided. The fees collected from issuer processors for each transaction are determined as a percentage of the loan volume transacted on the payment processor network and net interchange income and revenue is recognized at the point in time the transaction is completed successfully. The fees collected are presented in revenue net of associated processing fees. As the issuer processors do not provide distinct services to us, any fees paid to the issuer processors are offset against collected fees. We have concluded that these fees do not give rise to a future material right because the pricing of each transaction does not depend on the volume of prior successful transactions. We do not have any capitalized contract costs, and do not carry any material contract balances.</w:t>
      </w:r>
    </w:p>
    <w:p>
      <w:pPr>
        <w:spacing w:after="0" w:line="12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Our service comprises a single performance obligation to the issuer processors to facilitate transactions with consumers.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accrue interest income under the effective interest rate method. Interest income on a loan is accrued daily, based on the finance charge disclosed to the consumer, over the term of the loan based upon the principal outstanding. The accrual of interest on a loan is suspended if a formal dispute involving either us or the merchant of record is opened, or a loan is 120 days past due. Upon the resolution of a dispute against the borrower, the accrual of interest is resumed and any interest that would have been earned during the disputed period is retroactively accrued. At June 30, 2020 and September 30, 2020, the balance of loans held for investment on non-accrual status was $0.3 million and $0.4 million, respectively.</w:t>
      </w:r>
    </w:p>
    <w:p>
      <w:pPr>
        <w:spacing w:after="0" w:line="121"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continue to accrue interest income until either the interest accrued equals the amount of the finance charge disclosed to the consumer, the principal balance of the loan is paid in full, or the account is charged-off in the period the account becomes 120 days past due or meets other charge-off policy requirements. Past due status is based on the contractual terms of the loans. Previously recognized interest receivable from charged-off loans that was accrued but not collected from the customer is reversed.</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8" w:name="page269"/>
    <w:bookmarkEnd w:id="26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Any discounts or premiums on loan receivables created upon purchase of the loan from our originating bank partner are amortized over the life of the loan using the effective interest method. The amortization is presented together as interest income in the condensed consolidated statements of operations.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14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accordance with ASC Topic 718, “Compensation-Stock Compensation” (“ASC 718”), equity - classified stock-based compensation provided to employees is measured based on the grant date fair value of the awards and recognized as a compensation expense on a straight-line basis over the period during which the award holder is required to perform services in exchange for the award (the requisite service period). In addition, we made an accounting policy election to estimate the expected forfeiture rate and only recognize expense for those awards expected to vest. We estimate the forfeiture rate based on the historical experience of our share-based awards that are granted and forfeited prior to vesting.</w:t>
      </w:r>
    </w:p>
    <w:p>
      <w:pPr>
        <w:spacing w:after="0" w:line="117" w:lineRule="exact"/>
        <w:rPr>
          <w:sz w:val="20"/>
          <w:szCs w:val="20"/>
          <w:color w:val="auto"/>
        </w:rPr>
      </w:pPr>
    </w:p>
    <w:p>
      <w:pPr>
        <w:ind w:left="1260" w:right="959" w:firstLine="360"/>
        <w:spacing w:after="0" w:line="245" w:lineRule="auto"/>
        <w:rPr>
          <w:sz w:val="20"/>
          <w:szCs w:val="20"/>
          <w:color w:val="auto"/>
        </w:rPr>
      </w:pPr>
      <w:r>
        <w:rPr>
          <w:rFonts w:ascii="Times New Roman" w:cs="Times New Roman" w:eastAsia="Times New Roman" w:hAnsi="Times New Roman"/>
          <w:sz w:val="18"/>
          <w:szCs w:val="18"/>
          <w:color w:val="auto"/>
        </w:rPr>
        <w:t>We account for stock-based awards to non- employees, including consultants, in accordance with ASC 718, in which equity-classified awards are measured at the grant date fair value and recognized as a compensation expense in the period and manner as if we has paid cash in exchange for goods or services instead of a share-based award.</w:t>
      </w:r>
    </w:p>
    <w:p>
      <w:pPr>
        <w:spacing w:after="0" w:line="100"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have granted restricted stock units (“RSUs”) which are subject to two vesting conditions: a service-based vesting condition that is typically four years from the date of grant, and a performance-based vesting condition (i.e. a liquidity event in the form of either a change of control or an initial public offering). Stock based compensation is recognized only when it is determined that it is probable that a liquidity event will occur. As of June 30, 2020 and September 30, 2020, it was not probable that a liquidity event would occur and, accordingly, no stock compensation expense has been recognized in any period presented.</w:t>
      </w:r>
    </w:p>
    <w:p>
      <w:pPr>
        <w:spacing w:after="0" w:line="11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Upon exercise or vesting of a share-based award, if the tax deduction exceeds the compensation cost that was previously recorded for financial statement purposes this will result in an excess tax benefit. ASU 2016-09, “Compensation-Stock Compensation (718) Improvements to Employee Share-Based Payment Accounting” requires us to recognize all excess tax benefits or tax deficiencies through the income statement as income tax expense/benefit. Under previous GAAP, any excess tax benefits were recognized in additional paid-in capital to offset current-period and subsequent-period tax deficiencies. Adoption should be applied using the modified retrospective transition method by means of a cumulative-effect adjustment to equity as of the beginning of the period in which guidance was adopted.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applicable to public business entities or (ii) within the same time periods as non-public business entities, for as long as we qualify as an emerging growth company. We have elected to adopt new or revised accounting guidance within the same time period as non-public business entities, unless, as indicated below, management determines it is preferable to take advantage of early adoption provisions provided for within the applicable guidance.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ind w:left="1260" w:right="799" w:firstLine="360"/>
        <w:spacing w:after="0" w:line="26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ASC 606 requires revenue to be recognized in an amount that reflects the consideration to which the entity expects to be entitled in exchange of goods or services and also requires additional disclosure about the nature,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9" w:name="page270"/>
    <w:bookmarkEnd w:id="26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79"/>
        <w:spacing w:after="0" w:line="242" w:lineRule="auto"/>
        <w:rPr>
          <w:sz w:val="20"/>
          <w:szCs w:val="20"/>
          <w:color w:val="auto"/>
        </w:rPr>
      </w:pPr>
      <w:r>
        <w:rPr>
          <w:rFonts w:ascii="Times New Roman" w:cs="Times New Roman" w:eastAsia="Times New Roman" w:hAnsi="Times New Roman"/>
          <w:sz w:val="18"/>
          <w:szCs w:val="18"/>
          <w:color w:val="auto"/>
        </w:rPr>
        <w:t>amount, timing, and uncertainty of revenue and cash flows from customer contracts. Subsequent to the issuance of ASU 2014-09, the FASB issued several amendments to ASC 606 to clarify or improve the revenue recognition standard such as principal versus agent considerations in ASU 2016- 08, technical corrections and improvements to ASC 606 in ASU 2016- 20, clarifying the scope of asset derecognition guidance and accounting for partial sales of nonfinancial asset in ASU 2017-05.</w:t>
      </w:r>
    </w:p>
    <w:p>
      <w:pPr>
        <w:spacing w:after="0" w:line="104"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Under ASU 2020-05 we have adopted ASC 606 on July 1, 2020 using the modified retrospective transition method. Under this method, we evaluated contracts that were not complete as of the date of adoption as if those contracts had been accounted for under ASC 606. Under the modified retrospective transition approach, periods prior to the adoption date were not adjusted and continue to be reported in accordance with revenue accounting literature in effect during those periods. The adoption of ASC 606 did not have a material impact on our revenue arrangements.</w:t>
      </w:r>
    </w:p>
    <w:p>
      <w:pPr>
        <w:spacing w:after="0" w:line="126"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ASC 606 explicitly excludes revenue generated in accordance with ASC 310, Receivables, and ASC 860, Transfers and Servicing. Accordingly, we have concluded that interest income, gains on loan sales and servicing income are not be affected by the adoption of ASC 606 and its related amendments. Merchant network revenue and virtual card network revenue are within the scope of ASC 606.</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6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June 2018, the FASB issued ASU 2018-07, “Compensation — Stock Compensation (Topic 718): Improvements to Nonemployee Share Based Payment Accounting” that expands on the scope of ASC 718 to include share-based payment transactions for acquiring goods and services from nonemployee. For non-public business entities, the amendments are effective for fiscal years beginning after December 15, 2019, and interim periods within fiscal years beginning after December 15, 2020. Early adoption is permitted, but no earlier than an entity’s adoption of ASC 606. We have adopted ASC 606 effective July 1, 2020 and have correspondingly adopted ASU 2018-07 as of that date. There is no material impact to existing nonemployee share-based awards.</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We early adopted the new standard effective July 1, 2020 on a prospective basis. The adoption of the new standard did not have a material impact on our consolidated financial statements.</w:t>
      </w:r>
    </w:p>
    <w:p>
      <w:pPr>
        <w:spacing w:after="0" w:line="117"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We have adopted all new accounting pronouncements that are in effect and applicable to us for the period ended September 30,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that substantially modifies lessee accounting for leases, and requires most leases to be recognized on the balance sheet with enhanced disclosures. Leases will be classified as either finance or operating, with classification affecting the pattern of expense recognition in the income statement. Subsequent to the issuance of ASU 2016-02, the FASB issued several amendments to ASC 842 to clarify or improve the new leases standard such as codification and targeted improvements in ASUs 2018-10, 2018-11 and 2019-01, narrow-scope improvements for lessors</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0" w:name="page271"/>
    <w:bookmarkEnd w:id="27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60"/>
        <w:spacing w:after="0" w:line="258" w:lineRule="auto"/>
        <w:rPr>
          <w:sz w:val="20"/>
          <w:szCs w:val="20"/>
          <w:color w:val="auto"/>
        </w:rPr>
      </w:pPr>
      <w:r>
        <w:rPr>
          <w:rFonts w:ascii="Times New Roman" w:cs="Times New Roman" w:eastAsia="Times New Roman" w:hAnsi="Times New Roman"/>
          <w:sz w:val="18"/>
          <w:szCs w:val="18"/>
          <w:color w:val="auto"/>
        </w:rPr>
        <w:t>in ASU 2018-20, etc. For private companies, the amendments in ASU 2016-02 are effective for fiscal years beginning after December 15, 2019, and interim periods within fiscal years beginning after December 15, 2020. The effective dates in ASU 2016-02 for private companies were deferred by one year pursuant to the FASB’s issuance of ASU 2019-10, “Financial Instruments — Credit Losses (Topic 326), Derivatives and Hedging (Topic 815), and Leases (Topic 842): Effective Dates” in November 2019.</w:t>
      </w:r>
    </w:p>
    <w:p>
      <w:pPr>
        <w:spacing w:after="0" w:line="102" w:lineRule="exact"/>
        <w:rPr>
          <w:sz w:val="20"/>
          <w:szCs w:val="20"/>
          <w:color w:val="auto"/>
        </w:rPr>
      </w:pPr>
    </w:p>
    <w:p>
      <w:pPr>
        <w:ind w:left="1260" w:right="1300" w:firstLine="360"/>
        <w:spacing w:after="0" w:line="253" w:lineRule="auto"/>
        <w:rPr>
          <w:sz w:val="20"/>
          <w:szCs w:val="20"/>
          <w:color w:val="auto"/>
        </w:rPr>
      </w:pPr>
      <w:r>
        <w:rPr>
          <w:rFonts w:ascii="Times New Roman" w:cs="Times New Roman" w:eastAsia="Times New Roman" w:hAnsi="Times New Roman"/>
          <w:sz w:val="18"/>
          <w:szCs w:val="18"/>
          <w:color w:val="auto"/>
        </w:rPr>
        <w:t>As noted above, 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coronavirus disease 2019 (COVID-19) pandemic. ASU 2020-05 permits certain private entities that have not yet issued their financial statements or made financial statements available for issuance, to adopt ASC 842 for fiscal years beginning after December 15, 2021, and interim reporting periods within fiscal years beginning after December 15, 2022. We have elected to adopt the effective date deferral standard and will adopt ASU 2016-02 and its related amendments for our annual reporting period beginning July 1, 2022. We are currently evaluating the impact of adopting ASU 2016-02 and its amendments on our consolidated financial statements.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160" w:lineRule="exact"/>
        <w:rPr>
          <w:sz w:val="20"/>
          <w:szCs w:val="20"/>
          <w:color w:val="auto"/>
        </w:rPr>
      </w:pPr>
    </w:p>
    <w:p>
      <w:pPr>
        <w:ind w:left="1260" w:right="1260" w:firstLine="360"/>
        <w:spacing w:after="0" w:line="252" w:lineRule="auto"/>
        <w:rPr>
          <w:sz w:val="20"/>
          <w:szCs w:val="20"/>
          <w:color w:val="auto"/>
        </w:rPr>
      </w:pPr>
      <w:r>
        <w:rPr>
          <w:rFonts w:ascii="Times New Roman" w:cs="Times New Roman" w:eastAsia="Times New Roman" w:hAnsi="Times New Roman"/>
          <w:sz w:val="18"/>
          <w:szCs w:val="18"/>
          <w:color w:val="auto"/>
        </w:rPr>
        <w:t>In June 2016, the FASB issued amendments on ASU 2016-13, “Financial Instruments — Credit Losses (Topic 326)”. The amendments will replace the incurred loss impairment methodology in current US GAAP with a methodology that measures expected credit losses based on historical experience, current conditions and a reasonable and supportable forecast. This amendment is generally referred to as the current expected credit loss (CECL) standard. The amendments in this standard will be recognized through a cumulative-effect adjustment to retained earnings as of the beginning of the first reporting period in which the guidance is effective. Subsequent to the issuance of ASU 2016-13, the FASB issued several amendments to ASC 326 to clarify or improve the financial instruments credit losses standard such as codification and targeted improvements in ASUs 2018-19, 2019-04, 2019-05, 2019-11 and 2020-03. For private companies, the amendments in ASU 2016-13 were initially effective for fiscal years beginning after December 15, 2021, and interim periods therein. The effective dates in ASU 2016-13 for private companies were deferred by one year (fiscal years beginning after December 15, 2022) pursuant to the FASB’s Issuance of ASU 2019-10, “Financial Instruments — Credit Losses (Topic 326), Derivatives and Hedging (Topic 815), and Leases (Topic 842): Effective Dates” in November 2019.”</w:t>
      </w:r>
    </w:p>
    <w:p>
      <w:pPr>
        <w:spacing w:after="0" w:line="347" w:lineRule="exact"/>
        <w:rPr>
          <w:sz w:val="20"/>
          <w:szCs w:val="20"/>
          <w:color w:val="auto"/>
        </w:rPr>
      </w:pPr>
    </w:p>
    <w:p>
      <w:pPr>
        <w:ind w:left="1260" w:right="1320" w:firstLine="360"/>
        <w:spacing w:after="0" w:line="256" w:lineRule="auto"/>
        <w:rPr>
          <w:sz w:val="20"/>
          <w:szCs w:val="20"/>
          <w:color w:val="auto"/>
        </w:rPr>
      </w:pPr>
      <w:r>
        <w:rPr>
          <w:rFonts w:ascii="Times New Roman" w:cs="Times New Roman" w:eastAsia="Times New Roman" w:hAnsi="Times New Roman"/>
          <w:sz w:val="18"/>
          <w:szCs w:val="18"/>
          <w:color w:val="auto"/>
        </w:rPr>
        <w:t>The standard dictates that institutions estimate the cash flows that are not expected to be collected over the contractual life of the loan, adjusted for prepayments. Our current methodology also estimates the total expected cash flow not expected to be collected on our consolidated balance sheets. Based on preliminary analysis, we do not expect that the consideration of forward-looking information, i.e. the reasonable and supportable forecast, will result in a material impact to our consolidated financial statements. However, we are still in the process of evaluating the impact.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Interest Income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9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wp:posOffset>
            </wp:positionV>
            <wp:extent cx="90868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unpaid principal balance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$32,641</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$40,188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Amortization of discount on loans held for investment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$40,168</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$54,237</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F-55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16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-856615</wp:posOffset>
            </wp:positionV>
            <wp:extent cx="437197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-1525270</wp:posOffset>
            </wp:positionV>
            <wp:extent cx="436308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71" w:name="page272"/>
    <w:bookmarkEnd w:id="27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2020    September 30, 2020</w:t>
            </w:r>
          </w:p>
        </w:tc>
      </w:tr>
      <w:tr>
        <w:trPr>
          <w:trHeight w:val="23"/>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$1,054,077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$1,459,419</w:t>
            </w:r>
          </w:p>
        </w:tc>
        <w:tc>
          <w:tcPr>
            <w:tcW w:w="180" w:type="dxa"/>
            <w:vAlign w:val="bottom"/>
            <w:shd w:val="clear" w:color="auto" w:fill="CCEEFF"/>
          </w:tcPr>
          <w:p>
            <w:pPr>
              <w:spacing w:after="0"/>
              <w:rPr>
                <w:sz w:val="21"/>
                <w:szCs w:val="2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80" w:type="dxa"/>
            <w:vAlign w:val="bottom"/>
          </w:tcPr>
          <w:p>
            <w:pPr>
              <w:spacing w:after="0"/>
              <w:rPr>
                <w:sz w:val="22"/>
                <w:szCs w:val="22"/>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80" w:type="dxa"/>
            <w:vAlign w:val="bottom"/>
            <w:shd w:val="clear" w:color="auto" w:fill="CCEEFF"/>
          </w:tcPr>
          <w:p>
            <w:pPr>
              <w:spacing w:after="0"/>
              <w:rPr>
                <w:sz w:val="22"/>
                <w:szCs w:val="22"/>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due to loan commitment liability</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(28,659)</w:t>
            </w:r>
          </w:p>
        </w:tc>
        <w:tc>
          <w:tcPr>
            <w:tcW w:w="2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(56,035)</w:t>
            </w:r>
          </w:p>
        </w:tc>
      </w:tr>
      <w:tr>
        <w:trPr>
          <w:trHeight w:val="26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Loans held for sale</w:t>
            </w:r>
          </w:p>
        </w:tc>
        <w:tc>
          <w:tcPr>
            <w:tcW w:w="24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(4,459)</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(4,085)</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$1,034,312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$1,414,157</w:t>
            </w:r>
          </w:p>
        </w:tc>
        <w:tc>
          <w:tcPr>
            <w:tcW w:w="180" w:type="dxa"/>
            <w:vAlign w:val="bottom"/>
          </w:tcPr>
          <w:p>
            <w:pPr>
              <w:spacing w:after="0"/>
              <w:rPr>
                <w:sz w:val="22"/>
                <w:szCs w:val="22"/>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-1036320</wp:posOffset>
            </wp:positionV>
            <wp:extent cx="398589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78" w:lineRule="exact"/>
        <w:rPr>
          <w:sz w:val="20"/>
          <w:szCs w:val="20"/>
          <w:color w:val="auto"/>
        </w:rPr>
      </w:pPr>
    </w:p>
    <w:p>
      <w:pPr>
        <w:ind w:left="1260" w:right="959" w:firstLine="360"/>
        <w:spacing w:after="0" w:line="245" w:lineRule="auto"/>
        <w:rPr>
          <w:sz w:val="20"/>
          <w:szCs w:val="20"/>
          <w:color w:val="auto"/>
        </w:rPr>
      </w:pPr>
      <w:r>
        <w:rPr>
          <w:rFonts w:ascii="Times New Roman" w:cs="Times New Roman" w:eastAsia="Times New Roman" w:hAnsi="Times New Roman"/>
          <w:sz w:val="18"/>
          <w:szCs w:val="18"/>
          <w:color w:val="auto"/>
        </w:rPr>
        <w:t>Generally, loans are originated by our originating bank partner through our technology platform and later purchased by us. During the three months ended September 30, 2019 and September 30, 2020, we purchased loans from our originating bank partner in the amount of $900.4 million and $1,524.1 million, respectively.</w:t>
      </w:r>
    </w:p>
    <w:p>
      <w:pPr>
        <w:spacing w:after="0" w:line="100"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These loans have a variety of lending terms as well as lengths ranging from one to forty-eight months. We evaluate all loans as a homogeneous loan portfolio given it focuses on one product segment, point-of-sale unsecured installment loans.</w:t>
      </w:r>
    </w:p>
    <w:p>
      <w:pPr>
        <w:spacing w:after="0" w:line="10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32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The ITACs model analyzes the characteristics of an applicant’s attributes that are shown to be predictive of both willingness and ability to repay including, but not limited to: basic features of a of a borrower’s credit profile, a borrower’s prior repayment performance with other creditors, current credit utilization, and legal and policy changes. When an applicant passes both fraud and credit policy checks, they are assigned an ITACs score. ITACs is also widely used for portfolio performance monitoring. Our risk organization closely tracks the distribution of applicant ITACs as well as the ITACs of captured loans to monitor for signs of a changing credit profile within the portfolio. Repayment performance within each ITACs band is also monitored to ensure both the integrity of the risk scoring models and to measure possible changes in consumer behavior amongst various credit tiers.</w:t>
      </w:r>
    </w:p>
    <w:p>
      <w:pPr>
        <w:spacing w:after="0" w:line="293"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an analysis of the credit quality, by ITACs score, of the unpaid principal balance of loans held for investment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June 30, 2020    September 30, 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34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746,758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$1,123,357</w:t>
            </w:r>
          </w:p>
        </w:tc>
        <w:tc>
          <w:tcPr>
            <w:tcW w:w="180" w:type="dxa"/>
            <w:vAlign w:val="bottom"/>
            <w:shd w:val="clear" w:color="auto" w:fill="CCEEFF"/>
          </w:tcPr>
          <w:p>
            <w:pPr>
              <w:spacing w:after="0"/>
              <w:rPr>
                <w:sz w:val="21"/>
                <w:szCs w:val="21"/>
                <w:color w:val="auto"/>
              </w:rPr>
            </w:pPr>
          </w:p>
        </w:tc>
      </w:tr>
      <w:tr>
        <w:trPr>
          <w:trHeight w:val="257"/>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94–96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239,007</w:t>
            </w:r>
          </w:p>
        </w:tc>
        <w:tc>
          <w:tcPr>
            <w:tcW w:w="180" w:type="dxa"/>
            <w:vAlign w:val="bottom"/>
          </w:tcPr>
          <w:p>
            <w:pPr>
              <w:spacing w:after="0"/>
              <w:rPr>
                <w:sz w:val="22"/>
                <w:szCs w:val="22"/>
                <w:color w:val="auto"/>
              </w:rPr>
            </w:pPr>
          </w:p>
        </w:tc>
      </w:tr>
      <w:tr>
        <w:trPr>
          <w:trHeight w:val="256"/>
        </w:trPr>
        <w:tc>
          <w:tcPr>
            <w:tcW w:w="360" w:type="dxa"/>
            <w:vAlign w:val="bottom"/>
          </w:tcPr>
          <w:p>
            <w:pPr>
              <w:spacing w:after="0"/>
              <w:rPr>
                <w:sz w:val="22"/>
                <w:szCs w:val="22"/>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90–94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180" w:type="dxa"/>
            <w:vAlign w:val="bottom"/>
            <w:shd w:val="clear" w:color="auto" w:fill="CCEEFF"/>
          </w:tcPr>
          <w:p>
            <w:pPr>
              <w:spacing w:after="0"/>
              <w:rPr>
                <w:sz w:val="22"/>
                <w:szCs w:val="22"/>
                <w:color w:val="auto"/>
              </w:rPr>
            </w:pPr>
          </w:p>
        </w:tc>
      </w:tr>
      <w:tr>
        <w:trPr>
          <w:trHeight w:val="25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&lt;90</w:t>
            </w:r>
          </w:p>
        </w:tc>
        <w:tc>
          <w:tcPr>
            <w:tcW w:w="3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80" w:type="dxa"/>
            <w:vAlign w:val="bottom"/>
          </w:tcPr>
          <w:p>
            <w:pPr>
              <w:spacing w:after="0"/>
              <w:rPr>
                <w:sz w:val="22"/>
                <w:szCs w:val="22"/>
                <w:color w:val="auto"/>
              </w:rPr>
            </w:pPr>
          </w:p>
        </w:tc>
      </w:tr>
      <w:tr>
        <w:trPr>
          <w:trHeight w:val="284"/>
        </w:trPr>
        <w:tc>
          <w:tcPr>
            <w:tcW w:w="360" w:type="dxa"/>
            <w:vAlign w:val="bottom"/>
          </w:tcPr>
          <w:p>
            <w:pPr>
              <w:spacing w:after="0"/>
              <w:rPr>
                <w:sz w:val="24"/>
                <w:szCs w:val="24"/>
                <w:color w:val="auto"/>
              </w:rPr>
            </w:pPr>
          </w:p>
        </w:tc>
        <w:tc>
          <w:tcPr>
            <w:tcW w:w="5000" w:type="dxa"/>
            <w:vAlign w:val="bottom"/>
            <w:tcBorders>
              <w:bottom w:val="single" w:sz="8" w:color="CCEEFF"/>
            </w:tcBorders>
            <w:gridSpan w:val="2"/>
            <w:shd w:val="clear" w:color="auto" w:fill="CCEEFF"/>
          </w:tcPr>
          <w:p>
            <w:pPr>
              <w:spacing w:after="0" w:line="283" w:lineRule="exact"/>
              <w:rPr>
                <w:sz w:val="20"/>
                <w:szCs w:val="20"/>
                <w:color w:val="auto"/>
              </w:rPr>
            </w:pPr>
            <w:r>
              <w:rPr>
                <w:rFonts w:ascii="Times New Roman" w:cs="Times New Roman" w:eastAsia="Times New Roman" w:hAnsi="Times New Roman"/>
                <w:sz w:val="18"/>
                <w:szCs w:val="18"/>
                <w:color w:val="auto"/>
              </w:rPr>
              <w:t>No score</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57"/>
        </w:trPr>
        <w:tc>
          <w:tcPr>
            <w:tcW w:w="53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unpaid principal balance</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1,054,077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$1,459,419</w:t>
            </w:r>
          </w:p>
        </w:tc>
        <w:tc>
          <w:tcPr>
            <w:tcW w:w="1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-1113790</wp:posOffset>
            </wp:positionV>
            <wp:extent cx="398589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97" w:lineRule="exact"/>
        <w:rPr>
          <w:sz w:val="20"/>
          <w:szCs w:val="20"/>
          <w:color w:val="auto"/>
        </w:rPr>
      </w:pPr>
    </w:p>
    <w:p>
      <w:pPr>
        <w:ind w:left="1620" w:right="959" w:hanging="358"/>
        <w:spacing w:after="0" w:line="282" w:lineRule="auto"/>
        <w:tabs>
          <w:tab w:leader="none" w:pos="1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represents loan receivables in experimental products or new markets without sufficient data currently available for use of the Affirm scoring methodology.</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2" w:name="page273"/>
    <w:bookmarkEnd w:id="27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unpaid principal balance related to loans held for investment by delinquency status (in thousands):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June 30. 2020    September 30, 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Non-delinquent loans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$1,019,492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$1,425,808</w:t>
            </w:r>
          </w:p>
        </w:tc>
        <w:tc>
          <w:tcPr>
            <w:tcW w:w="180" w:type="dxa"/>
            <w:vAlign w:val="bottom"/>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00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4 – 29 calendar days past due</w:t>
            </w:r>
            <w:r>
              <w:rPr>
                <w:rFonts w:ascii="Times New Roman" w:cs="Times New Roman" w:eastAsia="Times New Roman" w:hAnsi="Times New Roman"/>
                <w:sz w:val="26"/>
                <w:szCs w:val="26"/>
                <w:color w:val="auto"/>
                <w:vertAlign w:val="superscript"/>
              </w:rPr>
              <w:t>(1)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180" w:type="dxa"/>
            <w:vAlign w:val="bottom"/>
          </w:tcPr>
          <w:p>
            <w:pPr>
              <w:spacing w:after="0"/>
              <w:rPr>
                <w:sz w:val="23"/>
                <w:szCs w:val="23"/>
                <w:color w:val="auto"/>
              </w:rPr>
            </w:pPr>
          </w:p>
        </w:tc>
      </w:tr>
      <w:tr>
        <w:trPr>
          <w:trHeight w:val="256"/>
        </w:trPr>
        <w:tc>
          <w:tcPr>
            <w:tcW w:w="360" w:type="dxa"/>
            <w:vAlign w:val="bottom"/>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30</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 calendar days past due</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80" w:type="dxa"/>
            <w:vAlign w:val="bottom"/>
            <w:shd w:val="clear" w:color="auto" w:fill="CCEEFF"/>
          </w:tcPr>
          <w:p>
            <w:pPr>
              <w:spacing w:after="0"/>
              <w:rPr>
                <w:sz w:val="22"/>
                <w:szCs w:val="22"/>
                <w:color w:val="auto"/>
              </w:rPr>
            </w:pPr>
          </w:p>
        </w:tc>
      </w:tr>
      <w:tr>
        <w:trPr>
          <w:trHeight w:val="257"/>
        </w:trPr>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60</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89 calendar days past due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8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90</w:t>
            </w: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119 calendar days past due</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63"/>
        </w:trPr>
        <w:tc>
          <w:tcPr>
            <w:tcW w:w="53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unpaid principal balance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$1,054,077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$1,459,419</w:t>
            </w:r>
          </w:p>
        </w:tc>
        <w:tc>
          <w:tcPr>
            <w:tcW w:w="1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-1122045</wp:posOffset>
            </wp:positionV>
            <wp:extent cx="398589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9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Loans are not considered delinquent until they are 4 calendar days past due.</w:t>
      </w:r>
    </w:p>
    <w:p>
      <w:pPr>
        <w:spacing w:after="0" w:line="15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We maintain an allowance for credit losses at a level that is appropriate to absorb probable losses inherent in unsecured consumer loan receivables. The allowance for credit losses covers estimated losses. When loans are charged off, we may continue to attempt to recover amounts from the respective borrowers.</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details activity in the allowance for credit losses for the three months ended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(in thousands):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194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$ 66,260</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95,137</w:t>
            </w:r>
          </w:p>
        </w:tc>
        <w:tc>
          <w:tcPr>
            <w:tcW w:w="60" w:type="dxa"/>
            <w:vAlign w:val="bottom"/>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6"/>
                <w:szCs w:val="26"/>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60" w:type="dxa"/>
            <w:vAlign w:val="bottom"/>
          </w:tcPr>
          <w:p>
            <w:pPr>
              <w:spacing w:after="0"/>
              <w:rPr>
                <w:sz w:val="23"/>
                <w:szCs w:val="23"/>
                <w:color w:val="auto"/>
              </w:rPr>
            </w:pPr>
          </w:p>
        </w:tc>
      </w:tr>
      <w:tr>
        <w:trPr>
          <w:trHeight w:val="257"/>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(14,074)</w:t>
            </w:r>
          </w:p>
        </w:tc>
        <w:tc>
          <w:tcPr>
            <w:tcW w:w="6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5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60" w:type="dxa"/>
            <w:vAlign w:val="bottom"/>
          </w:tcPr>
          <w:p>
            <w:pPr>
              <w:spacing w:after="0"/>
              <w:rPr>
                <w:sz w:val="22"/>
                <w:szCs w:val="22"/>
                <w:color w:val="auto"/>
              </w:rPr>
            </w:pPr>
          </w:p>
        </w:tc>
      </w:tr>
      <w:tr>
        <w:trPr>
          <w:trHeight w:val="264"/>
        </w:trPr>
        <w:tc>
          <w:tcPr>
            <w:tcW w:w="360" w:type="dxa"/>
            <w:vAlign w:val="bottom"/>
          </w:tcPr>
          <w:p>
            <w:pPr>
              <w:spacing w:after="0"/>
              <w:rPr>
                <w:sz w:val="22"/>
                <w:szCs w:val="22"/>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$ 76,060</w:t>
            </w:r>
          </w:p>
        </w:tc>
        <w:tc>
          <w:tcPr>
            <w:tcW w:w="2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124,273</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1165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-951230</wp:posOffset>
            </wp:positionV>
            <wp:extent cx="430339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10" w:lineRule="exact"/>
        <w:rPr>
          <w:sz w:val="20"/>
          <w:szCs w:val="20"/>
          <w:color w:val="auto"/>
        </w:rPr>
      </w:pPr>
    </w:p>
    <w:p>
      <w:pPr>
        <w:ind w:left="1620" w:right="1079" w:hanging="358"/>
        <w:spacing w:after="0" w:line="261" w:lineRule="auto"/>
        <w:tabs>
          <w:tab w:leader="none" w:pos="1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provision for merchant losses of zero and $(0.2) million and provision for repurchase of fraudulent loans sold of $(0.1) million and $0.1 million, for the three months ended September 30, 2019 and 2020, respectively, which are included in the provision for credit losses line on the consolidated statements of operations.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Other Assets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78" w:lineRule="exact"/>
        <w:rPr>
          <w:sz w:val="20"/>
          <w:szCs w:val="20"/>
          <w:color w:val="auto"/>
        </w:rPr>
      </w:pPr>
    </w:p>
    <w:p>
      <w:pPr>
        <w:ind w:left="6880"/>
        <w:spacing w:after="0"/>
        <w:tabs>
          <w:tab w:leader="none" w:pos="7920" w:val="left"/>
        </w:tabs>
        <w:rPr>
          <w:sz w:val="20"/>
          <w:szCs w:val="20"/>
          <w:color w:val="auto"/>
        </w:rPr>
      </w:pPr>
      <w:r>
        <w:rPr>
          <w:rFonts w:ascii="Times New Roman" w:cs="Times New Roman" w:eastAsia="Times New Roman" w:hAnsi="Times New Roman"/>
          <w:sz w:val="14"/>
          <w:szCs w:val="14"/>
          <w:b w:val="1"/>
          <w:bCs w:val="1"/>
          <w:color w:val="auto"/>
        </w:rPr>
        <w:t>June 30, 2020</w:t>
      </w:r>
      <w:r>
        <w:rPr>
          <w:sz w:val="20"/>
          <w:szCs w:val="20"/>
          <w:color w:val="auto"/>
        </w:rPr>
        <w:tab/>
      </w:r>
      <w:r>
        <w:rPr>
          <w:rFonts w:ascii="Times New Roman" w:cs="Times New Roman" w:eastAsia="Times New Roman" w:hAnsi="Times New Roman"/>
          <w:sz w:val="13"/>
          <w:szCs w:val="13"/>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399478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13"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agreement asset</w:t>
            </w: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$53,384</w:t>
            </w:r>
          </w:p>
        </w:tc>
        <w:tc>
          <w:tcPr>
            <w:tcW w:w="300" w:type="dxa"/>
            <w:vAlign w:val="bottom"/>
            <w:tcBorders>
              <w:top w:val="single" w:sz="8" w:color="auto"/>
            </w:tcBorders>
            <w:shd w:val="clear" w:color="auto" w:fill="CCEEFF"/>
          </w:tcPr>
          <w:p>
            <w:pPr>
              <w:spacing w:after="0"/>
              <w:rPr>
                <w:sz w:val="23"/>
                <w:szCs w:val="23"/>
                <w:color w:val="auto"/>
              </w:rPr>
            </w:pP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300" w:type="dxa"/>
            <w:vAlign w:val="bottom"/>
          </w:tcPr>
          <w:p>
            <w:pPr>
              <w:spacing w:after="0"/>
              <w:rPr>
                <w:sz w:val="22"/>
                <w:szCs w:val="22"/>
                <w:color w:val="auto"/>
              </w:rPr>
            </w:pP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reserves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shd w:val="clear" w:color="auto" w:fill="CCEEFF"/>
          </w:tcPr>
          <w:p>
            <w:pPr>
              <w:spacing w:after="0"/>
              <w:rPr>
                <w:sz w:val="22"/>
                <w:szCs w:val="22"/>
                <w:color w:val="auto"/>
              </w:rPr>
            </w:pP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tcPr>
          <w:p>
            <w:pPr>
              <w:spacing w:after="0"/>
              <w:rPr>
                <w:sz w:val="22"/>
                <w:szCs w:val="22"/>
                <w:color w:val="auto"/>
              </w:rPr>
            </w:pPr>
          </w:p>
        </w:tc>
      </w:tr>
      <w:tr>
        <w:trPr>
          <w:trHeight w:val="263"/>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6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23,348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$72,118</w:t>
            </w:r>
          </w:p>
        </w:tc>
        <w:tc>
          <w:tcPr>
            <w:tcW w:w="30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2020, we recognized an asset in connection with a commercial agreement with Shopify Inc. in which we granted warrants in exchange for the benefit of acquiring new merchant partners. This asset represents the probable future economic benefit to be realized over the four-year expected benefit period and is valued based on the fair value of the warrants on the grant date. See Note. 13 Redeemable Convertible Preferred Stock and Stockholders’ Deficit for further discussion of the warrants. We have recognized an asset of $67.6 million associated with the fair value of the portion of</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3" w:name="page274"/>
    <w:bookmarkEnd w:id="27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1039"/>
        <w:spacing w:after="0" w:line="266" w:lineRule="auto"/>
        <w:rPr>
          <w:sz w:val="20"/>
          <w:szCs w:val="20"/>
          <w:color w:val="auto"/>
        </w:rPr>
      </w:pPr>
      <w:r>
        <w:rPr>
          <w:rFonts w:ascii="Times New Roman" w:cs="Times New Roman" w:eastAsia="Times New Roman" w:hAnsi="Times New Roman"/>
          <w:sz w:val="18"/>
          <w:szCs w:val="18"/>
          <w:color w:val="auto"/>
        </w:rPr>
        <w:t>warrants that vested as of September 30, 2020. During the three months ended September 30, 2020, we recorded an expense of $14.3 million in amortization of the asset, which is recorded in our consolidated statements of operations as a component of sales and marketing expense.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48"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totaling 260,904 rentable square feet at September 30, 2020. The Company’s corporate headquarters are located in San Francisco, California. We also lease office space in New York City, New York; Pittsburgh, Pennsylvania; Salt Lake City, Utah; and Chicago, Illinois.</w:t>
      </w:r>
    </w:p>
    <w:p>
      <w:pPr>
        <w:spacing w:after="0" w:line="11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condensed consolidated balance sheets and totaled $9.7 million and $9.9 million as of June 30, 2020 and September 30, 2020, respectively.</w:t>
      </w:r>
    </w:p>
    <w:p>
      <w:pPr>
        <w:spacing w:after="0" w:line="116"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Total rent expense incurred for all locations totaled $3.2 million and $3.8 million for the three months ended September 30, 2019 and 2020, respectively, and is allocated between functional operating expense lines in the condensed consolidated statements of operations based on headcount.</w:t>
      </w:r>
    </w:p>
    <w:p>
      <w:pPr>
        <w:spacing w:after="0" w:line="95"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2020, future minimum lease commitments under operating leases were as follows (in thousands) for the fiscal years ended:</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(remaining nine months)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r>
      <w:tr>
        <w:trPr>
          <w:trHeight w:val="25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14,232</w:t>
            </w:r>
          </w:p>
        </w:tc>
      </w:tr>
      <w:tr>
        <w:trPr>
          <w:trHeight w:val="25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r>
      <w:tr>
        <w:trPr>
          <w:trHeight w:val="25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15,499</w:t>
            </w:r>
          </w:p>
        </w:tc>
      </w:tr>
      <w:tr>
        <w:trPr>
          <w:trHeight w:val="25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r>
      <w:tr>
        <w:trPr>
          <w:trHeight w:val="263"/>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25,146</w:t>
            </w:r>
          </w:p>
        </w:tc>
      </w:tr>
      <w:tr>
        <w:trPr>
          <w:trHeight w:val="26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ind w:left="1260" w:right="87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 and claims when those matters present loss contingencies which are both probable and reasonably estimable. All such liabilities arising from current legal and regulatory matters have been recorded in accrued expenses and other liabilities and these matters are immaterial.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6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principally of cash, cash equivalents, and restricted cash. We maintain our cash, cash equivalents and restricted cash in accounts at regulated domestic financial institutions and conducts ongoing evaluations of the creditworthiness of the financial institutions with which it does business.</w:t>
      </w:r>
    </w:p>
    <w:p>
      <w:pPr>
        <w:spacing w:after="0" w:line="99"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We are exposed to default risk on loan receivables originated by and purchased from our originating bank partner. The ultimate collectability of a substantial portion of the loan portfolio is susceptible to changes in economic and market conditions. As of June 30, 2020 and September 30, 2020, approximately 15% and 16% of loan receivables related to customers residing in the state of California, respectively. No other states or provinces exceeded 10%.</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4" w:name="page275"/>
    <w:bookmarkEnd w:id="27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Revenue</w:t>
      </w:r>
    </w:p>
    <w:p>
      <w:pPr>
        <w:spacing w:after="0" w:line="14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2019, approximately 14% of total revenues was driven by one merchant partner. For the three months ended September 30, 2020, approximately 30% of total revenues was driven by one merchant partner.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Transactions with Related Parties</w:t>
      </w:r>
    </w:p>
    <w:p>
      <w:pPr>
        <w:spacing w:after="0" w:line="162" w:lineRule="exact"/>
        <w:rPr>
          <w:sz w:val="20"/>
          <w:szCs w:val="20"/>
          <w:color w:val="auto"/>
        </w:rPr>
      </w:pPr>
    </w:p>
    <w:p>
      <w:pPr>
        <w:jc w:val="both"/>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directors, principal officers, their immediate families, and affiliated companies in which they are principal stockholders (commonly referred to as related parties).</w:t>
      </w:r>
    </w:p>
    <w:p>
      <w:pPr>
        <w:spacing w:after="0" w:line="109"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We earned sublease income with affiliated companies which has been recognized as other income in the condensed consolidated statements of operations. During the three months ended September 30, 2019, we received $0.1 million in payments from affiliated companies, primarily for occupancy related expenses, which is recorded as a part of other income (expense), net, on the condensed consolidated statements of operations. We did not earn any sublease income with affiliated companies during the three months ended September 30, 2020.</w:t>
      </w:r>
    </w:p>
    <w:p>
      <w:pPr>
        <w:spacing w:after="0" w:line="311"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Additionally, some of our directors, principal officers, and their immediate families have opened accounts with and received loans facilitated by us, in accordance with our regular consumer loan offerings. The outstanding balance and interest earned on such accounts is immaterial.</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Funding Debt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Funding debt and its aggregate future maturities consists of the following (in thousands):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Final Maturity Fiscal Year</w:t>
            </w:r>
          </w:p>
        </w:tc>
        <w:tc>
          <w:tcPr>
            <w:tcW w:w="226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2020    September 30, 2020</w:t>
            </w:r>
          </w:p>
        </w:tc>
      </w:tr>
      <w:tr>
        <w:trPr>
          <w:trHeight w:val="23"/>
        </w:trPr>
        <w:tc>
          <w:tcPr>
            <w:tcW w:w="5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171,133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139,508</w:t>
            </w:r>
          </w:p>
        </w:tc>
        <w:tc>
          <w:tcPr>
            <w:tcW w:w="240" w:type="dxa"/>
            <w:vAlign w:val="bottom"/>
          </w:tcPr>
          <w:p>
            <w:pPr>
              <w:spacing w:after="0"/>
              <w:rPr>
                <w:sz w:val="22"/>
                <w:szCs w:val="22"/>
                <w:color w:val="auto"/>
              </w:rPr>
            </w:pP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653,447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536,560</w:t>
            </w:r>
          </w:p>
        </w:tc>
        <w:tc>
          <w:tcPr>
            <w:tcW w:w="240" w:type="dxa"/>
            <w:vAlign w:val="bottom"/>
            <w:shd w:val="clear" w:color="auto" w:fill="CCEEFF"/>
          </w:tcPr>
          <w:p>
            <w:pPr>
              <w:spacing w:after="0"/>
              <w:rPr>
                <w:sz w:val="22"/>
                <w:szCs w:val="22"/>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240" w:type="dxa"/>
            <w:vAlign w:val="bottom"/>
          </w:tcPr>
          <w:p>
            <w:pPr>
              <w:spacing w:after="0"/>
              <w:rPr>
                <w:sz w:val="22"/>
                <w:szCs w:val="22"/>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824,580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707,962</w:t>
            </w:r>
          </w:p>
        </w:tc>
        <w:tc>
          <w:tcPr>
            <w:tcW w:w="240" w:type="dxa"/>
            <w:vAlign w:val="bottom"/>
            <w:shd w:val="clear" w:color="auto" w:fill="CCEEFF"/>
          </w:tcPr>
          <w:p>
            <w:pPr>
              <w:spacing w:after="0"/>
              <w:rPr>
                <w:sz w:val="22"/>
                <w:szCs w:val="22"/>
                <w:color w:val="auto"/>
              </w:rPr>
            </w:pPr>
          </w:p>
        </w:tc>
      </w:tr>
      <w:tr>
        <w:trPr>
          <w:trHeight w:val="26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(9,070)</w:t>
            </w: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817,926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698,892</w:t>
            </w:r>
          </w:p>
        </w:tc>
        <w:tc>
          <w:tcPr>
            <w:tcW w:w="240" w:type="dxa"/>
            <w:vAlign w:val="bottom"/>
            <w:shd w:val="clear" w:color="auto" w:fill="CCEEFF"/>
          </w:tcPr>
          <w:p>
            <w:pPr>
              <w:spacing w:after="0"/>
              <w:rPr>
                <w:sz w:val="22"/>
                <w:szCs w:val="22"/>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74916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-1542415</wp:posOffset>
            </wp:positionV>
            <wp:extent cx="13716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-1542415</wp:posOffset>
            </wp:positionV>
            <wp:extent cx="13716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Through trusts, we entered into warehouse credit facilities with certain lenders to finance our purchases of loans and to pay fees and expenses related to the applicable facilities. Each trust entered into a credit agreement and security agreement with a commercial bank as administrative agent and a national banking association as collateral trustee and paying agent. Borrowings under these agreements are referred to as funding debt and these funds can only be used for the purposes of facilitating loan purchases, with advance rates ranging from 80 -88%. These revolving facilities mature between 2022 and 2026, and subject to covenant compliance generally permit borrowings up to 12 months prior to the final maturity date. At September 30, 2020, the aggregate commitment amount of these agreements was $1,425.0 million of which $708.0 million was drawn, with $717.0 million remaining available, excluding deferred debt issuance costs. Some of the loans purchased from the originating bank partner are pledged as collateral for borrowings in our funding debt facilities. The unpaid principal balance of these loans totaled $990.7 million and $848.6 million as of June 30, 2020 and September 30, 2020, respectively.</w:t>
      </w:r>
    </w:p>
    <w:p>
      <w:pPr>
        <w:spacing w:after="0" w:line="126"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Borrowings under these facilities bear interest at an annual benchmark rate of LIBOR (London Inter-bank Offered Rate)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5" w:name="page276"/>
    <w:bookmarkEnd w:id="27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monthly. In addition, these agreements require payment of a monthly unused commitment fee ranging from 0.20% to 0.75% per annum on the undrawn portion available.</w:t>
      </w:r>
    </w:p>
    <w:p>
      <w:pPr>
        <w:spacing w:after="0" w:line="81"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These agreements contain certain covenants. At September 30, 2020, we were in compliance with all applicable covenants in the agreements.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Notes Issued by Securitization Trusts</w:t>
      </w:r>
    </w:p>
    <w:p>
      <w:pPr>
        <w:spacing w:after="0" w:line="162"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During the three months ended September 2020, we sponsored and retained residual certificates in securitizations of unsecured consumer loans through two consolidated securitization trusts: Affirm Asset Securitization Trust 2020-Z1 (“2020-Z1”) and Affirm Asset Securitization Trust 2020- A (“2020-A”). Each securitization trust issued senior notes and residual certificates to finance the purchase of the unsecured consumer loans. At the closing of each securitization, we contributed loans, facilitated through our technology platform, with an aggregate outstanding principal balance of $578.4 million. The residual certificates represents the right to receive 5.0% of all amounts collected on the unsecured consumer loans held by the securitization trusts. The resulting senior notes were sold to third-party investors and we retained 100% of the residual certificates issued by the securitization trusts. In addition to the retained residual certificates, our continued involvement includes loan servicing responsibilities over the life of the underlying unsecured consumer loans.</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2020-Z1</w:t>
      </w:r>
    </w:p>
    <w:p>
      <w:pPr>
        <w:spacing w:after="0" w:line="162" w:lineRule="exact"/>
        <w:rPr>
          <w:sz w:val="20"/>
          <w:szCs w:val="20"/>
          <w:color w:val="auto"/>
        </w:rPr>
      </w:pPr>
    </w:p>
    <w:p>
      <w:pPr>
        <w:ind w:left="1260" w:right="839" w:firstLine="360"/>
        <w:spacing w:after="0" w:line="238" w:lineRule="auto"/>
        <w:rPr>
          <w:sz w:val="20"/>
          <w:szCs w:val="20"/>
          <w:color w:val="auto"/>
        </w:rPr>
      </w:pPr>
      <w:r>
        <w:rPr>
          <w:rFonts w:ascii="Times New Roman" w:cs="Times New Roman" w:eastAsia="Times New Roman" w:hAnsi="Times New Roman"/>
          <w:sz w:val="18"/>
          <w:szCs w:val="18"/>
          <w:color w:val="auto"/>
        </w:rPr>
        <w:t>The notes under the 2020-Z1 securitization were issued in Class A in the amount of $150.0 million (collectively, the “2020-Z1 Notes”). The 2020-Z1 notes bear interest at a fixed rate of 3.46% and have a maturity date of October 15, 2024. Principal and interest payments began in September 2020 and are payable monthly. These notes are recorded at amortized cost on the balance sheet. The associated debt issuance costs of $1.1 million are deferred and amortized into interest expense over the contractual life of the notes. The notes held by third-party investors and the unamortized debt issuance costs are included in notes issued by securitization trusts with a balance of $134.1 million on the consolidated balance sheets as of September 30, 2020 and are secured by unsecured consumer loans at amortized cost of $140.9 million included in loans held for investment on the consolidated balance sheets at September 30, 2020.</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2020-A</w:t>
      </w:r>
    </w:p>
    <w:p>
      <w:pPr>
        <w:spacing w:after="0" w:line="148" w:lineRule="exact"/>
        <w:rPr>
          <w:sz w:val="20"/>
          <w:szCs w:val="20"/>
          <w:color w:val="auto"/>
        </w:rPr>
      </w:pPr>
    </w:p>
    <w:p>
      <w:pPr>
        <w:ind w:left="1260" w:right="919" w:firstLine="360"/>
        <w:spacing w:after="0" w:line="242" w:lineRule="auto"/>
        <w:rPr>
          <w:sz w:val="20"/>
          <w:szCs w:val="20"/>
          <w:color w:val="auto"/>
        </w:rPr>
      </w:pPr>
      <w:r>
        <w:rPr>
          <w:rFonts w:ascii="Times New Roman" w:cs="Times New Roman" w:eastAsia="Times New Roman" w:hAnsi="Times New Roman"/>
          <w:sz w:val="18"/>
          <w:szCs w:val="18"/>
          <w:color w:val="auto"/>
        </w:rPr>
        <w:t>The notes under the 2020 -A securitization were issued in three classes: Class A in the amount of $330.0 million, Class B in the amount of $16.2 million and Class C in the amount of $22.1 million (collectively, the “2020-A Notes”). The Class A, Class B and Class C notes bear interest at a fixed rate of</w:t>
      </w:r>
    </w:p>
    <w:p>
      <w:pPr>
        <w:spacing w:after="0" w:line="1" w:lineRule="exact"/>
        <w:rPr>
          <w:sz w:val="20"/>
          <w:szCs w:val="20"/>
          <w:color w:val="auto"/>
        </w:rPr>
      </w:pPr>
    </w:p>
    <w:p>
      <w:pPr>
        <w:ind w:left="1260" w:right="719"/>
        <w:spacing w:after="0" w:line="236" w:lineRule="auto"/>
        <w:rPr>
          <w:sz w:val="20"/>
          <w:szCs w:val="20"/>
          <w:color w:val="auto"/>
        </w:rPr>
      </w:pPr>
      <w:r>
        <w:rPr>
          <w:rFonts w:ascii="Times New Roman" w:cs="Times New Roman" w:eastAsia="Times New Roman" w:hAnsi="Times New Roman"/>
          <w:sz w:val="18"/>
          <w:szCs w:val="18"/>
          <w:color w:val="auto"/>
        </w:rPr>
        <w:t>2.10%, 3.54% and 6.23%, respectively, and each class has a maturity date of February 18, 2025. Principal and interest payments began in September 2020 and are payable monthly. These notes are recorded at amortized cost on the balance sheet. The associated debt issuance costs of $3.4 million are deferred and amortized into interest expense over the contractual life of the notes. The notes held by third-party investors and the unamortized debt issuance costs are included in notes issued by securitization trusts with a balance of $364.8 million on the consolidated balance sheets at September 30, 2020 and are secured by unsecured consumer loans at amortized cost of $399.2 million included in loans held for investment on the consolidated balance sheets as of September 30, 2020.</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Convertible Debt</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In April 2020, we entered into a note purchase agreement with various investors pursuant to which we issued convertible notes in an aggregate principal amount of $75.0 million with maturity dates in April 2021 and bearing interest at a rate of 1.00% per annum.</w:t>
      </w:r>
    </w:p>
    <w:p>
      <w:pPr>
        <w:spacing w:after="0" w:line="109"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The principal and any unpaid accrued interest of each convertible note will automatically convert into shares of redeemable convertible preferred stock upon the closing of a financing in which we receive no less than $50.0 million in proceeds from the issuance of redeemable convertible preferred stock. Where an issuance of the redeemable convertible preferred stock results in proceeds of less than $50.0 million, the holders of a majority of the interest in the aggregate principal amount of the convertible notes, may elect, at their option, to convert the principal amount and any unpaid accrued interest on each convertible note into</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6" w:name="page277"/>
    <w:bookmarkEnd w:id="27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shares of redeemable convertible preferred stock. In these situations, the conversion price is equal to the lesser of a discounted conversion price and a conversion price cap. The discounted conversion price varies depending on the time that has elapsed between the issuance of the convertible notes and the closing of the relevant financing. The conversion cap is determined based on a fixed valuation of the Company and on our capitalization determined immediately before the closing of the relevant financing on a fully diluted basis.</w:t>
      </w:r>
    </w:p>
    <w:p>
      <w:pPr>
        <w:spacing w:after="0" w:line="10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or a qualified initial public offering, the holders of a majority of the interest in the aggregate principal amount of the convertible notes, may elect, at their option, to redeem the convertible notes in cash or convert the convertible notes into shares of common stock. Upon a redemption in cash, the redemption price varies depending on the time that has elapsed between the issuance of the convertible notes and the corporate transaction or the qualified initial public offering. If conversion to common stock is elected, the conversion price is determined based on a fixed valuation of the Company and on our capitalization immediately before the closing of the liquidation transaction or qualified initial public offering on a fully diluted basis. A qualified initial public offering is one where the gross proceeds are no less than $50.0 million.</w:t>
      </w:r>
    </w:p>
    <w:p>
      <w:pPr>
        <w:spacing w:after="0" w:line="340"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Upon maturity, the holders of a majority of the interest in the aggregate principal amount of the convertible notes, may elect, at their option, to convert, at a fixed conversion price, the principal amount and any unpaid accrued interest into shares of a newly authorized series F-1 redeemable convertible preferred stock having similar rights, privileges, preferences and restrictions as our Series F redeemable convertible preferred stock.</w:t>
      </w:r>
    </w:p>
    <w:p>
      <w:pPr>
        <w:spacing w:after="0" w:line="116"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the accounting guidance on embedded conversion and redemption features in ASC 815, “Derivatives and Hedging”, we valued and bifurcated several derivatives from the host debt instrument because these embedded derivatives met the bifurcation criteria. The $2.8 million initial fair value of the bifurcated derivatives was recorded as a liability with the offset being recorded as a debt discount. Both the liability and the offsetting debt discount were presented together in convertible debt on the consolidated balance sheets. The resulting debt discount was being amortized to interest expense at an effective interest rate of 1.0% over the one-year term of the convertible notes. This interest expense is recorded in funding costs within operating expenses on our consolidated statements of operations. The change in fair value of these embedded derivatives is recognized in other income (expense), net, during the period of the change.</w:t>
      </w:r>
    </w:p>
    <w:p>
      <w:pPr>
        <w:spacing w:after="0" w:line="323"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In addition, the issuance of the convertible notes gave rise to a beneficial conversion feature because the rate of conversion upon maturity of the convertible notes was below the fair value of our redeemable convertible preferred stock on the issuance date. The intrinsic value of the beneficial conversion feature of $5.6 million was recorded as a debt discount with a corresponding amount to additional paid-in capital within stockholders’ deficit. The debt discount is presented within convertible notes in the consolidated balance sheets. The intrinsic value was calculated as the number of shares of redeemable convertible preferred stock available upon conversion multiplied by the difference between the effective conversion price per share and the fair value of the Series F redeemable convertible preferred stock on the issuance date. We were amortizing this discount to funding costs over the one-year term of the convertible notes using the straight-line method.</w:t>
      </w:r>
    </w:p>
    <w:p>
      <w:pPr>
        <w:spacing w:after="0" w:line="337"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Upon completion of the Series G equity financing in September 2020, the convertible notes were redeemed under the next equity financing feature, in which the proceeds from the issuance of preferred stock was not less than $50.0 million. The aggregate outstanding principal and accrued interest balance of the convertible notes of $75.5 million was converted into 4,444,321 shares of Series G-1 redeemable convertible preferred stock at a conversion price of $16.9374 per share. This conversion resulted in issuance of $88.6 million of Series G-1 redeemable convertible preferred stock at a fair value of $19.9263 per share. The total proceeds were allocated between the liability component of $46.5 million and equity component of $42.1 million. The conversion of the convertible notes was accounted for as a debt extinguishment, which resulted in a gain of $30.1 million. This gain represented the difference between the carrying value of the debt at the time of extinguishment and the allocated proceeds. This gain was recorded in other income (expense), net on the consolidated statements of operations. The reacquisition of the beneficial conversion feature was measured using the intrinsic value of the conversion option at the extinguishment date of $42.1 million and was recorded in equity.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7" w:name="page278"/>
    <w:bookmarkEnd w:id="27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Variable Interest Entities</w:t>
      </w:r>
    </w:p>
    <w:p>
      <w:pPr>
        <w:spacing w:after="0" w:line="148" w:lineRule="exact"/>
        <w:rPr>
          <w:sz w:val="20"/>
          <w:szCs w:val="20"/>
          <w:color w:val="auto"/>
        </w:rPr>
      </w:pPr>
    </w:p>
    <w:p>
      <w:pPr>
        <w:ind w:left="1260" w:right="1280" w:firstLine="360"/>
        <w:spacing w:after="0" w:line="242" w:lineRule="auto"/>
        <w:rPr>
          <w:sz w:val="20"/>
          <w:szCs w:val="20"/>
          <w:color w:val="auto"/>
        </w:rPr>
      </w:pPr>
      <w:r>
        <w:rPr>
          <w:rFonts w:ascii="Times New Roman" w:cs="Times New Roman" w:eastAsia="Times New Roman" w:hAnsi="Times New Roman"/>
          <w:sz w:val="18"/>
          <w:szCs w:val="18"/>
          <w:color w:val="auto"/>
        </w:rPr>
        <w:t>We consolidate VIEs when we are deemed to be the primary beneficiary. We established certain entities (deemed to be VIEs) to enter into warehouse credit facilities for the purpose of purchasing loans from our originating bank partner. See Note 8. Funding Debt for additional information. The creditors of the VIEs above have no recourse to the general credit of the Company as the primary beneficiary of the VIEs and the liabilities of the VIEs can only be settled by the respective VIE’s assets.</w:t>
      </w:r>
    </w:p>
    <w:p>
      <w:pPr>
        <w:spacing w:after="0" w:line="117" w:lineRule="exact"/>
        <w:rPr>
          <w:sz w:val="20"/>
          <w:szCs w:val="20"/>
          <w:color w:val="auto"/>
        </w:rPr>
      </w:pPr>
    </w:p>
    <w:p>
      <w:pPr>
        <w:ind w:left="1260" w:right="1320" w:firstLine="360"/>
        <w:spacing w:after="0" w:line="237" w:lineRule="auto"/>
        <w:rPr>
          <w:sz w:val="20"/>
          <w:szCs w:val="20"/>
          <w:color w:val="auto"/>
        </w:rPr>
      </w:pPr>
      <w:r>
        <w:rPr>
          <w:rFonts w:ascii="Times New Roman" w:cs="Times New Roman" w:eastAsia="Times New Roman" w:hAnsi="Times New Roman"/>
          <w:sz w:val="18"/>
          <w:szCs w:val="18"/>
          <w:color w:val="auto"/>
        </w:rPr>
        <w:t>Affirm Asset Securitization Trust 2020-Z1 and Affirm Asset Securitization Trust 2020-A are deemed VIEs. We consolidated the VIEs as the primary beneficiary because we, through our role as the servicer, have both the power to direct the activities that most significantly affect the VIEs’ economic performance and a variable interest that could potentially be significant to the VIEs through holding the retained residual certificates. In evaluating whether we are the primary beneficiary, management considers both qualitative and quantitative factors regarding the nature, size and form of our involvement with the VIEs. Management assesses whether we are the primary beneficiary of the VIEs on an on-going basis. For these VIEs, the creditors have no recourse to the general credit of the Company and the liabilities of the VIEs can only be settled by the respective VIEs’ assets. Additionally, the assets of the VIEs can be used only to settle obligations of the VIEs. Because we consolidate the securitization trusts, the loans held in the securitization trusts are included in loans held for investment, and the notes sold to third-party investors recorded in notes issued by securitization trusts in the condensed consolidated balance sheets.</w:t>
      </w:r>
    </w:p>
    <w:p>
      <w:pPr>
        <w:spacing w:after="0" w:line="126" w:lineRule="exact"/>
        <w:rPr>
          <w:sz w:val="20"/>
          <w:szCs w:val="20"/>
          <w:color w:val="auto"/>
        </w:rPr>
      </w:pPr>
    </w:p>
    <w:p>
      <w:pPr>
        <w:ind w:left="1260" w:right="2260" w:firstLine="360"/>
        <w:spacing w:after="0" w:line="266" w:lineRule="auto"/>
        <w:rPr>
          <w:sz w:val="20"/>
          <w:szCs w:val="20"/>
          <w:color w:val="auto"/>
        </w:rPr>
      </w:pPr>
      <w:r>
        <w:rPr>
          <w:rFonts w:ascii="Times New Roman" w:cs="Times New Roman" w:eastAsia="Times New Roman" w:hAnsi="Times New Roman"/>
          <w:sz w:val="18"/>
          <w:szCs w:val="18"/>
          <w:color w:val="auto"/>
        </w:rPr>
        <w:t>We did not have any transactions with unconsolidated VIEs during the three months ended September 30, 2019 and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148" w:lineRule="exact"/>
        <w:rPr>
          <w:sz w:val="20"/>
          <w:szCs w:val="20"/>
          <w:color w:val="auto"/>
        </w:rPr>
      </w:pPr>
    </w:p>
    <w:p>
      <w:pPr>
        <w:ind w:left="1260" w:right="13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June 30, 2020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2,132</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55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2,132</w:t>
            </w: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Constant maturity swaps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liabilities</w:t>
            </w:r>
          </w:p>
        </w:tc>
        <w:tc>
          <w:tcPr>
            <w:tcW w:w="16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1,540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43"/>
        </w:trPr>
        <w:tc>
          <w:tcPr>
            <w:tcW w:w="5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16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derivative</w:t>
            </w:r>
          </w:p>
        </w:tc>
        <w:tc>
          <w:tcPr>
            <w:tcW w:w="160" w:type="dxa"/>
            <w:vAlign w:val="bottom"/>
          </w:tcPr>
          <w:p>
            <w:pPr>
              <w:spacing w:after="0"/>
              <w:rPr>
                <w:sz w:val="22"/>
                <w:szCs w:val="22"/>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6,607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0" w:type="dxa"/>
            <w:vAlign w:val="bottom"/>
          </w:tcPr>
          <w:p>
            <w:pPr>
              <w:spacing w:after="0"/>
              <w:rPr>
                <w:sz w:val="1"/>
                <w:szCs w:val="1"/>
                <w:color w:val="auto"/>
              </w:rPr>
            </w:pPr>
          </w:p>
        </w:tc>
      </w:tr>
      <w:tr>
        <w:trPr>
          <w:trHeight w:val="20"/>
        </w:trPr>
        <w:tc>
          <w:tcPr>
            <w:tcW w:w="55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9,022</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34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-1139190</wp:posOffset>
            </wp:positionV>
            <wp:extent cx="4834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-1464945</wp:posOffset>
            </wp:positionV>
            <wp:extent cx="482600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91" w:lineRule="exact"/>
        <w:rPr>
          <w:sz w:val="20"/>
          <w:szCs w:val="20"/>
          <w:color w:val="auto"/>
        </w:rPr>
      </w:pPr>
    </w:p>
    <w:p>
      <w:pPr>
        <w:ind w:left="1260" w:right="13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September 30, 2020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assets</w:t>
            </w:r>
          </w:p>
        </w:tc>
        <w:tc>
          <w:tcPr>
            <w:tcW w:w="26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1,453</w:t>
            </w: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1,453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1,453</w:t>
            </w: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1,453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60" w:type="dxa"/>
            <w:vAlign w:val="bottom"/>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Constant maturity swaps</w:t>
            </w:r>
          </w:p>
        </w:tc>
        <w:tc>
          <w:tcPr>
            <w:tcW w:w="2800" w:type="dxa"/>
            <w:vAlign w:val="bottom"/>
            <w:gridSpan w:val="2"/>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2,257</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$2,257</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liabilities</w:t>
            </w: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1,521</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1,010</w:t>
            </w: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2,257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2,531</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4,788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F-62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-1645285</wp:posOffset>
            </wp:positionV>
            <wp:extent cx="4894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-1962150</wp:posOffset>
            </wp:positionV>
            <wp:extent cx="488632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78" w:name="page279"/>
    <w:bookmarkEnd w:id="27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During the fiscal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instruments are recorded at fair value, based on prices quoted for similar financial instruments in markets that are not active, and are presented within other assets on the consolidated balance sheets, together with the collateral amount required by the agreements. Any changes in the fair value of these financial instruments is reflected in other income (expense), net, on the consolidated statements of operations.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transfers between levels during the three months ended September 30, 2019 and 2020.</w:t>
      </w:r>
    </w:p>
    <w:p>
      <w:pPr>
        <w:spacing w:after="0" w:line="221"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We evaluate our financial assets and liabilities subject to fair value measurements on a recurring basis to determine the appropriate level at which to classify them each reporting period. Since our promote amount asset, servicing assets and liabilities, performance fee liability, and convertible debt derivatives do not trade in an active market with readily observable prices, we use significant unobservable inputs to measure fair value. This determination requires significant judgements to be made.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Promote Amount Asset</w:t>
      </w:r>
    </w:p>
    <w:p>
      <w:pPr>
        <w:spacing w:after="0" w:line="160"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In July 2017, we executed a loan sale agreement with a third-party loan buyer. Under this agreement the loan buyer agreed to share with us a promote amount with respect to each monthly cohort of loan sales, to the extent the internal rate of return (“IRR”) for such monthly cohort of loan sales exceeds the 7%. At each sale date, we determine the fair value of the promote amount by discounting our share of estimated cashflows as they exceed the IRR threshold and record an asset within other assets on the consolidated balance sheets.</w:t>
      </w:r>
    </w:p>
    <w:p>
      <w:pPr>
        <w:spacing w:after="0" w:line="323"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On September 13, 2019, Affirm Loan Asset Sales I LLC, a wholly owned subsidiary of Affirm Holdings, Inc., executed a side letter agreement with an existing third-party loan buyer to settle the promote amount asset. This settlement was completed in January 2020.</w:t>
      </w:r>
    </w:p>
    <w:p>
      <w:pPr>
        <w:spacing w:after="0" w:line="10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activity related to the fair value of the promote amount asset for the three months ended September 30, 2019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Promote Amount</w:t>
            </w:r>
          </w:p>
        </w:tc>
      </w:tr>
      <w:tr>
        <w:trPr>
          <w:trHeight w:val="190"/>
        </w:trPr>
        <w:tc>
          <w:tcPr>
            <w:tcW w:w="4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Asset</w:t>
            </w:r>
          </w:p>
        </w:tc>
      </w:tr>
      <w:tr>
        <w:trPr>
          <w:trHeight w:val="23"/>
        </w:trPr>
        <w:tc>
          <w:tcPr>
            <w:tcW w:w="45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2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$ 8,878</w:t>
            </w:r>
          </w:p>
        </w:tc>
        <w:tc>
          <w:tcPr>
            <w:tcW w:w="240" w:type="dxa"/>
            <w:vAlign w:val="bottom"/>
            <w:shd w:val="clear" w:color="auto" w:fill="CCEEFF"/>
          </w:tcPr>
          <w:p>
            <w:pPr>
              <w:spacing w:after="0"/>
              <w:rPr>
                <w:sz w:val="21"/>
                <w:szCs w:val="21"/>
                <w:color w:val="auto"/>
              </w:rPr>
            </w:pPr>
          </w:p>
        </w:tc>
      </w:tr>
      <w:tr>
        <w:trPr>
          <w:trHeight w:val="25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22"/>
                <w:szCs w:val="22"/>
                <w:color w:val="auto"/>
              </w:rPr>
            </w:pPr>
          </w:p>
        </w:tc>
      </w:tr>
      <w:tr>
        <w:trPr>
          <w:trHeight w:val="25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shd w:val="clear" w:color="auto" w:fill="CCEEFF"/>
          </w:tcPr>
          <w:p>
            <w:pPr>
              <w:spacing w:after="0"/>
              <w:rPr>
                <w:sz w:val="22"/>
                <w:szCs w:val="22"/>
                <w:color w:val="auto"/>
              </w:rPr>
            </w:pPr>
          </w:p>
        </w:tc>
      </w:tr>
      <w:tr>
        <w:trPr>
          <w:trHeight w:val="26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settlement</w:t>
            </w:r>
          </w:p>
        </w:tc>
        <w:tc>
          <w:tcPr>
            <w:tcW w:w="2080" w:type="dxa"/>
            <w:vAlign w:val="bottom"/>
            <w:gridSpan w:val="2"/>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(1,854)</w:t>
            </w:r>
          </w:p>
        </w:tc>
      </w:tr>
      <w:tr>
        <w:trPr>
          <w:trHeight w:val="26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September 30, 2019</w:t>
            </w:r>
          </w:p>
        </w:tc>
        <w:tc>
          <w:tcPr>
            <w:tcW w:w="20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$ 9,272</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0716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160"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2019 and 2020, we sold loans with an unpaid balance of $402.5 million and $421.6 million, respectively, of which we retained servicing rights. As of June 30, 2020 and September 30, 2020, we serviced loans we sold with a remaining unpaid principal balance of $1,365.6 million and $1,327.0 million, respectively.</w:t>
      </w:r>
    </w:p>
    <w:p>
      <w:pPr>
        <w:spacing w:after="0" w:line="99"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160"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9" w:name="page280"/>
    <w:bookmarkEnd w:id="27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Default Rate</w:t>
      </w:r>
    </w:p>
    <w:p>
      <w:pPr>
        <w:spacing w:after="0" w:line="160"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write-offs, thus affecting the projected unpaid principal balance and expected term of the loan, which are used to project future servicing revenues and expenses.</w:t>
      </w:r>
    </w:p>
    <w:p>
      <w:pPr>
        <w:spacing w:after="0" w:line="10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2019 and 2020, we earned $2.1 million and $4.1 million of servicing income, respectively. As of June 30, 2020 and September 30, 2020, the aggregate fair value of the servicing assets was measured at $2.1 million and $1.5 million, respectively, and presented within other assets on the condensed consolidated balance sheets. As of June 30, 2020 and September 30, 2020, the aggregate fair value of the servicing liabilities was measured at $1.5 million and $1.5 million, respectively, and presented within accrued expenses and other liabilities on the condensed consolidated balance sheets.</w:t>
      </w:r>
    </w:p>
    <w:p>
      <w:pPr>
        <w:spacing w:after="0" w:line="106"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and liabilities for the three months ended September 30 (in thousands):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Servicing</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Servicing</w:t>
            </w:r>
          </w:p>
        </w:tc>
      </w:tr>
      <w:tr>
        <w:trPr>
          <w:trHeight w:val="190"/>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3"/>
        </w:trPr>
        <w:tc>
          <w:tcPr>
            <w:tcW w:w="5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(1,130)</w:t>
            </w:r>
          </w:p>
        </w:tc>
        <w:tc>
          <w:tcPr>
            <w:tcW w:w="60" w:type="dxa"/>
            <w:vAlign w:val="bottom"/>
            <w:tcBorders>
              <w:left w:val="single" w:sz="8" w:color="CCEEFF"/>
            </w:tcBorders>
          </w:tcPr>
          <w:p>
            <w:pPr>
              <w:spacing w:after="0"/>
              <w:rPr>
                <w:sz w:val="21"/>
                <w:szCs w:val="21"/>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6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60" w:type="dxa"/>
            <w:vAlign w:val="bottom"/>
            <w:tcBorders>
              <w:right w:val="single" w:sz="8" w:color="CCEEFF"/>
            </w:tcBorders>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60" w:type="dxa"/>
            <w:vAlign w:val="bottom"/>
            <w:tcBorders>
              <w:left w:val="single" w:sz="8" w:color="CCEEFF"/>
            </w:tcBorders>
          </w:tcPr>
          <w:p>
            <w:pPr>
              <w:spacing w:after="0"/>
              <w:rPr>
                <w:sz w:val="22"/>
                <w:szCs w:val="22"/>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tcPr>
          <w:p>
            <w:pPr>
              <w:spacing w:after="0"/>
              <w:rPr>
                <w:sz w:val="24"/>
                <w:szCs w:val="24"/>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gridSpan w:val="2"/>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shd w:val="clear" w:color="auto" w:fill="CCEEFF"/>
          </w:tcPr>
          <w:p>
            <w:pPr>
              <w:spacing w:after="0"/>
              <w:rPr>
                <w:sz w:val="20"/>
                <w:szCs w:val="20"/>
                <w:color w:val="auto"/>
              </w:rPr>
            </w:pPr>
          </w:p>
        </w:tc>
        <w:tc>
          <w:tcPr>
            <w:tcW w:w="1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(1,540)</w:t>
            </w:r>
          </w:p>
        </w:tc>
        <w:tc>
          <w:tcPr>
            <w:tcW w:w="60" w:type="dxa"/>
            <w:vAlign w:val="bottom"/>
            <w:tcBorders>
              <w:left w:val="single" w:sz="8" w:color="CCEEFF"/>
            </w:tcBorders>
          </w:tcPr>
          <w:p>
            <w:pPr>
              <w:spacing w:after="0"/>
              <w:rPr>
                <w:sz w:val="20"/>
                <w:szCs w:val="20"/>
                <w:color w:val="auto"/>
              </w:rPr>
            </w:pPr>
          </w:p>
        </w:tc>
      </w:tr>
      <w:tr>
        <w:trPr>
          <w:trHeight w:val="25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(1,006)</w:t>
            </w:r>
          </w:p>
        </w:tc>
      </w:tr>
      <w:tr>
        <w:trPr>
          <w:trHeight w:val="26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60" w:type="dxa"/>
            <w:vAlign w:val="bottom"/>
            <w:tcBorders>
              <w:right w:val="single" w:sz="8" w:color="CCEEFF"/>
            </w:tcBorders>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60" w:type="dxa"/>
            <w:vAlign w:val="bottom"/>
            <w:tcBorders>
              <w:left w:val="single" w:sz="8" w:color="CCEEFF"/>
            </w:tcBorders>
          </w:tcPr>
          <w:p>
            <w:pPr>
              <w:spacing w:after="0"/>
              <w:rPr>
                <w:sz w:val="22"/>
                <w:szCs w:val="22"/>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20" w:type="dxa"/>
            <w:vAlign w:val="bottom"/>
          </w:tcPr>
          <w:p>
            <w:pPr>
              <w:spacing w:after="0"/>
              <w:rPr>
                <w:sz w:val="22"/>
                <w:szCs w:val="22"/>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(1,521)</w:t>
            </w: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-205105</wp:posOffset>
            </wp:positionV>
            <wp:extent cx="1714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-899795</wp:posOffset>
            </wp:positionV>
            <wp:extent cx="1714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-1405255</wp:posOffset>
            </wp:positionV>
            <wp:extent cx="435483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21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servicing assets and liabilities as of June 30, 2020:</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23"/>
        </w:trPr>
        <w:tc>
          <w:tcPr>
            <w:tcW w:w="2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line="27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0.89%</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0.76%</w:t>
            </w:r>
          </w:p>
        </w:tc>
      </w:tr>
      <w:tr>
        <w:trPr>
          <w:trHeight w:val="257"/>
        </w:trPr>
        <w:tc>
          <w:tcPr>
            <w:tcW w:w="2360" w:type="dxa"/>
            <w:vAlign w:val="bottom"/>
            <w:shd w:val="clear" w:color="auto" w:fill="CCEEFF"/>
          </w:tcPr>
          <w:p>
            <w:pPr>
              <w:spacing w:after="0"/>
              <w:rPr>
                <w:sz w:val="22"/>
                <w:szCs w:val="22"/>
                <w:color w:val="auto"/>
              </w:rPr>
            </w:pP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0.82%</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0.82%</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Servicing liabilities</w:t>
            </w: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2360" w:type="dxa"/>
            <w:vAlign w:val="bottom"/>
            <w:shd w:val="clear" w:color="auto" w:fill="CCEEFF"/>
          </w:tcPr>
          <w:p>
            <w:pPr>
              <w:spacing w:after="0"/>
              <w:rPr>
                <w:sz w:val="23"/>
                <w:szCs w:val="23"/>
                <w:color w:val="auto"/>
              </w:rPr>
            </w:pPr>
          </w:p>
        </w:tc>
        <w:tc>
          <w:tcPr>
            <w:tcW w:w="3080" w:type="dxa"/>
            <w:vAlign w:val="bottom"/>
            <w:gridSpan w:val="3"/>
            <w:shd w:val="clear" w:color="auto" w:fill="CCEEFF"/>
          </w:tcPr>
          <w:p>
            <w:pPr>
              <w:ind w:left="860"/>
              <w:spacing w:after="0" w:line="27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2.55%</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10.99%</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-1010920</wp:posOffset>
            </wp:positionV>
            <wp:extent cx="13716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-1010920</wp:posOffset>
            </wp:positionV>
            <wp:extent cx="13716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-1010920</wp:posOffset>
            </wp:positionV>
            <wp:extent cx="13716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204851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hanging="358"/>
        <w:spacing w:after="0"/>
        <w:tabs>
          <w:tab w:leader="none" w:pos="16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 of servicing a loan as a percentage of unpaid principal balance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0" w:name="page281"/>
    <w:bookmarkEnd w:id="28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servicing assets and liabilities as of September 30, 2020:</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23"/>
        </w:trPr>
        <w:tc>
          <w:tcPr>
            <w:tcW w:w="2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assets</w:t>
            </w: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line="27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0.99%</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0.82%</w:t>
            </w:r>
          </w:p>
        </w:tc>
      </w:tr>
      <w:tr>
        <w:trPr>
          <w:trHeight w:val="257"/>
        </w:trPr>
        <w:tc>
          <w:tcPr>
            <w:tcW w:w="2360" w:type="dxa"/>
            <w:vAlign w:val="bottom"/>
            <w:shd w:val="clear" w:color="auto" w:fill="CCEEFF"/>
          </w:tcPr>
          <w:p>
            <w:pPr>
              <w:spacing w:after="0"/>
              <w:rPr>
                <w:sz w:val="22"/>
                <w:szCs w:val="22"/>
                <w:color w:val="auto"/>
              </w:rPr>
            </w:pPr>
          </w:p>
        </w:tc>
        <w:tc>
          <w:tcPr>
            <w:tcW w:w="3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0.77%</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0.73%</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Servicing liabilities</w:t>
            </w: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Discount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2360" w:type="dxa"/>
            <w:vAlign w:val="bottom"/>
            <w:shd w:val="clear" w:color="auto" w:fill="CCEEFF"/>
          </w:tcPr>
          <w:p>
            <w:pPr>
              <w:spacing w:after="0"/>
              <w:rPr>
                <w:sz w:val="23"/>
                <w:szCs w:val="23"/>
                <w:color w:val="auto"/>
              </w:rPr>
            </w:pPr>
          </w:p>
        </w:tc>
        <w:tc>
          <w:tcPr>
            <w:tcW w:w="3080" w:type="dxa"/>
            <w:vAlign w:val="bottom"/>
            <w:gridSpan w:val="3"/>
            <w:shd w:val="clear" w:color="auto" w:fill="CCEEFF"/>
          </w:tcPr>
          <w:p>
            <w:pPr>
              <w:ind w:left="860"/>
              <w:spacing w:after="0" w:line="27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2.53%</w:t>
            </w:r>
          </w:p>
        </w:tc>
      </w:tr>
      <w:tr>
        <w:trPr>
          <w:trHeight w:val="270"/>
        </w:trPr>
        <w:tc>
          <w:tcPr>
            <w:tcW w:w="2360" w:type="dxa"/>
            <w:vAlign w:val="bottom"/>
          </w:tcPr>
          <w:p>
            <w:pPr>
              <w:spacing w:after="0"/>
              <w:rPr>
                <w:sz w:val="23"/>
                <w:szCs w:val="23"/>
                <w:color w:val="auto"/>
              </w:rPr>
            </w:pPr>
          </w:p>
        </w:tc>
        <w:tc>
          <w:tcPr>
            <w:tcW w:w="30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Net default rate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-1010920</wp:posOffset>
            </wp:positionV>
            <wp:extent cx="13716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-1010920</wp:posOffset>
            </wp:positionV>
            <wp:extent cx="13716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-1010920</wp:posOffset>
            </wp:positionV>
            <wp:extent cx="13716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204851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163195</wp:posOffset>
            </wp:positionV>
            <wp:extent cx="123444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Estimated cost of servicing a loan as a percentage of unpaid principal balance</w:t>
      </w:r>
    </w:p>
    <w:p>
      <w:pPr>
        <w:spacing w:after="0" w:line="14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 adverse changes in estimates would have on the fair value of the servicing assets and liabilities as of June 30, 2020 and September 30, 2020, respectively, given hypothetical changes in significant unobservable inputs (in thousands):</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default rate assumption:</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(1,338)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5"/>
              </w:rPr>
              <w:t>(1,292)</w:t>
            </w:r>
          </w:p>
        </w:tc>
      </w:tr>
      <w:tr>
        <w:trPr>
          <w:trHeight w:val="27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(2,675)</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(2,584)</w:t>
            </w: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default rate assumption:</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default rate increase of 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(1,438)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5"/>
              </w:rPr>
              <w:t>(1,429)</w:t>
            </w:r>
          </w:p>
        </w:tc>
      </w:tr>
      <w:tr>
        <w:trPr>
          <w:trHeight w:val="27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(2,875)</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(2,857)</w:t>
            </w: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-3402330</wp:posOffset>
            </wp:positionV>
            <wp:extent cx="419163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16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our agreement with our originating bank partner,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consolidated balance sheets. Any changes in the fair value of the liability are reflected in other income (expense), net, on the consolidated statements of operations.</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1" w:name="page282"/>
    <w:bookmarkEnd w:id="28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for the three months ended September 30, 2019 and 2020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Performance Fee</w:t>
            </w:r>
          </w:p>
        </w:tc>
      </w:tr>
      <w:tr>
        <w:trPr>
          <w:trHeight w:val="190"/>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3"/>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2019</w:t>
            </w:r>
          </w:p>
        </w:tc>
        <w:tc>
          <w:tcPr>
            <w:tcW w:w="56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shd w:val="clear" w:color="auto" w:fill="CCEEFF"/>
          </w:tcPr>
          <w:p>
            <w:pPr>
              <w:spacing w:after="0"/>
              <w:rPr>
                <w:sz w:val="21"/>
                <w:szCs w:val="21"/>
                <w:color w:val="auto"/>
              </w:rPr>
            </w:pPr>
          </w:p>
        </w:tc>
      </w:tr>
      <w:tr>
        <w:trPr>
          <w:trHeight w:val="257"/>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loans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22"/>
                <w:szCs w:val="22"/>
                <w:color w:val="auto"/>
              </w:rPr>
            </w:pPr>
          </w:p>
        </w:tc>
      </w:tr>
      <w:tr>
        <w:trPr>
          <w:trHeight w:val="263"/>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2019</w:t>
            </w:r>
          </w:p>
        </w:tc>
        <w:tc>
          <w:tcPr>
            <w:tcW w:w="5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spacing w:after="0"/>
              <w:rPr>
                <w:sz w:val="24"/>
                <w:szCs w:val="24"/>
                <w:color w:val="auto"/>
              </w:rPr>
            </w:pP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56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shd w:val="clear" w:color="auto" w:fill="CCEEFF"/>
          </w:tcPr>
          <w:p>
            <w:pPr>
              <w:spacing w:after="0"/>
              <w:rPr>
                <w:sz w:val="20"/>
                <w:szCs w:val="20"/>
                <w:color w:val="auto"/>
              </w:rPr>
            </w:pPr>
          </w:p>
        </w:tc>
      </w:tr>
      <w:tr>
        <w:trPr>
          <w:trHeight w:val="257"/>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loans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22"/>
                <w:szCs w:val="22"/>
                <w:color w:val="auto"/>
              </w:rPr>
            </w:pPr>
          </w:p>
        </w:tc>
      </w:tr>
      <w:tr>
        <w:trPr>
          <w:trHeight w:val="263"/>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2020</w:t>
            </w:r>
          </w:p>
        </w:tc>
        <w:tc>
          <w:tcPr>
            <w:tcW w:w="5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1,010</w:t>
            </w:r>
          </w:p>
        </w:tc>
        <w:tc>
          <w:tcPr>
            <w:tcW w:w="280" w:type="dxa"/>
            <w:vAlign w:val="bottom"/>
          </w:tcPr>
          <w:p>
            <w:pPr>
              <w:spacing w:after="0"/>
              <w:rPr>
                <w:sz w:val="22"/>
                <w:szCs w:val="22"/>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-1405255</wp:posOffset>
            </wp:positionV>
            <wp:extent cx="408051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1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our level 3 fair value measurements of the performance fee liability as of June 30, 2020 and September 30, 2020:</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3"/>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Refund rate</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r>
      <w:tr>
        <w:trPr>
          <w:trHeight w:val="2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 rate</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-496570</wp:posOffset>
            </wp:positionV>
            <wp:extent cx="13716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-496570</wp:posOffset>
            </wp:positionV>
            <wp:extent cx="13716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-496570</wp:posOffset>
            </wp:positionV>
            <wp:extent cx="13716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 adverse changes in estimates would have on the fair value of the performance fee liability as of June 30, 2020 and September 30, 2020, respectively, given hypothetical changes in significant unobservable inputs (in thousands):</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240" w:type="dxa"/>
            <w:vAlign w:val="bottom"/>
          </w:tcPr>
          <w:p>
            <w:pPr>
              <w:spacing w:after="0"/>
              <w:rPr>
                <w:sz w:val="16"/>
                <w:szCs w:val="16"/>
                <w:color w:val="auto"/>
              </w:rPr>
            </w:pPr>
          </w:p>
        </w:tc>
        <w:tc>
          <w:tcPr>
            <w:tcW w:w="2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2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Performance fee liability</w:t>
            </w:r>
          </w:p>
        </w:tc>
        <w:tc>
          <w:tcPr>
            <w:tcW w:w="1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5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assumption:</w:t>
            </w:r>
          </w:p>
        </w:tc>
        <w:tc>
          <w:tcPr>
            <w:tcW w:w="1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57"/>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57"/>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(59)</w:t>
            </w:r>
          </w:p>
        </w:tc>
      </w:tr>
      <w:tr>
        <w:trPr>
          <w:trHeight w:val="27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 rate assumption:</w:t>
            </w:r>
          </w:p>
        </w:tc>
        <w:tc>
          <w:tcPr>
            <w:tcW w:w="1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Refund rate increase of 25%</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Refund rate increase of 50%</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 rate assumption:</w:t>
            </w: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Default rate increase of 25%</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Default rate increase of 50%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-1688465</wp:posOffset>
            </wp:positionV>
            <wp:extent cx="419163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Debt Derivative Liability</w:t>
      </w:r>
    </w:p>
    <w:p>
      <w:pPr>
        <w:spacing w:after="0" w:line="160"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See Note 10. Convertible Debt for a description of the convertible debt derivative liability. On September 11, 2020, the convertible notes were converted into 4,444,321 shares of Series G-1 redeemable convertible preferred stock. The conversion of the notes was accounted for as a debt extinguishment and as such the convertible debt derivative liability was extinguished.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2" w:name="page283"/>
    <w:bookmarkEnd w:id="28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convertible debt derivative liability for the three months ended September 30, 2020 (in thousands):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Convertible Debt</w:t>
            </w:r>
          </w:p>
        </w:tc>
      </w:tr>
      <w:tr>
        <w:trPr>
          <w:trHeight w:val="190"/>
        </w:trPr>
        <w:tc>
          <w:tcPr>
            <w:tcW w:w="6300" w:type="dxa"/>
            <w:vAlign w:val="bottom"/>
          </w:tcPr>
          <w:p>
            <w:pPr>
              <w:spacing w:after="0"/>
              <w:rPr>
                <w:sz w:val="16"/>
                <w:szCs w:val="16"/>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Derivative Liability</w:t>
            </w:r>
          </w:p>
        </w:tc>
      </w:tr>
      <w:tr>
        <w:trPr>
          <w:trHeight w:val="2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June 30, 2020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300" w:type="dxa"/>
            <w:vAlign w:val="bottom"/>
            <w:shd w:val="clear" w:color="auto" w:fill="CCEEFF"/>
          </w:tcPr>
          <w:p>
            <w:pPr>
              <w:spacing w:after="0"/>
              <w:rPr>
                <w:sz w:val="21"/>
                <w:szCs w:val="21"/>
                <w:color w:val="auto"/>
              </w:rPr>
            </w:pPr>
          </w:p>
        </w:tc>
      </w:tr>
      <w:tr>
        <w:trPr>
          <w:trHeight w:val="26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liability</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(6,607)</w:t>
            </w:r>
          </w:p>
        </w:tc>
      </w:tr>
      <w:tr>
        <w:trPr>
          <w:trHeight w:val="26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September 30, 2020</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399478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June 30, 2020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3"/>
        </w:trPr>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267,059</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267,059</w:t>
            </w:r>
          </w:p>
        </w:tc>
      </w:tr>
      <w:tr>
        <w:trPr>
          <w:trHeight w:val="257"/>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r>
      <w:tr>
        <w:trPr>
          <w:trHeight w:val="25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r>
      <w:tr>
        <w:trPr>
          <w:trHeight w:val="257"/>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939,175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922,919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922,919</w:t>
            </w:r>
          </w:p>
        </w:tc>
      </w:tr>
      <w:tr>
        <w:trPr>
          <w:trHeight w:val="25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59,001</w:t>
            </w:r>
          </w:p>
        </w:tc>
      </w:tr>
      <w:tr>
        <w:trPr>
          <w:trHeight w:val="26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303"/>
        </w:trPr>
        <w:tc>
          <w:tcPr>
            <w:tcW w:w="3680" w:type="dxa"/>
            <w:vAlign w:val="bottom"/>
            <w:tcBorders>
              <w:top w:val="single" w:sz="8" w:color="CCEEFF"/>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1,338,747</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328,128</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71,444</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922,919</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1,322,491</w:t>
            </w:r>
          </w:p>
        </w:tc>
      </w:tr>
      <w:tr>
        <w:trPr>
          <w:trHeight w:val="203"/>
        </w:trPr>
        <w:tc>
          <w:tcPr>
            <w:tcW w:w="3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18,361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r>
      <w:tr>
        <w:trPr>
          <w:trHeight w:val="270"/>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third-party loan owners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24,998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70"/>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25,395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r>
      <w:tr>
        <w:trPr>
          <w:trHeight w:val="277"/>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817,926</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805,910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805,910</w:t>
            </w:r>
          </w:p>
        </w:tc>
      </w:tr>
      <w:tr>
        <w:trPr>
          <w:trHeight w:val="277"/>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956,155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70,614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873,525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944,139</w:t>
            </w: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-2750820</wp:posOffset>
            </wp:positionV>
            <wp:extent cx="13716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-2750820</wp:posOffset>
            </wp:positionV>
            <wp:extent cx="13716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-2750820</wp:posOffset>
            </wp:positionV>
            <wp:extent cx="1371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-2750820</wp:posOffset>
            </wp:positionV>
            <wp:extent cx="299148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7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September 30, 2020 (in thousands):</w:t>
      </w:r>
    </w:p>
    <w:p>
      <w:pPr>
        <w:spacing w:after="0" w:line="1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3"/>
        </w:trPr>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684,423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684,423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684,423</w:t>
            </w:r>
          </w:p>
        </w:tc>
      </w:tr>
      <w:tr>
        <w:trPr>
          <w:trHeight w:val="257"/>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101,451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w:t>
            </w:r>
          </w:p>
        </w:tc>
      </w:tr>
      <w:tr>
        <w:trPr>
          <w:trHeight w:val="25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57"/>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1,289,884</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1,273,870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1,273,870</w:t>
            </w:r>
          </w:p>
        </w:tc>
      </w:tr>
      <w:tr>
        <w:trPr>
          <w:trHeight w:val="25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49,026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w:t>
            </w:r>
          </w:p>
        </w:tc>
      </w:tr>
      <w:tr>
        <w:trPr>
          <w:trHeight w:val="2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330"/>
        </w:trPr>
        <w:tc>
          <w:tcPr>
            <w:tcW w:w="3540" w:type="dxa"/>
            <w:vAlign w:val="bottom"/>
            <w:tcBorders>
              <w:top w:val="single" w:sz="8" w:color="CCEEFF"/>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2,134,952</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785,874</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59,194</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1,273,870</w:t>
            </w:r>
          </w:p>
        </w:tc>
        <w:tc>
          <w:tcPr>
            <w:tcW w:w="2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2,118,938</w:t>
            </w: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5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24,471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w:t>
            </w:r>
          </w:p>
        </w:tc>
      </w:tr>
      <w:tr>
        <w:trPr>
          <w:trHeight w:val="270"/>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third-party loan owners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21,205</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21,205</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-1868170</wp:posOffset>
            </wp:positionV>
            <wp:extent cx="13716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-1868170</wp:posOffset>
            </wp:positionV>
            <wp:extent cx="13716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13716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-1868170</wp:posOffset>
            </wp:positionV>
            <wp:extent cx="290576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3" w:name="page284"/>
    <w:bookmarkEnd w:id="28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3640" w:type="dxa"/>
            <w:vAlign w:val="bottom"/>
          </w:tcPr>
          <w:p>
            <w:pPr>
              <w:spacing w:after="0"/>
              <w:rPr>
                <w:sz w:val="16"/>
                <w:szCs w:val="16"/>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Level 1</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3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5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4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2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r>
      <w:tr>
        <w:trPr>
          <w:trHeight w:val="257"/>
        </w:trPr>
        <w:tc>
          <w:tcPr>
            <w:tcW w:w="3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498,921</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490,298</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490,298</w:t>
            </w: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698,892</w:t>
            </w:r>
          </w:p>
        </w:tc>
        <w:tc>
          <w:tcPr>
            <w:tcW w:w="24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696,382</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696,382</w:t>
            </w:r>
          </w:p>
        </w:tc>
      </w:tr>
      <w:tr>
        <w:trPr>
          <w:trHeight w:val="20"/>
        </w:trPr>
        <w:tc>
          <w:tcPr>
            <w:tcW w:w="36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57"/>
        </w:trPr>
        <w:tc>
          <w:tcPr>
            <w:tcW w:w="36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$ 1,268,967</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$ 71,154</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$ 1,186,680</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$ 1,257,834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-196215</wp:posOffset>
            </wp:positionV>
            <wp:extent cx="14605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-196215</wp:posOffset>
            </wp:positionV>
            <wp:extent cx="14541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-196215</wp:posOffset>
            </wp:positionV>
            <wp:extent cx="14541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299148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-864870</wp:posOffset>
            </wp:positionV>
            <wp:extent cx="13716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-864870</wp:posOffset>
            </wp:positionV>
            <wp:extent cx="13716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-864870</wp:posOffset>
            </wp:positionV>
            <wp:extent cx="13716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-864870</wp:posOffset>
            </wp:positionV>
            <wp:extent cx="298323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55" w:lineRule="exact"/>
        <w:rPr>
          <w:sz w:val="20"/>
          <w:szCs w:val="20"/>
          <w:color w:val="auto"/>
        </w:rPr>
      </w:pPr>
    </w:p>
    <w:p>
      <w:pPr>
        <w:ind w:left="1260" w:right="3619"/>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13. Redeemable Convertible Preferred Stock and Stockholders’ Deficit </w:t>
      </w:r>
      <w:r>
        <w:rPr>
          <w:rFonts w:ascii="Times New Roman" w:cs="Times New Roman" w:eastAsia="Times New Roman" w:hAnsi="Times New Roman"/>
          <w:sz w:val="18"/>
          <w:szCs w:val="18"/>
          <w:b w:val="1"/>
          <w:bCs w:val="1"/>
          <w:i w:val="1"/>
          <w:iCs w:val="1"/>
          <w:color w:val="auto"/>
        </w:rPr>
        <w:t>Redeemable Convertible Preferred Stock</w:t>
      </w:r>
    </w:p>
    <w:p>
      <w:pPr>
        <w:spacing w:after="0" w:line="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authorized, issued and outstanding redeemable convertible preferred stock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30, 2020 is as follows: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5"/>
          </w:tcPr>
          <w:p>
            <w:pPr>
              <w:spacing w:after="0"/>
              <w:rPr>
                <w:sz w:val="2"/>
                <w:szCs w:val="2"/>
                <w:color w:val="auto"/>
              </w:rPr>
            </w:pPr>
          </w:p>
        </w:tc>
        <w:tc>
          <w:tcPr>
            <w:tcW w:w="1420" w:type="dxa"/>
            <w:vAlign w:val="bottom"/>
            <w:gridSpan w:val="4"/>
          </w:tcPr>
          <w:p>
            <w:pPr>
              <w:spacing w:after="0"/>
              <w:rPr>
                <w:sz w:val="2"/>
                <w:szCs w:val="2"/>
                <w:color w:val="auto"/>
              </w:rPr>
            </w:pPr>
          </w:p>
        </w:tc>
      </w:tr>
      <w:tr>
        <w:trPr>
          <w:trHeight w:val="171"/>
        </w:trPr>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220" w:type="dxa"/>
            <w:vAlign w:val="bottom"/>
          </w:tcPr>
          <w:p>
            <w:pPr>
              <w:spacing w:after="0"/>
              <w:rPr>
                <w:sz w:val="14"/>
                <w:szCs w:val="14"/>
                <w:color w:val="auto"/>
              </w:rPr>
            </w:pPr>
          </w:p>
        </w:tc>
        <w:tc>
          <w:tcPr>
            <w:tcW w:w="1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Liquidation Preference</w:t>
            </w:r>
          </w:p>
        </w:tc>
      </w:tr>
      <w:tr>
        <w:trPr>
          <w:trHeight w:val="190"/>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11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r>
      <w:tr>
        <w:trPr>
          <w:trHeight w:val="23"/>
        </w:trPr>
        <w:tc>
          <w:tcPr>
            <w:tcW w:w="3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380" w:type="dxa"/>
            <w:vAlign w:val="bottom"/>
            <w:shd w:val="clear" w:color="auto" w:fill="CCEEFF"/>
          </w:tcPr>
          <w:p>
            <w:pPr>
              <w:spacing w:after="0"/>
              <w:rPr>
                <w:sz w:val="21"/>
                <w:szCs w:val="21"/>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80" w:type="dxa"/>
            <w:vAlign w:val="bottom"/>
          </w:tcPr>
          <w:p>
            <w:pPr>
              <w:spacing w:after="0"/>
              <w:rPr>
                <w:sz w:val="22"/>
                <w:szCs w:val="22"/>
                <w:color w:val="auto"/>
              </w:rPr>
            </w:pPr>
          </w:p>
        </w:tc>
      </w:tr>
      <w:tr>
        <w:trPr>
          <w:trHeight w:val="257"/>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15,129,141</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13,802,530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380" w:type="dxa"/>
            <w:vAlign w:val="bottom"/>
            <w:shd w:val="clear" w:color="auto" w:fill="CCEEFF"/>
          </w:tcPr>
          <w:p>
            <w:pPr>
              <w:spacing w:after="0"/>
              <w:rPr>
                <w:sz w:val="22"/>
                <w:szCs w:val="22"/>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22,705,526</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22,318,532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137,471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137,614</w:t>
            </w:r>
          </w:p>
        </w:tc>
        <w:tc>
          <w:tcPr>
            <w:tcW w:w="380" w:type="dxa"/>
            <w:vAlign w:val="bottom"/>
          </w:tcPr>
          <w:p>
            <w:pPr>
              <w:spacing w:after="0"/>
              <w:rPr>
                <w:sz w:val="22"/>
                <w:szCs w:val="22"/>
                <w:color w:val="auto"/>
              </w:rPr>
            </w:pPr>
          </w:p>
        </w:tc>
      </w:tr>
      <w:tr>
        <w:trPr>
          <w:trHeight w:val="256"/>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242,435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242,597</w:t>
            </w:r>
          </w:p>
        </w:tc>
        <w:tc>
          <w:tcPr>
            <w:tcW w:w="380" w:type="dxa"/>
            <w:vAlign w:val="bottom"/>
            <w:shd w:val="clear" w:color="auto" w:fill="CCEEFF"/>
          </w:tcPr>
          <w:p>
            <w:pPr>
              <w:spacing w:after="0"/>
              <w:rPr>
                <w:sz w:val="22"/>
                <w:szCs w:val="22"/>
                <w:color w:val="auto"/>
              </w:rPr>
            </w:pPr>
          </w:p>
        </w:tc>
      </w:tr>
      <w:tr>
        <w:trPr>
          <w:trHeight w:val="264"/>
        </w:trPr>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24,009,471</w:t>
            </w: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23,386,038</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304,064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308,300</w:t>
            </w:r>
          </w:p>
        </w:tc>
        <w:tc>
          <w:tcPr>
            <w:tcW w:w="380" w:type="dxa"/>
            <w:vAlign w:val="bottom"/>
            <w:tcBorders>
              <w:bottom w:val="single" w:sz="8" w:color="CCEEFF"/>
            </w:tcBorders>
          </w:tcPr>
          <w:p>
            <w:pPr>
              <w:spacing w:after="0"/>
              <w:rPr>
                <w:sz w:val="22"/>
                <w:szCs w:val="22"/>
                <w:color w:val="auto"/>
              </w:rPr>
            </w:pPr>
          </w:p>
        </w:tc>
      </w:tr>
      <w:tr>
        <w:trPr>
          <w:trHeight w:val="26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124,453,009</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122,115,971</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804,170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809,032</w:t>
            </w:r>
          </w:p>
        </w:tc>
        <w:tc>
          <w:tcPr>
            <w:tcW w:w="380" w:type="dxa"/>
            <w:vAlign w:val="bottom"/>
            <w:shd w:val="clear" w:color="auto" w:fill="CCEEFF"/>
          </w:tcPr>
          <w:p>
            <w:pPr>
              <w:spacing w:after="0"/>
              <w:rPr>
                <w:sz w:val="22"/>
                <w:szCs w:val="22"/>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-187960</wp:posOffset>
            </wp:positionV>
            <wp:extent cx="23177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44577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21399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286321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-1182370</wp:posOffset>
            </wp:positionV>
            <wp:extent cx="13716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-1182370</wp:posOffset>
            </wp:positionV>
            <wp:extent cx="13716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-1182370</wp:posOffset>
            </wp:positionV>
            <wp:extent cx="13716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-1182370</wp:posOffset>
            </wp:positionV>
            <wp:extent cx="13716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authorized, issued and outstanding redeemable convertible preferred stock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2020 is as follows: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
        </w:trPr>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1420" w:type="dxa"/>
            <w:vAlign w:val="bottom"/>
            <w:gridSpan w:val="4"/>
          </w:tcPr>
          <w:p>
            <w:pPr>
              <w:spacing w:after="0"/>
              <w:rPr>
                <w:sz w:val="2"/>
                <w:szCs w:val="2"/>
                <w:color w:val="auto"/>
              </w:rPr>
            </w:pPr>
          </w:p>
        </w:tc>
      </w:tr>
      <w:tr>
        <w:trPr>
          <w:trHeight w:val="171"/>
        </w:trPr>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2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Liquidation Preference</w:t>
            </w:r>
          </w:p>
        </w:tc>
      </w:tr>
      <w:tr>
        <w:trPr>
          <w:trHeight w:val="190"/>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3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21,428,572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300" w:type="dxa"/>
            <w:vAlign w:val="bottom"/>
            <w:shd w:val="clear" w:color="auto" w:fill="CCEEFF"/>
          </w:tcPr>
          <w:p>
            <w:pPr>
              <w:spacing w:after="0"/>
              <w:rPr>
                <w:sz w:val="21"/>
                <w:szCs w:val="21"/>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19,788,417</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00" w:type="dxa"/>
            <w:vAlign w:val="bottom"/>
          </w:tcPr>
          <w:p>
            <w:pPr>
              <w:spacing w:after="0"/>
              <w:rPr>
                <w:sz w:val="22"/>
                <w:szCs w:val="22"/>
                <w:color w:val="auto"/>
              </w:rPr>
            </w:pPr>
          </w:p>
        </w:tc>
      </w:tr>
      <w:tr>
        <w:trPr>
          <w:trHeight w:val="256"/>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15,129,141</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13,802,530</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300" w:type="dxa"/>
            <w:vAlign w:val="bottom"/>
            <w:shd w:val="clear" w:color="auto" w:fill="CCEEFF"/>
          </w:tcPr>
          <w:p>
            <w:pPr>
              <w:spacing w:after="0"/>
              <w:rPr>
                <w:sz w:val="22"/>
                <w:szCs w:val="22"/>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22,705,526</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22,318,532</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137,614</w:t>
            </w:r>
          </w:p>
        </w:tc>
        <w:tc>
          <w:tcPr>
            <w:tcW w:w="300" w:type="dxa"/>
            <w:vAlign w:val="bottom"/>
          </w:tcPr>
          <w:p>
            <w:pPr>
              <w:spacing w:after="0"/>
              <w:rPr>
                <w:sz w:val="22"/>
                <w:szCs w:val="22"/>
                <w:color w:val="auto"/>
              </w:rPr>
            </w:pPr>
          </w:p>
        </w:tc>
      </w:tr>
      <w:tr>
        <w:trPr>
          <w:trHeight w:val="256"/>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21,391,882</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242,597</w:t>
            </w:r>
          </w:p>
        </w:tc>
        <w:tc>
          <w:tcPr>
            <w:tcW w:w="300" w:type="dxa"/>
            <w:vAlign w:val="bottom"/>
            <w:shd w:val="clear" w:color="auto" w:fill="CCEEFF"/>
          </w:tcPr>
          <w:p>
            <w:pPr>
              <w:spacing w:after="0"/>
              <w:rPr>
                <w:sz w:val="22"/>
                <w:szCs w:val="22"/>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23,386,038</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23,386,038</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304,063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308,300</w:t>
            </w:r>
          </w:p>
        </w:tc>
        <w:tc>
          <w:tcPr>
            <w:tcW w:w="300" w:type="dxa"/>
            <w:vAlign w:val="bottom"/>
          </w:tcPr>
          <w:p>
            <w:pPr>
              <w:spacing w:after="0"/>
              <w:rPr>
                <w:sz w:val="22"/>
                <w:szCs w:val="22"/>
                <w:color w:val="auto"/>
              </w:rPr>
            </w:pPr>
          </w:p>
        </w:tc>
      </w:tr>
      <w:tr>
        <w:trPr>
          <w:trHeight w:val="256"/>
        </w:trPr>
        <w:tc>
          <w:tcPr>
            <w:tcW w:w="3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23,300,000</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21,824,141</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434,874</w:t>
            </w:r>
          </w:p>
        </w:tc>
        <w:tc>
          <w:tcPr>
            <w:tcW w:w="300" w:type="dxa"/>
            <w:vAlign w:val="bottom"/>
            <w:shd w:val="clear" w:color="auto" w:fill="CCEEFF"/>
          </w:tcPr>
          <w:p>
            <w:pPr>
              <w:spacing w:after="0"/>
              <w:rPr>
                <w:sz w:val="22"/>
                <w:szCs w:val="22"/>
                <w:color w:val="auto"/>
              </w:rPr>
            </w:pPr>
          </w:p>
        </w:tc>
      </w:tr>
      <w:tr>
        <w:trPr>
          <w:trHeight w:val="264"/>
        </w:trPr>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4,444,321</w:t>
            </w: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4,444,321</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75,275</w:t>
            </w:r>
          </w:p>
        </w:tc>
        <w:tc>
          <w:tcPr>
            <w:tcW w:w="300" w:type="dxa"/>
            <w:vAlign w:val="bottom"/>
            <w:tcBorders>
              <w:bottom w:val="single" w:sz="8" w:color="CCEEFF"/>
            </w:tcBorders>
          </w:tcPr>
          <w:p>
            <w:pPr>
              <w:spacing w:after="0"/>
              <w:rPr>
                <w:sz w:val="22"/>
                <w:szCs w:val="22"/>
                <w:color w:val="auto"/>
              </w:rPr>
            </w:pPr>
          </w:p>
        </w:tc>
      </w:tr>
      <w:tr>
        <w:trPr>
          <w:trHeight w:val="27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151,573,897</w:t>
            </w:r>
          </w:p>
        </w:tc>
        <w:tc>
          <w:tcPr>
            <w:tcW w:w="24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148,384,433</w:t>
            </w:r>
          </w:p>
        </w:tc>
        <w:tc>
          <w:tcPr>
            <w:tcW w:w="2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1,327,162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1,319,181</w:t>
            </w:r>
          </w:p>
        </w:tc>
        <w:tc>
          <w:tcPr>
            <w:tcW w:w="300" w:type="dxa"/>
            <w:vAlign w:val="bottom"/>
            <w:shd w:val="clear" w:color="auto" w:fill="CCEEFF"/>
          </w:tcPr>
          <w:p>
            <w:pPr>
              <w:spacing w:after="0"/>
              <w:rPr>
                <w:sz w:val="24"/>
                <w:szCs w:val="24"/>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-196215</wp:posOffset>
            </wp:positionV>
            <wp:extent cx="18859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-196215</wp:posOffset>
            </wp:positionV>
            <wp:extent cx="36004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-196215</wp:posOffset>
            </wp:positionV>
            <wp:extent cx="17145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286321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-1516380</wp:posOffset>
            </wp:positionV>
            <wp:extent cx="13716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-1516380</wp:posOffset>
            </wp:positionV>
            <wp:extent cx="13716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-1516380</wp:posOffset>
            </wp:positionV>
            <wp:extent cx="13716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-1516380</wp:posOffset>
            </wp:positionV>
            <wp:extent cx="13716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In September 2020, we issued 21,824,141 shares of Series G redeemable convertible preferred stock at $19.93 per share for an aggregate purchase amount of $434.9 million. These shares have a liquidity preference of $434.9 million. As part of this equity financing round, the convertible notes issued in</w:t>
      </w:r>
    </w:p>
    <w:p>
      <w:pPr>
        <w:spacing w:after="0" w:line="1" w:lineRule="exact"/>
        <w:rPr>
          <w:sz w:val="20"/>
          <w:szCs w:val="20"/>
          <w:color w:val="auto"/>
        </w:rPr>
      </w:pPr>
    </w:p>
    <w:p>
      <w:pPr>
        <w:ind w:left="1260" w:right="999"/>
        <w:spacing w:after="0" w:line="243" w:lineRule="auto"/>
        <w:rPr>
          <w:sz w:val="20"/>
          <w:szCs w:val="20"/>
          <w:color w:val="auto"/>
        </w:rPr>
      </w:pPr>
      <w:r>
        <w:rPr>
          <w:rFonts w:ascii="Times New Roman" w:cs="Times New Roman" w:eastAsia="Times New Roman" w:hAnsi="Times New Roman"/>
          <w:sz w:val="18"/>
          <w:szCs w:val="18"/>
          <w:color w:val="auto"/>
        </w:rPr>
        <w:t>April 2020 converted into 4,444,321 shares of Series G-1 redeemable convertible preferred stock. These shares have a liquidation preference of $88.6 million.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Significant terms of the redeemable convertible preferred stock are as follows: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33"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event, either voluntary or involuntary, the holders of each series of redeemable convertible preferred stock shall be entitled to receive on a pari passu basis, prior and in</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4" w:name="page285"/>
    <w:bookmarkEnd w:id="28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rPr>
          <w:sz w:val="20"/>
          <w:szCs w:val="20"/>
          <w:color w:val="auto"/>
        </w:rPr>
      </w:pPr>
      <w:r>
        <w:rPr>
          <w:rFonts w:ascii="Times New Roman" w:cs="Times New Roman" w:eastAsia="Times New Roman" w:hAnsi="Times New Roman"/>
          <w:sz w:val="18"/>
          <w:szCs w:val="18"/>
          <w:color w:val="auto"/>
        </w:rPr>
        <w:t>preference to any distributions of any assets of the Company to the holders of the common stock by reason of their ownership thereof, an amount per share equal to the sum of one times the applicable original issuance price plus any declared but unpaid dividends. The original issuance price for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is $0.35, $ 1.3139, $5.2766, $6.1659, $11.3406, $13.1831, $19.9263, and $16.9374 per share, respectively. If the proceeds distributed among the holders of the redeemable convertible preferred shares are insufficient to permit the payment to such holders of the full preferential amounts the entire assets and funds of the Company legally available for distribution shall be distributed ratably among the holders of the redeemable convertible preferred stock in proportion to the preferential amount that each such holder is otherwise entitled to receive.</w:t>
      </w:r>
    </w:p>
    <w:p>
      <w:pPr>
        <w:spacing w:after="0" w:line="284"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After payment has been made to the holders of the redeemable convertible preferred stock of their full respective preferential amounts, all of the remaining assets of the Company shall be distributed ratably among the holders of common stock.</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The holders of each series of redeemable convertible preferred stock shall be entitled to receive dividends, out of any funds legally available, prior and in preference to any declaration or payment of any dividend on Common Stock of the Company, at the rate of $1.2550 per annum for each share of Series G-1 redeemable preferred stock, $ 1.5941 per annum for each share of Series G redeemable convertible preferred stock, $1.0546 per annum for each share of Series F redeemable convertible preferred stock, $0.9072 per annum for each share of Series E redeemable convertible preferred stock, $ 0.4933 per annum for each share of Series D redeemable convertible preferred stock, $0.4221 per annum for each share of Series C redeemable convertible preferred stock, $0.1051 per annum for each share of Series B redeemable convertible preferred stock and $ 0.0280 per annum for each share of Series A redeemable convertible preferred stock (each as adjusted for stock splits, stock dividends, reclassification and the like) payable quarterly when, as and if declared by the Board of Directors. Such dividends shall not be cumulative.</w:t>
      </w:r>
    </w:p>
    <w:p>
      <w:pPr>
        <w:spacing w:after="0" w:line="11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Following the payment in full of any dividends to the holders of redeemable convertible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redeemable convertible preferred stock and common stock pro rata based on the number of shares of common stock then held by each holder (assuming conversion of all such Series A redeemable convertible preferred stock into common stock), until each such holder of common stock or Series A redeemable convertible preferred stock has received an additional $0.0771 per share (as adjusted for stock splits, stock dividends, reclassification and the like) and then among the holders of Series A redeemable convertible preferred stock, the Series B redeemable convertible preferred stock and common stock pro rata based on the number of shares of common stock then held by each holder (assuming conversion of all such Series A redeemable convertible preferred stock into common stock), until each such holder of common stock, Series A redeemable convertible preferred stock or Series B redeemable convertible preferred stock has received an additional $0.3170 per share (as adjusted for stock splits, stock dividends, reclassification and the like) and then among the holders of Series A redeemable convertible preferred stock, the Series B redeemable convertible preferred stock, the Series C redeemable convertible preferred stock and common stock pro rata based on the number of shares of common stock then held by each holder (assuming conversion of all such Series A redeemable convertible preferred stock, Series B redeemable convertible preferred stock and Series C redeemable convertible preferred stock into Common Stock), until each holder of common stock, Series A redeemable convertible preferred stock, Series B redeemable convertible preferred stock or Series C redeemable convertible preferred stock has received an additional $0.0712 per share (as adjusted for stock splits, stock dividends, reclassification and the like) and then among holders of Series A redeemable convertible preferred stock, the Series B redeemable convertible preferred stock, the Series C redeemable convertible preferred stock, the Series D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5" w:name="page286"/>
    <w:bookmarkEnd w:id="28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color w:val="auto"/>
        </w:rPr>
        <w:t>stock and Series D redeemable convertible preferred stock into Common Stock) until each such holder of common stock, Series A redeemable convertible preferred stock, Series B redeemable convertible preferred stock, Series C redeemable convertible preferred stock or Series D redeemable convertible preferred stock has received an additional $0.4139 per share (as adjusted for stock splits, stock dividends, reclassification and the like), and then among the holders of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Series G-1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into common stock).</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46"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holders of redeemable convertible preferred stock shall have the same voting rights as a holder of common stock. The holders of common stock and redeemable convertible preferred stock shall vote together as a single class in all matters. Each holder of common stock shall be entitled to one vote for each share of common stock held, and each holder of redeemable convertible preferred stock shall be entitled to the number of votes equal to the number of shares of common stock into which such shares of redeemable convertible preferred stock could then be converted. The holders of the common stock, voting separately as a single class shall be entitled to elect three directors of the Corporation. The holders of the Series B redeemable convertible preferred stock, voting separately as a single class shall be entitled to elect two directors of the Corporation. The holders of the Series C redeemable convertible preferred stock, voting separately as a single class shall be entitled to elect one director of the Corporation. The holders of the Series D redeemable convertible preferred stock, voting separately as a single class shall be entitled to elect one director of the Corporation. The holders of the common stock and redeemable convertible preferred stock (excluding the Series E redeemable convertible preferred stock), voting together as a single class on an as converted basis, shall be entitled to elect all other directors of the Corporation. The holders of the Series F redeemable convertible preferred stock, voting separately as a single class, shall be entitled to elect one director of the Corporation.</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60"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color w:val="auto"/>
        </w:rPr>
        <w:t>Each share of redeemable convertible preferred stock is convertible to common stock at the option of the holder. Such conversion is determined by dividing the original issue price by the then-effective conversion price (adjusted for any stock dividends, combinations, or splits with respect to such shares). At June 30, 2020, each share of redeemable convertible preferred stock was convertible into one share of common stock.</w:t>
      </w:r>
    </w:p>
    <w:p>
      <w:pPr>
        <w:spacing w:after="0" w:line="335"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Each share of redeemable convertible preferred stock shall automatically be converted into shares of common stock at the conversion rate then in effect for such series of redeemable convertible preferred stock immediately upon the earlier of (i) the Company’s sale of its common stock in a firm commitment underwritten public offering pursuant to a registration statement under the Securities Act of 1933, as amended, resulting in a post-offering market capitalization of the Company of at least $2,000,000,000 and for the total offering with gross proceeds to the Company of not less than $100,000,000 or (ii) the date or upon the occurrence of an event, specified by written consent or agreement of each of (A) the holders of at least sixty percent (60%) of the Series B redeemable convertible preferred stock then outstanding, voting as a separate series, (B) the holders of at least seventy-five percent (75%) of the Series C redeemable convertible preferred stock then outstanding, voting as a separate series and (C) the holders of at least a majority of the Series D redeemable convertible preferred stock then outstanding, voting as a separate series, (D) the holders of a majority of the Series E redeemable convertible preferred stock then outstanding, voting as separate series, and (E) either (x) the holders of at least eighty-five (85%) of the then outstanding shares of Series F redeemable convertible preferred stock, voting as a separate series, or (y) the holders of a majority of the then outstanding shares of Series F redeemable convertible preferred stock, voting as a separate series,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6" w:name="page287"/>
    <w:bookmarkEnd w:id="28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provided that such majority includes the Special Series F Investor Vote, and (F) the holders of a majority of the Series G redeemable convertible preferred stock then outstanding, voting as a separate series.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redeemable convertible preferred stock does not have any redemption rights that are at the election of the holders. However, the redeemable convertible preferred stock is entitled to payment upon the occurrence of certain contingent events. As it relates to payment upon the occurrence of a contingent event, we evaluated the redeemable convertible preferred stock in accordance with the guidance in ASC 480, “Distinguishing Liabilities from Equity”, and determined that the payment of liquidation amounts due upon the occurrence of a contingent event is not solely within our control and accordingly the redeemable convertible preferred stock is classified in temporary equity in the consolidated balance sheet. As it relates to the accretion to redemption value, the redeemable convertible preferred stock is not currently redeemable, nor is it probable that the instrument will become redeemable, as it is only redeemable upon the occurrence of a contingent event. Accordingly, no accretion has been recognized for the redeemable convertible preferred stock and it will not be accreted until it is probable that the shares will become redeemable.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At June 30, 2020 and September 30, 2020, the Company had shares of common stock reserved for issuance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90"/>
        </w:trPr>
        <w:tc>
          <w:tcPr>
            <w:tcW w:w="5440" w:type="dxa"/>
            <w:vAlign w:val="bottom"/>
          </w:tcPr>
          <w:p>
            <w:pPr>
              <w:spacing w:after="0"/>
              <w:rPr>
                <w:sz w:val="16"/>
                <w:szCs w:val="16"/>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122,115,971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148,384,433</w:t>
            </w:r>
          </w:p>
        </w:tc>
      </w:tr>
      <w:tr>
        <w:trPr>
          <w:trHeight w:val="25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706,065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15,929,262</w:t>
            </w:r>
          </w:p>
        </w:tc>
      </w:tr>
      <w:tr>
        <w:trPr>
          <w:trHeight w:val="25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stock option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50,771,657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50,016,087</w:t>
            </w:r>
          </w:p>
        </w:tc>
      </w:tr>
      <w:tr>
        <w:trPr>
          <w:trHeight w:val="26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stock option plan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4,904,531</w:t>
            </w:r>
          </w:p>
        </w:tc>
        <w:tc>
          <w:tcPr>
            <w:tcW w:w="2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5,387,480</w:t>
            </w:r>
          </w:p>
        </w:tc>
      </w:tr>
      <w:tr>
        <w:trPr>
          <w:trHeight w:val="26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178,498,224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219,717,262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1744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16623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The Common Stock is not mandatorily redeemable. Each holder of Common Stock shall have the right to one vote per share of Common Stock and shall be entitled to notice of any stockholders’ meeting in accordance with the Bylaws of the Corporation, and shall be entitled to vote upon such matters and in such manner as may be provided by law. Subject to the prior rights of holders of all classes of stock at the time outstanding having prior rights as to dividends, the holders of the Common Stock shall be entitled to receive, when and as declared by the Board of Directors, out of any assets of the Corporation legally available therefore, such dividends as may be declared from time to time by the Board of Directors. Upon the liquidation, dissolution or winding up of the Corporation, or the occurrence of a liquidation transaction, the assets of the Corporation shall be distributed in accordance with the liquidation preferences referenced in the redeemable convertible preferred stock section above.</w:t>
      </w:r>
    </w:p>
    <w:p>
      <w:pPr>
        <w:spacing w:after="0" w:line="121"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Amounts paid to employees for the repurchase of common stock are charged to equity to the extent the amount paid does not exceed the fair value of the instrument repurchased. Any excess of the repurchase price over the fair value of the instrument is recognized as additional compensation cost within the operating expense line associated with the employee’s function, on the consolidated statement of operations.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Common stock warrants are included as a component of additional paid-in capital on the consolidated balance sheets.</w:t>
      </w:r>
    </w:p>
    <w:p>
      <w:pPr>
        <w:spacing w:after="0" w:line="8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During the three months ended September 30, 2020, we issued warrants to purchase 20,297,595 shares of common stock in connection with a commercial agreement with Shopify Inc.. The exercise price was $0.01 per share, and the term of the warrants was 10 years. We valued the warrants at issuance using the Black-Scholes -Merton option pricing model with the following assumptions: a dividend yield of zero, years to maturity of 10 years, volatility of 52%, and a risk- free rate of 0.62%. In connection with these warrants issued during the three months ended September 30, 2020, we recognized an asset of $67.6 million associated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7" w:name="page288"/>
    <w:bookmarkEnd w:id="287"/>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19"/>
        <w:spacing w:after="0" w:line="266" w:lineRule="auto"/>
        <w:rPr>
          <w:sz w:val="20"/>
          <w:szCs w:val="20"/>
          <w:color w:val="auto"/>
        </w:rPr>
      </w:pPr>
      <w:r>
        <w:rPr>
          <w:rFonts w:ascii="Times New Roman" w:cs="Times New Roman" w:eastAsia="Times New Roman" w:hAnsi="Times New Roman"/>
          <w:sz w:val="18"/>
          <w:szCs w:val="18"/>
          <w:color w:val="auto"/>
        </w:rPr>
        <w:t>with the fair value of the portion of these warrants that have vested as of September 30, 2020, which is recorded in our consolidated balance sheets within other assets. See Note 5. Other Assets for more information on the asset and related amortization.</w:t>
      </w:r>
    </w:p>
    <w:p>
      <w:pPr>
        <w:spacing w:after="0" w:line="95"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warrant activity during the three months ended September 30, 2020:</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62"/>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46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90"/>
        </w:trPr>
        <w:tc>
          <w:tcPr>
            <w:tcW w:w="46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(years)</w:t>
            </w:r>
          </w:p>
        </w:tc>
      </w:tr>
      <w:tr>
        <w:trPr>
          <w:trHeight w:val="23"/>
        </w:trPr>
        <w:tc>
          <w:tcPr>
            <w:tcW w:w="4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June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706,065</w:t>
            </w: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shd w:val="clear" w:color="auto" w:fill="CCEEFF"/>
          </w:tcPr>
          <w:p>
            <w:pPr>
              <w:spacing w:after="0"/>
              <w:rPr>
                <w:sz w:val="21"/>
                <w:szCs w:val="21"/>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20,297,595</w:t>
            </w:r>
          </w:p>
        </w:tc>
        <w:tc>
          <w:tcPr>
            <w:tcW w:w="1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2"/>
                <w:szCs w:val="22"/>
                <w:color w:val="auto"/>
              </w:rPr>
            </w:pPr>
          </w:p>
        </w:tc>
      </w:tr>
      <w:tr>
        <w:trPr>
          <w:trHeight w:val="26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(5,074,398)</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shd w:val="clear" w:color="auto" w:fill="CCEEFF"/>
          </w:tcPr>
          <w:p>
            <w:pPr>
              <w:spacing w:after="0"/>
              <w:rPr>
                <w:sz w:val="22"/>
                <w:szCs w:val="22"/>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September 30, 2020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15,929,262</w:t>
            </w:r>
          </w:p>
        </w:tc>
        <w:tc>
          <w:tcPr>
            <w:tcW w:w="14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23"/>
                <w:szCs w:val="23"/>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-710565</wp:posOffset>
            </wp:positionV>
            <wp:extent cx="13716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-710565</wp:posOffset>
            </wp:positionV>
            <wp:extent cx="360870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Stock 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2012 Equity Incentive Plan</w:t>
      </w:r>
    </w:p>
    <w:p>
      <w:pPr>
        <w:spacing w:after="0" w:line="162"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Under our 2012 Equity Incentive Plan (the “Plan”), we may grant incentive and nonqualified stock options, restricted stock, and Restricted Stock Units (“RSUs”) to employees, officers, directors, and consultants. The maximum number of shares of common stock which may be issued under the Plan is 70,609,793 shares. At June 30, 2020 and September 30 2020, there were 3,649,298 and 5,387,480 shares available to be issued under the Plan,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summarized our stock option activity during the three months ended September 30, 2020: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2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8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r>
      <w:tr>
        <w:trPr>
          <w:trHeight w:val="190"/>
        </w:trPr>
        <w:tc>
          <w:tcPr>
            <w:tcW w:w="1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20" w:type="dxa"/>
            <w:vAlign w:val="bottom"/>
          </w:tcPr>
          <w:p>
            <w:pPr>
              <w:spacing w:after="0"/>
              <w:rPr>
                <w:sz w:val="16"/>
                <w:szCs w:val="16"/>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3"/>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42,536,487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960" w:type="dxa"/>
            <w:vAlign w:val="bottom"/>
            <w:gridSpan w:val="3"/>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7.54</w:t>
            </w: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(172,621)</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2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(848,281)</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3"/>
        </w:trPr>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41,515,585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5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6.65</w:t>
            </w:r>
          </w:p>
        </w:tc>
        <w:tc>
          <w:tcPr>
            <w:tcW w:w="3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exercisable, September 30, 2020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26,464,487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960" w:type="dxa"/>
            <w:vAlign w:val="bottom"/>
            <w:gridSpan w:val="3"/>
          </w:tcPr>
          <w:p>
            <w:pPr>
              <w:jc w:val="center"/>
              <w:ind w:left="555"/>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$101,997</w:t>
            </w:r>
          </w:p>
        </w:tc>
      </w:tr>
      <w:tr>
        <w:trPr>
          <w:trHeight w:val="190"/>
        </w:trPr>
        <w:tc>
          <w:tcPr>
            <w:tcW w:w="37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Vested and exercisable, and expected to vest</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310"/>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thereafter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September 30, 2020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38,424,937</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960" w:type="dxa"/>
            <w:vAlign w:val="bottom"/>
            <w:gridSpan w:val="3"/>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7.18</w:t>
            </w: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$115,082</w:t>
            </w:r>
          </w:p>
        </w:tc>
      </w:tr>
      <w:tr>
        <w:trPr>
          <w:trHeight w:val="229"/>
        </w:trPr>
        <w:tc>
          <w:tcPr>
            <w:tcW w:w="1940" w:type="dxa"/>
            <w:vAlign w:val="bottom"/>
            <w:tcBorders>
              <w:bottom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-831215</wp:posOffset>
            </wp:positionV>
            <wp:extent cx="521208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-1499870</wp:posOffset>
            </wp:positionV>
            <wp:extent cx="13716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-1499870</wp:posOffset>
            </wp:positionV>
            <wp:extent cx="13716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-1499870</wp:posOffset>
            </wp:positionV>
            <wp:extent cx="304292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Options expected to vest reflect the application of an estimated forfeiture rate.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2020 we awarded 738,800 RSUs to certain employees under the Plan. These RSUs were subject to two vesting conditions: a service-based vesting condition (i.e., employment over a period of time) and a performance-based vesting condition (i.e., a liquidity event in the form of either a change of control or an initial public offering, each as defined in the Plan). The service-based vesting condition is typically met over a four year period, either monthly or with 25% vesting on the twelve-month anniversary of the employment commencement date, and the remaining on a pro rata basis each month over the next three years. Employees are able to retain RSUs vested with respect to the</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8" w:name="page289"/>
    <w:bookmarkEnd w:id="288"/>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61" w:lineRule="auto"/>
        <w:rPr>
          <w:sz w:val="20"/>
          <w:szCs w:val="20"/>
          <w:color w:val="auto"/>
        </w:rPr>
      </w:pPr>
      <w:r>
        <w:rPr>
          <w:rFonts w:ascii="Times New Roman" w:cs="Times New Roman" w:eastAsia="Times New Roman" w:hAnsi="Times New Roman"/>
          <w:sz w:val="18"/>
          <w:szCs w:val="18"/>
          <w:color w:val="auto"/>
        </w:rPr>
        <w:t>service condition upon departure, and such RSUs remain subject to the performance-based vesting condition. As of September 30, 2020, we determined a liquidity event was not probable, and as such, no RSUs were vested or expected to vest. Any RSUs that have not vested will automatically terminate on the expiration date, which is defined by the Plan as seven years from the grant date.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three months ended September 30, 2020:</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62"/>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58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190"/>
        </w:trPr>
        <w:tc>
          <w:tcPr>
            <w:tcW w:w="582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23"/>
        </w:trPr>
        <w:tc>
          <w:tcPr>
            <w:tcW w:w="5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8,235,170</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$7.95</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738,800</w:t>
            </w:r>
          </w:p>
        </w:tc>
        <w:tc>
          <w:tcPr>
            <w:tcW w:w="140" w:type="dxa"/>
            <w:vAlign w:val="bottom"/>
          </w:tcPr>
          <w:p>
            <w:pPr>
              <w:spacing w:after="0"/>
              <w:rPr>
                <w:sz w:val="22"/>
                <w:szCs w:val="22"/>
                <w:color w:val="auto"/>
              </w:rPr>
            </w:pP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7.56</w:t>
            </w:r>
          </w:p>
        </w:tc>
      </w:tr>
      <w:tr>
        <w:trPr>
          <w:trHeight w:val="26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(373,468)</w:t>
            </w:r>
          </w:p>
        </w:tc>
        <w:tc>
          <w:tcPr>
            <w:tcW w:w="7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7.99</w:t>
            </w:r>
          </w:p>
        </w:tc>
      </w:tr>
      <w:tr>
        <w:trPr>
          <w:trHeight w:val="270"/>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September 30, 2020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8,600,502</w:t>
            </w:r>
          </w:p>
        </w:tc>
        <w:tc>
          <w:tcPr>
            <w:tcW w:w="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$7.86</w:t>
            </w:r>
          </w:p>
        </w:tc>
      </w:tr>
      <w:tr>
        <w:trPr>
          <w:trHeight w:val="20"/>
        </w:trPr>
        <w:tc>
          <w:tcPr>
            <w:tcW w:w="5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29450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21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At September 30, 2020, we had approximately $16.6 million of unrecognized compensation cost related to non-vested RSUs. The fair value of RSUs is equal to the fair market value of common stock on the grant date. To estimate unrecognized compensation costs, the grant date fair value of RSUs was used to measure expense on a straight-line basis over the requisite service periods of the awards.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4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for the three months ended September 30, 2019 and 2020 (in thousands):</w:t>
      </w:r>
    </w:p>
    <w:p>
      <w:pPr>
        <w:spacing w:after="0" w:line="12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22225</wp:posOffset>
            </wp:positionV>
            <wp:extent cx="82296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 w:type="dxa"/>
            <w:vAlign w:val="bottom"/>
            <w:shd w:val="clear" w:color="auto" w:fill="CCEEFF"/>
          </w:tcPr>
          <w:p>
            <w:pPr>
              <w:spacing w:after="0"/>
              <w:rPr>
                <w:sz w:val="21"/>
                <w:szCs w:val="21"/>
                <w:color w:val="auto"/>
              </w:rPr>
            </w:pPr>
          </w:p>
        </w:tc>
      </w:tr>
      <w:tr>
        <w:trPr>
          <w:trHeight w:val="25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tcPr>
          <w:p>
            <w:pPr>
              <w:spacing w:after="0"/>
              <w:rPr>
                <w:sz w:val="22"/>
                <w:szCs w:val="22"/>
                <w:color w:val="auto"/>
              </w:rPr>
            </w:pPr>
          </w:p>
        </w:tc>
      </w:tr>
      <w:tr>
        <w:trPr>
          <w:trHeight w:val="25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shd w:val="clear" w:color="auto" w:fill="CCEEFF"/>
          </w:tcPr>
          <w:p>
            <w:pPr>
              <w:spacing w:after="0"/>
              <w:rPr>
                <w:sz w:val="22"/>
                <w:szCs w:val="22"/>
                <w:color w:val="auto"/>
              </w:rPr>
            </w:pPr>
          </w:p>
        </w:tc>
      </w:tr>
      <w:tr>
        <w:trPr>
          <w:trHeight w:val="26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2"/>
                <w:szCs w:val="22"/>
                <w:color w:val="auto"/>
              </w:rPr>
            </w:pPr>
          </w:p>
        </w:tc>
      </w:tr>
      <w:tr>
        <w:trPr>
          <w:trHeight w:val="257"/>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0" w:type="dxa"/>
            <w:vAlign w:val="bottom"/>
            <w:tcBorders>
              <w:top w:val="single" w:sz="8" w:color="CCEEFF"/>
            </w:tcBorders>
            <w:shd w:val="clear" w:color="auto" w:fill="CCEEFF"/>
          </w:tcPr>
          <w:p>
            <w:pPr>
              <w:spacing w:after="0"/>
              <w:rPr>
                <w:sz w:val="22"/>
                <w:szCs w:val="22"/>
                <w:color w:val="auto"/>
              </w:rPr>
            </w:pPr>
          </w:p>
        </w:tc>
      </w:tr>
      <w:tr>
        <w:trPr>
          <w:trHeight w:val="26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tcBorders>
              <w:bottom w:val="single" w:sz="8" w:color="CCEEFF"/>
            </w:tcBorders>
          </w:tcPr>
          <w:p>
            <w:pPr>
              <w:spacing w:after="0"/>
              <w:rPr>
                <w:sz w:val="22"/>
                <w:szCs w:val="22"/>
                <w:color w:val="auto"/>
              </w:rPr>
            </w:pPr>
          </w:p>
        </w:tc>
      </w:tr>
      <w:tr>
        <w:trPr>
          <w:trHeight w:val="26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$9,322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74916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-1216660</wp:posOffset>
            </wp:positionV>
            <wp:extent cx="439737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8" w:lineRule="exact"/>
        <w:rPr>
          <w:sz w:val="20"/>
          <w:szCs w:val="20"/>
          <w:color w:val="auto"/>
        </w:rPr>
      </w:pPr>
    </w:p>
    <w:p>
      <w:pPr>
        <w:jc w:val="both"/>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recorded income tax expense of $0.1 million, which was primarily attributable to the effects of foreign income taxes on our Canadian subsidiary and various state income taxes.</w:t>
      </w:r>
    </w:p>
    <w:p>
      <w:pPr>
        <w:spacing w:after="0" w:line="10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As of September 30, 2020, we continue to recognize a full valuation allowance against net deferred tax assets. This determination was based on the assessment of the available positive and negative evidence to estimate if sufficient future taxable income will be generated to utilize the existing deferred tax assets. The amount of deferred tax assets considered realizable in future periods may change as management continues to reassess the underlying factors it uses in estimating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9" w:name="page290"/>
    <w:bookmarkEnd w:id="289"/>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Stockholders</w:t>
      </w:r>
    </w:p>
    <w:p>
      <w:pPr>
        <w:spacing w:after="0" w:line="148"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basic and diluted net loss per share attributable to common stockholders (in thousands, except share and per share data):</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40" w:type="dxa"/>
            <w:vAlign w:val="bottom"/>
            <w:gridSpan w:val="5"/>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460" w:type="dxa"/>
            <w:vAlign w:val="bottom"/>
            <w:gridSpan w:val="5"/>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62"/>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6"/>
                <w:szCs w:val="16"/>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5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(30,795)</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(15,275)</w:t>
            </w: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31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shareholders-basic</w:t>
            </w:r>
          </w:p>
        </w:tc>
        <w:tc>
          <w:tcPr>
            <w:tcW w:w="320" w:type="dxa"/>
            <w:vAlign w:val="bottom"/>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(30,795)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(15,275)</w:t>
            </w:r>
          </w:p>
        </w:tc>
      </w:tr>
      <w:tr>
        <w:trPr>
          <w:trHeight w:val="217"/>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(30,795)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(15,275)</w:t>
            </w:r>
          </w:p>
        </w:tc>
      </w:tr>
      <w:tr>
        <w:trPr>
          <w:trHeight w:val="27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conversion of Convertible Debt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(30,105)</w:t>
            </w:r>
          </w:p>
        </w:tc>
      </w:tr>
      <w:tr>
        <w:trPr>
          <w:trHeight w:val="27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Convertible Debt prior to conversion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23"/>
                <w:szCs w:val="23"/>
                <w:color w:val="auto"/>
              </w:rPr>
            </w:pPr>
          </w:p>
        </w:tc>
      </w:tr>
      <w:tr>
        <w:trPr>
          <w:trHeight w:val="277"/>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prior to conversion</w:t>
            </w: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31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shareholders-diluted</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(30,795)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(43,190)</w:t>
            </w:r>
          </w:p>
        </w:tc>
      </w:tr>
      <w:tr>
        <w:trPr>
          <w:trHeight w:val="217"/>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66"/>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48,403,021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64,778,024</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310"/>
        </w:trPr>
        <w:tc>
          <w:tcPr>
            <w:tcW w:w="4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Total-basic</w:t>
            </w:r>
          </w:p>
        </w:tc>
        <w:tc>
          <w:tcPr>
            <w:tcW w:w="1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48,403,021</w:t>
            </w:r>
          </w:p>
        </w:tc>
        <w:tc>
          <w:tcPr>
            <w:tcW w:w="18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64,778,024</w:t>
            </w:r>
          </w:p>
        </w:tc>
        <w:tc>
          <w:tcPr>
            <w:tcW w:w="180" w:type="dxa"/>
            <w:vAlign w:val="bottom"/>
            <w:tcBorders>
              <w:top w:val="single" w:sz="8" w:color="CCEEFF"/>
              <w:bottom w:val="single" w:sz="8" w:color="CCEEFF"/>
            </w:tcBorders>
          </w:tcPr>
          <w:p>
            <w:pPr>
              <w:spacing w:after="0"/>
              <w:rPr>
                <w:sz w:val="24"/>
                <w:szCs w:val="24"/>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48,403,021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64,778,024</w:t>
            </w:r>
          </w:p>
        </w:tc>
        <w:tc>
          <w:tcPr>
            <w:tcW w:w="180" w:type="dxa"/>
            <w:vAlign w:val="bottom"/>
          </w:tcPr>
          <w:p>
            <w:pPr>
              <w:spacing w:after="0"/>
              <w:rPr>
                <w:sz w:val="20"/>
                <w:szCs w:val="20"/>
                <w:color w:val="auto"/>
              </w:rPr>
            </w:pPr>
          </w:p>
        </w:tc>
      </w:tr>
      <w:tr>
        <w:trPr>
          <w:trHeight w:val="24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attributable to</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6"/>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prior to conversion</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3,478,165</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311"/>
        </w:trPr>
        <w:tc>
          <w:tcPr>
            <w:tcW w:w="4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Total-diluted</w:t>
            </w:r>
          </w:p>
        </w:tc>
        <w:tc>
          <w:tcPr>
            <w:tcW w:w="1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48,403,021</w:t>
            </w:r>
          </w:p>
        </w:tc>
        <w:tc>
          <w:tcPr>
            <w:tcW w:w="18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68,256,189</w:t>
            </w:r>
          </w:p>
        </w:tc>
        <w:tc>
          <w:tcPr>
            <w:tcW w:w="180" w:type="dxa"/>
            <w:vAlign w:val="bottom"/>
            <w:tcBorders>
              <w:top w:val="single" w:sz="8" w:color="CCEEFF"/>
              <w:bottom w:val="single" w:sz="8" w:color="CCEEFF"/>
            </w:tcBorders>
          </w:tcPr>
          <w:p>
            <w:pPr>
              <w:spacing w:after="0"/>
              <w:rPr>
                <w:sz w:val="24"/>
                <w:szCs w:val="24"/>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7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w:t>
            </w:r>
          </w:p>
        </w:tc>
      </w:tr>
      <w:tr>
        <w:trPr>
          <w:trHeight w:val="27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-4097020</wp:posOffset>
            </wp:positionV>
            <wp:extent cx="392620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24"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4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23"/>
        </w:trPr>
        <w:tc>
          <w:tcPr>
            <w:tcW w:w="5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200"/>
        </w:trPr>
        <w:tc>
          <w:tcPr>
            <w:tcW w:w="5440" w:type="dxa"/>
            <w:vAlign w:val="bottom"/>
          </w:tcPr>
          <w:p>
            <w:pPr>
              <w:spacing w:after="0"/>
              <w:rPr>
                <w:sz w:val="17"/>
                <w:szCs w:val="17"/>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123,829,576</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148,384,433</w:t>
            </w:r>
          </w:p>
        </w:tc>
      </w:tr>
      <w:tr>
        <w:trPr>
          <w:trHeight w:val="25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42,398,630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42,213,842</w:t>
            </w:r>
          </w:p>
        </w:tc>
      </w:tr>
      <w:tr>
        <w:trPr>
          <w:trHeight w:val="25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3,115,102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7,802,245</w:t>
            </w:r>
          </w:p>
        </w:tc>
      </w:tr>
      <w:tr>
        <w:trPr>
          <w:trHeight w:val="264"/>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1,608,370</w:t>
            </w:r>
          </w:p>
        </w:tc>
        <w:tc>
          <w:tcPr>
            <w:tcW w:w="2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15,929,262</w:t>
            </w:r>
          </w:p>
        </w:tc>
      </w:tr>
      <w:tr>
        <w:trPr>
          <w:trHeight w:val="25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170,951,678</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214,329,782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1744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-865505</wp:posOffset>
            </wp:positionV>
            <wp:extent cx="4166235"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0" w:name="page291"/>
    <w:bookmarkEnd w:id="290"/>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Pro Forma Net Loss per Share Attributable to Common Stockholders (unaudited)</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Pro forma basic and diluted net loss per share attributable to common stockholders (unaudited) are calculated as follows (in thousands, except share and per share data):</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480" w:type="dxa"/>
            <w:vAlign w:val="bottom"/>
            <w:gridSpan w:val="5"/>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 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 basic</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211"/>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for RSUs with vesting conditions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upon an IPO</w:t>
            </w:r>
          </w:p>
        </w:tc>
        <w:tc>
          <w:tcPr>
            <w:tcW w:w="3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attributable to common shareholders – basic</w:t>
            </w: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00" w:type="dxa"/>
            <w:vAlign w:val="bottom"/>
            <w:vMerge w:val="continue"/>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(19,525)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 Forma – Diluted</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 diluted</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(43,190)</w:t>
            </w:r>
          </w:p>
        </w:tc>
        <w:tc>
          <w:tcPr>
            <w:tcW w:w="0" w:type="dxa"/>
            <w:vAlign w:val="bottom"/>
          </w:tcPr>
          <w:p>
            <w:pPr>
              <w:spacing w:after="0"/>
              <w:rPr>
                <w:sz w:val="1"/>
                <w:szCs w:val="1"/>
                <w:color w:val="auto"/>
              </w:rPr>
            </w:pPr>
          </w:p>
        </w:tc>
      </w:tr>
      <w:tr>
        <w:trPr>
          <w:trHeight w:val="225"/>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for RSUs with vesting conditions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upon an IPO</w:t>
            </w:r>
          </w:p>
        </w:tc>
        <w:tc>
          <w:tcPr>
            <w:tcW w:w="3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attributable to common shareholders – diluted</w:t>
            </w: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(47,440)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 Basic</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64,778,024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automatic conversion of all outstanding shares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redeemable convertible preferred stock into shares of common stock</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127,733,781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exercise of common stock warrants contingent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upon an IPO</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12,749,169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vesting of RSUs with vesting conditions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upon an IPO</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1,234,290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Pro forma weighted average common shares used in pro forma net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common stockholders, basic</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206,495,264</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Pro Forma – Diluted</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 attributable to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68,256,189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automatic conversion of all outstanding shares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redeemable convertible preferred stock into shares of common stock</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127,733,781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exercise of common stock warrants contingent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upon an IPO</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12,749,169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adjustment for the vesting of RSUs with vesting conditions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upon an IPO</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1,234,290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Pro forma weighted average common shares used in pro forma net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common stockholders, diluted</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209,973,429</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Pro forma net loss per share attributable to common stockholders (unaudited):</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-4011295</wp:posOffset>
            </wp:positionV>
            <wp:extent cx="474916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-4748530</wp:posOffset>
            </wp:positionV>
            <wp:extent cx="474916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-5459730</wp:posOffset>
            </wp:positionV>
            <wp:extent cx="392620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1" w:name="page292"/>
    <w:bookmarkEnd w:id="291"/>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Segments and Geographical Information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conduct our operations through a single operating segment and, therefore, one reportable segment.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left="1260" w:right="1379" w:firstLine="360"/>
        <w:spacing w:after="0" w:line="266" w:lineRule="auto"/>
        <w:rPr>
          <w:sz w:val="20"/>
          <w:szCs w:val="20"/>
          <w:color w:val="auto"/>
        </w:rPr>
      </w:pPr>
      <w:r>
        <w:rPr>
          <w:rFonts w:ascii="Times New Roman" w:cs="Times New Roman" w:eastAsia="Times New Roman" w:hAnsi="Times New Roman"/>
          <w:sz w:val="18"/>
          <w:szCs w:val="18"/>
          <w:color w:val="auto"/>
        </w:rPr>
        <w:t>Revenue by geography is based on the billing addresses of the borrower or the location of the merchant’s national headquarters. The following table sets forth revenue by geographic area for the three months ended September 30 (in thousands):</w:t>
      </w:r>
    </w:p>
    <w:p>
      <w:pPr>
        <w:spacing w:after="0" w:line="1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22225</wp:posOffset>
            </wp:positionV>
            <wp:extent cx="96837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$87,947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$172,242</w:t>
            </w:r>
          </w:p>
        </w:tc>
      </w:tr>
      <w:tr>
        <w:trPr>
          <w:trHeight w:val="263"/>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6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$87,947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0339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Our long-lived assets, consisting of property, equipment and software, net, are all located in the United States as of June 30, 2020 and September 30,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48" w:lineRule="exact"/>
        <w:rPr>
          <w:sz w:val="20"/>
          <w:szCs w:val="20"/>
          <w:color w:val="auto"/>
        </w:rPr>
      </w:pPr>
    </w:p>
    <w:p>
      <w:pPr>
        <w:jc w:val="both"/>
        <w:ind w:left="1260" w:right="1379" w:firstLine="360"/>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through November 17, 2020, which is the date that these financial statements were available to be issued. There were no other significant subsequent events identified other than matters described below.</w:t>
      </w:r>
    </w:p>
    <w:p>
      <w:pPr>
        <w:spacing w:after="0" w:line="10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On October 13, 2020, Affirm Asset Securitization Trust 2020-Z2 (“2020-Z2”) entered into a note purchase agreement with Barclays Capital Inc., Truist Securities, Inc., and Regions Securities LLC to issue $375.0 million of fixed rate asset-backed notes with a maturity date of January 15, 2025. The notes bear interest at a rate of 1.90% per year. On October 22, 2020, we contributed $417.3 million of loan receivables to the 2020-Z2 securitization.</w:t>
      </w:r>
    </w:p>
    <w:p>
      <w:pPr>
        <w:spacing w:after="0" w:line="116"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On October 22, 2020, pursuant to rights in the executed loan sale agreement, one of our third-party loan buyers contributed $27.8 million of loan receivables to the 2020-Z2 securitization. We retained 93.4% of the residual certificates issued by 2020-Z2. The remaining residual certificates and all the risk retention interest is held by third-party investor. In addition to the retained residual certificates, our continued involvement includes loan servicing responsibilities over the life of the underlying unsecured consumer loans. 2020-Z2 is deemed to be a VIE. We will consolidate 2020-Z2 as we are the primary beneficiary since we, through our role as the servicer, have both the power to direct the activities that most significantly affect 2020-Z2’s economic performance and a variable interest that could potentially be significant to 2020-Z2 through holding the retained residual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2" w:name="page293"/>
    <w:bookmarkEnd w:id="292"/>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6806565" cy="876109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3" w:name="page294"/>
    <w:bookmarkEnd w:id="293"/>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316865</wp:posOffset>
            </wp:positionV>
            <wp:extent cx="5212080" cy="260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377190</wp:posOffset>
            </wp:positionV>
            <wp:extent cx="521208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30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3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577850</wp:posOffset>
            </wp:positionV>
            <wp:extent cx="1971675" cy="79692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971675" cy="79692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1991995</wp:posOffset>
            </wp:positionV>
            <wp:extent cx="123444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159385</wp:posOffset>
            </wp:positionV>
            <wp:extent cx="123444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260" w:type="dxa"/>
        <w:tblCellMar>
          <w:top w:w="0" w:type="dxa"/>
          <w:left w:w="0" w:type="dxa"/>
          <w:bottom w:w="0" w:type="dxa"/>
          <w:right w:w="0" w:type="dxa"/>
        </w:tblCellMar>
      </w:tblPr>
      <w:tr>
        <w:trPr>
          <w:trHeight w:val="334"/>
        </w:trPr>
        <w:tc>
          <w:tcPr>
            <w:tcW w:w="212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Morgan Stanley</w:t>
            </w:r>
          </w:p>
        </w:tc>
        <w:tc>
          <w:tcPr>
            <w:tcW w:w="3340" w:type="dxa"/>
            <w:vAlign w:val="bottom"/>
          </w:tcPr>
          <w:p>
            <w:pPr>
              <w:ind w:left="180"/>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274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Allen &amp; Company LLC</w:t>
            </w:r>
          </w:p>
        </w:tc>
      </w:tr>
      <w:tr>
        <w:trPr>
          <w:trHeight w:val="422"/>
        </w:trPr>
        <w:tc>
          <w:tcPr>
            <w:tcW w:w="2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RBC Capital Markets</w:t>
            </w:r>
          </w:p>
        </w:tc>
        <w:tc>
          <w:tcPr>
            <w:tcW w:w="3340" w:type="dxa"/>
            <w:vAlign w:val="bottom"/>
          </w:tcPr>
          <w:p>
            <w:pPr>
              <w:jc w:val="center"/>
              <w:ind w:left="506"/>
              <w:spacing w:after="0"/>
              <w:rPr>
                <w:sz w:val="20"/>
                <w:szCs w:val="20"/>
                <w:color w:val="auto"/>
              </w:rPr>
            </w:pPr>
            <w:r>
              <w:rPr>
                <w:rFonts w:ascii="Times New Roman" w:cs="Times New Roman" w:eastAsia="Times New Roman" w:hAnsi="Times New Roman"/>
                <w:sz w:val="22"/>
                <w:szCs w:val="22"/>
                <w:b w:val="1"/>
                <w:bCs w:val="1"/>
                <w:color w:val="auto"/>
                <w:w w:val="93"/>
              </w:rPr>
              <w:t>Credit Suisse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Barclays</w:t>
            </w:r>
          </w:p>
        </w:tc>
      </w:tr>
      <w:tr>
        <w:trPr>
          <w:trHeight w:val="445"/>
        </w:trPr>
        <w:tc>
          <w:tcPr>
            <w:tcW w:w="2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Truist Securities</w:t>
            </w:r>
          </w:p>
        </w:tc>
        <w:tc>
          <w:tcPr>
            <w:tcW w:w="3340" w:type="dxa"/>
            <w:vAlign w:val="bottom"/>
          </w:tcPr>
          <w:p>
            <w:pPr>
              <w:jc w:val="center"/>
              <w:ind w:left="526"/>
              <w:spacing w:after="0"/>
              <w:rPr>
                <w:sz w:val="20"/>
                <w:szCs w:val="20"/>
                <w:color w:val="auto"/>
              </w:rPr>
            </w:pPr>
            <w:r>
              <w:rPr>
                <w:rFonts w:ascii="Times New Roman" w:cs="Times New Roman" w:eastAsia="Times New Roman" w:hAnsi="Times New Roman"/>
                <w:sz w:val="22"/>
                <w:szCs w:val="22"/>
                <w:b w:val="1"/>
                <w:bCs w:val="1"/>
                <w:color w:val="auto"/>
                <w:w w:val="94"/>
              </w:rPr>
              <w:t>Siebert Williams Shank</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Deutsche Bank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532765</wp:posOffset>
            </wp:positionV>
            <wp:extent cx="123444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b w:val="1"/>
          <w:bCs w:val="1"/>
          <w:color w:val="auto"/>
        </w:rPr>
        <w:t>Through and including , (the 25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446405</wp:posOffset>
            </wp:positionV>
            <wp:extent cx="521208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489585</wp:posOffset>
            </wp:positionV>
            <wp:extent cx="5212080" cy="254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6806565"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4" w:name="page295"/>
    <w:bookmarkEnd w:id="294"/>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62"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(a)</w:t>
        <w:tab/>
        <w:t>Exhibits. The following exhibits are filed herewith:</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80" w:type="dxa"/>
            <w:vAlign w:val="bottom"/>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73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57"/>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2"/>
                <w:szCs w:val="22"/>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990">
              <w:r>
                <w:rPr>
                  <w:rFonts w:ascii="Times New Roman" w:cs="Times New Roman" w:eastAsia="Times New Roman" w:hAnsi="Times New Roman"/>
                  <w:sz w:val="18"/>
                  <w:szCs w:val="18"/>
                  <w:u w:val="single" w:color="auto"/>
                  <w:color w:val="0000EE"/>
                </w:rPr>
                <w:t>Amended and Restated Certificate of Incorporation of the Company, as currently in effect</w:t>
              </w:r>
            </w:hyperlink>
          </w:p>
        </w:tc>
      </w:tr>
      <w:tr>
        <w:trPr>
          <w:trHeight w:val="270"/>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991">
              <w:r>
                <w:rPr>
                  <w:rFonts w:ascii="Times New Roman" w:cs="Times New Roman" w:eastAsia="Times New Roman" w:hAnsi="Times New Roman"/>
                  <w:sz w:val="18"/>
                  <w:szCs w:val="18"/>
                  <w:u w:val="single" w:color="auto"/>
                  <w:color w:val="0000EE"/>
                </w:rPr>
                <w:t>Amended and Restated Bylaws of the Company, as currently in effect</w:t>
              </w:r>
            </w:hyperlink>
          </w:p>
        </w:tc>
      </w:tr>
      <w:tr>
        <w:trPr>
          <w:trHeight w:val="216"/>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7360" w:type="dxa"/>
            <w:vAlign w:val="bottom"/>
            <w:gridSpan w:val="21"/>
          </w:tcPr>
          <w:p>
            <w:pPr>
              <w:spacing w:after="0"/>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Form of Amended and Restated Certificate of Incorporation of the Company, to be in effect upon</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the completion of this offering</w:t>
              </w:r>
            </w:hyperlink>
          </w:p>
        </w:tc>
        <w:tc>
          <w:tcPr>
            <w:tcW w:w="502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1"/>
                <w:szCs w:val="21"/>
                <w:color w:val="auto"/>
              </w:rPr>
            </w:pPr>
          </w:p>
        </w:tc>
        <w:tc>
          <w:tcPr>
            <w:tcW w:w="7360" w:type="dxa"/>
            <w:vAlign w:val="bottom"/>
            <w:gridSpan w:val="21"/>
          </w:tcPr>
          <w:p>
            <w:pPr>
              <w:spacing w:after="0"/>
              <w:rPr>
                <w:rFonts w:ascii="Times New Roman" w:cs="Times New Roman" w:eastAsia="Times New Roman" w:hAnsi="Times New Roman"/>
                <w:sz w:val="18"/>
                <w:szCs w:val="18"/>
                <w:color w:val="0000EE"/>
              </w:rPr>
            </w:pPr>
            <w:hyperlink r:id="rId992">
              <w:r>
                <w:rPr>
                  <w:rFonts w:ascii="Times New Roman" w:cs="Times New Roman" w:eastAsia="Times New Roman" w:hAnsi="Times New Roman"/>
                  <w:sz w:val="18"/>
                  <w:szCs w:val="18"/>
                  <w:color w:val="0000EE"/>
                </w:rPr>
                <w:t>Form of Amended and Restated Bylaws of the Company, to be in effect upon the completion of</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992">
              <w:r>
                <w:rPr>
                  <w:rFonts w:ascii="Times New Roman" w:cs="Times New Roman" w:eastAsia="Times New Roman" w:hAnsi="Times New Roman"/>
                  <w:sz w:val="18"/>
                  <w:szCs w:val="18"/>
                  <w:color w:val="0000EE"/>
                </w:rPr>
                <w:t>this offering</w:t>
              </w:r>
            </w:hyperlink>
          </w:p>
        </w:tc>
        <w:tc>
          <w:tcPr>
            <w:tcW w:w="6260" w:type="dxa"/>
            <w:vAlign w:val="bottom"/>
            <w:tcBorders>
              <w:top w:val="single" w:sz="8" w:color="0000EE"/>
            </w:tcBorders>
            <w:gridSpan w:val="15"/>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1"/>
                <w:szCs w:val="21"/>
                <w:color w:val="auto"/>
              </w:rPr>
            </w:pPr>
          </w:p>
        </w:tc>
        <w:tc>
          <w:tcPr>
            <w:tcW w:w="7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310">
              <w:r>
                <w:rPr>
                  <w:rFonts w:ascii="Times New Roman" w:cs="Times New Roman" w:eastAsia="Times New Roman" w:hAnsi="Times New Roman"/>
                  <w:sz w:val="18"/>
                  <w:szCs w:val="18"/>
                  <w:color w:val="0000EE"/>
                </w:rPr>
                <w:t>Amended and Restated Investors’ Rights Agreement among the Company and certain holders of</w:t>
              </w:r>
            </w:hyperlink>
          </w:p>
        </w:tc>
        <w:tc>
          <w:tcPr>
            <w:tcW w:w="80" w:type="dxa"/>
            <w:vAlign w:val="bottom"/>
            <w:gridSpan w:val="4"/>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310">
              <w:r>
                <w:rPr>
                  <w:rFonts w:ascii="Times New Roman" w:cs="Times New Roman" w:eastAsia="Times New Roman" w:hAnsi="Times New Roman"/>
                  <w:sz w:val="18"/>
                  <w:szCs w:val="18"/>
                  <w:color w:val="0000EE"/>
                </w:rPr>
                <w:t>its capital stock, dated as of September 11, 2020</w:t>
              </w:r>
            </w:hyperlink>
          </w:p>
        </w:tc>
        <w:tc>
          <w:tcPr>
            <w:tcW w:w="3700" w:type="dxa"/>
            <w:vAlign w:val="bottom"/>
            <w:gridSpan w:val="11"/>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1"/>
                <w:szCs w:val="21"/>
                <w:color w:val="auto"/>
              </w:rPr>
            </w:pPr>
          </w:p>
        </w:tc>
        <w:tc>
          <w:tcPr>
            <w:tcW w:w="69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373">
              <w:r>
                <w:rPr>
                  <w:rFonts w:ascii="Times New Roman" w:cs="Times New Roman" w:eastAsia="Times New Roman" w:hAnsi="Times New Roman"/>
                  <w:sz w:val="18"/>
                  <w:szCs w:val="18"/>
                  <w:color w:val="0000EE"/>
                </w:rPr>
                <w:t>Warrant to Purchase Shares of Common Stock, dated as of October 8, 2019, by and between</w:t>
              </w:r>
            </w:hyperlink>
          </w:p>
        </w:tc>
        <w:tc>
          <w:tcPr>
            <w:tcW w:w="400" w:type="dxa"/>
            <w:vAlign w:val="bottom"/>
            <w:gridSpan w:val="10"/>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73">
              <w:r>
                <w:rPr>
                  <w:rFonts w:ascii="Times New Roman" w:cs="Times New Roman" w:eastAsia="Times New Roman" w:hAnsi="Times New Roman"/>
                  <w:sz w:val="18"/>
                  <w:szCs w:val="18"/>
                  <w:color w:val="0000EE"/>
                </w:rPr>
                <w:t>Affirm, Inc. and Delta Air Lines, Inc.</w:t>
              </w:r>
            </w:hyperlink>
          </w:p>
        </w:tc>
        <w:tc>
          <w:tcPr>
            <w:tcW w:w="4520" w:type="dxa"/>
            <w:vAlign w:val="bottom"/>
            <w:gridSpan w:val="13"/>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1"/>
                <w:szCs w:val="21"/>
                <w:color w:val="auto"/>
              </w:rPr>
            </w:pPr>
          </w:p>
        </w:tc>
        <w:tc>
          <w:tcPr>
            <w:tcW w:w="7360" w:type="dxa"/>
            <w:vAlign w:val="bottom"/>
            <w:gridSpan w:val="21"/>
          </w:tcPr>
          <w:p>
            <w:pPr>
              <w:spacing w:after="0"/>
              <w:rPr>
                <w:rFonts w:ascii="Times New Roman" w:cs="Times New Roman" w:eastAsia="Times New Roman" w:hAnsi="Times New Roman"/>
                <w:sz w:val="18"/>
                <w:szCs w:val="18"/>
                <w:color w:val="0000EE"/>
              </w:rPr>
            </w:pPr>
            <w:hyperlink w:anchor="page387">
              <w:r>
                <w:rPr>
                  <w:rFonts w:ascii="Times New Roman" w:cs="Times New Roman" w:eastAsia="Times New Roman" w:hAnsi="Times New Roman"/>
                  <w:sz w:val="18"/>
                  <w:szCs w:val="18"/>
                  <w:color w:val="0000EE"/>
                </w:rPr>
                <w:t>Warrant to Purchase Common Stock, dated as of May 15, 2014, by and between Affirm, Inc. and</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87">
              <w:r>
                <w:rPr>
                  <w:rFonts w:ascii="Times New Roman" w:cs="Times New Roman" w:eastAsia="Times New Roman" w:hAnsi="Times New Roman"/>
                  <w:sz w:val="18"/>
                  <w:szCs w:val="18"/>
                  <w:color w:val="0000EE"/>
                </w:rPr>
                <w:t>Silicon Valley Bank</w:t>
              </w:r>
            </w:hyperlink>
          </w:p>
        </w:tc>
        <w:tc>
          <w:tcPr>
            <w:tcW w:w="5780" w:type="dxa"/>
            <w:vAlign w:val="bottom"/>
            <w:tcBorders>
              <w:top w:val="single" w:sz="8" w:color="0000EE"/>
            </w:tcBorders>
            <w:gridSpan w:val="14"/>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7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399">
              <w:r>
                <w:rPr>
                  <w:rFonts w:ascii="Times New Roman" w:cs="Times New Roman" w:eastAsia="Times New Roman" w:hAnsi="Times New Roman"/>
                  <w:sz w:val="18"/>
                  <w:szCs w:val="18"/>
                  <w:color w:val="0000EE"/>
                </w:rPr>
                <w:t>Warrant to Purchase Common Stock, dated as of August 5, 2015, by and between Affirm, Inc.</w:t>
              </w:r>
            </w:hyperlink>
          </w:p>
        </w:tc>
        <w:tc>
          <w:tcPr>
            <w:tcW w:w="260" w:type="dxa"/>
            <w:vAlign w:val="bottom"/>
            <w:gridSpan w:val="8"/>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99">
              <w:r>
                <w:rPr>
                  <w:rFonts w:ascii="Times New Roman" w:cs="Times New Roman" w:eastAsia="Times New Roman" w:hAnsi="Times New Roman"/>
                  <w:sz w:val="18"/>
                  <w:szCs w:val="18"/>
                  <w:color w:val="0000EE"/>
                </w:rPr>
                <w:t>and Silicon Valley Bank</w:t>
              </w:r>
            </w:hyperlink>
          </w:p>
        </w:tc>
        <w:tc>
          <w:tcPr>
            <w:tcW w:w="5520" w:type="dxa"/>
            <w:vAlign w:val="bottom"/>
            <w:gridSpan w:val="15"/>
          </w:tcPr>
          <w:p>
            <w:pPr>
              <w:spacing w:after="0"/>
              <w:rPr>
                <w:sz w:val="17"/>
                <w:szCs w:val="17"/>
                <w:color w:val="auto"/>
              </w:rPr>
            </w:pPr>
          </w:p>
        </w:tc>
      </w:tr>
      <w:tr>
        <w:trPr>
          <w:trHeight w:val="25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1"/>
                <w:szCs w:val="21"/>
                <w:color w:val="auto"/>
              </w:rPr>
            </w:pPr>
          </w:p>
        </w:tc>
        <w:tc>
          <w:tcPr>
            <w:tcW w:w="7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412">
              <w:r>
                <w:rPr>
                  <w:rFonts w:ascii="Times New Roman" w:cs="Times New Roman" w:eastAsia="Times New Roman" w:hAnsi="Times New Roman"/>
                  <w:sz w:val="18"/>
                  <w:szCs w:val="18"/>
                  <w:color w:val="0000EE"/>
                </w:rPr>
                <w:t>Stock Purchase Warrant, dated as of September 1, 2020, by and between Affirm Holdings, Inc.</w:t>
              </w:r>
            </w:hyperlink>
          </w:p>
        </w:tc>
        <w:tc>
          <w:tcPr>
            <w:tcW w:w="200" w:type="dxa"/>
            <w:vAlign w:val="bottom"/>
            <w:gridSpan w:val="6"/>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12">
              <w:r>
                <w:rPr>
                  <w:rFonts w:ascii="Times New Roman" w:cs="Times New Roman" w:eastAsia="Times New Roman" w:hAnsi="Times New Roman"/>
                  <w:sz w:val="18"/>
                  <w:szCs w:val="18"/>
                  <w:color w:val="0000EE"/>
                </w:rPr>
                <w:t>and Shopify Inc.</w:t>
              </w:r>
            </w:hyperlink>
          </w:p>
        </w:tc>
        <w:tc>
          <w:tcPr>
            <w:tcW w:w="6100" w:type="dxa"/>
            <w:vAlign w:val="bottom"/>
            <w:gridSpan w:val="18"/>
          </w:tcPr>
          <w:p>
            <w:pPr>
              <w:spacing w:after="0"/>
              <w:rPr>
                <w:sz w:val="17"/>
                <w:szCs w:val="17"/>
                <w:color w:val="auto"/>
              </w:rPr>
            </w:pPr>
          </w:p>
        </w:tc>
      </w:tr>
      <w:tr>
        <w:trPr>
          <w:trHeight w:val="304"/>
        </w:trPr>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4"/>
                <w:szCs w:val="24"/>
                <w:color w:val="auto"/>
              </w:rPr>
            </w:pPr>
          </w:p>
        </w:tc>
        <w:tc>
          <w:tcPr>
            <w:tcW w:w="73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Opinion of Skadden, Arps, Slate, Meagher &amp; Flom LLP</w:t>
            </w:r>
          </w:p>
        </w:tc>
      </w:tr>
      <w:tr>
        <w:trPr>
          <w:trHeight w:val="270"/>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993">
              <w:r>
                <w:rPr>
                  <w:rFonts w:ascii="Times New Roman" w:cs="Times New Roman" w:eastAsia="Times New Roman" w:hAnsi="Times New Roman"/>
                  <w:sz w:val="18"/>
                  <w:szCs w:val="18"/>
                  <w:u w:val="single" w:color="auto"/>
                  <w:color w:val="0000EE"/>
                </w:rPr>
                <w:t>Form of Indemnification Agreement between the Company and its directors and officers</w:t>
              </w:r>
            </w:hyperlink>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w:anchor="page433">
              <w:r>
                <w:rPr>
                  <w:rFonts w:ascii="Times New Roman" w:cs="Times New Roman" w:eastAsia="Times New Roman" w:hAnsi="Times New Roman"/>
                  <w:sz w:val="18"/>
                  <w:szCs w:val="18"/>
                  <w:u w:val="single" w:color="auto"/>
                  <w:color w:val="0000EE"/>
                </w:rPr>
                <w:t>Amended and Restated 2012 Stock Plan and related form agreements</w:t>
              </w:r>
            </w:hyperlink>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994">
              <w:r>
                <w:rPr>
                  <w:rFonts w:ascii="Times New Roman" w:cs="Times New Roman" w:eastAsia="Times New Roman" w:hAnsi="Times New Roman"/>
                  <w:sz w:val="18"/>
                  <w:szCs w:val="18"/>
                  <w:u w:val="single" w:color="auto"/>
                  <w:color w:val="0000EE"/>
                </w:rPr>
                <w:t>2020 Employee Stock Purchase Plan</w:t>
              </w:r>
            </w:hyperlink>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7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95">
              <w:r>
                <w:rPr>
                  <w:rFonts w:ascii="Times New Roman" w:cs="Times New Roman" w:eastAsia="Times New Roman" w:hAnsi="Times New Roman"/>
                  <w:sz w:val="18"/>
                  <w:szCs w:val="18"/>
                  <w:color w:val="0000EE"/>
                </w:rPr>
                <w:t>Second Amended and Restated Loan Program Agreement, dated as of November 1, 2020, by and</w:t>
              </w:r>
            </w:hyperlink>
          </w:p>
        </w:tc>
        <w:tc>
          <w:tcPr>
            <w:tcW w:w="40" w:type="dxa"/>
            <w:vAlign w:val="bottom"/>
            <w:gridSpan w:val="2"/>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gridSpan w:val="21"/>
          </w:tcPr>
          <w:p>
            <w:pPr>
              <w:spacing w:after="0" w:line="196" w:lineRule="exact"/>
              <w:rPr>
                <w:rFonts w:ascii="Times New Roman" w:cs="Times New Roman" w:eastAsia="Times New Roman" w:hAnsi="Times New Roman"/>
                <w:sz w:val="18"/>
                <w:szCs w:val="18"/>
                <w:color w:val="0000EE"/>
              </w:rPr>
            </w:pPr>
            <w:hyperlink r:id="rId995">
              <w:r>
                <w:rPr>
                  <w:rFonts w:ascii="Times New Roman" w:cs="Times New Roman" w:eastAsia="Times New Roman" w:hAnsi="Times New Roman"/>
                  <w:sz w:val="18"/>
                  <w:szCs w:val="18"/>
                  <w:color w:val="0000EE"/>
                </w:rPr>
                <w:t>between Affirm, Inc. and Cross River Bank</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1"/>
                <w:szCs w:val="21"/>
                <w:color w:val="auto"/>
              </w:rPr>
            </w:pPr>
          </w:p>
        </w:tc>
        <w:tc>
          <w:tcPr>
            <w:tcW w:w="7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96">
              <w:r>
                <w:rPr>
                  <w:rFonts w:ascii="Times New Roman" w:cs="Times New Roman" w:eastAsia="Times New Roman" w:hAnsi="Times New Roman"/>
                  <w:sz w:val="18"/>
                  <w:szCs w:val="18"/>
                  <w:color w:val="0000EE"/>
                </w:rPr>
                <w:t>Second Amended and Restated Loan Sale Agreement, dated as of November 1, 2020, by and</w:t>
              </w:r>
            </w:hyperlink>
          </w:p>
        </w:tc>
        <w:tc>
          <w:tcPr>
            <w:tcW w:w="360" w:type="dxa"/>
            <w:vAlign w:val="bottom"/>
            <w:gridSpan w:val="9"/>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gridSpan w:val="21"/>
          </w:tcPr>
          <w:p>
            <w:pPr>
              <w:spacing w:after="0" w:line="196" w:lineRule="exact"/>
              <w:rPr>
                <w:rFonts w:ascii="Times New Roman" w:cs="Times New Roman" w:eastAsia="Times New Roman" w:hAnsi="Times New Roman"/>
                <w:sz w:val="18"/>
                <w:szCs w:val="18"/>
                <w:color w:val="0000EE"/>
              </w:rPr>
            </w:pPr>
            <w:hyperlink r:id="rId996">
              <w:r>
                <w:rPr>
                  <w:rFonts w:ascii="Times New Roman" w:cs="Times New Roman" w:eastAsia="Times New Roman" w:hAnsi="Times New Roman"/>
                  <w:sz w:val="18"/>
                  <w:szCs w:val="18"/>
                  <w:color w:val="0000EE"/>
                </w:rPr>
                <w:t>between Affirm, Inc. and Cross River Bank</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1"/>
                <w:szCs w:val="21"/>
                <w:color w:val="auto"/>
              </w:rPr>
            </w:pPr>
          </w:p>
        </w:tc>
        <w:tc>
          <w:tcPr>
            <w:tcW w:w="7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97">
              <w:r>
                <w:rPr>
                  <w:rFonts w:ascii="Times New Roman" w:cs="Times New Roman" w:eastAsia="Times New Roman" w:hAnsi="Times New Roman"/>
                  <w:sz w:val="18"/>
                  <w:szCs w:val="18"/>
                  <w:color w:val="0000EE"/>
                </w:rPr>
                <w:t>Merchant Agreement, dated as of September 3, 2020, by and between Affirm, Inc. and Peloton</w:t>
              </w:r>
            </w:hyperlink>
          </w:p>
        </w:tc>
        <w:tc>
          <w:tcPr>
            <w:tcW w:w="200" w:type="dxa"/>
            <w:vAlign w:val="bottom"/>
            <w:gridSpan w:val="6"/>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997">
              <w:r>
                <w:rPr>
                  <w:rFonts w:ascii="Times New Roman" w:cs="Times New Roman" w:eastAsia="Times New Roman" w:hAnsi="Times New Roman"/>
                  <w:sz w:val="18"/>
                  <w:szCs w:val="18"/>
                  <w:color w:val="0000EE"/>
                </w:rPr>
                <w:t>Interactive, Inc.</w:t>
              </w:r>
            </w:hyperlink>
          </w:p>
        </w:tc>
        <w:tc>
          <w:tcPr>
            <w:tcW w:w="6160" w:type="dxa"/>
            <w:vAlign w:val="bottom"/>
            <w:gridSpan w:val="19"/>
          </w:tcPr>
          <w:p>
            <w:pPr>
              <w:spacing w:after="0"/>
              <w:rPr>
                <w:sz w:val="17"/>
                <w:szCs w:val="17"/>
                <w:color w:val="auto"/>
              </w:rPr>
            </w:pPr>
          </w:p>
        </w:tc>
      </w:tr>
      <w:tr>
        <w:trPr>
          <w:trHeight w:val="2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1"/>
                <w:szCs w:val="21"/>
                <w:color w:val="auto"/>
              </w:rPr>
            </w:pPr>
          </w:p>
        </w:tc>
        <w:tc>
          <w:tcPr>
            <w:tcW w:w="7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98">
              <w:r>
                <w:rPr>
                  <w:rFonts w:ascii="Times New Roman" w:cs="Times New Roman" w:eastAsia="Times New Roman" w:hAnsi="Times New Roman"/>
                  <w:sz w:val="18"/>
                  <w:szCs w:val="18"/>
                  <w:color w:val="0000EE"/>
                </w:rPr>
                <w:t>Customer Installment Program Agreement, dated as of July 16, 2020, by and between Shopify</w:t>
              </w:r>
            </w:hyperlink>
          </w:p>
        </w:tc>
        <w:tc>
          <w:tcPr>
            <w:tcW w:w="240" w:type="dxa"/>
            <w:vAlign w:val="bottom"/>
            <w:gridSpan w:val="7"/>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gridSpan w:val="21"/>
          </w:tcPr>
          <w:p>
            <w:pPr>
              <w:spacing w:after="0" w:line="196" w:lineRule="exact"/>
              <w:rPr>
                <w:rFonts w:ascii="Times New Roman" w:cs="Times New Roman" w:eastAsia="Times New Roman" w:hAnsi="Times New Roman"/>
                <w:sz w:val="18"/>
                <w:szCs w:val="18"/>
                <w:color w:val="0000EE"/>
              </w:rPr>
            </w:pPr>
            <w:hyperlink r:id="rId998">
              <w:r>
                <w:rPr>
                  <w:rFonts w:ascii="Times New Roman" w:cs="Times New Roman" w:eastAsia="Times New Roman" w:hAnsi="Times New Roman"/>
                  <w:sz w:val="18"/>
                  <w:szCs w:val="18"/>
                  <w:color w:val="0000EE"/>
                </w:rPr>
                <w:t>Inc. and Affirm, Inc.</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r>
      <w:tr>
        <w:trPr>
          <w:trHeight w:val="304"/>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24"/>
                <w:szCs w:val="24"/>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999">
              <w:r>
                <w:rPr>
                  <w:rFonts w:ascii="Times New Roman" w:cs="Times New Roman" w:eastAsia="Times New Roman" w:hAnsi="Times New Roman"/>
                  <w:sz w:val="18"/>
                  <w:szCs w:val="18"/>
                  <w:u w:val="single" w:color="auto"/>
                  <w:color w:val="0000EE"/>
                </w:rPr>
                <w:t>Letter Regarding Change in Accountants</w:t>
              </w:r>
            </w:hyperlink>
          </w:p>
        </w:tc>
      </w:tr>
      <w:tr>
        <w:trPr>
          <w:trHeight w:val="270"/>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1000">
              <w:r>
                <w:rPr>
                  <w:rFonts w:ascii="Times New Roman" w:cs="Times New Roman" w:eastAsia="Times New Roman" w:hAnsi="Times New Roman"/>
                  <w:sz w:val="18"/>
                  <w:szCs w:val="18"/>
                  <w:u w:val="single" w:color="auto"/>
                  <w:color w:val="0000EE"/>
                </w:rPr>
                <w:t>Subsidiaries of the Company</w:t>
              </w:r>
            </w:hyperlink>
          </w:p>
        </w:tc>
      </w:tr>
      <w:tr>
        <w:trPr>
          <w:trHeight w:val="27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5"/>
              </w:rPr>
              <w:t>23.1</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w:anchor="page496">
              <w:r>
                <w:rPr>
                  <w:rFonts w:ascii="Times New Roman" w:cs="Times New Roman" w:eastAsia="Times New Roman" w:hAnsi="Times New Roman"/>
                  <w:sz w:val="18"/>
                  <w:szCs w:val="18"/>
                  <w:u w:val="single" w:color="auto"/>
                  <w:color w:val="0000EE"/>
                </w:rPr>
                <w:t>Consent of Ernst &amp; Young LLP, independent registered public accountants</w:t>
              </w:r>
            </w:hyperlink>
          </w:p>
        </w:tc>
      </w:tr>
      <w:tr>
        <w:trPr>
          <w:trHeight w:val="27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5"/>
              </w:rPr>
              <w:t>23.2</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w:anchor="page497">
              <w:r>
                <w:rPr>
                  <w:rFonts w:ascii="Times New Roman" w:cs="Times New Roman" w:eastAsia="Times New Roman" w:hAnsi="Times New Roman"/>
                  <w:sz w:val="18"/>
                  <w:szCs w:val="18"/>
                  <w:u w:val="single" w:color="auto"/>
                  <w:color w:val="0000EE"/>
                </w:rPr>
                <w:t>Consent of Deloitte &amp; Touche LLP, independent registered public accountants</w:t>
              </w:r>
            </w:hyperlink>
          </w:p>
        </w:tc>
      </w:tr>
      <w:tr>
        <w:trPr>
          <w:trHeight w:val="270"/>
        </w:trPr>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8"/>
              </w:rPr>
              <w:t>23.3*</w:t>
            </w:r>
          </w:p>
        </w:tc>
        <w:tc>
          <w:tcPr>
            <w:tcW w:w="200" w:type="dxa"/>
            <w:vAlign w:val="bottom"/>
          </w:tcPr>
          <w:p>
            <w:pPr>
              <w:spacing w:after="0"/>
              <w:rPr>
                <w:sz w:val="23"/>
                <w:szCs w:val="23"/>
                <w:color w:val="auto"/>
              </w:rPr>
            </w:pPr>
          </w:p>
        </w:tc>
        <w:tc>
          <w:tcPr>
            <w:tcW w:w="73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Consent of Skadden, Arps, Slate, Meagher &amp; Flom LLP (included in Exhibit 5.1)</w:t>
            </w:r>
          </w:p>
        </w:tc>
      </w:tr>
      <w:tr>
        <w:trPr>
          <w:trHeight w:val="270"/>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r:id="rId1001">
              <w:r>
                <w:rPr>
                  <w:rFonts w:ascii="Times New Roman" w:cs="Times New Roman" w:eastAsia="Times New Roman" w:hAnsi="Times New Roman"/>
                  <w:sz w:val="18"/>
                  <w:szCs w:val="18"/>
                  <w:u w:val="single" w:color="auto"/>
                  <w:color w:val="0000EE"/>
                </w:rPr>
                <w:t>Power of Attorney</w:t>
              </w:r>
            </w:hyperlink>
          </w:p>
        </w:tc>
      </w:tr>
      <w:tr>
        <w:trPr>
          <w:trHeight w:val="27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5"/>
              </w:rPr>
              <w:t>99.1</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w:anchor="page498">
              <w:r>
                <w:rPr>
                  <w:rFonts w:ascii="Times New Roman" w:cs="Times New Roman" w:eastAsia="Times New Roman" w:hAnsi="Times New Roman"/>
                  <w:sz w:val="18"/>
                  <w:szCs w:val="18"/>
                  <w:u w:val="single" w:color="auto"/>
                  <w:color w:val="0000EE"/>
                </w:rPr>
                <w:t>Consent of Jenny J. Ming</w:t>
              </w:r>
            </w:hyperlink>
          </w:p>
        </w:tc>
      </w:tr>
      <w:tr>
        <w:trPr>
          <w:trHeight w:val="27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5"/>
              </w:rPr>
              <w:t>99.2</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w:anchor="page499">
              <w:r>
                <w:rPr>
                  <w:rFonts w:ascii="Times New Roman" w:cs="Times New Roman" w:eastAsia="Times New Roman" w:hAnsi="Times New Roman"/>
                  <w:sz w:val="18"/>
                  <w:szCs w:val="18"/>
                  <w:u w:val="single" w:color="auto"/>
                  <w:color w:val="0000EE"/>
                </w:rPr>
                <w:t>Consent of Jacqueline D. Reses</w:t>
              </w:r>
            </w:hyperlink>
          </w:p>
        </w:tc>
      </w:tr>
      <w:tr>
        <w:trPr>
          <w:trHeight w:val="270"/>
        </w:trPr>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5"/>
              </w:rPr>
              <w:t>99.3</w:t>
            </w:r>
          </w:p>
        </w:tc>
        <w:tc>
          <w:tcPr>
            <w:tcW w:w="200" w:type="dxa"/>
            <w:vAlign w:val="bottom"/>
          </w:tcPr>
          <w:p>
            <w:pPr>
              <w:spacing w:after="0"/>
              <w:rPr>
                <w:sz w:val="23"/>
                <w:szCs w:val="23"/>
                <w:color w:val="auto"/>
              </w:rPr>
            </w:pPr>
          </w:p>
        </w:tc>
        <w:tc>
          <w:tcPr>
            <w:tcW w:w="7360" w:type="dxa"/>
            <w:vAlign w:val="bottom"/>
            <w:gridSpan w:val="21"/>
          </w:tcPr>
          <w:p>
            <w:pPr>
              <w:spacing w:after="0"/>
              <w:rPr>
                <w:rFonts w:ascii="Times New Roman" w:cs="Times New Roman" w:eastAsia="Times New Roman" w:hAnsi="Times New Roman"/>
                <w:sz w:val="18"/>
                <w:szCs w:val="18"/>
                <w:u w:val="single" w:color="auto"/>
                <w:color w:val="0000EE"/>
              </w:rPr>
            </w:pPr>
            <w:hyperlink w:anchor="page500">
              <w:r>
                <w:rPr>
                  <w:rFonts w:ascii="Times New Roman" w:cs="Times New Roman" w:eastAsia="Times New Roman" w:hAnsi="Times New Roman"/>
                  <w:sz w:val="18"/>
                  <w:szCs w:val="18"/>
                  <w:u w:val="single" w:color="auto"/>
                  <w:color w:val="0000EE"/>
                </w:rPr>
                <w:t>Consent of James D. White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hanging="358"/>
        <w:spacing w:after="0"/>
        <w:tabs>
          <w:tab w:leader="none" w:pos="1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5" w:name="page296"/>
    <w:bookmarkEnd w:id="295"/>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Previously filed</w:t>
      </w:r>
    </w:p>
    <w:p>
      <w:pPr>
        <w:spacing w:after="0" w:line="77" w:lineRule="exact"/>
        <w:rPr>
          <w:sz w:val="20"/>
          <w:szCs w:val="20"/>
          <w:color w:val="auto"/>
        </w:rPr>
      </w:pPr>
    </w:p>
    <w:p>
      <w:pPr>
        <w:ind w:left="1620" w:hanging="358"/>
        <w:spacing w:after="0"/>
        <w:tabs>
          <w:tab w:leader="none" w:pos="1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77" w:lineRule="exact"/>
        <w:rPr>
          <w:sz w:val="20"/>
          <w:szCs w:val="20"/>
          <w:color w:val="auto"/>
        </w:rPr>
      </w:pPr>
    </w:p>
    <w:p>
      <w:pPr>
        <w:ind w:left="1620" w:right="699" w:hanging="358"/>
        <w:spacing w:after="0" w:line="266" w:lineRule="auto"/>
        <w:tabs>
          <w:tab w:leader="none" w:pos="1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as the Registrant has determined that: (i) the omitted information is not material; and (ii) the omitted information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6" w:name="page297"/>
    <w:bookmarkEnd w:id="296"/>
    <w:p>
      <w:pPr>
        <w:spacing w:after="0"/>
        <w:rPr>
          <w:rFonts w:ascii="Arial" w:cs="Arial" w:eastAsia="Arial" w:hAnsi="Arial"/>
          <w:sz w:val="14"/>
          <w:szCs w:val="14"/>
          <w:color w:val="003366"/>
        </w:rPr>
      </w:pPr>
      <w:hyperlink w:anchor="page2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San Francisco, California on December 14, 2020.</w:t>
      </w:r>
    </w:p>
    <w:p>
      <w:pPr>
        <w:spacing w:after="0" w:line="1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00" w:lineRule="exact"/>
        <w:rPr>
          <w:sz w:val="20"/>
          <w:szCs w:val="20"/>
          <w:color w:val="auto"/>
        </w:rPr>
      </w:pPr>
    </w:p>
    <w:p>
      <w:pPr>
        <w:spacing w:after="0" w:line="259" w:lineRule="exact"/>
        <w:rPr>
          <w:sz w:val="20"/>
          <w:szCs w:val="20"/>
          <w:color w:val="auto"/>
        </w:rPr>
      </w:pPr>
    </w:p>
    <w:p>
      <w:pPr>
        <w:ind w:left="5200"/>
        <w:spacing w:after="0"/>
        <w:tabs>
          <w:tab w:leader="none" w:pos="5660" w:val="left"/>
        </w:tabs>
        <w:rPr>
          <w:sz w:val="20"/>
          <w:szCs w:val="20"/>
          <w:color w:val="auto"/>
        </w:rPr>
      </w:pPr>
      <w:r>
        <w:rPr>
          <w:rFonts w:ascii="Times New Roman" w:cs="Times New Roman" w:eastAsia="Times New Roman" w:hAnsi="Times New Roman"/>
          <w:sz w:val="18"/>
          <w:szCs w:val="18"/>
          <w:color w:val="auto"/>
        </w:rPr>
        <w:t>By:</w:t>
        <w:tab/>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51435</wp:posOffset>
            </wp:positionV>
            <wp:extent cx="24003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Max Levchin</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3"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December 14, 2020.</w:t>
      </w:r>
    </w:p>
    <w:p>
      <w:pPr>
        <w:spacing w:after="0" w:line="101" w:lineRule="exact"/>
        <w:rPr>
          <w:sz w:val="20"/>
          <w:szCs w:val="20"/>
          <w:color w:val="auto"/>
        </w:rPr>
      </w:pPr>
    </w:p>
    <w:p>
      <w:pPr>
        <w:ind w:left="298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521208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Max Levchin</w:t>
      </w: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Linford</w:t>
      </w: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Siphelele Jiyane</w:t>
      </w: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Jeremy Liew</w:t>
      </w: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Christa S. Quarles</w:t>
      </w: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Jeremy G. Philips</w:t>
      </w: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253746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Keith Rabois</w:t>
      </w:r>
    </w:p>
    <w:p>
      <w:pPr>
        <w:spacing w:after="0" w:line="200" w:lineRule="exact"/>
        <w:rPr>
          <w:sz w:val="20"/>
          <w:szCs w:val="20"/>
          <w:color w:val="auto"/>
        </w:rPr>
      </w:pPr>
    </w:p>
    <w:p>
      <w:pPr>
        <w:spacing w:after="0" w:line="309" w:lineRule="exact"/>
        <w:rPr>
          <w:sz w:val="20"/>
          <w:szCs w:val="20"/>
          <w:color w:val="auto"/>
        </w:rPr>
      </w:pPr>
    </w:p>
    <w:p>
      <w:pPr>
        <w:ind w:left="1260"/>
        <w:spacing w:after="0"/>
        <w:tabs>
          <w:tab w:leader="none" w:pos="1760" w:val="left"/>
        </w:tabs>
        <w:rPr>
          <w:sz w:val="20"/>
          <w:szCs w:val="20"/>
          <w:color w:val="auto"/>
        </w:rPr>
      </w:pPr>
      <w:r>
        <w:rPr>
          <w:rFonts w:ascii="Times New Roman" w:cs="Times New Roman" w:eastAsia="Times New Roman" w:hAnsi="Times New Roman"/>
          <w:sz w:val="18"/>
          <w:szCs w:val="18"/>
          <w:color w:val="auto"/>
        </w:rPr>
        <w:t>*By:</w:t>
        <w:tab/>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34290</wp:posOffset>
            </wp:positionV>
            <wp:extent cx="220281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Max Levchin, 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both"/>
        <w:ind w:right="1159"/>
        <w:spacing w:after="0" w:line="282" w:lineRule="auto"/>
        <w:rPr>
          <w:sz w:val="20"/>
          <w:szCs w:val="20"/>
          <w:color w:val="auto"/>
        </w:rPr>
      </w:pPr>
      <w:r>
        <w:rPr>
          <w:rFonts w:ascii="Times New Roman" w:cs="Times New Roman" w:eastAsia="Times New Roman" w:hAnsi="Times New Roman"/>
          <w:sz w:val="18"/>
          <w:szCs w:val="18"/>
          <w:color w:val="auto"/>
        </w:rPr>
        <w:t>Chairman of the Board of Directors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18"/>
          <w:szCs w:val="18"/>
          <w:color w:val="auto"/>
        </w:rPr>
        <w:t>VP,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1361" w:lineRule="exact"/>
        <w:rPr>
          <w:sz w:val="20"/>
          <w:szCs w:val="20"/>
          <w:color w:val="auto"/>
        </w:rPr>
      </w:pPr>
    </w:p>
    <w:p>
      <w:pPr>
        <w:sectPr>
          <w:pgSz w:w="11900" w:h="16838" w:orient="portrait"/>
          <w:cols w:equalWidth="0" w:num="2">
            <w:col w:w="4760" w:space="720"/>
            <w:col w:w="4659"/>
          </w:cols>
          <w:pgMar w:left="320" w:top="114" w:right="1440" w:bottom="1440" w:gutter="0" w:footer="0" w:header="0"/>
          <w:type w:val="continuous"/>
        </w:sectPr>
      </w:pPr>
    </w:p>
    <w:p>
      <w:pPr>
        <w:spacing w:after="0" w:line="2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7" w:name="page298"/>
    <w:bookmarkEnd w:id="29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Affirm Holdings,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the laws of the State of Delaware, hereby certifies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right="180" w:firstLine="656"/>
        <w:spacing w:after="0" w:line="286" w:lineRule="auto"/>
        <w:tabs>
          <w:tab w:leader="none" w:pos="131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on June 12, 2019, under the name Affirm Holdings, Inc.</w:t>
      </w:r>
    </w:p>
    <w:p>
      <w:pPr>
        <w:spacing w:after="0" w:line="158" w:lineRule="exact"/>
        <w:rPr>
          <w:rFonts w:ascii="Times New Roman" w:cs="Times New Roman" w:eastAsia="Times New Roman" w:hAnsi="Times New Roman"/>
          <w:sz w:val="18"/>
          <w:szCs w:val="18"/>
          <w:color w:val="auto"/>
        </w:rPr>
      </w:pPr>
    </w:p>
    <w:p>
      <w:pPr>
        <w:ind w:right="200" w:firstLine="656"/>
        <w:spacing w:after="0" w:line="282" w:lineRule="auto"/>
        <w:tabs>
          <w:tab w:leader="none" w:pos="135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in accordance with Sections 242 and 245 of the DGCL, and has been duly approved by the written consent of the stockholders of the Corporation in accordance with Section 228 of the DGCL.</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is hereby amended and restated in its entirety to read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Affirm Holdings, Inc.</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229" w:lineRule="exact"/>
        <w:rPr>
          <w:sz w:val="20"/>
          <w:szCs w:val="20"/>
          <w:color w:val="auto"/>
        </w:rPr>
      </w:pPr>
    </w:p>
    <w:p>
      <w:pPr>
        <w:ind w:left="2020" w:hanging="716"/>
        <w:spacing w:after="0"/>
        <w:tabs>
          <w:tab w:leader="none" w:pos="202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Classes of Stock</w:t>
      </w:r>
      <w:r>
        <w:rPr>
          <w:rFonts w:ascii="Times New Roman" w:cs="Times New Roman" w:eastAsia="Times New Roman" w:hAnsi="Times New Roman"/>
          <w:sz w:val="18"/>
          <w:szCs w:val="18"/>
          <w:color w:val="auto"/>
        </w:rPr>
        <w:t>. The total number of shares of capital stock that the Corporation shall have authority to issue is 3,200,000,000,</w:t>
      </w:r>
    </w:p>
    <w:p>
      <w:pPr>
        <w:spacing w:after="0" w:line="27" w:lineRule="exact"/>
        <w:rPr>
          <w:rFonts w:ascii="Times New Roman" w:cs="Times New Roman" w:eastAsia="Times New Roman" w:hAnsi="Times New Roman"/>
          <w:sz w:val="18"/>
          <w:szCs w:val="18"/>
          <w:color w:val="010000"/>
        </w:rPr>
      </w:pPr>
    </w:p>
    <w:p>
      <w:pPr>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consisting of the following: 3,030,000,000 shares of Class A Common Stock, par value $0.00001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140,000,000 shares of Class B Common Stock, par value $0.00001 per share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30,000,000 shares of undesignated Preferred Stock, par value $0.00001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Immediately upon the filing and effectiveness of this Amended and Restated Certificate of Incorporation with the Secretary of State of the State of Delaware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share of the Corporation’s Common Stock, par value $0.00001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that is issued and outstanding or held as treasury stock immediately prior to the Effective Time shall, automatically and without any further action by any stockholder, be reclassified as, and shall become, one half of one validly issued, fully paid and non-assessable share of Class A Common Stock and one half of one validly issued, fully paid and non-assessable share of Class B Common Stock. Notwithstanding the immediately preceding sentence, no fractional shares of Class A Common Stock or Class B Common Stock shall be issued to the holders of record of Common Stock in connection with the foregoing reclassification. In lieu of any fractional shares to which a stockholder would otherwise be entitled (after taking into account all fractional shares of Class A Common Stock and Class B Common Stock, as applicable, that would otherwise be issuable to such holder), the Corporation shall pay cash to such holder in an amount equal to such fractional shares multiplied by the final price to the public per share set forth on the cover page of the final prospectus filed with the Securities and Exchange Commission under the Securities Act of 1933, as amended, in connection with the Corporation’s initial public offering of Class A Common Stock (which value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determined represents the fair value of such fractional shares as of the Effective Time). Any fractional shares in respect of shares of Common Stock held in treasury by the Company immediately prior to the Effective Time shall be cancelled and no consideration shall be paid therefor. Each certificate that immediately prior to the Effective Time represented shares of Common Stock (an “</w:t>
      </w:r>
      <w:r>
        <w:rPr>
          <w:rFonts w:ascii="Times New Roman" w:cs="Times New Roman" w:eastAsia="Times New Roman" w:hAnsi="Times New Roman"/>
          <w:sz w:val="18"/>
          <w:szCs w:val="18"/>
          <w:b w:val="1"/>
          <w:bCs w:val="1"/>
          <w:color w:val="auto"/>
        </w:rPr>
        <w:t>Old Certificate</w:t>
      </w:r>
      <w:r>
        <w:rPr>
          <w:rFonts w:ascii="Times New Roman" w:cs="Times New Roman" w:eastAsia="Times New Roman" w:hAnsi="Times New Roman"/>
          <w:sz w:val="18"/>
          <w:szCs w:val="18"/>
          <w:color w:val="auto"/>
        </w:rPr>
        <w:t>”) shall thereafter from and after the Effective Time, automatically and without the necessity of presenting the same for exchange, represent that number of whole shares of Class A Common Stock and Class B Common Stock, respectively, into which the shares of Common Stock represented by the Old Certificate shall have been reclassified, as well as the right to receive cash in lieu of any fractional shares of Common Stock as described in this paragraph; provided, however, that from and after the Effective Time, the shares of Class A Common Stock and Class B Common Stock shall be uncertificated and no new certificates representing shares Class A Common Stock and Class B Common Stock shall be issued to a holder of an Old Certificate upon surrender thereof following the Effective Time and any Old Certificate shall be cancelled and a holder of an Old Certificate surrendered to the Corporation shall be entitled to receive cash in lieu of any fractional shares of Common Stock as described in this paragraph to the extent such holder has not already received such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8" w:name="page299"/>
    <w:bookmarkEnd w:id="298"/>
    <w:p>
      <w:pPr>
        <w:ind w:left="-60" w:right="140" w:firstLine="1304"/>
        <w:spacing w:after="0" w:line="256" w:lineRule="auto"/>
        <w:tabs>
          <w:tab w:leader="none" w:pos="1986" w:val="left"/>
        </w:tabs>
        <w:numPr>
          <w:ilvl w:val="1"/>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Rights of Preferred Stock</w:t>
      </w:r>
      <w:r>
        <w:rPr>
          <w:rFonts w:ascii="Times New Roman" w:cs="Times New Roman" w:eastAsia="Times New Roman" w:hAnsi="Times New Roman"/>
          <w:sz w:val="18"/>
          <w:szCs w:val="18"/>
          <w:color w:val="auto"/>
        </w:rPr>
        <w:t>. The Board of Directors of the Corporation the Board of Directors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Times New Roman" w:cs="Times New Roman" w:eastAsia="Times New Roman" w:hAnsi="Times New Roman"/>
          <w:sz w:val="18"/>
          <w:szCs w:val="18"/>
          <w:b w:val="1"/>
          <w:bCs w:val="1"/>
          <w:color w:val="auto"/>
        </w:rPr>
        <w:t>Preferred Stock Designation</w:t>
      </w:r>
      <w:r>
        <w:rPr>
          <w:rFonts w:ascii="Times New Roman" w:cs="Times New Roman" w:eastAsia="Times New Roman" w:hAnsi="Times New Roman"/>
          <w:sz w:val="18"/>
          <w:szCs w:val="18"/>
          <w:color w:val="auto"/>
        </w:rPr>
        <w:t>”), setting forth such resolution or resolutions.</w:t>
      </w:r>
    </w:p>
    <w:p>
      <w:pPr>
        <w:spacing w:after="0" w:line="187" w:lineRule="exact"/>
        <w:rPr>
          <w:rFonts w:ascii="Times New Roman" w:cs="Times New Roman" w:eastAsia="Times New Roman" w:hAnsi="Times New Roman"/>
          <w:sz w:val="18"/>
          <w:szCs w:val="18"/>
          <w:color w:val="010000"/>
        </w:rPr>
      </w:pPr>
    </w:p>
    <w:p>
      <w:pPr>
        <w:ind w:left="-60" w:firstLine="1304"/>
        <w:spacing w:after="0" w:line="258" w:lineRule="auto"/>
        <w:tabs>
          <w:tab w:leader="none" w:pos="1941" w:val="left"/>
        </w:tabs>
        <w:numPr>
          <w:ilvl w:val="1"/>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Vote to Increase or Decrease Authorized Shares of Preferred Stock</w:t>
      </w:r>
      <w:r>
        <w:rPr>
          <w:rFonts w:ascii="Times New Roman" w:cs="Times New Roman" w:eastAsia="Times New Roman" w:hAnsi="Times New Roman"/>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183" w:lineRule="exact"/>
        <w:rPr>
          <w:rFonts w:ascii="Times New Roman" w:cs="Times New Roman" w:eastAsia="Times New Roman" w:hAnsi="Times New Roman"/>
          <w:sz w:val="18"/>
          <w:szCs w:val="18"/>
          <w:color w:val="010000"/>
        </w:rPr>
      </w:pPr>
    </w:p>
    <w:p>
      <w:pPr>
        <w:ind w:left="-60" w:right="420" w:firstLine="1304"/>
        <w:spacing w:after="0" w:line="282" w:lineRule="auto"/>
        <w:tabs>
          <w:tab w:leader="none" w:pos="1951" w:val="left"/>
        </w:tabs>
        <w:numPr>
          <w:ilvl w:val="1"/>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Rights of Class A Common Stock and Class B Common Stock</w:t>
      </w:r>
      <w:r>
        <w:rPr>
          <w:rFonts w:ascii="Times New Roman" w:cs="Times New Roman" w:eastAsia="Times New Roman" w:hAnsi="Times New Roman"/>
          <w:sz w:val="18"/>
          <w:szCs w:val="18"/>
          <w:color w:val="auto"/>
        </w:rPr>
        <w:t>. The relative powers, rights, qualifications, limitations and restrictions granted to or imposed on the shares of Class A Common Stock and Class B Common Stock are as follows:</w:t>
      </w:r>
    </w:p>
    <w:p>
      <w:pPr>
        <w:spacing w:after="0" w:line="161" w:lineRule="exact"/>
        <w:rPr>
          <w:rFonts w:ascii="Times New Roman" w:cs="Times New Roman" w:eastAsia="Times New Roman" w:hAnsi="Times New Roman"/>
          <w:sz w:val="18"/>
          <w:szCs w:val="18"/>
          <w:color w:val="010000"/>
        </w:rPr>
      </w:pPr>
    </w:p>
    <w:p>
      <w:pPr>
        <w:ind w:left="1320" w:hanging="724"/>
        <w:spacing w:after="0"/>
        <w:tabs>
          <w:tab w:leader="none" w:pos="1320"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60" w:firstLine="1952"/>
        <w:spacing w:after="0" w:line="258" w:lineRule="auto"/>
        <w:tabs>
          <w:tab w:leader="none" w:pos="2848" w:val="left"/>
        </w:tabs>
        <w:numPr>
          <w:ilvl w:val="2"/>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Right to Vote Together; Exception</w:t>
      </w:r>
      <w:r>
        <w:rPr>
          <w:rFonts w:ascii="Times New Roman" w:cs="Times New Roman" w:eastAsia="Times New Roman" w:hAnsi="Times New Roman"/>
          <w:sz w:val="18"/>
          <w:szCs w:val="18"/>
          <w:color w:val="auto"/>
        </w:rPr>
        <w:t xml:space="preserve">. Except as otherwise expressly provided herein or required by applicable law, the holders of Class A Common Stock and Class B Common Stock shall vote together as one class on all matters submitted to a vote of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 thereon.</w:t>
      </w:r>
    </w:p>
    <w:p>
      <w:pPr>
        <w:spacing w:after="0" w:line="183" w:lineRule="exact"/>
        <w:rPr>
          <w:rFonts w:ascii="Times New Roman" w:cs="Times New Roman" w:eastAsia="Times New Roman" w:hAnsi="Times New Roman"/>
          <w:sz w:val="18"/>
          <w:szCs w:val="18"/>
          <w:color w:val="010000"/>
        </w:rPr>
      </w:pPr>
    </w:p>
    <w:p>
      <w:pPr>
        <w:ind w:left="-60" w:right="40" w:firstLine="1952"/>
        <w:spacing w:after="0" w:line="266" w:lineRule="auto"/>
        <w:tabs>
          <w:tab w:leader="none" w:pos="2813" w:val="left"/>
        </w:tabs>
        <w:numPr>
          <w:ilvl w:val="2"/>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fifteen (15) votes for each such share.</w:t>
      </w:r>
    </w:p>
    <w:p>
      <w:pPr>
        <w:spacing w:after="0" w:line="175" w:lineRule="exact"/>
        <w:rPr>
          <w:rFonts w:ascii="Times New Roman" w:cs="Times New Roman" w:eastAsia="Times New Roman" w:hAnsi="Times New Roman"/>
          <w:sz w:val="18"/>
          <w:szCs w:val="18"/>
          <w:color w:val="010000"/>
        </w:rPr>
      </w:pPr>
    </w:p>
    <w:p>
      <w:pPr>
        <w:ind w:left="-60" w:right="40" w:firstLine="656"/>
        <w:spacing w:after="0" w:line="266" w:lineRule="auto"/>
        <w:tabs>
          <w:tab w:leader="none" w:pos="1308"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299" w:name="page300"/>
    <w:bookmarkEnd w:id="299"/>
    <w:p>
      <w:pPr>
        <w:ind w:left="-20" w:firstLine="1952"/>
        <w:spacing w:after="0" w:line="255" w:lineRule="auto"/>
        <w:tabs>
          <w:tab w:leader="none" w:pos="2888" w:val="left"/>
        </w:tabs>
        <w:numPr>
          <w:ilvl w:val="1"/>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88" w:lineRule="exact"/>
        <w:rPr>
          <w:rFonts w:ascii="Times New Roman" w:cs="Times New Roman" w:eastAsia="Times New Roman" w:hAnsi="Times New Roman"/>
          <w:sz w:val="18"/>
          <w:szCs w:val="18"/>
          <w:color w:val="010000"/>
        </w:rPr>
      </w:pPr>
    </w:p>
    <w:p>
      <w:pPr>
        <w:ind w:left="-20" w:right="80" w:firstLine="1952"/>
        <w:spacing w:after="0" w:line="258" w:lineRule="auto"/>
        <w:tabs>
          <w:tab w:leader="none" w:pos="2898" w:val="left"/>
        </w:tabs>
        <w:numPr>
          <w:ilvl w:val="1"/>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Subdivision or Combination</w:t>
      </w:r>
      <w:r>
        <w:rPr>
          <w:rFonts w:ascii="Times New Roman" w:cs="Times New Roman" w:eastAsia="Times New Roman" w:hAnsi="Times New Roman"/>
          <w:sz w:val="18"/>
          <w:szCs w:val="18"/>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83" w:lineRule="exact"/>
        <w:rPr>
          <w:rFonts w:ascii="Times New Roman" w:cs="Times New Roman" w:eastAsia="Times New Roman" w:hAnsi="Times New Roman"/>
          <w:sz w:val="18"/>
          <w:szCs w:val="18"/>
          <w:color w:val="010000"/>
        </w:rPr>
      </w:pPr>
    </w:p>
    <w:p>
      <w:pPr>
        <w:ind w:left="-20" w:right="20" w:firstLine="1952"/>
        <w:spacing w:after="0" w:line="253" w:lineRule="auto"/>
        <w:tabs>
          <w:tab w:leader="none" w:pos="2888" w:val="left"/>
        </w:tabs>
        <w:numPr>
          <w:ilvl w:val="1"/>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Equal Treatment in a Change of Control or any Merger Transaction</w:t>
      </w:r>
      <w:r>
        <w:rPr>
          <w:rFonts w:ascii="Times New Roman" w:cs="Times New Roman" w:eastAsia="Times New Roman" w:hAnsi="Times New Roman"/>
          <w:sz w:val="18"/>
          <w:szCs w:val="18"/>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91" w:lineRule="exact"/>
        <w:rPr>
          <w:rFonts w:ascii="Times New Roman" w:cs="Times New Roman" w:eastAsia="Times New Roman" w:hAnsi="Times New Roman"/>
          <w:sz w:val="18"/>
          <w:szCs w:val="18"/>
          <w:color w:val="010000"/>
        </w:rPr>
      </w:pPr>
    </w:p>
    <w:p>
      <w:pPr>
        <w:ind w:left="1360" w:hanging="724"/>
        <w:spacing w:after="0"/>
        <w:tabs>
          <w:tab w:leader="none" w:pos="1360"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of 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20" w:right="380" w:firstLine="1952"/>
        <w:spacing w:after="0" w:line="282" w:lineRule="auto"/>
        <w:tabs>
          <w:tab w:leader="none" w:pos="2888"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Each one (1) share of Class B Common Stock shall be convertible into one (1) share of Class A Common Stock at the option of the holder thereof at any time upon written notice to the transfer agent of the Corporation.</w:t>
      </w:r>
    </w:p>
    <w:p>
      <w:pPr>
        <w:spacing w:after="0" w:line="161" w:lineRule="exact"/>
        <w:rPr>
          <w:rFonts w:ascii="Times New Roman" w:cs="Times New Roman" w:eastAsia="Times New Roman" w:hAnsi="Times New Roman"/>
          <w:sz w:val="18"/>
          <w:szCs w:val="18"/>
          <w:color w:val="010000"/>
        </w:rPr>
      </w:pPr>
    </w:p>
    <w:p>
      <w:pPr>
        <w:ind w:left="-20" w:right="160" w:firstLine="1952"/>
        <w:spacing w:after="0" w:line="282" w:lineRule="auto"/>
        <w:tabs>
          <w:tab w:leader="none" w:pos="2898" w:val="left"/>
        </w:tabs>
        <w:numPr>
          <w:ilvl w:val="1"/>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Shares of Class B Common Stock shall automatically, without any further action, convert into an equal number of shares of Class A Common Stock upon the earlier of:</w:t>
      </w:r>
    </w:p>
    <w:p>
      <w:pPr>
        <w:spacing w:after="0" w:line="159" w:lineRule="exact"/>
        <w:rPr>
          <w:rFonts w:ascii="Times New Roman" w:cs="Times New Roman" w:eastAsia="Times New Roman" w:hAnsi="Times New Roman"/>
          <w:sz w:val="18"/>
          <w:szCs w:val="18"/>
          <w:color w:val="010000"/>
        </w:rPr>
      </w:pPr>
    </w:p>
    <w:p>
      <w:pPr>
        <w:ind w:left="640" w:right="180" w:firstLine="2173"/>
        <w:spacing w:after="0" w:line="261" w:lineRule="auto"/>
        <w:tabs>
          <w:tab w:leader="none" w:pos="3257" w:val="left"/>
        </w:tabs>
        <w:numPr>
          <w:ilvl w:val="2"/>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Transfer of such share;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automatic conversion shall occur in the case of a Transfer by a Class B Stockholder to any of the persons or entities listed in clauses (A) through (F) below (each,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and from any such Permitted Transferee back to such Class B Stockholder and/or any other Permitted Transferee established by or for such Class B Stockholder:</w:t>
      </w:r>
    </w:p>
    <w:p>
      <w:pPr>
        <w:spacing w:after="0" w:line="181" w:lineRule="exact"/>
        <w:rPr>
          <w:rFonts w:ascii="Times New Roman" w:cs="Times New Roman" w:eastAsia="Times New Roman" w:hAnsi="Times New Roman"/>
          <w:sz w:val="18"/>
          <w:szCs w:val="18"/>
          <w:color w:val="010000"/>
        </w:rPr>
      </w:pPr>
    </w:p>
    <w:p>
      <w:pPr>
        <w:ind w:left="1280" w:right="60" w:firstLine="1948"/>
        <w:spacing w:after="0" w:line="254" w:lineRule="auto"/>
        <w:tabs>
          <w:tab w:leader="none" w:pos="4148" w:val="left"/>
        </w:tabs>
        <w:numPr>
          <w:ilvl w:val="3"/>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trust for the benefit of such Class B Stockholder or persons other than the Class B Stockholder, so long as the Class B Stockholder (or in the case of a Designated Holder, one or both of the Designated Holders) has sole dispositive power and exclusive Voting Control with respect to the shares of Class B Common Stock held by such 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 does not involve any payment of cash, securities, property or other consideration to the Class B Stockholder (other than as a settlor or beneficiary of such trust)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the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00" w:name="page301"/>
    <w:bookmarkEnd w:id="300"/>
    <w:p>
      <w:pPr>
        <w:ind w:left="180" w:right="320" w:firstLine="1948"/>
        <w:spacing w:after="0" w:line="254" w:lineRule="auto"/>
        <w:tabs>
          <w:tab w:leader="none" w:pos="3084"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trust under the terms of which such Class B Stockholder has retained a “qualified interest” within the meaning of §2702(b)(1) of the Internal Revenue Code (or successor provision) and/or a reversionary interest so long as the Class B Stockholder (or in the case of a Designated Holder, one or both of the Designated Holders) has sole dispositive power and exclusive Voting Control with respect to the shares of Class B Common Stock held by such trust;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such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91" w:lineRule="exact"/>
        <w:rPr>
          <w:rFonts w:ascii="Times New Roman" w:cs="Times New Roman" w:eastAsia="Times New Roman" w:hAnsi="Times New Roman"/>
          <w:sz w:val="18"/>
          <w:szCs w:val="18"/>
          <w:color w:val="010000"/>
        </w:rPr>
      </w:pPr>
    </w:p>
    <w:p>
      <w:pPr>
        <w:ind w:left="180" w:right="100" w:firstLine="1948"/>
        <w:spacing w:after="0" w:line="253" w:lineRule="auto"/>
        <w:tabs>
          <w:tab w:leader="none" w:pos="3038"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Individual Retirement Account, as defined in Section 408(a) of the Internal Revenue Code (or successor provision), or a pension, profit sharing, stock bonus or other type of plan or trust of which such Class B Stockholder (or in the case of a Designated Holder, one or both of the Designated Holders) is a participant or beneficiary and which satisfies the requirements for qualification under Section 401 of the Internal Revenue Code (or successor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Class B Stockholder (or in the case of a Designated Holder, one or both of the Designated Holders) has sole dispositive power and exclusive Voting Control with respect to the shares of Class B Common Stock held in such account, plan or trust,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such Class B Stockholder no longer has (or in the case of a Designated Holder, neither one nor both Designated Holders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spacing w:after="0" w:line="194" w:lineRule="exact"/>
        <w:rPr>
          <w:rFonts w:ascii="Times New Roman" w:cs="Times New Roman" w:eastAsia="Times New Roman" w:hAnsi="Times New Roman"/>
          <w:sz w:val="18"/>
          <w:szCs w:val="18"/>
          <w:color w:val="010000"/>
        </w:rPr>
      </w:pPr>
    </w:p>
    <w:p>
      <w:pPr>
        <w:ind w:left="180" w:right="20" w:firstLine="1948"/>
        <w:spacing w:after="0" w:line="253" w:lineRule="auto"/>
        <w:tabs>
          <w:tab w:leader="none" w:pos="3048"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(or in the case of a Designated Holder, one or both of the Designated Holders) retains sole dispositive power and exclusive Voting Control with respect to the shares of Class B Common Stock held by such corporation, partnership or limited liability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such Class B Stockholder no longer owns (or in the case of a Designated Holder, neither one nor both Designated Holders owns) sufficient shares, partnership interests or limited liability company interests, as applicable, or no longer has sufficient legally enforceable rights to ensure such Class B Stockholder(s)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w:t>
      </w:r>
    </w:p>
    <w:p>
      <w:pPr>
        <w:spacing w:after="0" w:line="187" w:lineRule="exact"/>
        <w:rPr>
          <w:rFonts w:ascii="Times New Roman" w:cs="Times New Roman" w:eastAsia="Times New Roman" w:hAnsi="Times New Roman"/>
          <w:sz w:val="18"/>
          <w:szCs w:val="18"/>
          <w:color w:val="010000"/>
        </w:rPr>
      </w:pPr>
    </w:p>
    <w:p>
      <w:pPr>
        <w:ind w:left="180" w:firstLine="1948"/>
        <w:spacing w:after="0" w:line="256" w:lineRule="auto"/>
        <w:tabs>
          <w:tab w:leader="none" w:pos="3073"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Affiliate of a Class B Stockholder;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person or entity holding sole dispositive power and exclusive Voting Control with respect to the shares of Class B Common Stock being Transferred (the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retains, directly or indirectly, sole dispositive power and exclusive Voting Control with respect to the shares following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event the Controlling Person no longer has sole dispositive power and exclusive Voting Control with respect to the shares of Class B Common Stock Transferred to such Affiliate, each such share of Class B Common Stock Transferred to such Affiliate shall automatically convert into one (1) share of Class A Common Stock unless such transaction is otherwise approved by the Corporation; or</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1" w:name="page302"/>
    <w:bookmarkEnd w:id="301"/>
    <w:p>
      <w:pPr>
        <w:ind w:left="1300" w:right="160" w:firstLine="1948"/>
        <w:spacing w:after="0" w:line="273" w:lineRule="auto"/>
        <w:tabs>
          <w:tab w:leader="none" w:pos="4184" w:val="left"/>
        </w:tabs>
        <w:numPr>
          <w:ilvl w:val="2"/>
          <w:numId w:val="16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in the case of a Designated Holder, to the other Designated Holder, or the other Designated Holder’s Permitted Transferees, or any other entity in which the other Designated Holder has, directly or indirectly, sole dispositive power and exclusive Voting Control with respect to the shares of Class B Common Stock held by such entity;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such other Designated Holder no longer has sole dispositive power and exclusive Voting Control with respect to the shares of Class B Common Stock held by such other Designated Holder, or such other Designated Holder’s Permitted Transferees, or such other entity, as applicable, each share of Class B Common Stock then held by such other Designated Holder, such other Designated Holder’s Permitted Transferees, or other entity shall automatically convert into one (1) fully paid and nonassessable share of Class A Common Stock; and</w:t>
      </w:r>
    </w:p>
    <w:p>
      <w:pPr>
        <w:spacing w:after="0" w:line="171" w:lineRule="exact"/>
        <w:rPr>
          <w:rFonts w:ascii="Times New Roman" w:cs="Times New Roman" w:eastAsia="Times New Roman" w:hAnsi="Times New Roman"/>
          <w:sz w:val="17"/>
          <w:szCs w:val="17"/>
          <w:color w:val="010000"/>
        </w:rPr>
      </w:pPr>
    </w:p>
    <w:p>
      <w:pPr>
        <w:ind w:left="660" w:right="20" w:firstLine="2173"/>
        <w:spacing w:after="0" w:line="256" w:lineRule="auto"/>
        <w:tabs>
          <w:tab w:leader="none" w:pos="3282" w:val="left"/>
        </w:tabs>
        <w:numPr>
          <w:ilvl w:val="1"/>
          <w:numId w:val="1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automatic conversion pursuant to this subsection (ii) shall occur in the case of a Class B Stockholder or its Permitted Transferees that furnishes a certification satisfactory to the Corporation prior to the specified date.</w:t>
      </w:r>
    </w:p>
    <w:p>
      <w:pPr>
        <w:spacing w:after="0" w:line="187" w:lineRule="exact"/>
        <w:rPr>
          <w:rFonts w:ascii="Times New Roman" w:cs="Times New Roman" w:eastAsia="Times New Roman" w:hAnsi="Times New Roman"/>
          <w:sz w:val="18"/>
          <w:szCs w:val="18"/>
          <w:color w:val="010000"/>
        </w:rPr>
      </w:pPr>
    </w:p>
    <w:p>
      <w:pPr>
        <w:ind w:right="100" w:firstLine="1952"/>
        <w:spacing w:after="0" w:line="266" w:lineRule="auto"/>
        <w:tabs>
          <w:tab w:leader="none" w:pos="2908"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Conversion Upon Death or Incapacity of a Non-Designated Holder</w:t>
      </w:r>
      <w:r>
        <w:rPr>
          <w:rFonts w:ascii="Times New Roman" w:cs="Times New Roman" w:eastAsia="Times New Roman" w:hAnsi="Times New Roman"/>
          <w:sz w:val="18"/>
          <w:szCs w:val="18"/>
          <w:color w:val="auto"/>
        </w:rPr>
        <w:t>. Each share of Class B Common Stock held of record by a Non-Designated Holder who is a natural person, or by such Non-Designated Holder’s Permitted Transferees, shall automatically, without any further action, convert into one share of Class A Common Stock upon the death or Incapacity of such Non-Designated Holder.</w:t>
      </w:r>
    </w:p>
    <w:p>
      <w:pPr>
        <w:spacing w:after="0" w:line="175" w:lineRule="exact"/>
        <w:rPr>
          <w:rFonts w:ascii="Times New Roman" w:cs="Times New Roman" w:eastAsia="Times New Roman" w:hAnsi="Times New Roman"/>
          <w:sz w:val="18"/>
          <w:szCs w:val="18"/>
          <w:color w:val="010000"/>
        </w:rPr>
      </w:pPr>
    </w:p>
    <w:p>
      <w:pPr>
        <w:ind w:right="100" w:firstLine="1952"/>
        <w:spacing w:after="0" w:line="258" w:lineRule="auto"/>
        <w:tabs>
          <w:tab w:leader="none" w:pos="2873"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Final Conversion of Class B Common Stock</w:t>
      </w:r>
      <w:r>
        <w:rPr>
          <w:rFonts w:ascii="Times New Roman" w:cs="Times New Roman" w:eastAsia="Times New Roman" w:hAnsi="Times New Roman"/>
          <w:sz w:val="18"/>
          <w:szCs w:val="18"/>
          <w:color w:val="auto"/>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of a certificate of retirement with the Secretary of State of the State of Delaware required thereby, and upon such retirement and cancellation, all references to Class B Common Stock in this Amended and Restated Certificate of Incorporation shall be eliminated.</w:t>
      </w:r>
    </w:p>
    <w:p>
      <w:pPr>
        <w:spacing w:after="0" w:line="183" w:lineRule="exact"/>
        <w:rPr>
          <w:rFonts w:ascii="Times New Roman" w:cs="Times New Roman" w:eastAsia="Times New Roman" w:hAnsi="Times New Roman"/>
          <w:sz w:val="18"/>
          <w:szCs w:val="18"/>
          <w:color w:val="010000"/>
        </w:rPr>
      </w:pPr>
    </w:p>
    <w:p>
      <w:pPr>
        <w:ind w:right="20" w:firstLine="1952"/>
        <w:spacing w:after="0" w:line="256" w:lineRule="auto"/>
        <w:tabs>
          <w:tab w:leader="none" w:pos="2908"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spacing w:after="0" w:line="187" w:lineRule="exact"/>
        <w:rPr>
          <w:rFonts w:ascii="Times New Roman" w:cs="Times New Roman" w:eastAsia="Times New Roman" w:hAnsi="Times New Roman"/>
          <w:sz w:val="18"/>
          <w:szCs w:val="18"/>
          <w:color w:val="010000"/>
        </w:rPr>
      </w:pPr>
    </w:p>
    <w:p>
      <w:pPr>
        <w:ind w:firstLine="1952"/>
        <w:spacing w:after="0" w:line="254" w:lineRule="auto"/>
        <w:tabs>
          <w:tab w:leader="none" w:pos="2933"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Immediate Effect of Conversion</w:t>
      </w:r>
      <w:r>
        <w:rPr>
          <w:rFonts w:ascii="Times New Roman" w:cs="Times New Roman" w:eastAsia="Times New Roman" w:hAnsi="Times New Roman"/>
          <w:sz w:val="18"/>
          <w:szCs w:val="18"/>
          <w:color w:val="auto"/>
        </w:rPr>
        <w:t>. In the event of a conversion of shares of Class B Common Stock to shares of Class A Common Stock pursuant to this Section D.3, such conversion(s) shall be deemed to have been made at the time that the Corporation’s transfer agent receives the written notice required, the time that the Transfer of such shares occurred, the death or Incapacity of the Non-Designated Holder, or immediately upon the Final Conversion Date, as applicable. Upon any conversion of Class B Common Stock to Class A Common Stock, all rights of the holder of such shares of Class B Common Stock shall cease and the person or persons in whose names or names the certificate or certificates (or book-entry position(s)) representing the shares of Class B Common Stock) are to be issued shall be treated for all purposes as having become the record holder or holders of such number of shares of Class A Common Stock into which such shares of Class B Common Stock were convertible. Shares of Class B Common Stock that are converted into shares of Class A Common Stock as provided in this Section D.3 shall be retired and shall not be reissued.</w:t>
      </w:r>
    </w:p>
    <w:p>
      <w:pPr>
        <w:spacing w:after="0" w:line="191" w:lineRule="exact"/>
        <w:rPr>
          <w:rFonts w:ascii="Times New Roman" w:cs="Times New Roman" w:eastAsia="Times New Roman" w:hAnsi="Times New Roman"/>
          <w:sz w:val="18"/>
          <w:szCs w:val="18"/>
          <w:color w:val="010000"/>
        </w:rPr>
      </w:pPr>
    </w:p>
    <w:p>
      <w:pPr>
        <w:ind w:right="160" w:firstLine="1952"/>
        <w:spacing w:after="0" w:line="261" w:lineRule="auto"/>
        <w:tabs>
          <w:tab w:leader="none" w:pos="2873"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ind w:right="80" w:firstLine="656"/>
        <w:spacing w:after="0" w:line="261" w:lineRule="auto"/>
        <w:tabs>
          <w:tab w:leader="none" w:pos="1368" w:val="left"/>
        </w:tabs>
        <w:numPr>
          <w:ilvl w:val="0"/>
          <w:numId w:val="1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Further Issuances</w:t>
      </w:r>
      <w:r>
        <w:rPr>
          <w:rFonts w:ascii="Times New Roman" w:cs="Times New Roman" w:eastAsia="Times New Roman" w:hAnsi="Times New Roman"/>
          <w:sz w:val="18"/>
          <w:szCs w:val="18"/>
          <w:color w:val="auto"/>
        </w:rPr>
        <w:t xml:space="preserve">. Except for the issuance of Class B Common Stock issuable upon exercise of Rights outstanding at the Effective Time or a dividend payable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D.2(a), the Corporation shall not at any time after the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following terms, where capitalized in this Amended and Restated Certificate of Incorporation, shall have the meanings ascribed to them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spacing w:after="0" w:line="17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has such meaning as is set forth in Rule 13d-3 of the Exchange Act. “Beneficial Ownership” and “Beneficially Owns” shall have correlative meanings.</w:t>
      </w:r>
    </w:p>
    <w:p>
      <w:pPr>
        <w:spacing w:after="0" w:line="15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Share Issuance</w:t>
      </w:r>
      <w:r>
        <w:rPr>
          <w:rFonts w:ascii="Times New Roman" w:cs="Times New Roman" w:eastAsia="Times New Roman" w:hAnsi="Times New Roman"/>
          <w:sz w:val="18"/>
          <w:szCs w:val="18"/>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18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sale, lease, exclusive license, exchange or other disposition of property or assets exclusively between or among the Corporation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or indirect subsidiary or subsidiaries of the Corporation shall not be deemed a “</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and (iv) any Change of Control Share Issuance.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Stockholder</w:t>
      </w:r>
      <w:r>
        <w:rPr>
          <w:rFonts w:ascii="Times New Roman" w:cs="Times New Roman" w:eastAsia="Times New Roman" w:hAnsi="Times New Roman"/>
          <w:sz w:val="18"/>
          <w:szCs w:val="18"/>
          <w:color w:val="auto"/>
        </w:rPr>
        <w:t>” means, collectively, the Designated Holders and the Non-Designated Holders.</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Holder</w:t>
      </w:r>
      <w:r>
        <w:rPr>
          <w:rFonts w:ascii="Times New Roman" w:cs="Times New Roman" w:eastAsia="Times New Roman" w:hAnsi="Times New Roman"/>
          <w:sz w:val="18"/>
          <w:szCs w:val="18"/>
          <w:color w:val="auto"/>
        </w:rPr>
        <w:t>” means Max Levchin and Nellie Levchin, in each case, in their respective capacities as (i) registered holders of shares of Class B Common Stock at the Effective Time and (ii) registered holders of any shares of Class B Common Stock that are originally issued by the Corporation after the Effective Time.</w:t>
      </w:r>
    </w:p>
    <w:p>
      <w:pPr>
        <w:spacing w:after="0" w:line="171"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(i) any dividend or distribution of cash, property or shares of the Corporation’s capital stock; and (ii) any distribution following or in connection with any liquidation, dissolution or winding up of the Corporation, either voluntary or involuntary.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Conversion Date</w:t>
      </w:r>
      <w:r>
        <w:rPr>
          <w:rFonts w:ascii="Times New Roman" w:cs="Times New Roman" w:eastAsia="Times New Roman" w:hAnsi="Times New Roman"/>
          <w:sz w:val="18"/>
          <w:szCs w:val="18"/>
          <w:color w:val="auto"/>
        </w:rPr>
        <w:t>” means 5:00 p.m. in New York City, New York on the first Trading Day falling on or after the earliest to occur of:</w:t>
      </w:r>
    </w:p>
    <w:p>
      <w:pPr>
        <w:spacing w:after="0" w:line="229" w:lineRule="exact"/>
        <w:rPr>
          <w:sz w:val="20"/>
          <w:szCs w:val="20"/>
          <w:color w:val="auto"/>
        </w:rPr>
      </w:pPr>
    </w:p>
    <w:p>
      <w:pPr>
        <w:ind w:left="2060" w:hanging="756"/>
        <w:spacing w:after="0"/>
        <w:tabs>
          <w:tab w:leader="none" w:pos="20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(7th) year anniversary of the Effective Time;</w:t>
      </w:r>
    </w:p>
    <w:p>
      <w:pPr>
        <w:spacing w:after="0" w:line="225" w:lineRule="exact"/>
        <w:rPr>
          <w:rFonts w:ascii="Times New Roman" w:cs="Times New Roman" w:eastAsia="Times New Roman" w:hAnsi="Times New Roman"/>
          <w:sz w:val="18"/>
          <w:szCs w:val="18"/>
          <w:color w:val="auto"/>
        </w:rPr>
      </w:pPr>
    </w:p>
    <w:p>
      <w:pPr>
        <w:ind w:left="660" w:right="60" w:firstLine="644"/>
        <w:spacing w:after="0" w:line="261" w:lineRule="auto"/>
        <w:tabs>
          <w:tab w:leader="none" w:pos="20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immediately following the Corporation’s annual meeting of stockholders where directors are to be elected if neither Designated Holder is then providing services to the Corporation as an officer, employee, director or consultant as of such date, and neither Designated Holder has provided services to the Corporation as an officer, employee, director or consultant at any time in the six month period immediately preceding such date;</w:t>
      </w:r>
    </w:p>
    <w:p>
      <w:pPr>
        <w:spacing w:after="0" w:line="179" w:lineRule="exact"/>
        <w:rPr>
          <w:rFonts w:ascii="Times New Roman" w:cs="Times New Roman" w:eastAsia="Times New Roman" w:hAnsi="Times New Roman"/>
          <w:sz w:val="18"/>
          <w:szCs w:val="18"/>
          <w:color w:val="auto"/>
        </w:rPr>
      </w:pPr>
    </w:p>
    <w:p>
      <w:pPr>
        <w:ind w:left="660" w:firstLine="644"/>
        <w:spacing w:after="0" w:line="261" w:lineRule="auto"/>
        <w:tabs>
          <w:tab w:leader="none" w:pos="20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such time as the Designated Holder(s), together with their Permitted Transferees, cease to Beneficially Own in the aggregate a number of shares of capital stock of the Company equal to at least fifty percent (50%) of the number of shares of capital stock of the Company that the Designated Holder(s), together with their Permitted Transferees, Beneficially Owned in the aggregate on the IPO Date; or</w:t>
      </w:r>
    </w:p>
    <w:p>
      <w:pPr>
        <w:spacing w:after="0" w:line="179" w:lineRule="exact"/>
        <w:rPr>
          <w:rFonts w:ascii="Times New Roman" w:cs="Times New Roman" w:eastAsia="Times New Roman" w:hAnsi="Times New Roman"/>
          <w:sz w:val="18"/>
          <w:szCs w:val="18"/>
          <w:color w:val="auto"/>
        </w:rPr>
      </w:pPr>
    </w:p>
    <w:p>
      <w:pPr>
        <w:ind w:left="660" w:right="140" w:firstLine="644"/>
        <w:spacing w:after="0" w:line="266" w:lineRule="auto"/>
        <w:tabs>
          <w:tab w:leader="none" w:pos="201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or Incapacity of the last to die or become Incapacitated of the Designated Holders, provided that such date may be extended but not for a total period of longer than nine (9) months from the last applicable death or Incapacity to a date approved by a majority of the Independent Directors then in office.</w:t>
      </w:r>
    </w:p>
    <w:p>
      <w:pPr>
        <w:spacing w:after="0" w:line="172"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that such person or holder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means the members of the Board of Directors designated as independent directors in accordance with the requirements of the Securities Exchange that are generally applicable to companies with common equity securities listed thereon (or if the Corporation’s equity securities are not listed for trading on a Securities Exchange, the requirements of a Securities Exchange generally applicable to companies with common equity securities listed thereon).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4" w:name="page305"/>
    <w:bookmarkEnd w:id="30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first date that shares of a class of the Corporation’s capital stock have been listed for trading on a Securities Exchange.</w:t>
      </w:r>
    </w:p>
    <w:p>
      <w:pPr>
        <w:spacing w:after="0" w:line="225" w:lineRule="exact"/>
        <w:rPr>
          <w:sz w:val="20"/>
          <w:szCs w:val="20"/>
          <w:color w:val="auto"/>
        </w:rPr>
      </w:pPr>
    </w:p>
    <w:p>
      <w:pPr>
        <w:ind w:right="4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Non-Designated Holders</w:t>
      </w:r>
      <w:r>
        <w:rPr>
          <w:rFonts w:ascii="Times New Roman" w:cs="Times New Roman" w:eastAsia="Times New Roman" w:hAnsi="Times New Roman"/>
          <w:sz w:val="18"/>
          <w:szCs w:val="18"/>
          <w:color w:val="auto"/>
        </w:rPr>
        <w:t>” means (i) the registered holder of a share of Class B Common Stock at the Effective Time and (ii) the registered holder of any shares of Class B Common Stock that are originally issued by the Corporation after the Effective Time, in each case, other than the Designated Holders.</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means any option, warrant, restricted stock unit, conversion right or contractual right of any kind to acquire shares of the Corporation’s authorized but unissued capital stock.</w:t>
      </w:r>
    </w:p>
    <w:p>
      <w:pPr>
        <w:spacing w:after="0" w:line="15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w:t>
      </w:r>
      <w:r>
        <w:rPr>
          <w:rFonts w:ascii="Times New Roman" w:cs="Times New Roman" w:eastAsia="Times New Roman" w:hAnsi="Times New Roman"/>
          <w:sz w:val="18"/>
          <w:szCs w:val="18"/>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any successor exchange of either the New York Stock Exchange or Nasdaq.</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Securities Exchange is open for trading.</w:t>
      </w:r>
    </w:p>
    <w:p>
      <w:pPr>
        <w:spacing w:after="0" w:line="22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of a share of Class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following shall not be considered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right="320" w:firstLine="644"/>
        <w:spacing w:after="0" w:line="282" w:lineRule="auto"/>
        <w:tabs>
          <w:tab w:leader="none" w:pos="206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proxy to officers or directors of the Corporation at the request of the Board of Directors of the Corporation in connection with actions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ind w:left="660" w:firstLine="644"/>
        <w:spacing w:after="0" w:line="261" w:lineRule="auto"/>
        <w:tabs>
          <w:tab w:leader="none" w:pos="20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 of shares of Class B Common Stock by a Class B Stockholder or his or her Permitted Transferees that creates a mere security interest in such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loan or indebtedness transaction so long as the Class B Stockholder (or in the case of a Designated Holder, one or both of the Designated Holders) continues to exercise Voting Control over such pledged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foreclosure on such shares of Class B Common Stock or other similar action by the pledgee shall constitute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202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Effective Time or at any time after the Effective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of such shares of Class B Common Stock;</w:t>
      </w:r>
    </w:p>
    <w:p>
      <w:pPr>
        <w:spacing w:after="0" w:line="177" w:lineRule="exact"/>
        <w:rPr>
          <w:rFonts w:ascii="Times New Roman" w:cs="Times New Roman" w:eastAsia="Times New Roman" w:hAnsi="Times New Roman"/>
          <w:sz w:val="18"/>
          <w:szCs w:val="18"/>
          <w:color w:val="auto"/>
        </w:rPr>
      </w:pPr>
    </w:p>
    <w:p>
      <w:pPr>
        <w:jc w:val="both"/>
        <w:ind w:left="660" w:right="660" w:firstLine="644"/>
        <w:spacing w:after="0" w:line="315" w:lineRule="auto"/>
        <w:tabs>
          <w:tab w:leader="none" w:pos="201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entering into a trading plan pursuant to Rule 10b5-1 under the Exchange Act with a broker or other nominee;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sale of such shares of Class B Common Stock pursuant to such plan shall constitute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at the time of such sale;</w:t>
      </w:r>
    </w:p>
    <w:p>
      <w:pPr>
        <w:spacing w:after="0" w:line="136" w:lineRule="exact"/>
        <w:rPr>
          <w:rFonts w:ascii="Times New Roman" w:cs="Times New Roman" w:eastAsia="Times New Roman" w:hAnsi="Times New Roman"/>
          <w:sz w:val="17"/>
          <w:szCs w:val="17"/>
          <w:color w:val="auto"/>
        </w:rPr>
      </w:pPr>
    </w:p>
    <w:p>
      <w:pPr>
        <w:jc w:val="both"/>
        <w:ind w:left="660" w:right="40" w:firstLine="644"/>
        <w:spacing w:after="0" w:line="266" w:lineRule="auto"/>
        <w:tabs>
          <w:tab w:leader="none" w:pos="201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entering into a support, voting, tender or similar agreement, arrangement or understanding (with or without granting a proxy) in connection with a Change of Control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Change of Control Transaction was approved by a majority of the Independent Directors then in office;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5" w:name="page306"/>
    <w:bookmarkEnd w:id="305"/>
    <w:p>
      <w:pPr>
        <w:ind w:left="660" w:right="20" w:firstLine="644"/>
        <w:spacing w:after="0" w:line="261" w:lineRule="auto"/>
        <w:tabs>
          <w:tab w:leader="none" w:pos="20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Designated Holder, the grant by such Designated Holder or his or her Permitted Transferees of a proxy with respect to Voting Control over any shares of the Corporation over which such Designated Holder has or shares Voting Control (including, without limitation, pursuant to any proxy or voting agreements then in place) to another Designated Holder, to be effective either (i) upon the death of such Designated Holder or (ii) during any period of Incapacity of such Designated Holder, including the exercise of such proxy by such person.</w:t>
      </w:r>
    </w:p>
    <w:p>
      <w:pPr>
        <w:spacing w:after="0" w:line="176"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For the avoidance of doubt,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will also be deemed to have occurred if there is a Transfer of the voting power of the voting securities of any entity that, directly or indirectly, Beneficially Owns any shares of Class B Common Stock, such that the previous holders of such voting rights no longer retain sole dispositive and exclusive Voting Control with respect to the shares of Class B Common Stock held by such holder.</w:t>
      </w:r>
    </w:p>
    <w:p>
      <w:pPr>
        <w:spacing w:after="0" w:line="17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Control</w:t>
      </w:r>
      <w:r>
        <w:rPr>
          <w:rFonts w:ascii="Times New Roman" w:cs="Times New Roman" w:eastAsia="Times New Roman" w:hAnsi="Times New Roman"/>
          <w:sz w:val="18"/>
          <w:szCs w:val="18"/>
          <w:color w:val="auto"/>
        </w:rPr>
        <w:t>” with respect to a share of Class B Common Stock means the exclusive power (whether directly or indirectly) to vote or direct the voting of such share of Class B Common Stock by proxy, voting agreement, or otherwise.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229" w:lineRule="exact"/>
        <w:rPr>
          <w:sz w:val="20"/>
          <w:szCs w:val="20"/>
          <w:color w:val="auto"/>
        </w:rPr>
      </w:pPr>
    </w:p>
    <w:p>
      <w:pPr>
        <w:ind w:left="2020" w:hanging="716"/>
        <w:spacing w:after="0"/>
        <w:tabs>
          <w:tab w:leader="none" w:pos="2020"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right="40" w:firstLine="1304"/>
        <w:spacing w:after="0" w:line="258" w:lineRule="auto"/>
        <w:tabs>
          <w:tab w:leader="none" w:pos="2001"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Number of Directors; Election</w:t>
      </w:r>
      <w:r>
        <w:rPr>
          <w:rFonts w:ascii="Times New Roman" w:cs="Times New Roman" w:eastAsia="Times New Roman" w:hAnsi="Times New Roman"/>
          <w:sz w:val="18"/>
          <w:szCs w:val="18"/>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spacing w:after="0" w:line="183" w:lineRule="exact"/>
        <w:rPr>
          <w:rFonts w:ascii="Times New Roman" w:cs="Times New Roman" w:eastAsia="Times New Roman" w:hAnsi="Times New Roman"/>
          <w:sz w:val="18"/>
          <w:szCs w:val="18"/>
          <w:color w:val="010000"/>
        </w:rPr>
      </w:pPr>
    </w:p>
    <w:p>
      <w:pPr>
        <w:ind w:right="120" w:firstLine="1304"/>
        <w:spacing w:after="0" w:line="253" w:lineRule="auto"/>
        <w:tabs>
          <w:tab w:leader="none" w:pos="2046"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Classified Board Structure</w:t>
      </w:r>
      <w:r>
        <w:rPr>
          <w:rFonts w:ascii="Times New Roman" w:cs="Times New Roman" w:eastAsia="Times New Roman" w:hAnsi="Times New Roman"/>
          <w:sz w:val="18"/>
          <w:szCs w:val="18"/>
          <w:color w:val="auto"/>
        </w:rPr>
        <w:t>. From and after the Effective Time, the directors of the Corporation (other than those directors elected by the holders of any series of Preferred Stock provided for or fixed pursuant to the provisions of Article IV hereof (the “Preferred Stock Directors”))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regularly-scheduled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each director shall serve until his or her successor is duly elected and qualified or until his or her death, resignation, or removal. If the number of directors is hereafter changed (other than in respect of Preferred Stock Directors),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80" w:lineRule="exact"/>
        <w:rPr>
          <w:sz w:val="20"/>
          <w:szCs w:val="20"/>
          <w:color w:val="auto"/>
        </w:rPr>
      </w:pPr>
    </w:p>
    <w:p>
      <w:pPr>
        <w:ind w:right="60" w:firstLine="1304"/>
        <w:spacing w:after="0" w:line="254" w:lineRule="auto"/>
        <w:tabs>
          <w:tab w:leader="none" w:pos="2056" w:val="left"/>
        </w:tabs>
        <w:numPr>
          <w:ilvl w:val="0"/>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xml:space="preserve">. Subject to the rights of holders of any series of Preferred Stock with respect to the election of Preferred Stock Directors, for so long as the Board of Directors is divided into classes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Section C, any director may be removed from office by the stockholders of the Corporation only for cause. Subject to the rights of holders of any series of Preferred Stock with respect to the election of Preferred Stock Directors,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225" w:lineRule="exact"/>
        <w:rPr>
          <w:sz w:val="20"/>
          <w:szCs w:val="20"/>
          <w:color w:val="auto"/>
        </w:rPr>
      </w:pPr>
    </w:p>
    <w:p>
      <w:pPr>
        <w:ind w:left="2020" w:hanging="716"/>
        <w:spacing w:after="0"/>
        <w:tabs>
          <w:tab w:leader="none" w:pos="2020" w:val="left"/>
        </w:tabs>
        <w:numPr>
          <w:ilvl w:val="0"/>
          <w:numId w:val="17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Written Ballot</w:t>
      </w:r>
      <w:r>
        <w:rPr>
          <w:rFonts w:ascii="Times New Roman" w:cs="Times New Roman" w:eastAsia="Times New Roman" w:hAnsi="Times New Roman"/>
          <w:sz w:val="17"/>
          <w:szCs w:val="17"/>
          <w:color w:val="auto"/>
        </w:rPr>
        <w:t>. Elections of directors need not be by written ballot unless the Bylaws of the Corporation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shall so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w:t>
      </w:r>
    </w:p>
    <w:p>
      <w:pPr>
        <w:spacing w:after="0" w:line="207" w:lineRule="exact"/>
        <w:rPr>
          <w:sz w:val="20"/>
          <w:szCs w:val="20"/>
          <w:color w:val="auto"/>
        </w:rPr>
      </w:pPr>
    </w:p>
    <w:p>
      <w:pPr>
        <w:ind w:right="580" w:firstLine="1304"/>
        <w:spacing w:after="0" w:line="282" w:lineRule="auto"/>
        <w:tabs>
          <w:tab w:leader="none" w:pos="2001" w:val="left"/>
        </w:tabs>
        <w:numPr>
          <w:ilvl w:val="0"/>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In furtherance and not in limitation of the powers conferred by statute, the Board of Directors is expressly authorized to adopt, amend or repeal the Bylaws of the Corporation.</w:t>
      </w:r>
    </w:p>
    <w:p>
      <w:pPr>
        <w:spacing w:after="0" w:line="161" w:lineRule="exact"/>
        <w:rPr>
          <w:rFonts w:ascii="Times New Roman" w:cs="Times New Roman" w:eastAsia="Times New Roman" w:hAnsi="Times New Roman"/>
          <w:sz w:val="18"/>
          <w:szCs w:val="18"/>
          <w:color w:val="010000"/>
        </w:rPr>
      </w:pPr>
    </w:p>
    <w:p>
      <w:pPr>
        <w:ind w:right="20" w:firstLine="1304"/>
        <w:spacing w:after="0" w:line="312" w:lineRule="auto"/>
        <w:tabs>
          <w:tab w:leader="none" w:pos="2001" w:val="left"/>
        </w:tabs>
        <w:numPr>
          <w:ilvl w:val="0"/>
          <w:numId w:val="1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stockholders may be called only by (i) the Board of Directors pursuant to a resolution adopted by a majority of the Board of Directors; (ii) the chairman of the Board of Directors; or (iii) the chief executive officer of the Corporation.</w:t>
      </w:r>
    </w:p>
    <w:p>
      <w:pPr>
        <w:spacing w:after="0" w:line="139" w:lineRule="exact"/>
        <w:rPr>
          <w:rFonts w:ascii="Times New Roman" w:cs="Times New Roman" w:eastAsia="Times New Roman" w:hAnsi="Times New Roman"/>
          <w:sz w:val="17"/>
          <w:szCs w:val="17"/>
          <w:color w:val="010000"/>
        </w:rPr>
      </w:pPr>
    </w:p>
    <w:p>
      <w:pPr>
        <w:ind w:right="80" w:firstLine="1304"/>
        <w:spacing w:after="0" w:line="266" w:lineRule="auto"/>
        <w:tabs>
          <w:tab w:leader="none" w:pos="2011" w:val="left"/>
        </w:tabs>
        <w:numPr>
          <w:ilvl w:val="0"/>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spacing w:after="0" w:line="175" w:lineRule="exact"/>
        <w:rPr>
          <w:rFonts w:ascii="Times New Roman" w:cs="Times New Roman" w:eastAsia="Times New Roman" w:hAnsi="Times New Roman"/>
          <w:sz w:val="18"/>
          <w:szCs w:val="18"/>
          <w:color w:val="010000"/>
        </w:rPr>
      </w:pPr>
    </w:p>
    <w:p>
      <w:pPr>
        <w:ind w:left="2040" w:hanging="736"/>
        <w:spacing w:after="0"/>
        <w:tabs>
          <w:tab w:leader="none" w:pos="2040" w:val="left"/>
        </w:tabs>
        <w:numPr>
          <w:ilvl w:val="0"/>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22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Neither any amendment nor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the Corporation’s Amended Certificate of Incorporation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respect of any matter occurring, or any cause of action, suit or proceeding accruing or arising or that, but for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would accrue or arise, prior to such amendment, repeal or adoption of an inconsistent provision.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7" w:name="page308"/>
    <w:bookmarkEnd w:id="307"/>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87"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8" w:name="page309"/>
    <w:bookmarkEnd w:id="30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Amended and Restated Certificate of Incorporation has been signed on behalf of the Corporation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effective this ___ day of _____, 2020.</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9" w:name="page310"/>
    <w:bookmarkEnd w:id="309"/>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INVESTORS’ RIGHTS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Amended and Restated Investors’ Rights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September 11,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Affirm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holders of the Company’s Preferred Stock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and certain of the Investors (the “</w:t>
      </w:r>
      <w:r>
        <w:rPr>
          <w:rFonts w:ascii="Times New Roman" w:cs="Times New Roman" w:eastAsia="Times New Roman" w:hAnsi="Times New Roman"/>
          <w:sz w:val="18"/>
          <w:szCs w:val="18"/>
          <w:u w:val="single" w:color="auto"/>
          <w:color w:val="auto"/>
        </w:rPr>
        <w:t>Existing Investors</w:t>
      </w:r>
      <w:r>
        <w:rPr>
          <w:rFonts w:ascii="Times New Roman" w:cs="Times New Roman" w:eastAsia="Times New Roman" w:hAnsi="Times New Roman"/>
          <w:sz w:val="18"/>
          <w:szCs w:val="18"/>
          <w:color w:val="auto"/>
        </w:rPr>
        <w:t>”) entered into an Amended and Restated Investors’ Rights Agreement effective as of June 18, 2019 in connection with a reorganization of the Company’s corporate structure (the “</w:t>
      </w:r>
      <w:r>
        <w:rPr>
          <w:rFonts w:ascii="Times New Roman" w:cs="Times New Roman" w:eastAsia="Times New Roman" w:hAnsi="Times New Roman"/>
          <w:sz w:val="18"/>
          <w:szCs w:val="18"/>
          <w:u w:val="single" w:color="auto"/>
          <w:color w:val="auto"/>
        </w:rPr>
        <w:t>Prior Investors’ Rights Agreement</w:t>
      </w:r>
      <w:r>
        <w:rPr>
          <w:rFonts w:ascii="Times New Roman" w:cs="Times New Roman" w:eastAsia="Times New Roman" w:hAnsi="Times New Roman"/>
          <w:sz w:val="18"/>
          <w:szCs w:val="18"/>
          <w:color w:val="auto"/>
        </w:rPr>
        <w:t>”). The parties to the Prior Investors’ Rights Agreement desire to amend and restate the Prior Investors’ Rights Agreement in its entirety and to accept the rights and restrictions created in this Agreement in lieu of the rights and restrictions contained in the Prior Investors’ Rights Agreement. Section 3.3 of the Prior Investors’ Rights Agreement vested the authority to amend the Prior Investors’ Rights Agreement in the Company, the holders of a majority of the “Registrable Securities” as defined therein, the holders of at least sixty percent (60%) of the shares of Common Stock issuable or issued upon conversion of the Company’s Series B Preferred Stock, the holders of at least seventy-five percent (75%) of the shares of Common Stock issuable or issued upon conversion of the Company’s Series C Preferred Stock, the holders of a majority of the shares of Common Stock issuable or issued upon conversion of the Company’s Series D Preferred Stock, the holders of a majority of the shares of Common Stock issuable or issued upon conversion of the Company’s Series E Preferred Stock and the holders of a majority of the shares of Common Stock issuable or issued upon conversion of the Company’s Series F Preferred Stock. The Existing Investors who are signatories to this Agreement constitute the holders of a majority of the Registrable Securities as defined in the Prior Investors’ Rights Agreement, at least sixty percent (60%) of the shares of Common Stock issuable or issued upon conversion of the Company’s Series B Preferred Stock, at least seventy-five percent (75%) of the shares of Common Stock issuable or issued upon conversion of the Company’s Series C Preferred Stock, a majority of the shares of Common Stock issuable or issued upon conversion of the Company’s Series D Preferred Stock, a majority of the shares of Common Stock issuable or issued upon conversion of the Company’s Series E Preferred Stock and a majority of the shares of Common Stock issuable or issued upon conversion of the Company’s Series F Preferred Stock.</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and certain of the Investors (the “</w:t>
      </w:r>
      <w:r>
        <w:rPr>
          <w:rFonts w:ascii="Times New Roman" w:cs="Times New Roman" w:eastAsia="Times New Roman" w:hAnsi="Times New Roman"/>
          <w:sz w:val="18"/>
          <w:szCs w:val="18"/>
          <w:u w:val="single" w:color="auto"/>
          <w:color w:val="auto"/>
        </w:rPr>
        <w:t>New Investors</w:t>
      </w:r>
      <w:r>
        <w:rPr>
          <w:rFonts w:ascii="Times New Roman" w:cs="Times New Roman" w:eastAsia="Times New Roman" w:hAnsi="Times New Roman"/>
          <w:sz w:val="18"/>
          <w:szCs w:val="18"/>
          <w:color w:val="auto"/>
        </w:rPr>
        <w:t>”) have entered into a Series G Preferred Stock and Series G-1 Preferred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of even date herewith pursuant to which the Company desires to sell to the New Investors, and the New Investors desire to purchase from the Company, shares of the Company’s Series G Preferred Stock and Series G-1 Preferred Stock. A condition to the New Investors’ obligations under the Purchase Agreement is that the Company and the Existing Investors amend and restate the Prior Investors’ Rights Agreement in order to provide the Investors with, among other rights, (i) certain rights to register shares of the Company’s Common Stock issuable upon conversion of the Company’s Series A Preferred Stock, Series B Preferred Stock, Series C Preferred Stock, Series D Preferred Stock, Series E Preferred Stock, Series F Preferred Stock, Series G Preferred Stock and Series G-1 Preferred Stock held by the Investors, (ii) certain rights to receive or inspect information pertaining to the Company, and (iii) a right of first offer with respect to certain issuances by the Company of its securities. The Company and the Existing Investors each desire to induce the New Investors to purchase shares of Series G Preferred Stock and Series G-1 Preferred Stock pursuant to the Purchase Agreement by agreeing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221" w:lineRule="exact"/>
        <w:rPr>
          <w:sz w:val="20"/>
          <w:szCs w:val="20"/>
          <w:color w:val="auto"/>
        </w:rPr>
      </w:pPr>
    </w:p>
    <w:p>
      <w:pPr>
        <w:ind w:left="1340" w:hanging="684"/>
        <w:spacing w:after="0"/>
        <w:tabs>
          <w:tab w:leader="none" w:pos="1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color w:val="auto"/>
        </w:rPr>
        <w:t>. The Company and each Investor, severally and not jointly, covenant and agree as follows: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229" w:lineRule="exact"/>
        <w:rPr>
          <w:rFonts w:ascii="Times New Roman" w:cs="Times New Roman" w:eastAsia="Times New Roman" w:hAnsi="Times New Roman"/>
          <w:sz w:val="18"/>
          <w:szCs w:val="18"/>
          <w:color w:val="auto"/>
        </w:rPr>
      </w:pPr>
    </w:p>
    <w:p>
      <w:pPr>
        <w:jc w:val="both"/>
        <w:ind w:firstLine="1952"/>
        <w:spacing w:after="0" w:line="253" w:lineRule="auto"/>
        <w:tabs>
          <w:tab w:leader="none" w:pos="3007"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Adverse Regulatory Event</w:t>
      </w:r>
      <w:r>
        <w:rPr>
          <w:rFonts w:ascii="Times New Roman" w:cs="Times New Roman" w:eastAsia="Times New Roman" w:hAnsi="Times New Roman"/>
          <w:sz w:val="18"/>
          <w:szCs w:val="18"/>
          <w:color w:val="auto"/>
        </w:rPr>
        <w:t>” means the existence of any facts or circumstances that, as a result of the ownership or control by Jasmine Ventures (as defined below) of shares of Company Stock, which are voting securities, or any securities into which the Series G Preferred Stock and/or other shares of Company Stock, which are voting securities, may be converted or for which they may be exchanged, or any such securities obtained by Jasmine Ventures following such conversion or exchange, would, or would be reasonably likely to, result in Jasmine Ventures or any of its affiliates (i) directly or indirectly owning, controlling or holding with power to vote 10% or more of any Class of voting securities of any Bank Entity, (ii) directly or indirectly having or possessing Control of any Bank Entity, or (iii) becoming subject to any compliance, notice, approval or filing obligation under (the Change in Bank Control Act (12 U.S.C. § 1817(j)) (the “</w:t>
      </w:r>
      <w:r>
        <w:rPr>
          <w:rFonts w:ascii="Times New Roman" w:cs="Times New Roman" w:eastAsia="Times New Roman" w:hAnsi="Times New Roman"/>
          <w:sz w:val="18"/>
          <w:szCs w:val="18"/>
          <w:u w:val="single" w:color="auto"/>
          <w:color w:val="auto"/>
        </w:rPr>
        <w:t>CIBC Act</w:t>
      </w:r>
      <w:r>
        <w:rPr>
          <w:rFonts w:ascii="Times New Roman" w:cs="Times New Roman" w:eastAsia="Times New Roman" w:hAnsi="Times New Roman"/>
          <w:sz w:val="18"/>
          <w:szCs w:val="18"/>
          <w:color w:val="auto"/>
        </w:rPr>
        <w:t>”), the Bank Holding Company Act of 1956 (the “</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the Home Owners’ Loan Act of 1933 (“</w:t>
      </w:r>
      <w:r>
        <w:rPr>
          <w:rFonts w:ascii="Times New Roman" w:cs="Times New Roman" w:eastAsia="Times New Roman" w:hAnsi="Times New Roman"/>
          <w:sz w:val="18"/>
          <w:szCs w:val="18"/>
          <w:u w:val="single" w:color="auto"/>
          <w:color w:val="auto"/>
        </w:rPr>
        <w:t>HOLA</w:t>
      </w:r>
      <w:r>
        <w:rPr>
          <w:rFonts w:ascii="Times New Roman" w:cs="Times New Roman" w:eastAsia="Times New Roman" w:hAnsi="Times New Roman"/>
          <w:sz w:val="18"/>
          <w:szCs w:val="18"/>
          <w:color w:val="auto"/>
        </w:rPr>
        <w:t>”), the International Banking Act, the FDI Act and regulations thereunder, or any similar Federal, state or foreign laws affecting the owner of securities of a Bank Entity or a person or entity that Controls a Bank Entity, including in connection with an application for deposit insurance for a Bank Entity made pursuant to the Interagency Charter and Federal Deposit Insurance Application and the FDI Act (including 12 U.S.C. § 1815, 12 C.F.R. Part 303 and FDIC regulations or policies with respect to parent companies of industrial banks or industrial loan companies, applicable state banking regulations or application requirements), the National Bank Act and/or HOLA, or (iv) becoming subject to the any of the circumstances described in the first paragraph of this section.</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309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or other investment fund now or hereafter existing that is controlled by one or more general partners or managing members of, or is under common investment management with or shares the same registered investment adviser with, such person; provided, however, that (i) each Wellington Investor shall be deemed to be an “Affiliate” of each other Wellington Investor, and (ii) an entity that is an “Affiliate” of a Wellington Investor shall not be deemed to be an “Affiliate” of any other Wellington Investor unless such entity is a Wellington Investor (and, for the avoidance of doubt, an “Affiliate” of such entity shall not be deemed an “Affiliate” of any Wellington Investor solely by virtue of being an “Affiliate” of such entity. The term “Wellington Investors” shall mean Investors or permitted transferees of Registrable Securities (as defined below) held by Wellington Investors, that are advisory or subadvisory clients of Wellington. For the avoidance of doubt, each of the Permitted Founders Fund Entities (as defined below) shall be considered Affiliates of all other Permitted Founders Fund Entities. For the avoidance of doubt, each of the Permitted Jasmine Ventures Entities (as defined below) shall be considered Affiliates of all other Permitted Jasmine Ventures Entities. For the avoidance of doubt, each Permitted BG Entity (as defined in the Purchase Agreement) shall be considered Affiliates of all other Permitted BG Entities.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1" w:name="page312"/>
    <w:bookmarkEnd w:id="311"/>
    <w:p>
      <w:pPr>
        <w:jc w:val="both"/>
        <w:ind w:firstLine="1952"/>
        <w:spacing w:after="0" w:line="253" w:lineRule="auto"/>
        <w:tabs>
          <w:tab w:leader="none" w:pos="29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Entity</w:t>
      </w:r>
      <w:r>
        <w:rPr>
          <w:rFonts w:ascii="Times New Roman" w:cs="Times New Roman" w:eastAsia="Times New Roman" w:hAnsi="Times New Roman"/>
          <w:sz w:val="18"/>
          <w:szCs w:val="18"/>
          <w:color w:val="auto"/>
        </w:rPr>
        <w:t>” means (i) an “insured depository institution” (as defined in the FDI Act (12 U.S.C. § 1813(c)(2)), a “bank” (as defined in the BHC Act (12 U.S.C. § 1841(c)), a “savings association” (as defined in FDI Act Section 3(b) (12 U.S.C. § 1813(b)) and/or HOLA (12 U.S.C. §1467a(a)(1)(A) and (l)), a national banking association existing under the provisions of the National Bank Act, a trust company, a credit card bank, an industrial bank or industrial loan company, or any other banking institution organized under the laws of the United States or any political subdivision thereof; (ii) any foreign bank (as defined in 12 U.S.C. § 3101(7)) or company that is subject to the BHC Act by virtue of Section 8 of the International Banking Act, any Edge corporation existing under the provisions of Section 25A of the Federal Reserve Act, any entity chartered or existing under the laws of any state or political subdivision of the United States that has entered into an agreement with the Board of Governors of the Federal Reserve System or its delegee to limit its activities to those permissible for an Edge corporation (a so-called “agreement corporation”); (iii) any “bank holding company” (as defined in 12 U.S.C. § 1841(a)) any “savings and loan holding company” (as defined in 12 U.S.C. § 1467a(a)(1)(D)) or (iv) any other company that controls any entity described in clauses (i) or (ii) above.</w:t>
      </w:r>
    </w:p>
    <w:p>
      <w:pPr>
        <w:spacing w:after="0" w:line="194"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of voting securities</w:t>
      </w:r>
      <w:r>
        <w:rPr>
          <w:rFonts w:ascii="Times New Roman" w:cs="Times New Roman" w:eastAsia="Times New Roman" w:hAnsi="Times New Roman"/>
          <w:sz w:val="18"/>
          <w:szCs w:val="18"/>
          <w:color w:val="auto"/>
        </w:rPr>
        <w:t>” has the meaning given for purposes of 12 C.F.R. § 225.2(q)(3).</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312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have the meanings provided in the FDI Act, the CIBC Act, the BHC Act and the applicable regulations thereunder, and applicable state law and regulations. A person has Control of a Bank Entity if such person would be regarded as directly or indirectly having control of such Bank Entity for purposes of the FDI Act, the BHC Act, the CIBC Act, HOLA, the International Banking Act or applicable state law, or would be subject to a presumption of control arising under any regulation thereunder or applicable state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31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shares of the Company’s capital stock (including without limitation its Preferred Stock, Common Stock and Common Stock issuable upon conversion of Preferred Stock or any stock received in connection with any stock dividend, stock split or other reclassification of any such stock).</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84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and the rules and regulations promulgated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ind w:firstLine="1952"/>
        <w:spacing w:after="0" w:line="282" w:lineRule="auto"/>
        <w:tabs>
          <w:tab w:leader="none" w:pos="28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95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person owning or having the right to acquire Registrable Securities or any assignee thereof in accordance with Section 1.12 of this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316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Major Holder</w:t>
      </w:r>
      <w:r>
        <w:rPr>
          <w:rFonts w:ascii="Times New Roman" w:cs="Times New Roman" w:eastAsia="Times New Roman" w:hAnsi="Times New Roman"/>
          <w:sz w:val="18"/>
          <w:szCs w:val="18"/>
          <w:color w:val="auto"/>
        </w:rPr>
        <w:t>” means any person, or any assignee thereof in accordance with Section 1.12 of this Agreement, owning or having the right to acquire at least 714,285 shares of Registrable Securities (subject to adjustment for stock splits, stock dividends, reclassification or the like).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8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Permitted Jasmine Ventures Entities</w:t>
      </w:r>
      <w:r>
        <w:rPr>
          <w:rFonts w:ascii="Times New Roman" w:cs="Times New Roman" w:eastAsia="Times New Roman" w:hAnsi="Times New Roman"/>
          <w:sz w:val="18"/>
          <w:szCs w:val="18"/>
          <w:color w:val="auto"/>
        </w:rPr>
        <w:t>” means Jasmine Ventures Pte Ltd (“</w:t>
      </w:r>
      <w:r>
        <w:rPr>
          <w:rFonts w:ascii="Times New Roman" w:cs="Times New Roman" w:eastAsia="Times New Roman" w:hAnsi="Times New Roman"/>
          <w:sz w:val="18"/>
          <w:szCs w:val="18"/>
          <w:u w:val="single" w:color="auto"/>
          <w:color w:val="auto"/>
        </w:rPr>
        <w:t>Jasmine Ventures</w:t>
      </w:r>
      <w:r>
        <w:rPr>
          <w:rFonts w:ascii="Times New Roman" w:cs="Times New Roman" w:eastAsia="Times New Roman" w:hAnsi="Times New Roman"/>
          <w:sz w:val="18"/>
          <w:szCs w:val="18"/>
          <w:color w:val="auto"/>
        </w:rPr>
        <w:t>”), any Jasmine Ventures employee investment vehicles, or any partner or Affiliate of any Permitted Jasmine Ventures Entity.</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306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Permitted Founders Fund Entities</w:t>
      </w:r>
      <w:r>
        <w:rPr>
          <w:rFonts w:ascii="Times New Roman" w:cs="Times New Roman" w:eastAsia="Times New Roman" w:hAnsi="Times New Roman"/>
          <w:sz w:val="18"/>
          <w:szCs w:val="18"/>
          <w:color w:val="auto"/>
        </w:rPr>
        <w:t>” means Founders Fund, LLC, The Founders Fund V Management LLC, The Founders Fund V, LP, The Founders Fund V Principals Fund, LP, Lembas V (or, in the alternative, one other similar Founders Fund investment vehicle), The Founders Fund VI Management, LLC, The Founders Fund VI, LP, The Founders Fund VI Principals Fund, LP, The Founders Fund VI Entrepreneurs Fund, LP, FF Angel V, LLC, FF Science V, LLC, any Founders Fund employee investment vehicles, or any partner or Affiliate of any Permitted Founders Fund Entity.</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9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 transferee (i) in a widespread public distribution, (ii) in any transfer in which no transferee (or group of associated transferees) acquires 2% or more of any class of voting shares of the Company (determined by giving effect to any automatic or other conversion of such transferred shares of nonvoting securities upon such transfer), or (iii) that owns or controls 50% or more of every class of voting shares of the Company before the transfer.</w:t>
      </w:r>
    </w:p>
    <w:p>
      <w:pPr>
        <w:spacing w:after="0" w:line="179"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the Company’s Preferred Stock.</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82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has the definition given to such term in the Company’s Amended and Restated Certificate of Incorporation as may be amended from time to time (the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312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both"/>
        <w:ind w:firstLine="1952"/>
        <w:spacing w:after="0" w:line="253" w:lineRule="auto"/>
        <w:tabs>
          <w:tab w:leader="none" w:pos="286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(i) the shares of Common Stock issuable or issued upon conversion of the Series A Preferred Stock, (ii) the shares of Common Stock issuable or issued upon conversion of the Series B Preferred Stock, (iii) the shares of Common Stock issuable or issued upon conversion of the Series C Preferred Stock, (iv) the shares of Common Stock issuable or issued upon conversion of the Series D Preferred Stock, (v) the shares of Common Stock issuable or issued upon conversion of the Series E Preferred Stock, (vi) the shares of Common Stock issuable or issued upon conversion of the Series F Preferred Stock, (vii) the shares of Common Stock issuable or issued upon conversion of the Series G Preferred Stock, (viii) the shares of Common Stock issuable or issued upon conversion of the Series G-1 Preferred Stock and (ix) any other shares of Common Stock of the Company issued as (or issuable upon the conversion or exercise of any warrant, right or other security which is issued as) a dividend or other distribution with respect to, or in exchange for or in replacement of, the shares listed in (i), (ii), (iii), (iv), (v), (vi), (vii) or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definition shall exclude in all cases any Registrable Securities sold by a person in a transaction in which his or her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and (B) they have not been sold in a transaction exempt from the registration and prospectus delivery requirements of the Securities Act under Section 4(a)(1) thereof so that all transfer restrictions, and restrictive legends with respect thereto, if any, are removed upon the consummation of such sale.</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w:t>
      </w:r>
      <w:r>
        <w:rPr>
          <w:rFonts w:ascii="Times New Roman" w:cs="Times New Roman" w:eastAsia="Times New Roman" w:hAnsi="Times New Roman"/>
          <w:sz w:val="18"/>
          <w:szCs w:val="18"/>
          <w:u w:val="single" w:color="auto"/>
          <w:color w:val="auto"/>
        </w:rPr>
        <w:t>Registrable Securities then outstanding</w:t>
      </w:r>
      <w:r>
        <w:rPr>
          <w:rFonts w:ascii="Times New Roman" w:cs="Times New Roman" w:eastAsia="Times New Roman" w:hAnsi="Times New Roman"/>
          <w:sz w:val="18"/>
          <w:szCs w:val="18"/>
          <w:color w:val="auto"/>
        </w:rPr>
        <w:t>” shall be determined by the number of shares of Common Stock outstanding which are, and the number of shares of Common Stock issuable pursuant to then exercisable or convertible securities (including without limitation shares of Preferred Stock) which are, Registrable Securities.</w:t>
      </w:r>
    </w:p>
    <w:p>
      <w:pPr>
        <w:spacing w:after="0" w:line="175"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shall mean Rule 144 under the Securities Act.</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left="2940" w:hanging="988"/>
        <w:spacing w:after="0"/>
        <w:tabs>
          <w:tab w:leader="none" w:pos="29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and the rules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regulations promulgated thereunder.</w:t>
      </w:r>
    </w:p>
    <w:p>
      <w:pPr>
        <w:spacing w:after="0" w:line="206"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the Company’s Series A Preferred Stock.</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means the Company’s Series B Preferred Stock.</w:t>
      </w:r>
    </w:p>
    <w:p>
      <w:pPr>
        <w:spacing w:after="0" w:line="22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means the Company’s Series C Preferred Stock.</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D Preferred Stock</w:t>
      </w:r>
      <w:r>
        <w:rPr>
          <w:rFonts w:ascii="Times New Roman" w:cs="Times New Roman" w:eastAsia="Times New Roman" w:hAnsi="Times New Roman"/>
          <w:sz w:val="18"/>
          <w:szCs w:val="18"/>
          <w:color w:val="auto"/>
        </w:rPr>
        <w:t>” means the Company’s Series D Preferred Stock.</w:t>
      </w:r>
    </w:p>
    <w:p>
      <w:pPr>
        <w:spacing w:after="0" w:line="225"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E Preferred Stock</w:t>
      </w:r>
      <w:r>
        <w:rPr>
          <w:rFonts w:ascii="Times New Roman" w:cs="Times New Roman" w:eastAsia="Times New Roman" w:hAnsi="Times New Roman"/>
          <w:sz w:val="18"/>
          <w:szCs w:val="18"/>
          <w:color w:val="auto"/>
        </w:rPr>
        <w:t>” means the Company’s Series E Preferred Stock.</w:t>
      </w:r>
    </w:p>
    <w:p>
      <w:pPr>
        <w:spacing w:after="0" w:line="225" w:lineRule="exact"/>
        <w:rPr>
          <w:sz w:val="20"/>
          <w:szCs w:val="20"/>
          <w:color w:val="auto"/>
        </w:rPr>
      </w:pPr>
    </w:p>
    <w:p>
      <w:pPr>
        <w:ind w:left="5580" w:right="2280" w:hanging="3628"/>
        <w:spacing w:after="0" w:line="783" w:lineRule="auto"/>
        <w:tabs>
          <w:tab w:leader="none" w:pos="286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F Preferred Stock</w:t>
      </w:r>
      <w:r>
        <w:rPr>
          <w:rFonts w:ascii="Times New Roman" w:cs="Times New Roman" w:eastAsia="Times New Roman" w:hAnsi="Times New Roman"/>
          <w:sz w:val="18"/>
          <w:szCs w:val="18"/>
          <w:color w:val="auto"/>
        </w:rPr>
        <w:t>” means the Company’s Series F Preferred Stock.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4" w:name="page315"/>
    <w:bookmarkEnd w:id="314"/>
    <w:p>
      <w:pPr>
        <w:ind w:left="1960"/>
        <w:spacing w:after="0"/>
        <w:tabs>
          <w:tab w:leader="none" w:pos="3120" w:val="left"/>
        </w:tabs>
        <w:rPr>
          <w:sz w:val="20"/>
          <w:szCs w:val="20"/>
          <w:color w:val="auto"/>
        </w:rPr>
      </w:pPr>
      <w:r>
        <w:rPr>
          <w:rFonts w:ascii="Times New Roman" w:cs="Times New Roman" w:eastAsia="Times New Roman" w:hAnsi="Times New Roman"/>
          <w:sz w:val="18"/>
          <w:szCs w:val="18"/>
          <w:color w:val="auto"/>
        </w:rPr>
        <w:t>(bb)</w:t>
      </w:r>
      <w:r>
        <w:rPr>
          <w:sz w:val="20"/>
          <w:szCs w:val="20"/>
          <w:color w:val="auto"/>
        </w:rPr>
        <w:tab/>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G Preferred</w:t>
      </w:r>
      <w:r>
        <w:rPr>
          <w:rFonts w:ascii="Times New Roman" w:cs="Times New Roman" w:eastAsia="Times New Roman" w:hAnsi="Times New Roman"/>
          <w:sz w:val="18"/>
          <w:szCs w:val="18"/>
          <w:color w:val="auto"/>
        </w:rPr>
        <w:t>” means, collectively, the Company’s Series G Preferred Stock and Series G-1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7" w:lineRule="exact"/>
        <w:rPr>
          <w:sz w:val="20"/>
          <w:szCs w:val="20"/>
          <w:color w:val="auto"/>
        </w:rPr>
      </w:pPr>
    </w:p>
    <w:p>
      <w:pPr>
        <w:ind w:left="2860" w:hanging="908"/>
        <w:spacing w:after="0"/>
        <w:tabs>
          <w:tab w:leader="none" w:pos="28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G Preferred Stock</w:t>
      </w:r>
      <w:r>
        <w:rPr>
          <w:rFonts w:ascii="Times New Roman" w:cs="Times New Roman" w:eastAsia="Times New Roman" w:hAnsi="Times New Roman"/>
          <w:sz w:val="18"/>
          <w:szCs w:val="18"/>
          <w:color w:val="auto"/>
        </w:rPr>
        <w:t>” means the Company’s Series G Preferred Stock.</w:t>
      </w:r>
    </w:p>
    <w:p>
      <w:pPr>
        <w:spacing w:after="0" w:line="22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Series G-1 Preferred Stock</w:t>
      </w:r>
      <w:r>
        <w:rPr>
          <w:rFonts w:ascii="Times New Roman" w:cs="Times New Roman" w:eastAsia="Times New Roman" w:hAnsi="Times New Roman"/>
          <w:sz w:val="18"/>
          <w:szCs w:val="18"/>
          <w:color w:val="auto"/>
        </w:rPr>
        <w:t>” means the Company’s Series G-1 Preferred Stock.</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30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any securities that would be regarded as voting securities as set forth in 12 C.F.R. § 225.2(q)(1) or by the FDIC for any purposes of the FDI Act, including the CIBC Act.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references to laws, regulations or orders shall refer to such laws, regulations and orders, as amended or proposed to be amended at the time of any determination, and shall include any successor provisions.</w:t>
      </w:r>
    </w:p>
    <w:p>
      <w:pPr>
        <w:spacing w:after="0" w:line="15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Request for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952"/>
        <w:spacing w:after="0" w:line="254" w:lineRule="auto"/>
        <w:tabs>
          <w:tab w:leader="none" w:pos="296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receive at any time after the earlier of (i) the third anniversary of the Effective Date of this Agreement, or (ii) 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more than a majority of the Registrable Securities then outstanding (or a lesser percent if the anticipated aggregate offering price, net of underwriting discounts and commissions, would exceed $5 million) that the Company file a registration statement under the Securities Act, then the Company shall, within 20 days of the receipt thereof, give written notice of such request to all Holders and shall, subject to the limitations of subsection 1.2(b), use its best efforts to file as soon as practicable, and in any event within 90 days of the receipt of such request, a registration statement under the Securities Act covering all Registrable Securities which the Holders request to be registered.</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88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Holders initiating the registration request hereunder (“</w:t>
      </w:r>
      <w:r>
        <w:rPr>
          <w:rFonts w:ascii="Times New Roman" w:cs="Times New Roman" w:eastAsia="Times New Roman" w:hAnsi="Times New Roman"/>
          <w:sz w:val="18"/>
          <w:szCs w:val="18"/>
          <w:u w:val="single" w:color="auto"/>
          <w:color w:val="auto"/>
        </w:rPr>
        <w:t>Initiating Holders</w:t>
      </w:r>
      <w:r>
        <w:rPr>
          <w:rFonts w:ascii="Times New Roman" w:cs="Times New Roman" w:eastAsia="Times New Roman" w:hAnsi="Times New Roman"/>
          <w:sz w:val="18"/>
          <w:szCs w:val="18"/>
          <w:color w:val="auto"/>
        </w:rPr>
        <w:t xml:space="preserve">”)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Company in writing that marketing factors require a limitation of the number of shares to be underwritten, then the Company shall so advise all Holders of Registrable Securities which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shares of Registrable Securities to be included in such underwriting shall not be reduced unless all other securities are first entirely excluded from the underwriting.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5" w:name="page316"/>
    <w:bookmarkEnd w:id="315"/>
    <w:p>
      <w:pPr>
        <w:jc w:val="both"/>
        <w:ind w:firstLine="1952"/>
        <w:spacing w:after="0" w:line="253" w:lineRule="auto"/>
        <w:tabs>
          <w:tab w:leader="none" w:pos="287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the Company shall furnish to Holders requesting a registration statement pursuant to this Section 1.2, a certificate signed by the Chief Executive Officer or President of the Company stating that in the good faith judgment of the Board of Directors of the Company, it would be seriously detrimental to the Company and its stockholders for such registration statement to be filed and it is therefore essential to defer the filing of such registration statement, the Company shall have the right to defer such filing for a period of not more than 90 days after receipt of the request of the Initiating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utilize this right more than once in any 12 month period;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94" w:lineRule="exact"/>
        <w:rPr>
          <w:rFonts w:ascii="Times New Roman" w:cs="Times New Roman" w:eastAsia="Times New Roman" w:hAnsi="Times New Roman"/>
          <w:sz w:val="18"/>
          <w:szCs w:val="18"/>
          <w:color w:val="auto"/>
        </w:rPr>
      </w:pPr>
    </w:p>
    <w:p>
      <w:pPr>
        <w:ind w:left="2900" w:hanging="948"/>
        <w:spacing w:after="0"/>
        <w:tabs>
          <w:tab w:leader="none" w:pos="29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shall not be obligated to effect, or to take any action to effect, any registration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1.2:</w:t>
      </w:r>
    </w:p>
    <w:p>
      <w:pPr>
        <w:spacing w:after="0" w:line="206" w:lineRule="exact"/>
        <w:rPr>
          <w:rFonts w:ascii="Times New Roman" w:cs="Times New Roman" w:eastAsia="Times New Roman" w:hAnsi="Times New Roman"/>
          <w:sz w:val="18"/>
          <w:szCs w:val="18"/>
          <w:color w:val="auto"/>
        </w:rPr>
      </w:pPr>
    </w:p>
    <w:p>
      <w:pPr>
        <w:ind w:left="3420" w:hanging="820"/>
        <w:spacing w:after="0"/>
        <w:tabs>
          <w:tab w:leader="none" w:pos="34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Company has effected 2 registrations pursuant to this Section 1.2 and such registrations have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or ordered effective;</w:t>
      </w:r>
    </w:p>
    <w:p>
      <w:pPr>
        <w:spacing w:after="0" w:line="206" w:lineRule="exact"/>
        <w:rPr>
          <w:rFonts w:ascii="Times New Roman" w:cs="Times New Roman" w:eastAsia="Times New Roman" w:hAnsi="Times New Roman"/>
          <w:sz w:val="18"/>
          <w:szCs w:val="18"/>
          <w:color w:val="auto"/>
        </w:rPr>
      </w:pPr>
    </w:p>
    <w:p>
      <w:pPr>
        <w:ind w:left="3640" w:hanging="1040"/>
        <w:spacing w:after="0"/>
        <w:tabs>
          <w:tab w:leader="none" w:pos="36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effective date of the registration statement for the initial public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of the Company’s securities and ending on a date 180 days after the effective date of such registration; or</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6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delivers notice to the Holders within 30 days of the Company’s receipt of the Initiating Holders’ registration request declaring the Company’s intention to file within 60 days a registration statement for the Company’s initial public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all commercially reasonable efforts to cause such registration statement to become effective.</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Company Registration</w:t>
      </w:r>
      <w:r>
        <w:rPr>
          <w:rFonts w:ascii="Times New Roman" w:cs="Times New Roman" w:eastAsia="Times New Roman" w:hAnsi="Times New Roman"/>
          <w:sz w:val="18"/>
          <w:szCs w:val="18"/>
          <w:color w:val="auto"/>
        </w:rPr>
        <w:t>. If (but without any obligation to do so) the Company proposes to register (including for this purpose a registration effected by the Company for stockholders other than the Holders) any of its stock or other securities under the Securities Act in connection with the public offering of such securities solely for cash (other than the initial public offering of the Company’s securities, a registration relating to a demand pursuant to Section 1.2 hereof,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give written notice of such registration at least five</w:t>
      </w:r>
    </w:p>
    <w:p>
      <w:pPr>
        <w:spacing w:after="0" w:line="1" w:lineRule="exact"/>
        <w:rPr>
          <w:sz w:val="20"/>
          <w:szCs w:val="20"/>
          <w:color w:val="auto"/>
        </w:rPr>
      </w:pPr>
    </w:p>
    <w:p>
      <w:pPr>
        <w:jc w:val="both"/>
        <w:ind w:firstLine="8"/>
        <w:spacing w:after="0" w:line="253" w:lineRule="auto"/>
        <w:tabs>
          <w:tab w:leader="none" w:pos="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initial public filing of a registration statement with the SEC to each Major Holder for which Rule 144 is unavailable for the sale of all of such Major Holder’s shares without limitation during a three-month period without registration (each, a “</w:t>
      </w:r>
      <w:r>
        <w:rPr>
          <w:rFonts w:ascii="Times New Roman" w:cs="Times New Roman" w:eastAsia="Times New Roman" w:hAnsi="Times New Roman"/>
          <w:sz w:val="18"/>
          <w:szCs w:val="18"/>
          <w:u w:val="single" w:color="auto"/>
          <w:color w:val="auto"/>
        </w:rPr>
        <w:t>Major Restricted Holder</w:t>
      </w:r>
      <w:r>
        <w:rPr>
          <w:rFonts w:ascii="Times New Roman" w:cs="Times New Roman" w:eastAsia="Times New Roman" w:hAnsi="Times New Roman"/>
          <w:sz w:val="18"/>
          <w:szCs w:val="18"/>
          <w:color w:val="auto"/>
        </w:rPr>
        <w:t>”). Upon the written request of each Major Restricted Holder given within three (3) days after delivery of such notice by the Company in accordance with Section 3.4, the Company shall, subject to the provisions of Section 1.8, cause to be registered under the Securities Act all of the Registrable Securities that each such Major Restricted Holder has requested to be registered.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Form S-3 Registration</w:t>
      </w:r>
      <w:r>
        <w:rPr>
          <w:rFonts w:ascii="Times New Roman" w:cs="Times New Roman" w:eastAsia="Times New Roman" w:hAnsi="Times New Roman"/>
          <w:sz w:val="18"/>
          <w:szCs w:val="18"/>
          <w:color w:val="auto"/>
        </w:rPr>
        <w:t>. In case the Company shall receive from any Holder or Holders of the Registrable Securities then outstanding a written request or requests that the Company effect a registration on Form S-3 and any related qualification or compliance with respect to all or a part of the Registrable Securities owned by such Holder or Holders, the Company will:</w:t>
      </w:r>
    </w:p>
    <w:p>
      <w:pPr>
        <w:spacing w:after="0" w:line="175" w:lineRule="exact"/>
        <w:rPr>
          <w:sz w:val="20"/>
          <w:szCs w:val="20"/>
          <w:color w:val="auto"/>
        </w:rPr>
      </w:pPr>
    </w:p>
    <w:p>
      <w:pPr>
        <w:ind w:left="2940" w:hanging="988"/>
        <w:spacing w:after="0"/>
        <w:tabs>
          <w:tab w:leader="none" w:pos="29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and any related qualification or compliance, to all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and</w:t>
      </w:r>
    </w:p>
    <w:p>
      <w:pPr>
        <w:spacing w:after="0" w:line="207" w:lineRule="exact"/>
        <w:rPr>
          <w:sz w:val="20"/>
          <w:szCs w:val="20"/>
          <w:color w:val="auto"/>
        </w:rPr>
      </w:pPr>
    </w:p>
    <w:p>
      <w:pPr>
        <w:jc w:val="both"/>
        <w:ind w:firstLine="1952"/>
        <w:spacing w:after="0" w:line="252" w:lineRule="auto"/>
        <w:tabs>
          <w:tab w:leader="none" w:pos="292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 (iii) if the Company shall furnish to the Holders a certificate signed by the Chief Executive Officer or President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120 days after receipt of the request of the Holder or Holders under this Section 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utilize this right more than once in any 12 month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register any securities for the account of itself or any other stockholder during such 120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(iv) if the Company has, within the 12 month period preceding the date of such request, already effected 2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or (vi) during the period ending 180 days after the effective date of a registration statement subject to Section 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7" w:name="page318"/>
    <w:bookmarkEnd w:id="317"/>
    <w:p>
      <w:pPr>
        <w:jc w:val="both"/>
        <w:ind w:firstLine="1952"/>
        <w:spacing w:after="0" w:line="266" w:lineRule="auto"/>
        <w:tabs>
          <w:tab w:leader="none" w:pos="302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Sections 1.2 or 1.3, respectively.</w:t>
      </w:r>
    </w:p>
    <w:p>
      <w:pPr>
        <w:spacing w:after="0" w:line="172"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Obligations of the Company</w:t>
      </w:r>
      <w:r>
        <w:rPr>
          <w:rFonts w:ascii="Times New Roman" w:cs="Times New Roman" w:eastAsia="Times New Roman" w:hAnsi="Times New Roman"/>
          <w:sz w:val="18"/>
          <w:szCs w:val="18"/>
          <w:color w:val="auto"/>
        </w:rPr>
        <w:t>. Whenever required under this Section 1 to effect the registration of any Registrable Securities, the Company shall, as expeditiously as reasonably possible:</w:t>
      </w:r>
    </w:p>
    <w:p>
      <w:pPr>
        <w:spacing w:after="0" w:line="159" w:lineRule="exact"/>
        <w:rPr>
          <w:sz w:val="20"/>
          <w:szCs w:val="20"/>
          <w:color w:val="auto"/>
        </w:rPr>
      </w:pPr>
    </w:p>
    <w:p>
      <w:pPr>
        <w:jc w:val="both"/>
        <w:ind w:firstLine="1952"/>
        <w:spacing w:after="0" w:line="261" w:lineRule="auto"/>
        <w:tabs>
          <w:tab w:leader="none" w:pos="29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120 days, or until the distribution described in such registration statement is completed, if earlier.</w:t>
      </w:r>
    </w:p>
    <w:p>
      <w:pPr>
        <w:spacing w:after="0" w:line="179"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91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95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300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best efforts to register and qualify the securities covered by such registration statement under such other securities or Blue Sky laws of such jurisdictions as shall be reasonably requested by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31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jc w:val="both"/>
        <w:ind w:firstLine="1952"/>
        <w:spacing w:after="0" w:line="254" w:lineRule="auto"/>
        <w:tabs>
          <w:tab w:leader="none" w:pos="294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covered by such registration statement at any time when a prospectus or free-writing prospectus, as defined in Rule 405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such obligation to continue for 120 days.</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307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Registrable Securities registered pursuant hereunder to be listed on each securities exchange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308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8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97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1.4(b)(2), whichever is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event, any such registration effected or abandoned due to the preceding clause shall not count towards the number of requested registrations available to the Holders under subsection 1.2(a) or subsection 1.4(b)(2).</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u w:val="single" w:color="auto"/>
          <w:color w:val="auto"/>
        </w:rPr>
        <w:t>Expenses of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3" w:lineRule="auto"/>
        <w:tabs>
          <w:tab w:leader="none" w:pos="300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All expenses other than underwriting discounts and commissions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registrations, filings or qualifications pursuant to Section 1.2, including (without limitation) all registration, filing and qualification fees, printers’ and accounting fees, fees and disbursements of counsel for the Company, and the reasonable fees and disbursements of one counsel for the selling Holders (not to exceed $25,000) selected by them with the approval of the Company, which approval shall not be unreasonably withheld, shall be borne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such withdrawal, the Holders (i) have learned of a material adverse change in the condition, business, or prospects of the Company that was not known at the time of their request or could have not been reasonably known given the prior communication or information provided by the Company to the Holders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89" w:lineRule="exact"/>
        <w:rPr>
          <w:rFonts w:ascii="Times New Roman" w:cs="Times New Roman" w:eastAsia="Times New Roman" w:hAnsi="Times New Roman"/>
          <w:sz w:val="18"/>
          <w:szCs w:val="18"/>
          <w:b w:val="1"/>
          <w:bCs w:val="1"/>
          <w:color w:val="auto"/>
        </w:rPr>
      </w:pPr>
    </w:p>
    <w:p>
      <w:pPr>
        <w:jc w:val="both"/>
        <w:ind w:firstLine="1952"/>
        <w:spacing w:after="0" w:line="259" w:lineRule="auto"/>
        <w:tabs>
          <w:tab w:leader="none" w:pos="295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Registration</w:t>
      </w:r>
      <w:r>
        <w:rPr>
          <w:rFonts w:ascii="Times New Roman" w:cs="Times New Roman" w:eastAsia="Times New Roman" w:hAnsi="Times New Roman"/>
          <w:sz w:val="18"/>
          <w:szCs w:val="18"/>
          <w:color w:val="auto"/>
        </w:rPr>
        <w:t>. All expenses other than underwriting discounts and commissions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registrations, 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for the selling Holder or Holders (not to exceed $25,000) selected by them with the approval of the Company, which approval shall not be unreasonably withheld, shall be borne by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59" w:lineRule="auto"/>
        <w:tabs>
          <w:tab w:leader="none" w:pos="2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 on Form S-3</w:t>
      </w:r>
      <w:r>
        <w:rPr>
          <w:rFonts w:ascii="Times New Roman" w:cs="Times New Roman" w:eastAsia="Times New Roman" w:hAnsi="Times New Roman"/>
          <w:sz w:val="18"/>
          <w:szCs w:val="18"/>
          <w:color w:val="auto"/>
        </w:rPr>
        <w:t>. All expenses incurred in connection with a registration requested pursuant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 including (without limitation) all registration, filing, qualification, printers’ and accounting fees and the reasonable fees and disbursements of one counsel for the selling Holder or Holders (not to exceed $25,000) selected by them with the approval of the Company, which approval shall not be unreasonably withheld, and counsel for the Company, and any underwriters’ discounts or commissions associated with Registrable Securities, shall be borne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0" w:name="page321"/>
    <w:bookmarkEnd w:id="32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Underwriting Requirements</w:t>
      </w:r>
      <w:r>
        <w:rPr>
          <w:rFonts w:ascii="Times New Roman" w:cs="Times New Roman" w:eastAsia="Times New Roman" w:hAnsi="Times New Roman"/>
          <w:sz w:val="18"/>
          <w:szCs w:val="18"/>
          <w:color w:val="auto"/>
        </w:rPr>
        <w:t>.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 (i) the amount of securities of the selling Holders included in the offering be reduced below 35% of the total amount of securities included in such offering, unless such offering is the initial public offering of the Company’s securities, in which case, the selling Holders may be excluded if the underwriters make the determination described above and no other stockholder’s securities are included or (ii) without the consent of the holders of a majority of the Registrable Securities, any securities held by any non-Holder be included if any securities held by any selling Holder are excluded. For purposes of the preceding parenthetical concerning apportionment, for any selling stockholder which is a holder of Registrable Securities and which is a partnership or corporation, the partners, retired partners and stockholders of such holder, or the estates and family members of any such partners and retired partners and any trusts for the benefit of any of the foregoing persons shall be deemed to be a single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and any pro-rata reduction with respect to such “selling stockholder” shall be based upon the aggregate amount of shares carrying registration rights owned by all entities and individuals included in such “selling stockholder,” as defined in this sentence.</w:t>
      </w:r>
    </w:p>
    <w:p>
      <w:pPr>
        <w:spacing w:after="0" w:line="19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Delay of Registration</w:t>
      </w:r>
      <w:r>
        <w:rPr>
          <w:rFonts w:ascii="Times New Roman" w:cs="Times New Roman" w:eastAsia="Times New Roman" w:hAnsi="Times New Roman"/>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5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color w:val="auto"/>
        </w:rPr>
        <w:t>. In the event any Registrable Securities are included in a registration statement under this Section 1:</w:t>
      </w:r>
    </w:p>
    <w:p>
      <w:pPr>
        <w:spacing w:after="0" w:line="229" w:lineRule="exact"/>
        <w:rPr>
          <w:sz w:val="20"/>
          <w:szCs w:val="20"/>
          <w:color w:val="auto"/>
        </w:rPr>
      </w:pPr>
    </w:p>
    <w:p>
      <w:pPr>
        <w:jc w:val="both"/>
        <w:ind w:firstLine="1952"/>
        <w:spacing w:after="0" w:line="254" w:lineRule="auto"/>
        <w:tabs>
          <w:tab w:leader="none" w:pos="294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Holder (including each of its officers, directors, members and partners),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2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untrue statement or alleged untrue statement of a material fact contained in such registration statement, including any preliminary prospectus, final prospectus or Free Writing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as incurred,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1" w:name="page322"/>
    <w:bookmarkEnd w:id="321"/>
    <w:p>
      <w:pPr>
        <w:jc w:val="both"/>
        <w:ind w:firstLine="1952"/>
        <w:spacing w:after="0" w:line="253" w:lineRule="auto"/>
        <w:tabs>
          <w:tab w:leader="none" w:pos="288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each selling Holder will, severally and not jointly,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subsection 1.10(b) shall not apply to amounts paid in settlement of any such loss, claim, damage, liability or action if such settlement is effected without the consent of the Holder, which consent shall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any indemnity under this subsection 1.10(b) exceed the net proceeds from the offering received by such Holder, except in the case of willful fraud by such Holder.</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3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liability to the indemnified party under this Section 1.10 to the extent of such prejudice, but the omission so to deliver written notice to the indemnifying party will not relieve it of any liability that it may have to any indemnified party otherwise than under this Section 1.10.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jc w:val="both"/>
        <w:ind w:firstLine="1952"/>
        <w:spacing w:after="0" w:line="270" w:lineRule="auto"/>
        <w:tabs>
          <w:tab w:leader="none" w:pos="2873"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no event shall any contribution by a Holder under this Subsection 1.10(d), when combined with amounts paid or payable by such Holder pursuant to Subsection 1.10(b), exceed the net proceeds from the offering received by such Holder, except in the case of willful fraud by such Holder.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76" w:lineRule="exact"/>
        <w:rPr>
          <w:rFonts w:ascii="Times New Roman" w:cs="Times New Roman" w:eastAsia="Times New Roman" w:hAnsi="Times New Roman"/>
          <w:sz w:val="17"/>
          <w:szCs w:val="17"/>
          <w:color w:val="auto"/>
        </w:rPr>
      </w:pPr>
    </w:p>
    <w:p>
      <w:pPr>
        <w:jc w:val="both"/>
        <w:ind w:firstLine="1952"/>
        <w:spacing w:after="0" w:line="266" w:lineRule="auto"/>
        <w:tabs>
          <w:tab w:leader="none" w:pos="29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85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Holders under this Section 1.10 shall survive the completion of any offering of Registrable Securities in a registration statement under this Section 1, and otherwise.</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Reports Under the Exchange Act</w:t>
      </w:r>
      <w:r>
        <w:rPr>
          <w:rFonts w:ascii="Times New Roman" w:cs="Times New Roman" w:eastAsia="Times New Roman" w:hAnsi="Times New Roman"/>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75" w:lineRule="exact"/>
        <w:rPr>
          <w:sz w:val="20"/>
          <w:szCs w:val="20"/>
          <w:color w:val="auto"/>
        </w:rPr>
      </w:pPr>
    </w:p>
    <w:p>
      <w:pPr>
        <w:jc w:val="both"/>
        <w:ind w:firstLine="1952"/>
        <w:spacing w:after="0" w:line="266" w:lineRule="auto"/>
        <w:tabs>
          <w:tab w:leader="none" w:pos="299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adequate current public information available, as those terms are understood and defined in Rule 144, at all times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94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ind w:left="2920" w:hanging="968"/>
        <w:spacing w:after="0"/>
        <w:tabs>
          <w:tab w:leader="none" w:pos="29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and the Exchange Act; and</w:t>
      </w:r>
    </w:p>
    <w:p>
      <w:pPr>
        <w:spacing w:after="0" w:line="206" w:lineRule="exact"/>
        <w:rPr>
          <w:rFonts w:ascii="Times New Roman" w:cs="Times New Roman" w:eastAsia="Times New Roman" w:hAnsi="Times New Roman"/>
          <w:sz w:val="18"/>
          <w:szCs w:val="18"/>
          <w:color w:val="auto"/>
        </w:rPr>
      </w:pPr>
    </w:p>
    <w:p>
      <w:pPr>
        <w:jc w:val="both"/>
        <w:ind w:firstLine="1952"/>
        <w:spacing w:after="0" w:line="255" w:lineRule="auto"/>
        <w:tabs>
          <w:tab w:leader="none" w:pos="295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a written statement by the Company that it has complied with the reporting requirements of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Assignment of Registration Rights</w:t>
      </w:r>
      <w:r>
        <w:rPr>
          <w:rFonts w:ascii="Times New Roman" w:cs="Times New Roman" w:eastAsia="Times New Roman" w:hAnsi="Times New Roman"/>
          <w:sz w:val="18"/>
          <w:szCs w:val="18"/>
          <w:color w:val="auto"/>
        </w:rPr>
        <w:t xml:space="preserve">. The rights to cause the Company to register Registrable Securities pursuant to this Section 1 may be assigned (but only with all related obligations) by a Holder to a transferee or assignee (i) who, with the addition of the transferred shares, holds at least </w:t>
      </w:r>
      <w:r>
        <w:rPr>
          <w:rFonts w:ascii="Times New Roman" w:cs="Times New Roman" w:eastAsia="Times New Roman" w:hAnsi="Times New Roman"/>
          <w:sz w:val="18"/>
          <w:szCs w:val="18"/>
          <w:b w:val="1"/>
          <w:bCs w:val="1"/>
          <w:color w:val="auto"/>
        </w:rPr>
        <w:t>714,285</w:t>
      </w:r>
      <w:r>
        <w:rPr>
          <w:rFonts w:ascii="Times New Roman" w:cs="Times New Roman" w:eastAsia="Times New Roman" w:hAnsi="Times New Roman"/>
          <w:sz w:val="18"/>
          <w:szCs w:val="18"/>
          <w:color w:val="auto"/>
        </w:rPr>
        <w:t xml:space="preserve"> Registrable Securities (subject to adjustment for stock splits, stock dividends, reclassification or the like) (or all of such Holder’s Registrable Securities, if less), (ii) that is a subsidiary, parent, partner, limited partner, retired partner, member, retired member or stockholder of a Holder, (iii) that is an Affiliate of the Holder, (iv) who is a Holder’s child, stepchild, grandchild, parent, stepparent, grandparent, spouse, sibling, mother-in-law, father-in-law, son-in-law, daughter-in-law, brother-in-law, or sister-in-law (such a relation, a Holder’s “</w:t>
      </w:r>
      <w:r>
        <w:rPr>
          <w:rFonts w:ascii="Times New Roman" w:cs="Times New Roman" w:eastAsia="Times New Roman" w:hAnsi="Times New Roman"/>
          <w:sz w:val="18"/>
          <w:szCs w:val="18"/>
          <w:u w:val="single" w:color="auto"/>
          <w:color w:val="auto"/>
        </w:rPr>
        <w:t>Immediate Family Member</w:t>
      </w:r>
      <w:r>
        <w:rPr>
          <w:rFonts w:ascii="Times New Roman" w:cs="Times New Roman" w:eastAsia="Times New Roman" w:hAnsi="Times New Roman"/>
          <w:sz w:val="18"/>
          <w:szCs w:val="18"/>
          <w:color w:val="auto"/>
        </w:rPr>
        <w:t xml:space="preserve">”, which term shall include adoptive relationships), (v) that is a trust, partnership, limited liability company or corporation, the use of which is for estate planning purposes for the benefit of an individual Holder or such Holder’s Immediate Family Member, or (vi) who is a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is, within a reasonable time after such transfer, furnished with written notice of the name and address of such transferee or assignee and the securities with respect to which such registration rights are being assigned;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(x) a partnership who are partners or retired partners of such partnership, (y) a limited liability company who are members or retired members of such limited liability company (including Immediate Family Members of such partners or members who acquire Registrable Securities by gift, will or intestate succession) or (z) Affiliates shall be aggregated together and with such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of a majority of the outstanding Registrable Securities, enter into any agreement with any holder or prospective holder of any securities of the Company which would allow such holder or prospective holder (a) to include such securities in any registration filed under Section 1.2, 1.3 or 1.4 hereof, unless under the terms of such agreement, such holder or prospective holder may include such securities in any such registration only to the extent that the inclusion of his securities will not reduce the amount of the Registrable Securities of the Holders that are included or (b) to demand registration of their securities.</w:t>
      </w:r>
    </w:p>
    <w:p>
      <w:pPr>
        <w:spacing w:after="0" w:line="18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u w:val="single" w:color="auto"/>
          <w:color w:val="auto"/>
        </w:rPr>
        <w:t>Lock-Up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6" w:lineRule="auto"/>
        <w:tabs>
          <w:tab w:leader="none" w:pos="29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Lock-Up Period; Agreement</w:t>
      </w:r>
      <w:r>
        <w:rPr>
          <w:rFonts w:ascii="Times New Roman" w:cs="Times New Roman" w:eastAsia="Times New Roman" w:hAnsi="Times New Roman"/>
          <w:sz w:val="18"/>
          <w:szCs w:val="18"/>
          <w:color w:val="auto"/>
        </w:rPr>
        <w:t>. In connection with the initial public offering of the Company’s securities and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of the Company or the underwriters managing such offering of the Company’s securities, each Holder agrees not to sell, make any short sale of, loan, grant any option for the purchase of, or otherwise dispose of any securities of the Company, held immediately before the closing date of such offering (other than those included in the registration), excluding securities of the Company purchased in the initial public offering or in the open market following such initial public offering,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82" w:lineRule="exact"/>
        <w:rPr>
          <w:rFonts w:ascii="Times New Roman" w:cs="Times New Roman" w:eastAsia="Times New Roman" w:hAnsi="Times New Roman"/>
          <w:sz w:val="18"/>
          <w:szCs w:val="18"/>
          <w:color w:val="auto"/>
        </w:rPr>
      </w:pPr>
    </w:p>
    <w:p>
      <w:pPr>
        <w:jc w:val="both"/>
        <w:ind w:firstLine="1952"/>
        <w:spacing w:after="0" w:line="268" w:lineRule="auto"/>
        <w:tabs>
          <w:tab w:leader="none" w:pos="29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w:t>
      </w:r>
      <w:r>
        <w:rPr>
          <w:rFonts w:ascii="Times New Roman" w:cs="Times New Roman" w:eastAsia="Times New Roman" w:hAnsi="Times New Roman"/>
          <w:sz w:val="18"/>
          <w:szCs w:val="18"/>
          <w:color w:val="auto"/>
        </w:rPr>
        <w:t>. The obligations described in Section 1.14(a) shall apply only if all officers and directors and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percent (1%) stockholders of the Company enter into similar agreements, and shall not apply to a registration relating solely to employee benefit plans, or to a registration relating solely to a transaction pursuant to Rule 145 under the Securities Act.</w:t>
      </w:r>
    </w:p>
    <w:p>
      <w:pPr>
        <w:spacing w:after="0" w:line="170" w:lineRule="exact"/>
        <w:rPr>
          <w:rFonts w:ascii="Times New Roman" w:cs="Times New Roman" w:eastAsia="Times New Roman" w:hAnsi="Times New Roman"/>
          <w:sz w:val="18"/>
          <w:szCs w:val="18"/>
          <w:color w:val="auto"/>
        </w:rPr>
      </w:pPr>
    </w:p>
    <w:p>
      <w:pPr>
        <w:ind w:right="20" w:firstLine="1952"/>
        <w:spacing w:after="0" w:line="286" w:lineRule="auto"/>
        <w:tabs>
          <w:tab w:leader="none" w:pos="29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color w:val="auto"/>
        </w:rPr>
        <w:t>. In order to enforce the foregoing covenants, the Company may impose stop-transfer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with respect to the securities of each Holder (and the securities of every other person subject to the restrictions in Section 1.14(a)).</w:t>
      </w:r>
    </w:p>
    <w:p>
      <w:pPr>
        <w:spacing w:after="0" w:line="154" w:lineRule="exact"/>
        <w:rPr>
          <w:rFonts w:ascii="Times New Roman" w:cs="Times New Roman" w:eastAsia="Times New Roman" w:hAnsi="Times New Roman"/>
          <w:sz w:val="18"/>
          <w:szCs w:val="18"/>
          <w:color w:val="auto"/>
        </w:rPr>
      </w:pPr>
    </w:p>
    <w:p>
      <w:pPr>
        <w:jc w:val="both"/>
        <w:ind w:firstLine="1952"/>
        <w:spacing w:after="0" w:line="262" w:lineRule="auto"/>
        <w:tabs>
          <w:tab w:leader="none" w:pos="310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Transferees Bound</w:t>
      </w:r>
      <w:r>
        <w:rPr>
          <w:rFonts w:ascii="Times New Roman" w:cs="Times New Roman" w:eastAsia="Times New Roman" w:hAnsi="Times New Roman"/>
          <w:sz w:val="18"/>
          <w:szCs w:val="18"/>
          <w:color w:val="auto"/>
        </w:rPr>
        <w:t>. Each Holder agrees that prior to the Company’s initial public offering it will not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of the Company unless each transferee agrees in writing to be bound by all of the provisions of this Section 1.14,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1.14(d) shall not apply to transfers pursuant to a registration statement or transfers after the 12 month anniversary of the effective date of the Company’s initial registration statement subject to this Section 1.14.</w:t>
      </w:r>
    </w:p>
    <w:p>
      <w:pPr>
        <w:spacing w:after="0" w:line="176" w:lineRule="exact"/>
        <w:rPr>
          <w:rFonts w:ascii="Times New Roman" w:cs="Times New Roman" w:eastAsia="Times New Roman" w:hAnsi="Times New Roman"/>
          <w:sz w:val="18"/>
          <w:szCs w:val="18"/>
          <w:color w:val="auto"/>
        </w:rPr>
      </w:pPr>
    </w:p>
    <w:p>
      <w:pPr>
        <w:jc w:val="both"/>
        <w:ind w:firstLine="1952"/>
        <w:spacing w:after="0" w:line="257" w:lineRule="auto"/>
        <w:tabs>
          <w:tab w:leader="none" w:pos="307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The underwriters in connection with the initial public offering of the Company’s securities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third-party beneficiaries of this Section 1.14 and shall have the right, power and authority to enforce the provisions hereof as though they were a party hereto. If any of the obligations described in this Section 1.14 are waived or terminated with respect to any of the securities of any such Holder, officer, director or greater than one-percent stockholder (in any such case, the “</w:t>
      </w:r>
      <w:r>
        <w:rPr>
          <w:rFonts w:ascii="Times New Roman" w:cs="Times New Roman" w:eastAsia="Times New Roman" w:hAnsi="Times New Roman"/>
          <w:sz w:val="18"/>
          <w:szCs w:val="18"/>
          <w:u w:val="single" w:color="auto"/>
          <w:color w:val="auto"/>
        </w:rPr>
        <w:t>Released Securities</w:t>
      </w:r>
      <w:r>
        <w:rPr>
          <w:rFonts w:ascii="Times New Roman" w:cs="Times New Roman" w:eastAsia="Times New Roman" w:hAnsi="Times New Roman"/>
          <w:sz w:val="18"/>
          <w:szCs w:val="18"/>
          <w:color w:val="auto"/>
        </w:rPr>
        <w:t>”), the foregoing provisions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5" w:name="page326"/>
    <w:bookmarkEnd w:id="325"/>
    <w:p>
      <w:pPr>
        <w:jc w:val="both"/>
        <w:ind w:firstLine="1952"/>
        <w:spacing w:after="0" w:line="268" w:lineRule="auto"/>
        <w:tabs>
          <w:tab w:leader="none" w:pos="31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Legend</w:t>
      </w:r>
      <w:r>
        <w:rPr>
          <w:rFonts w:ascii="Times New Roman" w:cs="Times New Roman" w:eastAsia="Times New Roman" w:hAnsi="Times New Roman"/>
          <w:sz w:val="18"/>
          <w:szCs w:val="18"/>
          <w:color w:val="auto"/>
        </w:rPr>
        <w:t>. Each Holder agrees that a legend reading substantially as follows shall be placed on all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all Registrable Securities of each Holder (and the shares or securities of every other person subject to the restriction contained in this Section 1.14):</w:t>
      </w:r>
    </w:p>
    <w:p>
      <w:pPr>
        <w:spacing w:after="0" w:line="175" w:lineRule="exact"/>
        <w:rPr>
          <w:sz w:val="20"/>
          <w:szCs w:val="20"/>
          <w:color w:val="auto"/>
        </w:rPr>
      </w:pPr>
    </w:p>
    <w:p>
      <w:pPr>
        <w:jc w:val="both"/>
        <w:ind w:left="660" w:right="640"/>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u w:val="single" w:color="auto"/>
          <w:color w:val="auto"/>
        </w:rPr>
        <w:t>Termination of Registration Rights</w:t>
      </w:r>
      <w:r>
        <w:rPr>
          <w:rFonts w:ascii="Times New Roman" w:cs="Times New Roman" w:eastAsia="Times New Roman" w:hAnsi="Times New Roman"/>
          <w:sz w:val="18"/>
          <w:szCs w:val="18"/>
          <w:color w:val="auto"/>
        </w:rPr>
        <w:t>. The right of any Holder to request registration or inclusion of Registrable Securities in any registration pursuant to Section 1 shall terminate upon the earliest to occur of: (a) the date that is five (5) years following the consummation of the initial public offering of the Company’s securities, (b) such time following the Company’s initial public offering as Rule 144 is available for the sale of all of such Holder’s shares without limitation during a three-month period without registration or (c) the consummation of a Liquidation Transaction, as that term is defined in the Restated Certificate.</w:t>
      </w:r>
    </w:p>
    <w:p>
      <w:pPr>
        <w:spacing w:after="0" w:line="179" w:lineRule="exact"/>
        <w:rPr>
          <w:sz w:val="20"/>
          <w:szCs w:val="20"/>
          <w:color w:val="auto"/>
        </w:rPr>
      </w:pPr>
    </w:p>
    <w:p>
      <w:pPr>
        <w:ind w:left="1340" w:hanging="684"/>
        <w:spacing w:after="0"/>
        <w:tabs>
          <w:tab w:leader="none" w:pos="1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Delivery of Financial Statements</w:t>
      </w:r>
      <w:r>
        <w:rPr>
          <w:rFonts w:ascii="Times New Roman" w:cs="Times New Roman" w:eastAsia="Times New Roman" w:hAnsi="Times New Roman"/>
          <w:sz w:val="17"/>
          <w:szCs w:val="17"/>
          <w:color w:val="auto"/>
        </w:rPr>
        <w:t>. The Company shall deliver to each Major Holder:</w:t>
      </w:r>
    </w:p>
    <w:p>
      <w:pPr>
        <w:spacing w:after="0" w:line="229" w:lineRule="exact"/>
        <w:rPr>
          <w:sz w:val="20"/>
          <w:szCs w:val="20"/>
          <w:color w:val="auto"/>
        </w:rPr>
      </w:pPr>
    </w:p>
    <w:p>
      <w:pPr>
        <w:jc w:val="both"/>
        <w:ind w:firstLine="1952"/>
        <w:spacing w:after="0" w:line="261" w:lineRule="auto"/>
        <w:tabs>
          <w:tab w:leader="none" w:pos="287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150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audited and certified by an independent public accounting firm of national standing selected with the approval of the Board of Directors;</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30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45 days after the end of each quarter, an unaudited profit or loss statement, a statement of cash flows as compared to the budget and the comparable period for the prior year, an unaudited balance sheet as of the end of such quarter and a written summary of operations, all prepared in accordance with GAAP (except that such financial statements may be subject to normal year-end audit adjustments and not contain all notes thereto that may be required in accordance with GAAP);</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9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45 days after the end of each quarter, an updated capitalization table of the Company, in sufficient detail as to permit the Major Holders to calculate their respective percentage equity ownership in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6" w:name="page327"/>
    <w:bookmarkEnd w:id="326"/>
    <w:p>
      <w:pPr>
        <w:ind w:firstLine="1952"/>
        <w:spacing w:after="0" w:line="282" w:lineRule="auto"/>
        <w:tabs>
          <w:tab w:leader="none" w:pos="288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30 days prior to the end of each fiscal year, an operating budget for the next fiscal year, prepared on a monthly basis, and, as soon as prepared, any other operating budgets or revised operating budgets prepared by the Company;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3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relating to the financial condition, business, prospects, or corporate affairs of the Company as any Major Holder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Inspection</w:t>
      </w:r>
      <w:r>
        <w:rPr>
          <w:rFonts w:ascii="Times New Roman" w:cs="Times New Roman" w:eastAsia="Times New Roman" w:hAnsi="Times New Roman"/>
          <w:sz w:val="18"/>
          <w:szCs w:val="18"/>
          <w:color w:val="auto"/>
        </w:rPr>
        <w:t xml:space="preserve">. The Company shall permit each Major Holder, at such Major Holder’s expense, to visit and inspect the Company’s properties, to examine its books of account and records and to discuss the Company’s affairs, finances and accounts with its officers, all at such reasonable times as may be requested by the Major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pursuant to this Section 2.2 to provide access to any information which it reasonably considers to be a trade secret or similar confidential information (unless covered by an enforceable confidentiality agreement in a form acceptable to the Company) or any information with respect to which the Company is legally bound to maintain confidentiality.</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Right of First Offer</w:t>
      </w:r>
      <w:r>
        <w:rPr>
          <w:rFonts w:ascii="Times New Roman" w:cs="Times New Roman" w:eastAsia="Times New Roman" w:hAnsi="Times New Roman"/>
          <w:sz w:val="18"/>
          <w:szCs w:val="18"/>
          <w:color w:val="auto"/>
        </w:rPr>
        <w:t>. Subject to the terms and conditions specified in this Section 2.3, the Company hereby grants to each Major Holder a right of first offer with respect to future sales by the Company of its Shares (as hereinafter defined). A Major Holder who chooses to exercise the right of first offer may designate as purchasers under such right itself or its partners or Affiliates in such proportions as it deems appropriate.</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time the Company proposes to offer any shares of, or securities convertible into or exchangeable or exercisable for any shares of, any class of its capital stock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Company shall first make an offering of such Shares to each Major Holder in accordance with the following provisions:</w:t>
      </w:r>
    </w:p>
    <w:p>
      <w:pPr>
        <w:spacing w:after="0" w:line="176" w:lineRule="exact"/>
        <w:rPr>
          <w:sz w:val="20"/>
          <w:szCs w:val="20"/>
          <w:color w:val="auto"/>
        </w:rPr>
      </w:pPr>
    </w:p>
    <w:p>
      <w:pPr>
        <w:ind w:right="20" w:firstLine="1952"/>
        <w:spacing w:after="0" w:line="282" w:lineRule="auto"/>
        <w:tabs>
          <w:tab w:leader="none" w:pos="29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a notice (the “</w:t>
      </w:r>
      <w:r>
        <w:rPr>
          <w:rFonts w:ascii="Times New Roman" w:cs="Times New Roman" w:eastAsia="Times New Roman" w:hAnsi="Times New Roman"/>
          <w:sz w:val="18"/>
          <w:szCs w:val="18"/>
          <w:u w:val="single" w:color="auto"/>
          <w:color w:val="auto"/>
        </w:rPr>
        <w:t>RFO Notice</w:t>
      </w:r>
      <w:r>
        <w:rPr>
          <w:rFonts w:ascii="Times New Roman" w:cs="Times New Roman" w:eastAsia="Times New Roman" w:hAnsi="Times New Roman"/>
          <w:sz w:val="18"/>
          <w:szCs w:val="18"/>
          <w:color w:val="auto"/>
        </w:rPr>
        <w:t>”) to the Major Holders stating (i) its bona fide intention to offer such Shares, (ii) the number of such Shares to be offered, and (iii) the price and terms, if any, upon which it proposes to offer such Shares.</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8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calendar days after delivery of the RFO Notice, the Major Holder may elect to purchase or obtain, at the price and on the terms specified in the RFO Notice, up to that portion of such Shares which equals the proportion that the number of shares of Common Stock issued and held, or issuable upon conversion and exercise of all convertible, exchangeable or exercisable securities then held, by such Major Holder bears to the total number of shares of Common Stock then outstanding (assuming full conversion and exercise of all convertible or exercisable securities). Such purchase shall be completed at the same closing as that of any third party purchasers or at an additional closing thereunder. The Company shall promptly, in writing, inform each Major Holder that purchases all the Shares available to it (each, a “</w:t>
      </w:r>
      <w:r>
        <w:rPr>
          <w:rFonts w:ascii="Times New Roman" w:cs="Times New Roman" w:eastAsia="Times New Roman" w:hAnsi="Times New Roman"/>
          <w:sz w:val="18"/>
          <w:szCs w:val="18"/>
          <w:u w:val="single" w:color="auto"/>
          <w:color w:val="auto"/>
        </w:rPr>
        <w:t>Fully-Exercising Holder</w:t>
      </w:r>
      <w:r>
        <w:rPr>
          <w:rFonts w:ascii="Times New Roman" w:cs="Times New Roman" w:eastAsia="Times New Roman" w:hAnsi="Times New Roman"/>
          <w:sz w:val="18"/>
          <w:szCs w:val="18"/>
          <w:color w:val="auto"/>
        </w:rPr>
        <w:t>”) of any other Major Holder’s failure to do likewise. During the 10-day period commencing after receipt of such information, each Fully-Exercising Holder shall be entitled to obtain that portion of the Shares for which Major Holders were entitled to subscribe but which were not subscribed for by the Major Holders that is equal to the proportion that the number of shares of Common Stock issued and held, or issuable upon conversion and exercise of all convertible, exchangeable or exercisable securities then held, by such Fully-Exercising Holder bears to the total number of shares of Common Stock issued and held, or issuable upon conversion and exercise of all convertible, exchangeable or exercisable securities then held, by all Fully Exercising Holders who wish to purchase some of the unsubscribed Shares.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firstLine="1952"/>
        <w:spacing w:after="0" w:line="258" w:lineRule="auto"/>
        <w:tabs>
          <w:tab w:leader="none" w:pos="29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during the 45-day period following the expiration of the period provided in subsection 2.3(b)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Holders in accordance herewith.</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82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first offer in this Section 2.3 shall not be applicable to (i) the issuance of securities that are exempt from the definition of Additional Stock (as defined in the Restated Certificate) or (ii) the issuance of shares of Series G Preferred Stock or Series G-1 Preferred Stock pursuant to the Purchase Agreement, as may be amended from time to time. In addition to the foregoing, the right of first offer in this Section 2.3 shall not be applicable with respect to any Major Holder and any subsequent securities issuance, if (i) at the time of such subsequent securities issuance, the Major Holder is not an “accredited investor,” as that term is then defined in Rule 501(a) under the Securities Act, and (ii) such subsequent securities issuance is otherwise being offered only to accredited investors.</w:t>
      </w:r>
    </w:p>
    <w:p>
      <w:pPr>
        <w:spacing w:after="0" w:line="18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u w:val="single" w:color="auto"/>
          <w:color w:val="auto"/>
        </w:rPr>
        <w:t>Banking Regulatory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952"/>
        <w:spacing w:after="0" w:line="254" w:lineRule="auto"/>
        <w:tabs>
          <w:tab w:leader="none" w:pos="290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Jasmine Ventures seeks not to, directly or indirectly, individually or as part of a group acting in concert, (i) Control any Bank Entity, (ii) be deemed an “organizer” by any applicable federal or state bank regulatory authority or be 10% or greater holder of any Class of voting securities of any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Bank Entity, (iii) be an “institution affiliated party” (as defined in Section 3(u) of the Federal Deposit Insurance Act (“</w:t>
      </w:r>
      <w:r>
        <w:rPr>
          <w:rFonts w:ascii="Times New Roman" w:cs="Times New Roman" w:eastAsia="Times New Roman" w:hAnsi="Times New Roman"/>
          <w:sz w:val="18"/>
          <w:szCs w:val="18"/>
          <w:u w:val="single" w:color="auto"/>
          <w:color w:val="auto"/>
        </w:rPr>
        <w:t>FDI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(12 U.S.C. 1813(u)) solely as a result of its ownership of Company capital stock, (iv) be subject to any conditions imposed by any bank regulatory authority with respect to the Company forming, acquiring and/or being in Control of a Bank Entity, and which are applicable to Jasmine Ventures, or (v) be obligated pursuant to a support agreement, capital and liquidity maintenance agreement or other commitment or agreement, or any source of strength or bank regulatory reporting provisions, whether pursuant to any law, regulation, regulatory order or policy in connection with the organization, approval, ownership, management or operation of any Bank Entity, directly or indirectly, by the Company.</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9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periodically provide Jasmine material information on the Company’s plans to charter, acquire any equity securities or any debt or securities that may be exchanged for or convertible into equity securities of any Bank Entity, and/or to acquire Control of a Bank Entity, directly or indirectly, including with respect to proposed corporate and capital structure and timing and anything related to Adverse Regulatory Events or matters described in Section 2.4(a). In connection with such transactions, the Company shall provide Jasmine, on a confidential basis, copies of all presentations, business plans and draft and final applications, in each case, provided in writing to applicable state and federal bank regulatory authorities, written responses to bank regulatory authority requests for information, and any bank regulatory authority correspondence and written requests, excluding any Interagency Financial and Biographical Reports or other personal information with respect to proposed directors and officers of the Bank Entity and other information with respect to which the Company is subject to a duty of confidentiality. The Company shall notify Jasmine Ventures not less than 30 days prior to submitting any proposal, notice or application to charter, acquire any equity securities in, and/or Control a Bank Entity, and shall provide Jasmine Ventures with sufficient information to enable Jasmine Ventures to assess whether such request or proposed action may result in the occurrence of an Adverse Regulatory Event.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firstLine="1952"/>
        <w:spacing w:after="0" w:line="252" w:lineRule="auto"/>
        <w:tabs>
          <w:tab w:leader="none" w:pos="296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Company has given notice to Jasmine Ventures as contemplated by this Section 2.4(c), in the event that Jasmine Ventures determines that an Adverse Regulatory Event has occurred or is reasonably likely to occur, then, within 10 calendar days following the day on which Jasmine Ventures gives written notice to the Company of such determination, the Company shall use its reasonable best efforts to cause all or a sufficient portion of the Series G Preferred Stock and/or other series of Company Preferred stock which are voting securities, and any shares of Company common stock into which any such shares of preferred stock are converted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then held by Jasmine Ventures to be converted into or exchanged for shares of new Company Stock (preferred or common, as applicable) having identical rights, privileges, preferences and restrictions as the shares of Company Stock then held by Jasmine Ventures and that are voting securities, except that such new shares of Company Stock shall be nonvoting securities in the hands of Jasmine Ventures so as to cure or eliminate the Adverse Regulatory Event. Without limiting the foregoing, to the extent necessary to cure or eliminate the Adverse Regulatory Event, as determined by Jasmine Ventures, (i) such nonvoting securities shall not permit the holder thereof to vote for or otherwise select directors of the Company, or vote on any other matter other than those on which holders of nonvoting shares are permitted to vote under 12 C.F.R. § 225.2(q)(2); (ii) shall otherwise meet the requirements so as to qualify as “nonvoting securities” as set forth at 12 C.F.R. § 225.2(q)(2); (iii) shall not be transferable by the holder to any person other than an affiliate of the holder, the Company or a Permitted Transferee, and (iv) shall not be convertible into or exchangeable for any securities that are “voting securities” within the meaning of 12 C.F.R. § 225.2(q)</w:t>
      </w:r>
    </w:p>
    <w:p>
      <w:pPr>
        <w:spacing w:after="0" w:line="1"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except upon or following a transfer to the Company or a Permitted Transferee that is not an affiliate of the holder thereof. The Company and Jasmine Ventures shall cooperate and take any other mutually agreeable, commercially reasonable actions to avoid any Adverse Regulatory Event.</w:t>
      </w:r>
    </w:p>
    <w:p>
      <w:pPr>
        <w:spacing w:after="0" w:line="17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Key Man Insurance</w:t>
      </w:r>
      <w:r>
        <w:rPr>
          <w:rFonts w:ascii="Times New Roman" w:cs="Times New Roman" w:eastAsia="Times New Roman" w:hAnsi="Times New Roman"/>
          <w:sz w:val="18"/>
          <w:szCs w:val="18"/>
          <w:color w:val="auto"/>
        </w:rPr>
        <w:t>. The Company has as of the date hereof obtained from financially sound and reputable insurers term life insurance on the life of Max Levchin. The Company shall obtain from financially sound and reputable insurers term life insurance on the life of any additional individuals identified by the Board of Directors (including the Series B Directors (as defined in the Restated Certificate), the Series C Director (as defined in the Restated Certificate), the Series D Director (as defined in the Restated Certificate) and the Series F Director (as defined in the Restated Certificate)) in amounts determined by the Board of Directors (including the Series B Directors, the Series C Director, the Series D Director and the Series F Director) no more than 60 days following the identification of such persons by the Board of Directors. Such policies shall name the Company as loss payee and shall not be cancelable by the Company without prior approval of the Board of Directors (including the Series B Directors, the Series C Director, the Series D Director and the Series F Director).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Proprietary Information and Inventions Agreements</w:t>
      </w:r>
      <w:r>
        <w:rPr>
          <w:rFonts w:ascii="Times New Roman" w:cs="Times New Roman" w:eastAsia="Times New Roman" w:hAnsi="Times New Roman"/>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Employee Agreements</w:t>
      </w:r>
      <w:r>
        <w:rPr>
          <w:rFonts w:ascii="Times New Roman" w:cs="Times New Roman" w:eastAsia="Times New Roman" w:hAnsi="Times New Roman"/>
          <w:sz w:val="18"/>
          <w:szCs w:val="18"/>
          <w:color w:val="auto"/>
        </w:rPr>
        <w:t>. Unless approved by the Company’s Board of Directors (including the Series B Directors, Series C Director and Series D Director), all future employees of the Company who shall purchase, or receive options to purchase, shares of Common Stock following the date hereof shall be required to execute stock purchase or option agreements providing for (a) vesting of shares over a 4 year period with the first twenty five percent (25%) of such shares vesting following 12 months of continued employment or services, and the remaining shares vesting in equal monthly installments over the following 36 months thereafter and (b) a 180-day lockup period (plus an additional period of up to 18 days) in connection with the Company’s initial public offering. The Company shall retain a right of first refusal on transfers until the Company’s initial public offering and the right to repurchase unvested shares at cost.</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entity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Restated Certificate, or elsewhere, as the case may be.</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D&amp;O Insurance</w:t>
      </w:r>
      <w:r>
        <w:rPr>
          <w:rFonts w:ascii="Times New Roman" w:cs="Times New Roman" w:eastAsia="Times New Roman" w:hAnsi="Times New Roman"/>
          <w:sz w:val="18"/>
          <w:szCs w:val="18"/>
          <w:color w:val="auto"/>
        </w:rPr>
        <w:t>. The Company shall use its commercially reasonable efforts to maintain, from financially sound and reputable insurers, Directors and Officers liability insurance in an amount and on terms and conditions satisfactory to the Company’s Board of Directors (including the Series B Directors, the Series C Director, the Series D Director and the Series F Director), until such time as the Board of Directors (including the Series B Directors, the Series C Director, the Series D Director and the Series F Director) determines that such insurance should be discontinued.</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Board Matters</w:t>
      </w:r>
      <w:r>
        <w:rPr>
          <w:rFonts w:ascii="Times New Roman" w:cs="Times New Roman" w:eastAsia="Times New Roman" w:hAnsi="Times New Roman"/>
          <w:sz w:val="18"/>
          <w:szCs w:val="18"/>
          <w:color w:val="auto"/>
        </w:rPr>
        <w:t>. The Company shall reimburse the nonemployee directors for all reasonable out-of-pocket travel expenses incurred (consistent with the Company’s travel policy) in connection with attending meetings of the Company’s Board of Directors.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0" w:name="page331"/>
    <w:bookmarkEnd w:id="33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Each Investor agrees, severally and not jointly, that such Investor will keep confidential any confidential information obtained pursuant to Section 2.1 or Section 2.2 hereof, and, in the case of Jasmine Ventures, such confidential information shall include any information furnished pursuant to Section 2.4 hereof, and each Investor acknowledges that it will not, unless otherwise required by law or the rules of any national securities exchange, association or marketplace, disclose such information without the prior written consent of the Company except such information that (a) was in the public domain prior to the time it was furnished to such Investor, (b) is or becomes (through no willful improper action or inaction by such Investor) generally available to the public, (c) was in its possession or known by such Investor without restriction prior to receipt from the Company, (d) was rightfully disclosed to such Investor by a third party without restriction or (e) was independently developed without any use of the Company’s confidential information. Notwithstanding the foregoing, each Investor that is a limited partnership or limited liability company may disclose such proprietary or confidential information to any former partners or members who retained an economic interest in such Investor, current or prospective partner of the partnership, any prospective partner of an investment entity formed (or to be formed) after the date hereof that is an advisory or subadvisory client of the Investor’s investment advisor, or any subsequent partnership under common investment management, limited partner, general partner, partner of a partner, member or management company of such Investor (or any employee or representative of any of the foregoing) (each of the foregoing persons, a “</w:t>
      </w:r>
      <w:r>
        <w:rPr>
          <w:rFonts w:ascii="Times New Roman" w:cs="Times New Roman" w:eastAsia="Times New Roman" w:hAnsi="Times New Roman"/>
          <w:sz w:val="18"/>
          <w:szCs w:val="18"/>
          <w:u w:val="single" w:color="auto"/>
          <w:color w:val="auto"/>
        </w:rPr>
        <w:t>Permitted Disclosee</w:t>
      </w:r>
      <w:r>
        <w:rPr>
          <w:rFonts w:ascii="Times New Roman" w:cs="Times New Roman" w:eastAsia="Times New Roman" w:hAnsi="Times New Roman"/>
          <w:sz w:val="18"/>
          <w:szCs w:val="18"/>
          <w:color w:val="auto"/>
        </w:rPr>
        <w:t xml:space="preserve">”) or legal counsel, accountants or representatives for such Investor. Furthermore, nothing contained herein shall prevent any Investor or any Permitted Disclosee from (i) entering into any business, entering into any agreement with a third party, or investing in or engaging in investment discussions with any other company (whether or not competitive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or Permitted Disclosee does not, except as permitted in accordance with this Section 2.10, disclose or otherwise make use of any proprietary or confidential information of the Company in connection with such activities (other than to monitor its investment in the Company), or (ii) making any disclosures required by law, rule, regulation or court or other governmental order. Notwithstanding the foregoing, in the case of any Investor that is (y) a registered investment company within the meaning of the Investment Company Act of 1940, as amended, or (z) is advised by a registered investment adviser or Affiliates thereof, such Investor may identify the Company and the value of such Investor’s security holdings in the Company in accordance with applicable investment reporting and disclosure regulations or internal policies and respond to routine examinations, demands, requests or reporting requirements of a regulator without prior notice to or consent from the Company.</w:t>
      </w:r>
    </w:p>
    <w:p>
      <w:pPr>
        <w:spacing w:after="0" w:line="18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Termination of Covenants</w:t>
      </w:r>
      <w:r>
        <w:rPr>
          <w:rFonts w:ascii="Times New Roman" w:cs="Times New Roman" w:eastAsia="Times New Roman" w:hAnsi="Times New Roman"/>
          <w:sz w:val="18"/>
          <w:szCs w:val="18"/>
          <w:color w:val="auto"/>
        </w:rPr>
        <w:t>. The covenants set forth in this Section 2, other than the covenants contained in Sections 2.4(a)-(b), 2.8 and 2.11, shall terminate as to each Holder and be of no further force or effect, upon the earlier of: (a) a Liquidation Transaction (as defined in the Restated Certificate) in which the consideration received by the Investors solely consists of cash and/or marketable securities, or (b) immediately prior to the consummation of the Company’s initial public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1" w:name="page332"/>
    <w:bookmarkEnd w:id="331"/>
    <w:p>
      <w:pPr>
        <w:ind w:left="1600" w:hanging="944"/>
        <w:spacing w:after="0"/>
        <w:tabs>
          <w:tab w:leader="none" w:pos="16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pertaining to the subject matter hereof, and any and all other written or oral agreements relating to the subject matter hereof existing between the parties hereto are expressly canceled. The Prior Investors’ Rights Agreement is hereby superseded, amended and restated in its entirety by this Agreement and shall be of no further force or effect.</w:t>
      </w:r>
    </w:p>
    <w:p>
      <w:pPr>
        <w:spacing w:after="0" w:line="3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xml:space="preserve">. Except as otherwise provided in this Agreement, the terms and conditions of this Agreement shall inure to the benefit of and be binding upon the respective permitted successors and assigns of the parties (including transferees of any of the Preferred Stock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Investor that is a venture capital or other investment fund may assign or transfer such rights to its Affiliates.</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or waived only with the written consent of the Company and the holders of a majority of the Registrable Securities then outstanding.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may be amended or waived (either generally or in a particular instance and either retroactively or prospectively) only with the written consent of the Company and the Major Holders holding a majority of the Registrable Securities that are held by all of the Major Holders; provided, that notwithstanding the foregoing, this Agreement may not be amended or terminated and the observance of any term hereof may not be waived with respect to any Major Holders without the written consent of such Major Holders, unless such amendment, termination, or waiver applies to all Major Holders in the same fashion (it being agreed that a waiver of the provisions of Section 2.3 with respect to a particular transaction shall be deemed to apply to all Major Holders in the same fashion if such waiver does so by its terms, notwithstanding the fact that certain Major Holders may nonetheless, by agreement with the Company, purchase securities in such transaction). In addition, the provisions of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may not be amended or waived in a manner adverse to Jasmine Ventures without the separate written consent of Jasmine Ventures, unless such amendment or waiver applies to all Investors in the same fashion. In addition, the separate consent of the holders of at least sixty percent (60%) of the shares of Common Stock issuable or issued upon conversion of the Series B Preferred Stock shall be required for any adverse change to the rights, preference or privileges of the Series B Preferred Stock (or the shares of Common Stock issued upon conversion thereof); it </w:t>
      </w:r>
      <w:r>
        <w:rPr>
          <w:rFonts w:ascii="Times New Roman" w:cs="Times New Roman" w:eastAsia="Times New Roman" w:hAnsi="Times New Roman"/>
          <w:sz w:val="18"/>
          <w:szCs w:val="18"/>
          <w:u w:val="single" w:color="auto"/>
          <w:color w:val="auto"/>
        </w:rPr>
        <w:t>being understood</w:t>
      </w:r>
      <w:r>
        <w:rPr>
          <w:rFonts w:ascii="Times New Roman" w:cs="Times New Roman" w:eastAsia="Times New Roman" w:hAnsi="Times New Roman"/>
          <w:sz w:val="18"/>
          <w:szCs w:val="18"/>
          <w:color w:val="auto"/>
        </w:rPr>
        <w:t xml:space="preserve"> that the authorization or issuance of any new class or series of capital stock having rights, powers or privileges senior to or on parity with the Series B Preferred Stock shall not, on its own, be deemed to be an adverse change to the rights, preference or privileges of the Series B Preferred Stock (or the shares of Common Stock issued upon conversion thereof). In addition, the separate consent of the holders of at least seventy-five percent (75%) of the shares of Common Stock issuable or issued upon conversion of the Series C Preferred Stock shall be required for any adverse change to the rights, preference or privileges of the Series C Preferred Stock (or the shares of Common Stock issued upon conversion thereof); it </w:t>
      </w:r>
      <w:r>
        <w:rPr>
          <w:rFonts w:ascii="Times New Roman" w:cs="Times New Roman" w:eastAsia="Times New Roman" w:hAnsi="Times New Roman"/>
          <w:sz w:val="18"/>
          <w:szCs w:val="18"/>
          <w:u w:val="single" w:color="auto"/>
          <w:color w:val="auto"/>
        </w:rPr>
        <w:t>being understood</w:t>
      </w:r>
      <w:r>
        <w:rPr>
          <w:rFonts w:ascii="Times New Roman" w:cs="Times New Roman" w:eastAsia="Times New Roman" w:hAnsi="Times New Roman"/>
          <w:sz w:val="18"/>
          <w:szCs w:val="18"/>
          <w:color w:val="auto"/>
        </w:rPr>
        <w:t xml:space="preserve"> that the authorization or issuance of any new class or series of capital stock having rights, powers or privileges senior to or on parity with the Series C Preferred Stock shall not, on its own, be deemed to be an adverse change to the rights, preference or privileges of the Series C Preferred Stock (or the shares of Common Stock issued upon conversion thereof). In addition, the separate consent of the holders of a majority of the shares of Common Stock issuable or issued upon conversion of the Series D Preferred Stock shall be required for any adverse change to the rights, preference or privileges of the Series D Preferred Stock (or the shares of Common Stock issued upon conversion thereof); it </w:t>
      </w:r>
      <w:r>
        <w:rPr>
          <w:rFonts w:ascii="Times New Roman" w:cs="Times New Roman" w:eastAsia="Times New Roman" w:hAnsi="Times New Roman"/>
          <w:sz w:val="18"/>
          <w:szCs w:val="18"/>
          <w:u w:val="single" w:color="auto"/>
          <w:color w:val="auto"/>
        </w:rPr>
        <w:t>being understood</w:t>
      </w:r>
      <w:r>
        <w:rPr>
          <w:rFonts w:ascii="Times New Roman" w:cs="Times New Roman" w:eastAsia="Times New Roman" w:hAnsi="Times New Roman"/>
          <w:sz w:val="18"/>
          <w:szCs w:val="18"/>
          <w:color w:val="auto"/>
        </w:rPr>
        <w:t xml:space="preserve"> that the authorization or issuance of any new class or series of capital stock having rights, powers or privileges senior to or on parity with the Series D Preferred Stock shall not, on its own, be deemed to be an adverse change to the rights, preference or privileges of the Series D Preferred Stock (or the shares of Common Stock issued upon conversion thereof). In addition, the separate consent of the holders of a majority of the shares of Common Stock issuable or issued upon conversion of the Series E Preferred Stock shall be required for any adverse change to the rights, preference or privileges of the Series E Preferred Stock (or the shares of Common Stock issued upon conversion thereof); it </w:t>
      </w:r>
      <w:r>
        <w:rPr>
          <w:rFonts w:ascii="Times New Roman" w:cs="Times New Roman" w:eastAsia="Times New Roman" w:hAnsi="Times New Roman"/>
          <w:sz w:val="18"/>
          <w:szCs w:val="18"/>
          <w:u w:val="single" w:color="auto"/>
          <w:color w:val="auto"/>
        </w:rPr>
        <w:t>being understood</w:t>
      </w:r>
      <w:r>
        <w:rPr>
          <w:rFonts w:ascii="Times New Roman" w:cs="Times New Roman" w:eastAsia="Times New Roman" w:hAnsi="Times New Roman"/>
          <w:sz w:val="18"/>
          <w:szCs w:val="18"/>
          <w:color w:val="auto"/>
        </w:rPr>
        <w:t xml:space="preserve"> that the authorization or issuance of any new class or series of capital stock having rights, powers or privileges senior to or on parity with the Series E Preferred Stock shall not, on its own, be deemed to be an adverse change to the rights, preference or privileges of the Series E Preferred Stock (or the shares of Common Stock issued upon conversion thereof). Further, the separate consent of the holders of a majority of the shares of Common Stock issuable or issued upon conversion of the Series F Preferred Stock shall be required for any adverse changes to the rights, preference or privileges of the Series F Preferred Stock (or the shares of Common Stock issued upon conversion thereof); it </w:t>
      </w:r>
      <w:r>
        <w:rPr>
          <w:rFonts w:ascii="Times New Roman" w:cs="Times New Roman" w:eastAsia="Times New Roman" w:hAnsi="Times New Roman"/>
          <w:sz w:val="18"/>
          <w:szCs w:val="18"/>
          <w:u w:val="single" w:color="auto"/>
          <w:color w:val="auto"/>
        </w:rPr>
        <w:t>being understood</w:t>
      </w:r>
      <w:r>
        <w:rPr>
          <w:rFonts w:ascii="Times New Roman" w:cs="Times New Roman" w:eastAsia="Times New Roman" w:hAnsi="Times New Roman"/>
          <w:sz w:val="18"/>
          <w:szCs w:val="18"/>
          <w:color w:val="auto"/>
        </w:rPr>
        <w:t xml:space="preserve"> that the authorization or issuance of any new class or series having rights, powers or privileges senior to or on parity with the Series F Preferred Stock shall not, on its own, be deemed to be an adverse change to the rights, preference or privileges of the Series F Preferred Stock (or the shares of Common Stock issued upon conversion thereof). Further, the separate consent of the holders of a majority of the shares of Common Stock issuable or issued upon conversion of the Series G Preferred shall be required for any adverse changes to the rights, preference or privileges of the Series G Preferred (or the shares of Common Stock issued upon conversion thereof); it </w:t>
      </w:r>
      <w:r>
        <w:rPr>
          <w:rFonts w:ascii="Times New Roman" w:cs="Times New Roman" w:eastAsia="Times New Roman" w:hAnsi="Times New Roman"/>
          <w:sz w:val="18"/>
          <w:szCs w:val="18"/>
          <w:u w:val="single" w:color="auto"/>
          <w:color w:val="auto"/>
        </w:rPr>
        <w:t>being understood</w:t>
      </w:r>
      <w:r>
        <w:rPr>
          <w:rFonts w:ascii="Times New Roman" w:cs="Times New Roman" w:eastAsia="Times New Roman" w:hAnsi="Times New Roman"/>
          <w:sz w:val="18"/>
          <w:szCs w:val="18"/>
          <w:color w:val="auto"/>
        </w:rPr>
        <w:t xml:space="preserve"> that the authorization or issuance of any new class or series having rights, powers or privileges senior to or on parity with the Series G Preferred shall not, on its own, be deemed to be an adverse change to the rights, preference or privileges of the Series G Preferred (or the shares of Common Stock issued upon conversion thereof). Notwithstanding the foregoing, this Agreement may be amended with only the written consent of the Company for the sole purpose of including additional purchasers of Series G Preferred Stock as “Investors” and “Holders.” Any amendment or waiver effected in accordance with this paragraph shall be binding upon each party to the Agreement, whether or not such party has signed such amendment or waiver, each future holder of all such Registrable Securities, and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2" w:name="page333"/>
    <w:bookmarkEnd w:id="33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hereto shall be in writing and shall be deemed effectively given upon the earlier to occur of actual receipt or: (a) upon personal delivery to the party to be notified, (b) when sent by confirmed electronic mail or facsimile if sent during normal business hours of the recipient; if not, then on the next business day, (c) forty-eight (48) hours after having been sent by registered or certified mail, return receipt requested, postage prepaid, or (d) one (1) day after deposit with a nationally recognized overnight courier, specifying next day delivery, with written verification of receipt. All notices and other communications shall be sent to the Company and to the other parties at, and only at, their addresses (and with such copies, which shall not constitute notice, as) set forth on their respective signature pages to this Agreement (or at such other addresses as shall be specified by notice given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 shall be excluded from this Agreement, the balance of the Agreement shall be interpreted as if such provision were so excluded and shall be enforceable in accordance with its terms.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3.6</w:t>
            </w:r>
          </w:p>
        </w:tc>
        <w:tc>
          <w:tcPr>
            <w:tcW w:w="9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all acts and transactions pursuant hereto shall be governed, construed and interpreted</w:t>
            </w:r>
          </w:p>
        </w:tc>
      </w:tr>
      <w:tr>
        <w:trPr>
          <w:trHeight w:val="20"/>
        </w:trPr>
        <w:tc>
          <w:tcPr>
            <w:tcW w:w="2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37"/>
        </w:trPr>
        <w:tc>
          <w:tcPr>
            <w:tcW w:w="11240" w:type="dxa"/>
            <w:vAlign w:val="bottom"/>
            <w:gridSpan w:val="4"/>
          </w:tcPr>
          <w:p>
            <w:pPr>
              <w:jc w:val="right"/>
              <w:ind w:right="3400"/>
              <w:spacing w:after="0"/>
              <w:rPr>
                <w:sz w:val="20"/>
                <w:szCs w:val="20"/>
                <w:color w:val="auto"/>
              </w:rPr>
            </w:pPr>
            <w:r>
              <w:rPr>
                <w:rFonts w:ascii="Times New Roman" w:cs="Times New Roman" w:eastAsia="Times New Roman" w:hAnsi="Times New Roman"/>
                <w:sz w:val="18"/>
                <w:szCs w:val="18"/>
                <w:color w:val="auto"/>
                <w:w w:val="99"/>
              </w:rPr>
              <w:t>in accordance with the laws of the State of California, without giving effect to principles of conflicts of laws.</w:t>
            </w:r>
          </w:p>
        </w:tc>
      </w:tr>
      <w:tr>
        <w:trPr>
          <w:trHeight w:val="392"/>
        </w:trPr>
        <w:tc>
          <w:tcPr>
            <w:tcW w:w="22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3.7</w:t>
            </w:r>
          </w:p>
        </w:tc>
        <w:tc>
          <w:tcPr>
            <w:tcW w:w="9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Counterparts</w:t>
            </w:r>
            <w:r>
              <w:rPr>
                <w:rFonts w:ascii="Times New Roman" w:cs="Times New Roman" w:eastAsia="Times New Roman" w:hAnsi="Times New Roman"/>
                <w:sz w:val="18"/>
                <w:szCs w:val="18"/>
                <w:color w:val="auto"/>
                <w:w w:val="99"/>
              </w:rPr>
              <w:t>. This Agreement may be executed in two or more counterparts, each of which shall be deemed an original, but</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which together shall constitute one and the same instrument. The Company and the Investors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7"/>
                <w:szCs w:val="17"/>
                <w:color w:val="auto"/>
              </w:rPr>
            </w:pPr>
          </w:p>
        </w:tc>
        <w:tc>
          <w:tcPr>
            <w:tcW w:w="8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w:t>
            </w:r>
          </w:p>
        </w:tc>
      </w:tr>
      <w:tr>
        <w:trPr>
          <w:trHeight w:val="20"/>
        </w:trPr>
        <w:tc>
          <w:tcPr>
            <w:tcW w:w="246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7180"/>
              <w:spacing w:after="0"/>
              <w:rPr>
                <w:sz w:val="20"/>
                <w:szCs w:val="20"/>
                <w:color w:val="auto"/>
              </w:rPr>
            </w:pPr>
            <w:r>
              <w:rPr>
                <w:rFonts w:ascii="Times New Roman" w:cs="Times New Roman" w:eastAsia="Times New Roman" w:hAnsi="Times New Roman"/>
                <w:sz w:val="18"/>
                <w:szCs w:val="18"/>
                <w:color w:val="auto"/>
                <w:w w:val="99"/>
              </w:rPr>
              <w:t>considered in construing or interpreting this Agreement.</w:t>
            </w:r>
          </w:p>
        </w:tc>
      </w:tr>
      <w:tr>
        <w:trPr>
          <w:trHeight w:val="391"/>
        </w:trPr>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3.9</w:t>
            </w:r>
          </w:p>
        </w:tc>
        <w:tc>
          <w:tcPr>
            <w:tcW w:w="8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Aggregation of Stock</w:t>
            </w:r>
            <w:r>
              <w:rPr>
                <w:rFonts w:ascii="Times New Roman" w:cs="Times New Roman" w:eastAsia="Times New Roman" w:hAnsi="Times New Roman"/>
                <w:sz w:val="18"/>
                <w:szCs w:val="18"/>
                <w:color w:val="auto"/>
              </w:rPr>
              <w:t>. All shares of the Preferred Stock (and any Common Stock issued upon conversion thereof) held or</w:t>
            </w:r>
          </w:p>
        </w:tc>
      </w:tr>
      <w:tr>
        <w:trPr>
          <w:trHeight w:val="20"/>
        </w:trPr>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by Affiliated entities or persons shall be aggregated together for the purpose of determining the availability of any rights under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3" w:name="page334"/>
    <w:bookmarkEnd w:id="333"/>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25" w:lineRule="exact"/>
        <w:rPr>
          <w:sz w:val="20"/>
          <w:szCs w:val="20"/>
          <w:color w:val="auto"/>
        </w:rPr>
      </w:pPr>
    </w:p>
    <w:tbl>
      <w:tblPr>
        <w:tblLayout w:type="fixed"/>
        <w:tblInd w:w="49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09"/>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5"/>
              </w:rPr>
              <w:t>Name:</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 Levchin</w:t>
            </w:r>
          </w:p>
        </w:tc>
      </w:t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Address:</w:t>
      </w:r>
    </w:p>
    <w:p>
      <w:pPr>
        <w:ind w:left="4940"/>
        <w:spacing w:after="0" w:line="205" w:lineRule="auto"/>
        <w:rPr>
          <w:sz w:val="20"/>
          <w:szCs w:val="20"/>
          <w:color w:val="auto"/>
        </w:rPr>
      </w:pPr>
      <w:r>
        <w:rPr>
          <w:rFonts w:ascii="Times New Roman" w:cs="Times New Roman" w:eastAsia="Times New Roman" w:hAnsi="Times New Roman"/>
          <w:sz w:val="18"/>
          <w:szCs w:val="18"/>
          <w:color w:val="auto"/>
        </w:rPr>
        <w:t>650 California Street,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34" w:name="page335"/>
    <w:bookmarkEnd w:id="334"/>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MAX LEVCHIN</w:t>
      </w:r>
    </w:p>
    <w:p>
      <w:pPr>
        <w:spacing w:after="0" w:line="229" w:lineRule="exact"/>
        <w:rPr>
          <w:sz w:val="20"/>
          <w:szCs w:val="20"/>
          <w:color w:val="auto"/>
        </w:rPr>
      </w:pPr>
    </w:p>
    <w:p>
      <w:pPr>
        <w:ind w:left="548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2012 MRL INVESTMENTS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09"/>
        </w:trPr>
        <w:tc>
          <w:tcPr>
            <w:tcW w:w="596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5"/>
              </w:rPr>
              <w:t>Name:</w:t>
            </w: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 Levchin</w:t>
            </w:r>
          </w:p>
        </w:tc>
      </w:tr>
      <w:tr>
        <w:trPr>
          <w:trHeight w:val="209"/>
        </w:trPr>
        <w:tc>
          <w:tcPr>
            <w:tcW w:w="59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CEO</w:t>
            </w:r>
          </w:p>
        </w:tc>
      </w:tr>
      <w:tr>
        <w:trPr>
          <w:trHeight w:val="642"/>
        </w:trPr>
        <w:tc>
          <w:tcPr>
            <w:tcW w:w="5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35" w:name="page336"/>
    <w:bookmarkEnd w:id="335"/>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JASMINE VENTURES PTE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Chris Emanuel (Co-Head, Technology Investment Group)</w:t>
            </w:r>
          </w:p>
        </w:tc>
      </w:tr>
      <w:tr>
        <w:trPr>
          <w:trHeight w:val="191"/>
        </w:trPr>
        <w:tc>
          <w:tcPr>
            <w:tcW w:w="6080" w:type="dxa"/>
            <w:vAlign w:val="bottom"/>
          </w:tcPr>
          <w:p>
            <w:pPr>
              <w:ind w:left="560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Chris Emanuel</w:t>
            </w:r>
          </w:p>
        </w:tc>
      </w:tr>
      <w:tr>
        <w:trPr>
          <w:trHeight w:val="234"/>
        </w:trPr>
        <w:tc>
          <w:tcPr>
            <w:tcW w:w="608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648"/>
        </w:trPr>
        <w:tc>
          <w:tcPr>
            <w:tcW w:w="60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LIGHTSPEED VENTURE PARTNERS IX,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General Partner IX, L.P., its general partner</w:t>
      </w:r>
    </w:p>
    <w:p>
      <w:pPr>
        <w:spacing w:after="0" w:line="225"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Ultimate General Partner IX, L.P., its general partner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Duly authorized signatory</w:t>
      </w: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LIGHTSPEED VENTURE PARTNERS SELECT,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General Partner Select, L.P., its general partner</w:t>
      </w:r>
    </w:p>
    <w:p>
      <w:pPr>
        <w:spacing w:after="0" w:line="225"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Ultimate General Partner Select, L.P., its general partner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Duly authorized signatory</w:t>
      </w:r>
    </w:p>
    <w:p>
      <w:pPr>
        <w:spacing w:after="0" w:line="220" w:lineRule="exact"/>
        <w:rPr>
          <w:sz w:val="20"/>
          <w:szCs w:val="20"/>
          <w:color w:val="auto"/>
        </w:rPr>
      </w:pPr>
    </w:p>
    <w:p>
      <w:pPr>
        <w:ind w:left="4980"/>
        <w:spacing w:after="0"/>
        <w:tabs>
          <w:tab w:leader="none" w:pos="574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 ##############</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F: ##############</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LIGHTSPEED VENTURE PARTNERS SELECT II,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General Partner Select II, L.P., its general partner</w:t>
      </w:r>
    </w:p>
    <w:p>
      <w:pPr>
        <w:spacing w:after="0" w:line="225"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Ultimate General Partner Select, Ltd., its general partner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Duly authorized signatory</w:t>
      </w:r>
    </w:p>
    <w:p>
      <w:pPr>
        <w:spacing w:after="0" w:line="200" w:lineRule="exact"/>
        <w:rPr>
          <w:sz w:val="20"/>
          <w:szCs w:val="20"/>
          <w:color w:val="auto"/>
        </w:rPr>
      </w:pPr>
    </w:p>
    <w:p>
      <w:pPr>
        <w:spacing w:after="0" w:line="2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LIGHTSPEED OPPORTUNITY FUND, L.P.</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7"/>
          <w:szCs w:val="17"/>
          <w:color w:val="auto"/>
        </w:rPr>
        <w:t>By:</w:t>
        <w:tab/>
        <w:t>Lightspeed General Partner Opportunity Fund, L.P., its general partner</w:t>
      </w:r>
    </w:p>
    <w:p>
      <w:pPr>
        <w:spacing w:after="0" w:line="237"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Lightspeed Ultimate General Partner Opportunity Fund, Ltd., its</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/s/ Jeremy Liew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Jeremy Liew</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980"/>
        <w:spacing w:after="0"/>
        <w:tabs>
          <w:tab w:leader="none" w:pos="574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 ##############</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F: ##############</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SCOTTISH MORTGAGE INVESTMENT TRUST PLC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Executed for and on behalf of Scottish Mortgage Investment Trust plc,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acting through its agent, Baillie Gifford &amp; Co</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Baillie Gifford &amp; Co</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SCHIEHALLION FUND LIMITED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Executed for and on behalf of The Schiehallion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Fund Limited, acting through its agent, Baillie Gifford Overseas Limited</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Authorised Signatory of Baillie Gifford Overseas Limited</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BAILLIE GIFFORD US GROWTH TRUST PLC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Executed for and on behalf of Baillie Gifford US Growth Trust plc,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acting through its agent, Baillie Gifford &amp; Co</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Tom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Tom Slater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Partner of Baillie Gifford &amp; Co</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300355</wp:posOffset>
            </wp:positionV>
            <wp:extent cx="355727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154305</wp:posOffset>
            </wp:positionV>
            <wp:extent cx="355727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SPARK CAPITAL GROWTH FUND III,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Spark Growth Management Partners III,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0"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SPARK CAPITAL GROWTH FOUNDERS’ FUND III,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Spark Growth Management Partners III,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0"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1" w:name="page342"/>
    <w:bookmarkEnd w:id="341"/>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FIDELITY CONTRAFUND: FIDELITY CONTRAFUND</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FIDELITY CONTRAFUND COMMINGLED POOL</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Fidelity Management Trust Company, as Trustee</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FIDELITY CONTRAFUND: FIDELITY CONTRAFUND K6</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3" w:name="page344"/>
    <w:bookmarkEnd w:id="343"/>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SPARK CAPITAL GROWTH FUND,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Spark Growth Management Partners,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0"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SPARK CAPITAL GROWTH FOUNDERS’ FUND,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Spark Growth Management Partners,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0"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THRIVE CAPITAL PARTNERS V, L.P.</w:t>
      </w:r>
    </w:p>
    <w:p>
      <w:pPr>
        <w:sectPr>
          <w:pgSz w:w="11900" w:h="16838" w:orient="portrait"/>
          <w:cols w:equalWidth="0" w:num="1">
            <w:col w:w="10500"/>
          </w:cols>
          <w:pgMar w:left="980" w:top="900" w:right="419" w:bottom="1440" w:gutter="0" w:footer="0" w:header="0"/>
        </w:sectPr>
      </w:pP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Thrive Partners V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5240" w:space="300"/>
            <w:col w:w="4960"/>
          </w:cols>
          <w:pgMar w:left="980" w:top="900" w:right="419" w:bottom="1440" w:gutter="0" w:footer="0" w:header="0"/>
          <w:type w:val="continuous"/>
        </w:sectPr>
      </w:pPr>
    </w:p>
    <w:p>
      <w:pPr>
        <w:spacing w:after="0" w:line="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Kushner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Joshua Kushner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CLAREMOUNT V ASSOCIATES, L.P.</w:t>
      </w:r>
    </w:p>
    <w:p>
      <w:pPr>
        <w:sectPr>
          <w:pgSz w:w="11900" w:h="16838" w:orient="portrait"/>
          <w:cols w:equalWidth="0" w:num="1">
            <w:col w:w="10500"/>
          </w:cols>
          <w:pgMar w:left="980" w:top="900" w:right="419" w:bottom="1440" w:gutter="0" w:footer="0" w:header="0"/>
          <w:type w:val="continuous"/>
        </w:sect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Thrive Partners V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5240" w:space="300"/>
            <w:col w:w="4960"/>
          </w:cols>
          <w:pgMar w:left="980" w:top="900" w:right="419" w:bottom="1440" w:gutter="0" w:footer="0" w:header="0"/>
          <w:type w:val="continuous"/>
        </w:sectPr>
      </w:pPr>
    </w:p>
    <w:p>
      <w:pPr>
        <w:spacing w:after="0" w:line="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Kushner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Joshua Kushner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jc w:val="right"/>
        <w:ind w:right="3480"/>
        <w:spacing w:after="0"/>
        <w:tabs>
          <w:tab w:leader="none" w:pos="124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type w:val="continuous"/>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AF-F RIBBIT OPPORTUNITY III,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Cynthia McAdam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RIBBIT CAPITAL III, L.P., for itself and as nominee</w:t>
      </w:r>
    </w:p>
    <w:p>
      <w:pPr>
        <w:spacing w:after="0" w:line="25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Ribbit Capital GP III, L.P.</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Ribbit Capital GP III, Ltd.,</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Cynthia McAdam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BULLFROG CAPITAL, L.P. </w:t>
      </w:r>
      <w:r>
        <w:rPr>
          <w:rFonts w:ascii="Times New Roman" w:cs="Times New Roman" w:eastAsia="Times New Roman" w:hAnsi="Times New Roman"/>
          <w:sz w:val="18"/>
          <w:szCs w:val="18"/>
          <w:color w:val="auto"/>
        </w:rPr>
        <w:t>for itself and as nominee for Bullfrog</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Founder Fund,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Bullfrog Capital GP, L.P., its general partner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Bullfrog Capital GP, Ltd., its general partner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McAdam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Cynthia McAdam</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7"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ANDREESSEN HOROWITZ FUND IV, L.P.</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for itself and as nominee for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Andreessen Horowitz Fund IV-A,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Andreessen Horowitz Fund IV-B, L.P. and</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Andreessen Horowitz Fund IV-Q, L.P.</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AH Equity Partners IV,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AH PARALLEL FUND IV, L.P.</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for itself and as nominee for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AH Parallel Fund IV-A,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AH Parallel Fund IV-B, L.P. and</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AH Parallel Fund IV-Q, L.P.</w:t>
      </w:r>
    </w:p>
    <w:p>
      <w:pPr>
        <w:spacing w:after="0" w:line="234"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AH Equity Partners IV (Parallel),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49" w:name="page350"/>
    <w:bookmarkEnd w:id="349"/>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EMERSON COLLECTIVE INVESTMENTS, LLC</w:t>
      </w:r>
    </w:p>
    <w:p>
      <w:pPr>
        <w:spacing w:after="0" w:line="229"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Steve McDermid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331724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Name:Steve McDermid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0" w:name="page351"/>
    <w:bookmarkEnd w:id="350"/>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BATTERY VENTURES XI-A, L.P.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Battery Partners XI,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BATTERY VENTURES XI-B, L.P.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Battery Partners XI,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BATTERY VENTURES XI-A SIDE FUND,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Battery Partners XI Side Fund,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BATTERY VENTURES XI-B SIDE FUND,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Battery Partners XI Side Fund,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BATTERY INVESTMENT PARTNERS XI,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Battery Partners XI,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Scott R.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2" w:name="page353"/>
    <w:bookmarkEnd w:id="352"/>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JEREMY STOPPELMAN TRUSTEE UTD 3/16/10</w:t>
      </w:r>
    </w:p>
    <w:p>
      <w:pPr>
        <w:spacing w:after="0" w:line="25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Stoppelman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Jeremy Stoppelman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ALLEN &amp; COMPANY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DiIorio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Peter DiIorio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4" w:name="page355"/>
    <w:bookmarkEnd w:id="354"/>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WILLIAM W. BRADLEY REVOCABLE TRUST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William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William Bradley</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5" w:name="page356"/>
    <w:bookmarkEnd w:id="355"/>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STANLEY S. SHUMAN REVOCABLE TRUST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Stanley S. Shuman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Stanley Shuman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jc w:val="right"/>
        <w:ind w:right="3480"/>
        <w:spacing w:after="0"/>
        <w:tabs>
          <w:tab w:leader="none" w:pos="472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ANDREAS LAZAR</w:t>
      </w:r>
    </w:p>
    <w:p>
      <w:pPr>
        <w:spacing w:after="0" w:line="229" w:lineRule="exact"/>
        <w:rPr>
          <w:sz w:val="20"/>
          <w:szCs w:val="20"/>
          <w:color w:val="auto"/>
        </w:rPr>
      </w:pPr>
    </w:p>
    <w:p>
      <w:pPr>
        <w:ind w:left="476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Andreas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319722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32" w:lineRule="exact"/>
        <w:rPr>
          <w:sz w:val="20"/>
          <w:szCs w:val="20"/>
          <w:color w:val="auto"/>
        </w:rPr>
      </w:pPr>
    </w:p>
    <w:p>
      <w:pPr>
        <w:ind w:left="4760"/>
        <w:spacing w:after="0"/>
        <w:tabs>
          <w:tab w:leader="none" w:pos="5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right"/>
        <w:ind w:right="3700"/>
        <w:spacing w:after="0"/>
        <w:tabs>
          <w:tab w:leader="none" w:pos="494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7"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57" w:name="page358"/>
    <w:bookmarkEnd w:id="357"/>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KHOSLA VENTURES 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Khosla Ventures Associates IV, LLC, a</w:t>
            </w:r>
          </w:p>
        </w:tc>
      </w:tr>
      <w:tr>
        <w:trPr>
          <w:trHeight w:val="216"/>
        </w:trPr>
        <w:tc>
          <w:tcPr>
            <w:tcW w:w="6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Delaware limited liability company and</w:t>
            </w:r>
          </w:p>
        </w:tc>
      </w:tr>
      <w:tr>
        <w:trPr>
          <w:trHeight w:val="234"/>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of Khosla Ventures IV, LP</w:t>
            </w: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Weiden</w:t>
            </w:r>
          </w:p>
        </w:tc>
      </w:tr>
      <w:tr>
        <w:trPr>
          <w:trHeight w:val="210"/>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Weiden</w:t>
            </w:r>
          </w:p>
        </w:tc>
      </w:tr>
      <w:tr>
        <w:trPr>
          <w:trHeight w:val="209"/>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12"/>
        </w:trPr>
        <w:tc>
          <w:tcPr>
            <w:tcW w:w="11240" w:type="dxa"/>
            <w:vAlign w:val="bottom"/>
            <w:gridSpan w:val="2"/>
          </w:tcPr>
          <w:p>
            <w:pPr>
              <w:ind w:left="5520"/>
              <w:spacing w:after="0"/>
              <w:rPr>
                <w:sz w:val="20"/>
                <w:szCs w:val="20"/>
                <w:color w:val="auto"/>
              </w:rPr>
            </w:pPr>
            <w:r>
              <w:rPr>
                <w:rFonts w:ascii="Times New Roman" w:cs="Times New Roman" w:eastAsia="Times New Roman" w:hAnsi="Times New Roman"/>
                <w:sz w:val="18"/>
                <w:szCs w:val="18"/>
                <w:b w:val="1"/>
                <w:bCs w:val="1"/>
                <w:color w:val="auto"/>
              </w:rPr>
              <w:t>KHOSLA VENTURES IV (CF), LP</w:t>
            </w:r>
          </w:p>
        </w:tc>
      </w:tr>
      <w:tr>
        <w:trPr>
          <w:trHeight w:val="41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Khosla Ventures Associates IV, LLC, a</w:t>
            </w:r>
          </w:p>
        </w:tc>
      </w:tr>
      <w:tr>
        <w:trPr>
          <w:trHeight w:val="216"/>
        </w:trPr>
        <w:tc>
          <w:tcPr>
            <w:tcW w:w="6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Delaware limited liability company and</w:t>
            </w:r>
          </w:p>
        </w:tc>
      </w:tr>
      <w:tr>
        <w:trPr>
          <w:trHeight w:val="234"/>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of Khosla Ventures IV (CF), LP</w:t>
            </w: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Weiden</w:t>
            </w:r>
          </w:p>
        </w:tc>
      </w:tr>
      <w:tr>
        <w:trPr>
          <w:trHeight w:val="209"/>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Weiden</w:t>
            </w:r>
          </w:p>
        </w:tc>
      </w:tr>
      <w:tr>
        <w:trPr>
          <w:trHeight w:val="209"/>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642"/>
        </w:trPr>
        <w:tc>
          <w:tcPr>
            <w:tcW w:w="61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8" w:name="page359"/>
    <w:bookmarkEnd w:id="358"/>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THE MARC R. BENIOFF REVOCABLE TRUST U/A/D 12/03/2004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Bradley</w:t>
            </w:r>
          </w:p>
        </w:tc>
      </w:tr>
      <w:tr>
        <w:trPr>
          <w:trHeight w:val="191"/>
        </w:trPr>
        <w:tc>
          <w:tcPr>
            <w:tcW w:w="6160" w:type="dxa"/>
            <w:vAlign w:val="bottom"/>
          </w:tcPr>
          <w:p>
            <w:pPr>
              <w:ind w:left="5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Bradley</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Its: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9" w:name="page360"/>
    <w:bookmarkEnd w:id="359"/>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THSDFS LLC Series 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F. Druckenmiller</w:t>
            </w:r>
          </w:p>
        </w:tc>
      </w:tr>
      <w:tr>
        <w:trPr>
          <w:trHeight w:val="191"/>
        </w:trPr>
        <w:tc>
          <w:tcPr>
            <w:tcW w:w="6160" w:type="dxa"/>
            <w:vAlign w:val="bottom"/>
          </w:tcPr>
          <w:p>
            <w:pPr>
              <w:ind w:left="5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Stanley F. Druckenmiller</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0" w:name="page361"/>
    <w:bookmarkEnd w:id="360"/>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GGV CAPITAL VI PLUS L.P.</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GGV Capital VI Plus L.L.C., its General Partner</w:t>
      </w:r>
    </w:p>
    <w:p>
      <w:pPr>
        <w:spacing w:after="0" w:line="225"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Hans Tung</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GGV CAPITAL VI ENTREPRENEURS FUND L.P.</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GGV Capital VI Entrepreneurs Fund L.L.C., its General Partner</w:t>
      </w:r>
    </w:p>
    <w:p>
      <w:pPr>
        <w:spacing w:after="0" w:line="225"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Hans Tung</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61" w:name="page362"/>
    <w:bookmarkEnd w:id="361"/>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SFT (DELAWARE) MANAGEMENT, LLC</w:t>
      </w:r>
    </w:p>
    <w:p>
      <w:pPr>
        <w:spacing w:after="0" w:line="229" w:lineRule="exact"/>
        <w:rPr>
          <w:sz w:val="20"/>
          <w:szCs w:val="20"/>
          <w:color w:val="auto"/>
        </w:rPr>
      </w:pPr>
    </w:p>
    <w:tbl>
      <w:tblPr>
        <w:tblLayout w:type="fixed"/>
        <w:tblInd w:w="48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Sender Cohen</w:t>
            </w: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Sender Cohen</w:t>
            </w:r>
          </w:p>
        </w:tc>
      </w:t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 Attorney-in-fact</w:t>
            </w:r>
          </w:p>
        </w:tc>
      </w:tr>
    </w:tbl>
    <w:p>
      <w:pPr>
        <w:spacing w:after="0" w:line="19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DURABLE CAPITAL MASTER FUND LP</w:t>
      </w:r>
    </w:p>
    <w:p>
      <w:pPr>
        <w:spacing w:after="0" w:line="229" w:lineRule="exact"/>
        <w:rPr>
          <w:sz w:val="20"/>
          <w:szCs w:val="20"/>
          <w:color w:val="auto"/>
        </w:rPr>
      </w:pPr>
    </w:p>
    <w:p>
      <w:pPr>
        <w:ind w:left="490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Durable Capital Partners LP, as investment manager</w:t>
      </w:r>
    </w:p>
    <w:p>
      <w:pPr>
        <w:spacing w:after="0" w:line="225" w:lineRule="exact"/>
        <w:rPr>
          <w:sz w:val="20"/>
          <w:szCs w:val="20"/>
          <w:color w:val="auto"/>
        </w:rPr>
      </w:pPr>
    </w:p>
    <w:p>
      <w:pPr>
        <w:ind w:left="490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Blandino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324866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  Michael Blandino</w:t>
      </w:r>
    </w:p>
    <w:p>
      <w:pPr>
        <w:spacing w:after="0" w:line="23" w:lineRule="exact"/>
        <w:rPr>
          <w:sz w:val="20"/>
          <w:szCs w:val="20"/>
          <w:color w:val="auto"/>
        </w:rPr>
      </w:pPr>
    </w:p>
    <w:p>
      <w:pPr>
        <w:ind w:left="490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63" w:name="page364"/>
    <w:bookmarkEnd w:id="363"/>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Sunley House Capital Master Limited Partnership</w:t>
      </w:r>
    </w:p>
    <w:p>
      <w:pPr>
        <w:spacing w:after="0" w:line="27" w:lineRule="exact"/>
        <w:rPr>
          <w:sz w:val="20"/>
          <w:szCs w:val="20"/>
          <w:color w:val="auto"/>
        </w:rPr>
      </w:pPr>
    </w:p>
    <w:tbl>
      <w:tblPr>
        <w:tblLayout w:type="fixed"/>
        <w:tblInd w:w="4860" w:type="dxa"/>
        <w:tblCellMar>
          <w:top w:w="0" w:type="dxa"/>
          <w:left w:w="0" w:type="dxa"/>
          <w:bottom w:w="0" w:type="dxa"/>
          <w:right w:w="0" w:type="dxa"/>
        </w:tblCellMar>
      </w:tblPr>
      <w:tr>
        <w:trPr>
          <w:trHeight w:val="191"/>
        </w:trPr>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Sunley House Capital GP LP, its General Partner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Sunley House Capital GP LLC, its General Partner</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Jhaleh C. Ghassemi</w:t>
            </w: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Jhaleh C. Ghassemi</w:t>
            </w: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w:t>
            </w:r>
          </w:p>
        </w:tc>
      </w:tr>
    </w:tbl>
    <w:p>
      <w:pPr>
        <w:spacing w:after="0" w:line="18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64" w:name="page365"/>
    <w:bookmarkEnd w:id="364"/>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CMFG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17145</wp:posOffset>
            </wp:positionV>
            <wp:extent cx="358330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3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19"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Brian Kaas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Name:Brian Kaas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President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65" w:name="page366"/>
    <w:bookmarkEnd w:id="365"/>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FOUNDERS FUND V, LP</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 The Founders Fund V Management, LLC</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FOUNDERS FUND V, PRINCIPALS FUND LP</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 The Founders Fund V Management, LLC</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4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FOUNDERS FUND V, ENTREPRENEURS FUND LP</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 The Founders Fund V Management, LLC</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4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66" w:name="page367"/>
    <w:bookmarkEnd w:id="366"/>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THE FOUNDERS FUND VI, LP</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The Founders Fund VI Management,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Singerman</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Singerman</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THE FOUNDERS FUND VI, PRINCIPALS FUND LP</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The Founders Fund V Management,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Singerman</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Singerman</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THE FOUNDERS FUND VI, ENTREPRENEURS FUND LP</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The Founders Fund VI Management,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Singerman</w:t>
            </w:r>
          </w:p>
        </w:tc>
      </w:tr>
      <w:tr>
        <w:trPr>
          <w:trHeight w:val="210"/>
        </w:trPr>
        <w:tc>
          <w:tcPr>
            <w:tcW w:w="6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Singerman</w:t>
            </w:r>
          </w:p>
        </w:tc>
      </w:tr>
      <w:tr>
        <w:trPr>
          <w:trHeight w:val="210"/>
        </w:trPr>
        <w:tc>
          <w:tcPr>
            <w:tcW w:w="6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1"/>
        </w:trPr>
        <w:tc>
          <w:tcPr>
            <w:tcW w:w="61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34</w:t>
            </w: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7" w:name="page368"/>
    <w:bookmarkEnd w:id="367"/>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THE FOUNDERS FUND GROWTH, LP</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The Founders Fund Growth Management, LLC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Singerman</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Singerman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THE FOUNDERS FUND GROWTH PRINCIPALS FUND, LP</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The Founders Fund Growth Management, LLC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Singerman</w:t>
            </w:r>
          </w:p>
        </w:tc>
      </w:tr>
      <w:tr>
        <w:trPr>
          <w:trHeight w:val="191"/>
        </w:trPr>
        <w:tc>
          <w:tcPr>
            <w:tcW w:w="6160" w:type="dxa"/>
            <w:vAlign w:val="bottom"/>
          </w:tcPr>
          <w:p>
            <w:pPr>
              <w:ind w:left="5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Singerman</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8" w:name="page369"/>
    <w:bookmarkEnd w:id="368"/>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CN2T CAPITAL LLC (NAPOLEON)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Napoleon Ta</w:t>
            </w:r>
          </w:p>
        </w:tc>
      </w:tr>
      <w:tr>
        <w:trPr>
          <w:trHeight w:val="191"/>
        </w:trPr>
        <w:tc>
          <w:tcPr>
            <w:tcW w:w="6200" w:type="dxa"/>
            <w:vAlign w:val="bottom"/>
          </w:tcPr>
          <w:p>
            <w:pPr>
              <w:ind w:left="5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Napoleon Ta</w:t>
            </w:r>
          </w:p>
        </w:tc>
      </w:tr>
      <w:tr>
        <w:trPr>
          <w:trHeight w:val="234"/>
        </w:trPr>
        <w:tc>
          <w:tcPr>
            <w:tcW w:w="62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648"/>
        </w:trPr>
        <w:tc>
          <w:tcPr>
            <w:tcW w:w="6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9" w:name="page370"/>
    <w:bookmarkEnd w:id="369"/>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Everett Randle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Everett Randle</w:t>
      </w:r>
    </w:p>
    <w:p>
      <w:pPr>
        <w:spacing w:after="0" w:line="200" w:lineRule="exact"/>
        <w:rPr>
          <w:sz w:val="20"/>
          <w:szCs w:val="20"/>
          <w:color w:val="auto"/>
        </w:rPr>
      </w:pPr>
    </w:p>
    <w:p>
      <w:pPr>
        <w:spacing w:after="0" w:line="2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70" w:name="page371"/>
    <w:bookmarkEnd w:id="370"/>
    <w:p>
      <w:pPr>
        <w:jc w:val="cente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 Investors’ Rights Agreement as of the date first above written.</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Matias Van Thienen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Matias Van Thienen</w:t>
      </w:r>
    </w:p>
    <w:p>
      <w:pPr>
        <w:spacing w:after="0" w:line="200" w:lineRule="exact"/>
        <w:rPr>
          <w:sz w:val="20"/>
          <w:szCs w:val="20"/>
          <w:color w:val="auto"/>
        </w:rPr>
      </w:pPr>
    </w:p>
    <w:p>
      <w:pPr>
        <w:spacing w:after="0" w:line="2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371" w:name="page372"/>
    <w:bookmarkEnd w:id="371"/>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as of the date first above written.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STANSBURY PARTNERS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Marino</w:t>
            </w:r>
          </w:p>
        </w:tc>
      </w:tr>
      <w:tr>
        <w:trPr>
          <w:trHeight w:val="191"/>
        </w:trPr>
        <w:tc>
          <w:tcPr>
            <w:tcW w:w="6160" w:type="dxa"/>
            <w:vAlign w:val="bottom"/>
          </w:tcPr>
          <w:p>
            <w:pPr>
              <w:ind w:left="5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Gary Marino</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Its:</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48"/>
        </w:trPr>
        <w:tc>
          <w:tcPr>
            <w:tcW w:w="61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2" w:name="page373"/>
    <w:bookmarkEnd w:id="372"/>
    <w:p>
      <w:pPr>
        <w:ind w:left="10240"/>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ectPr>
          <w:pgSz w:w="11900" w:h="16838" w:orient="portrait"/>
          <w:cols w:equalWidth="0" w:num="1">
            <w:col w:w="11240"/>
          </w:cols>
          <w:pgMar w:left="320" w:top="351"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Issuance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10/08/2019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Void after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10/8/2029</w:t>
      </w:r>
    </w:p>
    <w:p>
      <w:pPr>
        <w:spacing w:after="0" w:line="211" w:lineRule="exact"/>
        <w:rPr>
          <w:sz w:val="20"/>
          <w:szCs w:val="20"/>
          <w:color w:val="auto"/>
        </w:rPr>
      </w:pPr>
    </w:p>
    <w:p>
      <w:pPr>
        <w:sectPr>
          <w:pgSz w:w="11900" w:h="16838" w:orient="portrait"/>
          <w:cols w:equalWidth="0" w:num="2">
            <w:col w:w="8080" w:space="720"/>
            <w:col w:w="2440"/>
          </w:cols>
          <w:pgMar w:left="320" w:top="351"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WARRANT TO PURCHASE SHARES OF COMMON STOCK</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value received, the receipt and sufficiency of which is hereby acknowledged, this Warrant to Purchase Shares of Common Stock (the “Warrant”) is issued to Delta Air Lines, Inc. or its assigns (the “Holder”) by Affirm Holdings, Inc. a Delaware corporation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Warrant is effective as of October 8, 2019 (“Effective Date”) and is being issued contemporaneously with the execution by the parties hereto of that certain Enterprise Merchant Agreement (the “Agreement”). Capitalized terms not otherwise defined herein have the meanings ascribed to them in the Agreement.</w:t>
      </w:r>
    </w:p>
    <w:p>
      <w:pPr>
        <w:spacing w:after="0" w:line="176"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the terms and conditions set forth herein, the Holder is entitled, upon surrender of this Warrant at the principal office of the Company (or at such other place as the Company shall notify the Holder in writing), to purchase from the Company up to 400,000 fully paid and nonassessable shares of the Company’s Common Stock, par value $0.00001 per share (the “Common Stock”).</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for the shares of Common Stock issuable pursuant to this Section 1 (the “Shares”) shall be $3.80 per share (the “Exercise Price”). The Shares and the Exercise Price shall be subject to adjustment pursuant to Section 9 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The Shares shall initially be unvested and unexercisable. This Warrant shall vest and become exercisable, in whole or in part, in accordance with the Vesting Schedule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“Vesting Schedule”) during the term commencing on the Date of Issuance and ending at 5:00 p.m. California Time on October 8, 2029 (the “Exercise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Warrant shall no longer be exercisable and become null and void upon the consummation of any “Termination Event” defined as (a) the consummation of the Company’s sale of its Common Stock or other securities pursuant to a registration statement under the Securities Act of 1933, as amended (other than a registration statement relating either to sale of securities to employees of the Company pursuant to its stock option, stock purchase or similar plan or a SEC Rule 145 transaction) (an “Initial Public Offering”), (b) actual termination of the Agreement by the Company for cause pursuant to Section 7.2 of the Agreement. solely if and to the extent occurring prior to vesting of any Shares hereunder, and (c) the consummation of a Liquidation Transaction, as such term is defined in the Company’s current Amended and Restated Certificate of Incorporation on file with the Secretary of State of the State of Delaware. For purposes of this Warrant, any of the transactions described in subsection (c) shall be referred to herein as a “Corporate Transaction”). In the event of a Termination Event, the Company shall notify the Holder at least ten (10) days prior to the consummation of such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373" w:name="page374"/>
    <w:bookmarkEnd w:id="373"/>
    <w:p>
      <w:pPr>
        <w:ind w:left="660" w:hanging="652"/>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Warrant remains outstanding and exercisable in accordance with Section 2 above, the Holder may exercise, in whole or in part, the purchase rights evidenced hereby. Such exercise shall be effected by: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surrender of the Warrant, together with a duly executed copy of the Notice of Exercise attached hereto, to the Secretary of the Company at its principal office (or at such other place as the Company shall notify the Holder in writing);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Company of an amount equal to the aggregate Exercise Price for the number of Shares being purchased.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exercise of this Warrant shall be deemed to have been effected immediately prior to the close of business on the day on which this Warrant is surrendered to the Company as provided in Section 3(a) above. At such time, the person or persons in whose name or names any certificate for the Shares shall be issuable upon such exercise as provided in Section 3(c) below shall be deemed to have become the holder or holders of record of the Shares represented by such certificate.</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exercise of this Warrant in whole or in part the Company at its expense will cause to be issued in the name of, and delivered to, the Holder, or as such Holder (upon payment by such Holder of any applicable transfer taxes) may direct: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certificates for the number of Shares to which such Holder shall be entitled,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such exercise is in part only, a new warrant or warrants (dated the date hereof) of like tenor, calling in the aggregate on the face or faces thereof for the number of Shares equal to the number of such Shares described in this Warrant minus the number of such Shares purchased by the Holder upon all exercises made in accordance with Section 3(a) above or Section 4 below.</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 if the holder has not exercised this Warrant prior to (i) the closing of a Corporate Transaction, (ii) an Initial Public Offering or (iii) the expiration date of the Exercise Period, this Warrant shall automatically be deemed to be exercised in full in the manner set forth in Section 4 to the extent the Shares have vested and become exercisable in accordance with the Vesting Schedule and the fair market value of the Shares (as calculated pursuant to Section 4 below) exceeds the Exercise Price, without any further action on behalf of the Holder immediately prior to such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4" w:name="page375"/>
    <w:bookmarkEnd w:id="374"/>
    <w:p>
      <w:pPr>
        <w:jc w:val="both"/>
        <w:ind w:left="660" w:hanging="652"/>
        <w:spacing w:after="0" w:line="261"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Exercise</w:t>
      </w:r>
      <w:r>
        <w:rPr>
          <w:rFonts w:ascii="Times New Roman" w:cs="Times New Roman" w:eastAsia="Times New Roman" w:hAnsi="Times New Roman"/>
          <w:sz w:val="18"/>
          <w:szCs w:val="18"/>
          <w:color w:val="auto"/>
        </w:rPr>
        <w:t>. In lieu of exercising this Warrant for cash, the Holder may elect to receive shares equal to the value of this Warrant (or the portion thereof being exercised) by surrender of this Warrant at the principal office of the Company together with notice of such election (a “Net Exercise”). A Holder who Net Exercises shall have the rights described in Sections 3(b) and 3(c) hereof and the Company shall issue to such Holder a number of Shares computed using the following formula: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 - B)</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Shares to be issued to the Holder.</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Y = The number of Shares purchasable under this Warrant or, if only a portion of the Warrant is being exercised, the portion of the Warrant being cancelled (at the date of such calculation).</w:t>
      </w:r>
    </w:p>
    <w:p>
      <w:pPr>
        <w:spacing w:after="0" w:line="16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fair market value of one (1) Share (at the date of such calculation).</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(as adjusted to the date of such calculation).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this Section 4, the fair market value of a Share shall mean the average of the closing prices of the Shares (or equivalent shares of Common Stock underlying this Warrant) quoted in the over-the-counter market in which the Shares (or equivalent shares of Common Stock underlying the Warrant) are traded or the closing price quoted on any exchange or electronic securities market on which the Shares (or equivalent shares of Common Stock underlying the Warrant) are listed, whichever is applicable,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for the thirty (30) trading days prior to the date of determination of fair market value (or such shorter period of time during which such Shares were traded over-the-counter or on such exchange). In the event that this Warrant is exercised pursuant to this Section 4 in connection with the Initial Public Offering, the fair market value per Share shall be the per share offering price to the public of the Initial Public Offering. If the Shares are not traded on the over-the-counter market, an exchange or an electronic securities market, the fair market value shall be the price per Share that the Company could obtain from a willing buyer for Shares sold by the Company from authorized but unissued Shares, as such prices are mutually agreed between the Company and Holder, and to the extent the Company and Holder cannot agree with respect to the fair market value of one Share, such value will be determined by an independent appraiser selected in good faith by the Company and reasonably acceptable to Holder, the fees and expenses of which shall divided equally between the Company and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5" w:name="page376"/>
    <w:bookmarkEnd w:id="375"/>
    <w:p>
      <w:pPr>
        <w:ind w:left="660" w:hanging="652"/>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In connection with the transactions provided for herein, the Company hereby represents and warrants to the Holder that: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will not be subject to preemptive rights of any stockholders of the Company. The Company has authorized sufficient shares of Common Stock to allow for the exercise of this Warrant.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material default or violation of any law or regulation applicable to the Company or any material term or provision of the Company’s current Certificate of Incorporation or bylaws, or any material agreement or instrument by which it is bound or to which its properties or assets are subject.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Common Stock</w:t>
      </w:r>
      <w:r>
        <w:rPr>
          <w:rFonts w:ascii="Times New Roman" w:cs="Times New Roman" w:eastAsia="Times New Roman" w:hAnsi="Times New Roman"/>
          <w:sz w:val="18"/>
          <w:szCs w:val="18"/>
          <w:color w:val="auto"/>
        </w:rPr>
        <w:t>. The Shares, when issued, sold, and delivered in accordance with the terms of the Warrants for the consideration expressed therein, will be duly and validly issued, fully paid and nonassessable and, based in part upon the representations and warranties of the Holders in this Warrant, will be issued in compliance with all applicable federal and state securities laws.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In connection with the transactions provided for herein, the Holder hereby represents and warrants to the Company that: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Holder represents that it has full power and authority to enter into this Warrant. This Warrant constitutes the Holder’s valid and legally binding obligation, enforceable in accordance with its terms, except as may be limited by (i) applicable bankruptcy, insolvency, reorganization, or similar laws relating to or affecting the enforcement of creditors’ rights and (ii) laws relating to the availability of specific performance, injunctive relief or other equitable remedies.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6" w:name="page377"/>
    <w:bookmarkEnd w:id="376"/>
    <w:p>
      <w:pPr>
        <w:jc w:val="both"/>
        <w:ind w:left="644" w:hanging="644"/>
        <w:spacing w:after="0" w:line="256"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Holder acknowledges that this Warrant is entered into by the Holder in reliance upon such Holder’s representation to the Company that the Warrant and the Shares (collectively,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By acknowledging this Warrant, the Holder further represents that the Holder does not have any contract, undertaking, agreement, or arrangement with any person to sell, transfer or grant participations to such person or to any third person, with respect to the Securities.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Holder acknowledges that it has received all the information it considers necessary or appropriate for deciding whether to acquire the Securities. The Holder further represents that it has had an opportunity to ask questions and receive answers from the Company regarding the terms and conditions of the offering of the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xml:space="preserve">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 If other than an individual, the Holder also represents it has not been organized solely for the purpose of acquiring the Securities.</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Holder is an “accredited investor” within the meaning of Rule 501 of Regulation D, as presently in effect, as promulgated by the Securities and Exchange Commission (the “SEC”) under the Act.</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Holder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In this connection, each Holder represents that it is familiar with Rule 144, as presently in effect, as promulgated by the SEC under the Act (“Rule 144”), and understands the resale limitations imposed thereby and by the Act.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Limitations on Disposition</w:t>
      </w:r>
      <w:r>
        <w:rPr>
          <w:rFonts w:ascii="Times New Roman" w:cs="Times New Roman" w:eastAsia="Times New Roman" w:hAnsi="Times New Roman"/>
          <w:sz w:val="18"/>
          <w:szCs w:val="18"/>
          <w:color w:val="auto"/>
        </w:rPr>
        <w:t>. Without in any way limiting the representations set forth above, the Holder further agrees not to make any disposition of all or any portion of the Shares unless and until the transferee has agreed in writing for the benefit of the Company to be bound by the terms of this Warrant, including, without limitation, this Section 6, Section 22, and:</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then in effect a registration statement under the Act covering such proposed disposition and such disposition is made in accordance with such registration statement;</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7" w:name="page378"/>
    <w:bookmarkEnd w:id="377"/>
    <w:p>
      <w:pPr>
        <w:jc w:val="both"/>
        <w:ind w:left="1960" w:hanging="656"/>
        <w:spacing w:after="0" w:line="258" w:lineRule="auto"/>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extraordinary circumstances; or</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an individual, the Holder shall not make any disposition to any of the Company’s competitors (defined as companies involved in offering closed-end point-of-sale installment loans to consumers in the United States).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It is understood that the Securities may bear the following legend:</w:t>
      </w:r>
    </w:p>
    <w:p>
      <w:pPr>
        <w:spacing w:after="0" w:line="225"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“THESE SECURITIES HAVE NOT BEEN REGISTERED UNDER THE SECURITIES ACT OF 1933, AS AMENDED_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pacing w:after="0" w:line="183" w:lineRule="exact"/>
        <w:rPr>
          <w:sz w:val="20"/>
          <w:szCs w:val="20"/>
          <w:color w:val="auto"/>
        </w:rPr>
      </w:pPr>
    </w:p>
    <w:p>
      <w:pPr>
        <w:jc w:val="both"/>
        <w:ind w:left="660" w:hanging="652"/>
        <w:spacing w:after="0" w:line="256"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Commissioners of Corporations</w:t>
      </w:r>
      <w:r>
        <w:rPr>
          <w:rFonts w:ascii="Times New Roman" w:cs="Times New Roman" w:eastAsia="Times New Roman" w:hAnsi="Times New Roman"/>
          <w:sz w:val="18"/>
          <w:szCs w:val="18"/>
          <w:color w:val="auto"/>
        </w:rPr>
        <w:t>. THE SALE OF THE SECURITIES WHICH ARE THE SUBJECT OF THIS WARRANT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BY SECTION 25100, 25102 OR 25105 OF THE CALIFORNIA CORPORATIONS CODE. THE RIGHTS OF ALL PARTIES TO THIS WARRANT ARE EXPRESSLY CONDITIONED UPON SUCH QUALIFICATION BEING OBTAINED, UNLESS THE SALE IS SO EXEMPT.</w:t>
      </w:r>
    </w:p>
    <w:p>
      <w:pPr>
        <w:spacing w:after="0" w:line="18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Shares</w:t>
      </w:r>
      <w:r>
        <w:rPr>
          <w:rFonts w:ascii="Times New Roman" w:cs="Times New Roman" w:eastAsia="Times New Roman" w:hAnsi="Times New Roman"/>
          <w:sz w:val="18"/>
          <w:szCs w:val="18"/>
          <w:color w:val="auto"/>
        </w:rPr>
        <w:t>. The number and kind of Shares purchasable upon exercise of this Warrant and the Exercise Price shall be subject to adjustment from time to time as follows: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Combinations and Other Issuances</w:t>
      </w:r>
      <w:r>
        <w:rPr>
          <w:rFonts w:ascii="Times New Roman" w:cs="Times New Roman" w:eastAsia="Times New Roman" w:hAnsi="Times New Roman"/>
          <w:sz w:val="18"/>
          <w:szCs w:val="18"/>
          <w:color w:val="auto"/>
        </w:rPr>
        <w:t>. If the Company shall at any time after the issuance but prior to the expiration of this Warrant subdivide its Common Stock, by split-up or otherwise, or combine its Common Stock, or issue additional shares of its Preferred Stock or Common Stock as a dividend with respect to any shares of its Common Stock,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Section 8(a) shall become effective at the close of business on the date the subdivision or combination becomes effective, or as of the record date of such dividend, or in the event that no record date is fixed, upon the making of such dividend.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8" w:name="page379"/>
    <w:bookmarkEnd w:id="378"/>
    <w:p>
      <w:pPr>
        <w:jc w:val="both"/>
        <w:ind w:left="1300" w:hanging="644"/>
        <w:spacing w:after="0" w:line="253" w:lineRule="auto"/>
        <w:tabs>
          <w:tab w:leader="none" w:pos="13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 Reorganization and Consolidation</w:t>
      </w:r>
      <w:r>
        <w:rPr>
          <w:rFonts w:ascii="Times New Roman" w:cs="Times New Roman" w:eastAsia="Times New Roman" w:hAnsi="Times New Roman"/>
          <w:sz w:val="18"/>
          <w:szCs w:val="18"/>
          <w:color w:val="auto"/>
        </w:rPr>
        <w:t>. In case of any reclassification, capital reorganization or change in the capital stock of the Company (other than as a result of a subdivision, combination or stock dividend provided for in Section 8(a) above), then, as a condition of such reclassification, reorganization or change, lawful provision shall be made, and duly executed documents evidencing the same from the Company or its successor shall be delivered to the Holder, so that the Holder shall have the right at any time prior to the expiration of this Warrant to purchase, at a total price equal to that payable upon the exercise of this Warrant, the kind and amount of shares of stock and other securities or property receivable in connection with such reclassification, reorganization or change by a holder of the same number and type of securities as were purchasable as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 made to the Exercise Price per Share payable hereunder, provided the aggregate Exercise Price shall remain the same.</w:t>
      </w:r>
    </w:p>
    <w:p>
      <w:pPr>
        <w:spacing w:after="0" w:line="19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but in lieu of such fractional shares the Company shall make a cash payment therefor on the basis of the Exercise Price then in effect.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Prior to exercise of this Warrant, the Holder shall not be entitled to any rights of a stockholder with respect to the Shares, including (without limitation) the right to vote such Shares, receive dividends or other distributions thereon, exercise preemptive rights or be notified of stockholder meetings, and, except as otherwise provided in this Warrant, such Holder shall not be entitled to any stockholder notice or other communication concerning the business or affairs of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Subject to compliance with applicable federal and state securities laws and any other contractual restrictions between the Company and the Holder contained herein, this Warrant and all rights hereunder are transferable in whole or in part by the Holder to any person or entity upon written notice to the Company. Within a reasonable time after the Company’s receipt of an executed Assignment Form in the form attached hereto, the transfer shall be recorded on the books of the Company upon the surrender of this Warrant, properly endorsed. to the Company at its principal offices, and the payment to the Company of all transfer taxes and other governmental charges imposed on such transfer. In the event of a partial transfer, the Company shall issue to the new holders one (1) or more appropriate new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9" w:name="page380"/>
    <w:bookmarkEnd w:id="379"/>
    <w:p>
      <w:pPr>
        <w:ind w:left="660" w:right="20" w:hanging="652"/>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under the laws of the State of Delaware as applied to agreements among Delaware residents, made and to be performed entirely within the State of Delaware.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provisions of this Warrant and the Purchase Agreement shall inure to the benefit of, and be binding upon, the Company and the holders hereof and their respective successors and assigns.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Warrant are used for convenience only and are not to be considered in construing or interpreting this Warrant.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hereto shall be in writing and shall be deemed effectively given: (a) upon personal delivery to the party to be notified, (b) when sent by electronic mail if sent during normal business hours of the recipient and receipt is confirmed in writing by recipient, (c) five (5) days after having </w:t>
      </w:r>
      <w:r>
        <w:rPr>
          <w:rFonts w:ascii="Times New Roman" w:cs="Times New Roman" w:eastAsia="Times New Roman" w:hAnsi="Times New Roman"/>
          <w:sz w:val="18"/>
          <w:szCs w:val="18"/>
          <w:i w:val="1"/>
          <w:iCs w:val="1"/>
          <w:color w:val="auto"/>
        </w:rPr>
        <w:t>been</w:t>
      </w:r>
      <w:r>
        <w:rPr>
          <w:rFonts w:ascii="Times New Roman" w:cs="Times New Roman" w:eastAsia="Times New Roman" w:hAnsi="Times New Roman"/>
          <w:sz w:val="18"/>
          <w:szCs w:val="18"/>
          <w:color w:val="auto"/>
        </w:rPr>
        <w:t xml:space="preserve">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Section 15):</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650 California Street, 12th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Holder: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Delta Air Lines,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SVP - Corporate Strategy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0" w:name="page381"/>
    <w:bookmarkEnd w:id="380"/>
    <w:p>
      <w:pPr>
        <w:ind w:left="660" w:hanging="652"/>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w:t>
      </w:r>
      <w:r>
        <w:rPr>
          <w:rFonts w:ascii="Times New Roman" w:cs="Times New Roman" w:eastAsia="Times New Roman" w:hAnsi="Times New Roman"/>
          <w:sz w:val="18"/>
          <w:szCs w:val="18"/>
          <w:color w:val="auto"/>
        </w:rPr>
        <w:t>. Each party represents that it neither is or will be obligated for any finder’s fee or commission in connection with this transaction.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If any action at law or in equity is necessary to enforce or interpret the terms of this Warrant, the prevailing party shall be entitled to reasonable attorneys’ fees, costs and necessary disbursements in addition to any other relief to which such party may be entitled.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 and Waivers</w:t>
      </w:r>
      <w:r>
        <w:rPr>
          <w:rFonts w:ascii="Times New Roman" w:cs="Times New Roman" w:eastAsia="Times New Roman" w:hAnsi="Times New Roman"/>
          <w:sz w:val="18"/>
          <w:szCs w:val="18"/>
          <w:color w:val="auto"/>
        </w:rPr>
        <w:t>. This Warrant and any other documents delivered pursuant hereto constitute the full and entire understanding and agreement between the parties with regard to the subjects hereof and thereof. Nonetheless, any term of this Warrant may be amended and the observance of any term of this Agreement may be waived (either generally or in a particular instance and either retroactively or prospectively), with the written consent of the Company and the Holder; or if this Warrant has been assigned in part, by the holders or rights to purchase a majority of the shares originally issuable pursuant to this Warrant.</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held to be unenforceable under applicable law, such provision shall be excluded from this Warrant and the balance of the Warrant shall be interpreted as if such provision were so excluded and shall be enforceable in accordance with its terms.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Period; Agreement</w:t>
      </w:r>
      <w:r>
        <w:rPr>
          <w:rFonts w:ascii="Times New Roman" w:cs="Times New Roman" w:eastAsia="Times New Roman" w:hAnsi="Times New Roman"/>
          <w:sz w:val="18"/>
          <w:szCs w:val="18"/>
          <w:color w:val="auto"/>
        </w:rPr>
        <w:t>. In connection with the initial public offering of the Company’s securities and upon request of the Company or the underwriters managing such offering of the Company’s securities, the Holder agrees not to sell, make any short sale of, loan, grant any option for the purchase of, or otherwise dispose of any securities of the Company, held immediately before the closing date of such offering (other than those included in the registration), excluding securities of the Company purchased in the initial public offering or in the open market following such initial public offering,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The obligations described in Section 20(a) shall apply only if all officers and directors and greater than one percent (1%) stockholders of the Company enter into similar agreements, and shall not apply to a registration relating solely to employee benefit plans, or to a registration relating solely to a transaction pursuant to Rule 145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1" w:name="page382"/>
    <w:bookmarkEnd w:id="381"/>
    <w:p>
      <w:pPr>
        <w:ind w:left="1300" w:hanging="644"/>
        <w:spacing w:after="0" w:line="282"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Instructions</w:t>
      </w:r>
      <w:r>
        <w:rPr>
          <w:rFonts w:ascii="Times New Roman" w:cs="Times New Roman" w:eastAsia="Times New Roman" w:hAnsi="Times New Roman"/>
          <w:sz w:val="18"/>
          <w:szCs w:val="18"/>
          <w:color w:val="auto"/>
        </w:rPr>
        <w:t>. In order to enforce the foregoing covenants, the Company may impose stop-transfer instructions with respect to the securities of the Holder (and the securities of every other person subject to the restrictions in Section 20(a)).</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Transferees Bound</w:t>
      </w:r>
      <w:r>
        <w:rPr>
          <w:rFonts w:ascii="Times New Roman" w:cs="Times New Roman" w:eastAsia="Times New Roman" w:hAnsi="Times New Roman"/>
          <w:sz w:val="18"/>
          <w:szCs w:val="18"/>
          <w:color w:val="auto"/>
        </w:rPr>
        <w:t>. The Holder agrees that prior to the Company’s initial public offering it will not transfer securities of the Company unless each transferee agrees in writing to be bound by all of the provisions of this Section 20, provided that this Section 20(d) shall not apply to transfers pursuant to a registration statement or transfers after the 12 month anniversary of the effective date of the Company’s initial registration statement subject to this Section 20.</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underwriters in connection with the initial public offering of the Company’s securities are intended third-party beneficiaries of this Section 20 and shall have the right, power and authority to enforce the provisions hereof as though they were a party hereto. If any of the obligations described in this Section 20 are waived or terminated with respect to any of the securities of the Holder, officer, director or greater than one-percent stockholder (in any such case, the “Released Securities”), the foregoing provisions shall be waived or terminated, as applicable, to the same extent and with respect to the same percentage of securities of the Holder as the percentage of Released Securities represent with respect to the securities held by the Holder, officer, director or greater than one-percent stockholder.</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Holder agrees that a legend reading substantially as follows shall be placed on all certificates representing all Registrable Securities of the Holder (and the shares or securities of every other person subject to the restriction contained in this Section 20):</w:t>
      </w:r>
    </w:p>
    <w:p>
      <w:pPr>
        <w:spacing w:after="0" w:line="161"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Warrant</w:t>
      </w:r>
      <w:r>
        <w:rPr>
          <w:rFonts w:ascii="Times New Roman" w:cs="Times New Roman" w:eastAsia="Times New Roman" w:hAnsi="Times New Roman"/>
          <w:sz w:val="18"/>
          <w:szCs w:val="18"/>
          <w:color w:val="auto"/>
        </w:rPr>
        <w:t>. The Company previously granted the Holder a warrant to purchase up to 400,000 shares of Common Stock, dated as of May 29, 2019 (the “Prior Warrant”). The Holder hereby (i) acknowledges that the Prior Warrant has not been exercised by the Holder, in full or in part and</w:t>
      </w:r>
    </w:p>
    <w:p>
      <w:pPr>
        <w:ind w:left="660" w:hanging="4"/>
        <w:spacing w:after="0" w:line="260" w:lineRule="auto"/>
        <w:tabs>
          <w:tab w:leader="none" w:pos="93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this Warrant terminates the Prior Warrant in its entirety. As of the Effective Date, the Prior Warrant is null and void, and the Holder releases the Company and its affiliates from any and all liability and obligations arising thereunder.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2" w:name="page383"/>
    <w:bookmarkEnd w:id="382"/>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Warrant as of the date first written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Address: 650 California Street, 12th Floor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DELTA AIR LINES,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Kenneth W. Morge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26580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Name:Kenneth W. Morge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27469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27469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-7620</wp:posOffset>
            </wp:positionV>
            <wp:extent cx="128524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elects to purchase, pursuant to the provisions of the Warrant, as follows:</w:t>
      </w:r>
    </w:p>
    <w:p>
      <w:pPr>
        <w:spacing w:after="0" w:line="225" w:lineRule="exact"/>
        <w:rPr>
          <w:sz w:val="20"/>
          <w:szCs w:val="20"/>
          <w:color w:val="auto"/>
        </w:rPr>
      </w:pPr>
    </w:p>
    <w:p>
      <w:pPr>
        <w:ind w:left="1300" w:hanging="644"/>
        <w:spacing w:after="0" w:line="282" w:lineRule="auto"/>
        <w:tabs>
          <w:tab w:leader="none" w:pos="1300" w:val="left"/>
        </w:tabs>
        <w:numPr>
          <w:ilvl w:val="0"/>
          <w:numId w:val="2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 shares of Common Stock pursuant to the terms of the attached Warrant, and tenders herewith payment in cash of the Exercise Price of such Shares in full, together with all applicable transfer taxes, if any.</w:t>
      </w:r>
    </w:p>
    <w:p>
      <w:pPr>
        <w:spacing w:after="0" w:line="161"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Net Exercise the attached Warrant with respect to __________ Shares.</w:t>
      </w:r>
    </w:p>
    <w:p>
      <w:pPr>
        <w:spacing w:after="0" w:line="22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The undersigned hereby represents and warrants that Representations and Warranties in Section 6 hereof are true and correct as of the date hereof.</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 which shares should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349758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70">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349758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1">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-119380</wp:posOffset>
            </wp:positionV>
            <wp:extent cx="2922905"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72">
                      <a:extLst>
                        <a:ext uri="{28A0092B-C50C-407E-A947-70E740481C1C}"/>
                      </a:extLst>
                    </a:blip>
                    <a:srcRect/>
                    <a:stretch>
                      <a:fillRect/>
                    </a:stretch>
                  </pic:blipFill>
                  <pic:spPr bwMode="auto">
                    <a:xfrm>
                      <a:off x="0" y="0"/>
                      <a:ext cx="2922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4" w:name="page385"/>
    <w:bookmarkEnd w:id="38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FORM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purchase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the foregoing Warrant and all rights evidenced thereby are hereby assigned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17145</wp:posOffset>
            </wp:positionV>
            <wp:extent cx="303466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228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6">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03466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8">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Officers of corporations and those acting in a fiduciary or other representative capacity should provide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Schedule</w:t>
      </w:r>
    </w:p>
    <w:p>
      <w:pPr>
        <w:spacing w:after="0" w:line="225" w:lineRule="exact"/>
        <w:rPr>
          <w:sz w:val="20"/>
          <w:szCs w:val="20"/>
          <w:color w:val="auto"/>
        </w:rPr>
      </w:pPr>
    </w:p>
    <w:p>
      <w:pPr>
        <w:jc w:val="both"/>
        <w:ind w:left="980" w:hanging="324"/>
        <w:spacing w:after="0" w:line="261" w:lineRule="auto"/>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subject to the Warrant shall vest and become exercisable only to the extent that any of the Delta Vacations Milestone, the </w:t>
      </w:r>
      <w:r>
        <w:rPr>
          <w:rFonts w:ascii="Times New Roman" w:cs="Times New Roman" w:eastAsia="Times New Roman" w:hAnsi="Times New Roman"/>
          <w:sz w:val="18"/>
          <w:szCs w:val="18"/>
          <w:u w:val="single" w:color="auto"/>
          <w:color w:val="auto"/>
        </w:rPr>
        <w:t>Delta.com</w:t>
      </w:r>
      <w:r>
        <w:rPr>
          <w:rFonts w:ascii="Times New Roman" w:cs="Times New Roman" w:eastAsia="Times New Roman" w:hAnsi="Times New Roman"/>
          <w:sz w:val="18"/>
          <w:szCs w:val="18"/>
          <w:color w:val="auto"/>
        </w:rPr>
        <w:t xml:space="preserve"> Milestone, the API Milestone or the Transaction Milestone (each as defined below) has been met on or prior to December 31,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deadline shall be extended proportionately to the extent of a delay in implementation or launch attributable in whole or part to Company or its affiliates. Shares shall vest on the following schedule: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for reaching the Delta Vacations Milestone as that term is defined in Order Form No. 1 to the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100,000 Shares for reaching the </w:t>
      </w:r>
      <w:r>
        <w:rPr>
          <w:rFonts w:ascii="Times New Roman" w:cs="Times New Roman" w:eastAsia="Times New Roman" w:hAnsi="Times New Roman"/>
          <w:sz w:val="18"/>
          <w:szCs w:val="18"/>
          <w:u w:val="single" w:color="auto"/>
          <w:color w:val="auto"/>
        </w:rPr>
        <w:t>Delta.com</w:t>
      </w:r>
      <w:r>
        <w:rPr>
          <w:rFonts w:ascii="Times New Roman" w:cs="Times New Roman" w:eastAsia="Times New Roman" w:hAnsi="Times New Roman"/>
          <w:sz w:val="18"/>
          <w:szCs w:val="18"/>
          <w:color w:val="auto"/>
        </w:rPr>
        <w:t xml:space="preserve"> Milestone as that term is defined in Order Form No. 2 to the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for reaching the API Milestone as that term is defined in Order Form No. 1 to the Agreement.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for reaching a Transaction Milestone as that term is defined in Order Form No. 1 to the Agreement, up to a maximum of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6" w:name="page387"/>
    <w:bookmarkEnd w:id="386"/>
    <w:p>
      <w:pPr>
        <w:ind w:left="10240"/>
        <w:spacing w:after="0"/>
        <w:rPr>
          <w:sz w:val="20"/>
          <w:szCs w:val="20"/>
          <w:color w:val="auto"/>
        </w:rPr>
      </w:pPr>
      <w:r>
        <w:rPr>
          <w:rFonts w:ascii="Times New Roman" w:cs="Times New Roman" w:eastAsia="Times New Roman" w:hAnsi="Times New Roman"/>
          <w:sz w:val="21"/>
          <w:szCs w:val="21"/>
          <w:b w:val="1"/>
          <w:bCs w:val="1"/>
          <w:color w:val="auto"/>
        </w:rPr>
        <w:t>Exhibit 4.3</w:t>
      </w:r>
    </w:p>
    <w:p>
      <w:pPr>
        <w:spacing w:after="0" w:line="2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AFFIRM,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Number of Shares of Common Stock: </w:t>
      </w:r>
      <w:r>
        <w:rPr>
          <w:rFonts w:ascii="Times New Roman" w:cs="Times New Roman" w:eastAsia="Times New Roman" w:hAnsi="Times New Roman"/>
          <w:sz w:val="18"/>
          <w:szCs w:val="18"/>
          <w:color w:val="auto"/>
        </w:rPr>
        <w:t>152,219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Warrant Price: </w:t>
      </w:r>
      <w:r>
        <w:rPr>
          <w:rFonts w:ascii="Times New Roman" w:cs="Times New Roman" w:eastAsia="Times New Roman" w:hAnsi="Times New Roman"/>
          <w:sz w:val="18"/>
          <w:szCs w:val="18"/>
          <w:color w:val="auto"/>
        </w:rPr>
        <w:t>$0.281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 Date: </w:t>
      </w:r>
      <w:r>
        <w:rPr>
          <w:rFonts w:ascii="Times New Roman" w:cs="Times New Roman" w:eastAsia="Times New Roman" w:hAnsi="Times New Roman"/>
          <w:sz w:val="18"/>
          <w:szCs w:val="18"/>
          <w:color w:val="auto"/>
        </w:rPr>
        <w:t>May 15, 2014</w:t>
      </w:r>
    </w:p>
    <w:p>
      <w:pPr>
        <w:spacing w:after="0" w:line="9"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May 15, 2024</w:t>
      </w:r>
      <w:r>
        <w:rPr>
          <w:sz w:val="20"/>
          <w:szCs w:val="20"/>
          <w:color w:val="auto"/>
        </w:rPr>
        <w:tab/>
      </w:r>
      <w:r>
        <w:rPr>
          <w:rFonts w:ascii="Times New Roman" w:cs="Times New Roman" w:eastAsia="Times New Roman" w:hAnsi="Times New Roman"/>
          <w:sz w:val="17"/>
          <w:szCs w:val="17"/>
          <w:color w:val="auto"/>
        </w:rPr>
        <w:t>See also Section 5.1(b).</w:t>
      </w:r>
    </w:p>
    <w:p>
      <w:pPr>
        <w:spacing w:after="0" w:line="9" w:lineRule="exact"/>
        <w:rPr>
          <w:sz w:val="20"/>
          <w:szCs w:val="20"/>
          <w:color w:val="auto"/>
        </w:rPr>
      </w:pPr>
    </w:p>
    <w:p>
      <w:pPr>
        <w:jc w:val="both"/>
        <w:ind w:left="1180" w:right="20" w:hanging="116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This Warrant to Purchase Common Stock</w:t>
      </w:r>
      <w:r>
        <w:rPr>
          <w:rFonts w:ascii="Times New Roman" w:cs="Times New Roman" w:eastAsia="Times New Roman" w:hAnsi="Times New Roman"/>
          <w:sz w:val="18"/>
          <w:szCs w:val="18"/>
          <w:b w:val="1"/>
          <w:bCs w:val="1"/>
          <w:color w:val="auto"/>
        </w:rPr>
        <w:t xml:space="preserve"> (“Warrant</w:t>
      </w:r>
      <w:r>
        <w:rPr>
          <w:rFonts w:ascii="Times New Roman" w:cs="Times New Roman" w:eastAsia="Times New Roman" w:hAnsi="Times New Roman"/>
          <w:sz w:val="18"/>
          <w:szCs w:val="18"/>
          <w:color w:val="auto"/>
        </w:rPr>
        <w:t>”) is issued in connection with that certain Loan and Security Agreement of 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herewith between Silicon Valley Bank and the Company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above-stated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Section 1.</w:t>
            </w:r>
          </w:p>
        </w:tc>
        <w:tc>
          <w:tcPr>
            <w:tcW w:w="140" w:type="dxa"/>
            <w:vAlign w:val="bottom"/>
          </w:tcPr>
          <w:p>
            <w:pPr>
              <w:spacing w:after="0"/>
              <w:rPr>
                <w:sz w:val="17"/>
                <w:szCs w:val="17"/>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EXERCISE.</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Method of Exercise. Holder may at any time and from time to time exercise this Warrant, in whole or in part, by delivering to</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 Y(A-B)/A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Shares to be issued to the Holder;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 (inclusive of the Shares surrendered to the Company in payment of the aggregate Warrant Price);</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 =</w:t>
            </w:r>
          </w:p>
        </w:tc>
        <w:tc>
          <w:tcPr>
            <w:tcW w:w="9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Fair Market Value (as determined pursuant to Section 1.3 below) of one Share; and</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 =</w:t>
            </w:r>
          </w:p>
        </w:tc>
        <w:tc>
          <w:tcPr>
            <w:tcW w:w="9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Warrant Price.</w:t>
            </w:r>
          </w:p>
        </w:tc>
      </w:tr>
      <w:tr>
        <w:trPr>
          <w:trHeight w:val="39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Fair Market Value. If the Company’s Common Stock is then traded or quoted on a nationally recognized securities exchange,</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inter-dealer quotation system or over-the-counter market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0"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800" w:hanging="848"/>
        <w:spacing w:after="0"/>
        <w:tabs>
          <w:tab w:leader="none" w:pos="28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w:t>
      </w:r>
    </w:p>
    <w:p>
      <w:pPr>
        <w:spacing w:after="0" w:line="3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8" w:name="page389"/>
    <w:bookmarkEnd w:id="388"/>
    <w:p>
      <w:pPr>
        <w:jc w:val="both"/>
        <w:ind w:firstLine="1952"/>
        <w:spacing w:after="0" w:line="253" w:lineRule="auto"/>
        <w:tabs>
          <w:tab w:leader="none" w:pos="269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color w:val="auto"/>
        </w:rPr>
        <w:t>Cash/Public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and the fair market value of one Share as determined in accordance with Section 1.3 above would be greater than the Warrant Price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2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Acquisition other than a Cash/Public Acquisition defined above, either the acquiring, surviving or successor entity shall (i)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or (ii) if the acquiring, successor or surviving entity shall not have assumed this Warrant, then purchase this Warrant at its “Fair Value” (as such term is defined below.</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at Fair Value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18"/>
          <w:szCs w:val="18"/>
          <w:color w:val="auto"/>
        </w:rPr>
        <w:t>” shall mean that value determined by the parties using a Black-Scholes European Option-Pricing Model (the “</w:t>
      </w:r>
      <w:r>
        <w:rPr>
          <w:rFonts w:ascii="Times New Roman" w:cs="Times New Roman" w:eastAsia="Times New Roman" w:hAnsi="Times New Roman"/>
          <w:sz w:val="18"/>
          <w:szCs w:val="18"/>
          <w:b w:val="1"/>
          <w:bCs w:val="1"/>
          <w:color w:val="auto"/>
        </w:rPr>
        <w:t>Black-Scholes Calculation</w:t>
      </w:r>
      <w:r>
        <w:rPr>
          <w:rFonts w:ascii="Times New Roman" w:cs="Times New Roman" w:eastAsia="Times New Roman" w:hAnsi="Times New Roman"/>
          <w:sz w:val="18"/>
          <w:szCs w:val="18"/>
          <w:color w:val="auto"/>
        </w:rPr>
        <w:t>”) with the following assumptions: (A) a risk-free interest rate equal to the risk-free interest rate at the time of the closing of the Acquisition (or as close thereto as practicable), (B) a contractual life of the Warrant equal to the remaining term of this Warrant as of the date of the announcement of the Acquisition, (C) an annual dividend yield equal to dividends declared on the underlying Common Stock during the term of this Warrant (calculated on an annual basis), and (D) a volatility base on the market price of the Company’s Common Stock comprised of: (1) if the Company is publicly traded on any internationally-recognized securities exchange, its volatility over the one-year period ending on the day prior to the announcement of the Acquisition, 2) if the Company is a nonpublic company, the volatility, over the one-year period prior to the Acquisition, of an average of publicly-traded companies in the same or similar industry to the Company with such companies having similar revenues. The purchase prince determined in accordance with the above shall be paid upon the initial closing of the Acquisition and shall not be subject to any post-Acquisition closing contingencies or adjustments; provided, however, the parties may take such post-Acquisition closing contingencies or adjustments into account in determining the purchase price, and if the parties take any post-Acquisition closing contingencies or adjustments into account, then upon the partial or complete removal of those post-Acquisition closing contingencies or adjustments, a new Black-Scholes Calculation would be made using all the same inputs except for the value of the Company’s shares (as determined under subclause (D)), and the increased value of such shares (including, but not limited to any earn-out or escrowed consideration) would be paid in full to Holder immediately after those post-Acquisition closing contingencies or adjustments can be determined or achieved.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9" w:name="page390"/>
    <w:bookmarkEnd w:id="389"/>
    <w:p>
      <w:pPr>
        <w:jc w:val="both"/>
        <w:ind w:firstLine="1952"/>
        <w:spacing w:after="0" w:line="255" w:lineRule="auto"/>
        <w:tabs>
          <w:tab w:leader="none" w:pos="270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89"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ADJUSTMENTS TO THE SHARES AND WARRANT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2.3</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Intentionally Omitted.</w:t>
            </w:r>
          </w:p>
        </w:tc>
      </w:tr>
      <w:tr>
        <w:trPr>
          <w:trHeight w:val="20"/>
        </w:trPr>
        <w:tc>
          <w:tcPr>
            <w:tcW w:w="8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2.4</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Intentionally Omitted.</w:t>
            </w:r>
          </w:p>
        </w:tc>
      </w:tr>
      <w:tr>
        <w:trPr>
          <w:trHeight w:val="20"/>
        </w:trPr>
        <w:tc>
          <w:tcPr>
            <w:tcW w:w="8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0" w:name="page391"/>
    <w:bookmarkEnd w:id="39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Section 3.</w:t>
            </w:r>
          </w:p>
        </w:tc>
        <w:tc>
          <w:tcPr>
            <w:tcW w:w="140" w:type="dxa"/>
            <w:vAlign w:val="bottom"/>
          </w:tcPr>
          <w:p>
            <w:pPr>
              <w:spacing w:after="0"/>
              <w:rPr>
                <w:sz w:val="17"/>
                <w:szCs w:val="17"/>
                <w:color w:val="auto"/>
              </w:rPr>
            </w:pPr>
          </w:p>
        </w:tc>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REPRESENTATIONS AND COVENANTS OF THE COMPANY.</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Representations and Warranties. The Company represents and warrants to, and agrees with, the Holder as follows:</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952"/>
        <w:spacing w:after="0" w:line="282" w:lineRule="auto"/>
        <w:tabs>
          <w:tab w:leader="none" w:pos="27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Warrant Price referenced on the first page of this Warrant is not greater than the price per share at which shares of Company Common Stock were valued in the Company’s most recent 409A valuation occurring prior to the Issue Date 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2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79"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capitalization table attached hereto as Schedule 1 is true and complete, in all material respects,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Date.</w:t>
      </w:r>
    </w:p>
    <w:p>
      <w:pPr>
        <w:spacing w:after="0" w:line="207"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 If the Company proposes at any time to:</w:t>
      </w:r>
    </w:p>
    <w:p>
      <w:pPr>
        <w:spacing w:after="0" w:line="225" w:lineRule="exact"/>
        <w:rPr>
          <w:sz w:val="20"/>
          <w:szCs w:val="20"/>
          <w:color w:val="auto"/>
        </w:rPr>
      </w:pPr>
    </w:p>
    <w:p>
      <w:pPr>
        <w:ind w:firstLine="1952"/>
        <w:spacing w:after="0" w:line="282" w:lineRule="auto"/>
        <w:tabs>
          <w:tab w:leader="none" w:pos="27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or distribution upon the outstanding shares of the Company’s stock, whether in cash, property, stock, or other securities and whether or not a regular cash dividend;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60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61"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exchange, combination, substitution, reorganization or recapitalization of the outstanding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Common Stock;</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Acquisition or to liquidate, dissolve or wind up;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1" w:name="page392"/>
    <w:bookmarkEnd w:id="391"/>
    <w:p>
      <w:pPr>
        <w:ind w:left="2860" w:hanging="908"/>
        <w:spacing w:after="0"/>
        <w:tabs>
          <w:tab w:leader="none" w:pos="28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its initial, underwritten offering and sale of its securities to the public pursuant to an effective registration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under the Act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225" w:lineRule="exact"/>
        <w:rPr>
          <w:sz w:val="20"/>
          <w:szCs w:val="20"/>
          <w:color w:val="auto"/>
        </w:rPr>
      </w:pPr>
    </w:p>
    <w:p>
      <w:pPr>
        <w:jc w:val="both"/>
        <w:ind w:left="660" w:right="640" w:firstLine="2462"/>
        <w:spacing w:after="0" w:line="261" w:lineRule="auto"/>
        <w:tabs>
          <w:tab w:leader="none" w:pos="36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179" w:lineRule="exact"/>
        <w:rPr>
          <w:rFonts w:ascii="Times New Roman" w:cs="Times New Roman" w:eastAsia="Times New Roman" w:hAnsi="Times New Roman"/>
          <w:sz w:val="18"/>
          <w:szCs w:val="18"/>
          <w:color w:val="auto"/>
        </w:rPr>
      </w:pPr>
    </w:p>
    <w:p>
      <w:pPr>
        <w:jc w:val="both"/>
        <w:ind w:left="660" w:right="640" w:firstLine="2462"/>
        <w:spacing w:after="0" w:line="258" w:lineRule="auto"/>
        <w:tabs>
          <w:tab w:leader="none" w:pos="367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83" w:lineRule="exact"/>
        <w:rPr>
          <w:rFonts w:ascii="Times New Roman" w:cs="Times New Roman" w:eastAsia="Times New Roman" w:hAnsi="Times New Roman"/>
          <w:sz w:val="18"/>
          <w:szCs w:val="18"/>
          <w:color w:val="auto"/>
        </w:rPr>
      </w:pPr>
    </w:p>
    <w:p>
      <w:pPr>
        <w:ind w:left="660" w:right="640" w:firstLine="2462"/>
        <w:spacing w:after="0" w:line="282" w:lineRule="auto"/>
        <w:tabs>
          <w:tab w:leader="none" w:pos="377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IPO, at least seven (7) Business Days prior written notice of the date on which the Company proposes to file its registration statement in connection therewith.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will also provide information requested by Holder that is reasonably necessary to enable Holder to comply with Holder’s accounting or reporting requirements.</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REPRESENTATIONS, WARRANTIES OF THE HOLDER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2" w:name="page393"/>
    <w:bookmarkEnd w:id="39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4.4</w:t>
            </w:r>
          </w:p>
        </w:tc>
        <w:tc>
          <w:tcPr>
            <w:tcW w:w="8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Accredited Investor Status. Holder is an “accredited investor” within the meaning of Regulation D promulgated under the</w:t>
            </w:r>
          </w:p>
        </w:tc>
      </w:tr>
      <w:tr>
        <w:trPr>
          <w:trHeight w:val="237"/>
        </w:trPr>
        <w:tc>
          <w:tcPr>
            <w:tcW w:w="23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98"/>
              </w:rPr>
              <w:t>Act.</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020" w:type="dxa"/>
            <w:vAlign w:val="bottom"/>
          </w:tcPr>
          <w:p>
            <w:pPr>
              <w:spacing w:after="0"/>
              <w:rPr>
                <w:sz w:val="20"/>
                <w:szCs w:val="20"/>
                <w:color w:val="auto"/>
              </w:rPr>
            </w:pPr>
          </w:p>
        </w:tc>
      </w:tr>
      <w:tr>
        <w:trPr>
          <w:trHeight w:val="391"/>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4.5</w:t>
            </w:r>
          </w:p>
        </w:tc>
        <w:tc>
          <w:tcPr>
            <w:tcW w:w="8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The Act. Holder understands that this Warrant and the Shares issuable upon exercise hereof have not been registered under</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Market Stand-off Agreement. The Holder agrees that the Shares shall be subject to the Market Standoff/Lock up provisions in</w:t>
            </w:r>
          </w:p>
        </w:tc>
      </w:tr>
      <w:tr>
        <w:trPr>
          <w:trHeight w:val="20"/>
        </w:trPr>
        <w:tc>
          <w:tcPr>
            <w:tcW w:w="1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37"/>
        </w:trPr>
        <w:tc>
          <w:tcPr>
            <w:tcW w:w="11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Section 1.14 of the Investor Rights Agreement or similar agreement.</w:t>
            </w:r>
          </w:p>
        </w:tc>
      </w:tr>
      <w:tr>
        <w:trPr>
          <w:trHeight w:val="392"/>
        </w:trPr>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 Voting Rights. Holder, as a Holder of this Warrant, will not have any voting rights until the exercise of this Warrant.</w:t>
            </w: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Section 5.</w:t>
            </w:r>
          </w:p>
        </w:tc>
        <w:tc>
          <w:tcPr>
            <w:tcW w:w="140" w:type="dxa"/>
            <w:vAlign w:val="bottom"/>
          </w:tcPr>
          <w:p>
            <w:pPr>
              <w:spacing w:after="0"/>
              <w:rPr>
                <w:sz w:val="24"/>
                <w:szCs w:val="24"/>
                <w:color w:val="auto"/>
              </w:rPr>
            </w:pPr>
          </w:p>
        </w:tc>
        <w:tc>
          <w:tcPr>
            <w:tcW w:w="9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MISCELLANEOUS.</w:t>
            </w: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Term and Automatic Conversion Upon Expiration.</w:t>
            </w: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952"/>
        <w:spacing w:after="0" w:line="282" w:lineRule="auto"/>
        <w:tabs>
          <w:tab w:leader="none" w:pos="273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3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3" w:name="page394"/>
    <w:bookmarkEnd w:id="393"/>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(and the securities issuable, directly or indirectly, upon conversion of the Shares, if any) shall be imprinted with a legend in substantially the following form:</w:t>
      </w:r>
    </w:p>
    <w:p>
      <w:pPr>
        <w:spacing w:after="0" w:line="162" w:lineRule="exact"/>
        <w:rPr>
          <w:sz w:val="20"/>
          <w:szCs w:val="20"/>
          <w:color w:val="auto"/>
        </w:rPr>
      </w:pPr>
    </w:p>
    <w:p>
      <w:pPr>
        <w:jc w:val="both"/>
        <w:ind w:left="660" w:right="640"/>
        <w:spacing w:after="0" w:line="256"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“ACT”), OR THE SECURITIES LAWS OF ANY STATE AND, EXCEPT AS SET FORTH IN THAT CERTAIN WARRANT TO PURCHASE COMMON STOCK ISSUED BY THE ISSUER TO SILICON VALLEY BANK DATED MAY 15, 2014, MAY NOT BE OFFERED, SOLD, PLEDGED OR OTHERWISE TRANSFERRED UNLESS AND UNTIL REGISTERED UNDER SAID ACT AND LAWS OR IN FORM AND SUBSTANCE SATISFACTORY TO THE ISSUER, SUCH OFFER, SALE, PLEDGE OR OTHER TRANSFER IS EXEMPT FROM SUCH REGISTRATION.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4" w:name="page395"/>
    <w:bookmarkEnd w:id="39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address: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Affirm,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Legal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-19050</wp:posOffset>
            </wp:positionV>
            <wp:extent cx="82804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9">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ind w:left="196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w:t>
            </w:r>
          </w:p>
        </w:tc>
        <w:tc>
          <w:tcPr>
            <w:tcW w:w="9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Attorney’s Fees. In the event of any dispute between the parties concerning the terms and provisions of this Warrant, the party</w:t>
            </w: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w w:val="99"/>
              </w:rPr>
              <w:t>prevailing in such dispute shall be entitled to collect from the other party all costs incurred in such dispute, including reasonable attorneys’ fees.</w:t>
            </w:r>
          </w:p>
        </w:tc>
      </w:tr>
      <w:tr>
        <w:trPr>
          <w:trHeight w:val="391"/>
        </w:trPr>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4"/>
                <w:szCs w:val="24"/>
                <w:color w:val="auto"/>
              </w:rPr>
            </w:pPr>
          </w:p>
        </w:tc>
        <w:tc>
          <w:tcPr>
            <w:tcW w:w="8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Counterparts; Facsimile/Electronic Signatures. This Warrant may be executed in counterparts, all of which together shall</w:t>
            </w: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5" w:name="page396"/>
    <w:bookmarkEnd w:id="395"/>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u w:val="single" w:color="auto"/>
          <w:color w:val="auto"/>
        </w:rPr>
        <w:t>Business Days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6" w:name="page397"/>
    <w:bookmarkEnd w:id="39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Warrant to Purchase Common Stock to be executed by their duly authorized representatives effective as of the Issue Date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319722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9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Head of FP&amp;A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319722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7" w:name="page398"/>
    <w:bookmarkEnd w:id="397"/>
    <w:p>
      <w:pPr>
        <w:jc w:val="center"/>
        <w:ind w:right="-91"/>
        <w:spacing w:after="0"/>
        <w:rPr>
          <w:sz w:val="20"/>
          <w:szCs w:val="20"/>
          <w:color w:val="auto"/>
        </w:rPr>
      </w:pPr>
      <w:r>
        <w:rPr>
          <w:rFonts w:ascii="Times New Roman" w:cs="Times New Roman" w:eastAsia="Times New Roman" w:hAnsi="Times New Roman"/>
          <w:sz w:val="18"/>
          <w:szCs w:val="18"/>
          <w:color w:val="auto"/>
        </w:rPr>
        <w:t>APPENDIX 1</w:t>
      </w:r>
    </w:p>
    <w:p>
      <w:pPr>
        <w:spacing w:after="0" w:line="22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21" w:lineRule="exact"/>
        <w:rPr>
          <w:sz w:val="20"/>
          <w:szCs w:val="20"/>
          <w:color w:val="auto"/>
        </w:rPr>
      </w:pPr>
    </w:p>
    <w:p>
      <w:pPr>
        <w:ind w:left="652" w:hanging="652"/>
        <w:spacing w:after="0" w:line="286" w:lineRule="auto"/>
        <w:tabs>
          <w:tab w:leader="none" w:pos="65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purchase shares of the Common Stock of AFFIRM,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attached Warrant To Purchase Common Stock, and tenders payment of the aggregate Warrant Price for such shares as follows:</w:t>
      </w:r>
    </w:p>
    <w:p>
      <w:pPr>
        <w:sectPr>
          <w:pgSz w:w="11900" w:h="16838" w:orient="portrait"/>
          <w:cols w:equalWidth="0" w:num="1">
            <w:col w:w="11132"/>
          </w:cols>
          <w:pgMar w:left="328" w:top="904" w:right="439" w:bottom="1440" w:gutter="0" w:footer="0" w:header="0"/>
        </w:sectPr>
      </w:pPr>
    </w:p>
    <w:p>
      <w:pPr>
        <w:spacing w:after="0" w:line="159" w:lineRule="exact"/>
        <w:rPr>
          <w:sz w:val="20"/>
          <w:szCs w:val="20"/>
          <w:color w:val="auto"/>
        </w:rPr>
      </w:pPr>
    </w:p>
    <w:p>
      <w:pPr>
        <w:ind w:left="652"/>
        <w:spacing w:after="0"/>
        <w:tabs>
          <w:tab w:leader="none" w:pos="1992"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check in the amount of $ _____ payable to order of the Company enclosed herewith</w:t>
      </w:r>
    </w:p>
    <w:p>
      <w:pPr>
        <w:spacing w:after="0" w:line="27" w:lineRule="exact"/>
        <w:rPr>
          <w:sz w:val="20"/>
          <w:szCs w:val="20"/>
          <w:color w:val="auto"/>
        </w:rPr>
      </w:pPr>
    </w:p>
    <w:p>
      <w:pPr>
        <w:ind w:left="652"/>
        <w:spacing w:after="0"/>
        <w:tabs>
          <w:tab w:leader="none" w:pos="1992"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Wire transfer of immediately available funds to the Company’s account</w:t>
      </w:r>
    </w:p>
    <w:p>
      <w:pPr>
        <w:spacing w:after="0" w:line="9" w:lineRule="exact"/>
        <w:rPr>
          <w:sz w:val="20"/>
          <w:szCs w:val="20"/>
          <w:color w:val="auto"/>
        </w:rPr>
      </w:pPr>
    </w:p>
    <w:p>
      <w:pPr>
        <w:ind w:left="652"/>
        <w:spacing w:after="0"/>
        <w:tabs>
          <w:tab w:leader="none" w:pos="1992"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Cashless Exercise pursuant to Section 1.2 of the Warrant</w:t>
      </w:r>
    </w:p>
    <w:p>
      <w:pPr>
        <w:spacing w:after="0" w:line="9" w:lineRule="exact"/>
        <w:rPr>
          <w:sz w:val="20"/>
          <w:szCs w:val="20"/>
          <w:color w:val="auto"/>
        </w:rPr>
      </w:pPr>
    </w:p>
    <w:p>
      <w:pPr>
        <w:ind w:left="652"/>
        <w:spacing w:after="0"/>
        <w:tabs>
          <w:tab w:leader="none" w:pos="1992"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Other [Describe]</w:t>
      </w:r>
    </w:p>
    <w:p>
      <w:pPr>
        <w:sectPr>
          <w:pgSz w:w="11900" w:h="16838" w:orient="portrait"/>
          <w:cols w:equalWidth="0" w:num="1">
            <w:col w:w="11132"/>
          </w:cols>
          <w:pgMar w:left="328" w:top="904" w:right="439" w:bottom="1440" w:gutter="0" w:footer="0" w:header="0"/>
          <w:type w:val="continuous"/>
        </w:sectPr>
      </w:pPr>
    </w:p>
    <w:p>
      <w:pPr>
        <w:spacing w:after="0" w:line="9" w:lineRule="exact"/>
        <w:rPr>
          <w:sz w:val="20"/>
          <w:szCs w:val="20"/>
          <w:color w:val="auto"/>
        </w:rPr>
      </w:pPr>
    </w:p>
    <w:p>
      <w:pPr>
        <w:ind w:left="1692" w:right="4400" w:hanging="1692"/>
        <w:spacing w:after="0" w:line="777" w:lineRule="auto"/>
        <w:tabs>
          <w:tab w:leader="none" w:pos="65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the Shares in the name specified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-438785</wp:posOffset>
            </wp:positionV>
            <wp:extent cx="498919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7">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-19050</wp:posOffset>
            </wp:positionV>
            <wp:extent cx="498919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74"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-127635</wp:posOffset>
            </wp:positionV>
            <wp:extent cx="498919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9">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52" w:right="120" w:hanging="652"/>
        <w:spacing w:after="0" w:line="282" w:lineRule="auto"/>
        <w:tabs>
          <w:tab w:leader="none" w:pos="65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62" w:lineRule="exact"/>
        <w:rPr>
          <w:sz w:val="20"/>
          <w:szCs w:val="20"/>
          <w:color w:val="auto"/>
        </w:rPr>
      </w:pPr>
    </w:p>
    <w:p>
      <w:pPr>
        <w:ind w:left="5512"/>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551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17145</wp:posOffset>
            </wp:positionV>
            <wp:extent cx="330898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5512"/>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0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5512"/>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0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14605</wp:posOffset>
            </wp:positionV>
            <wp:extent cx="330898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03">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297180</wp:posOffset>
            </wp:positionV>
            <wp:extent cx="713232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32"/>
          </w:cols>
          <w:pgMar w:left="328" w:top="904" w:right="439" w:bottom="1440" w:gutter="0" w:footer="0" w:header="0"/>
          <w:type w:val="continuous"/>
        </w:sectPr>
      </w:pPr>
    </w:p>
    <w:bookmarkStart w:id="398" w:name="page399"/>
    <w:bookmarkEnd w:id="398"/>
    <w:p>
      <w:pPr>
        <w:ind w:left="10240"/>
        <w:spacing w:after="0"/>
        <w:rPr>
          <w:sz w:val="20"/>
          <w:szCs w:val="20"/>
          <w:color w:val="auto"/>
        </w:rPr>
      </w:pPr>
      <w:r>
        <w:rPr>
          <w:rFonts w:ascii="Times New Roman" w:cs="Times New Roman" w:eastAsia="Times New Roman" w:hAnsi="Times New Roman"/>
          <w:sz w:val="21"/>
          <w:szCs w:val="21"/>
          <w:b w:val="1"/>
          <w:bCs w:val="1"/>
          <w:color w:val="auto"/>
        </w:rPr>
        <w:t>Exhibit 4.4</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Affirm, Inc., a Delaware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153,846, subject to adjustment as provided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Type/Series of Stock: </w:t>
      </w:r>
      <w:r>
        <w:rPr>
          <w:rFonts w:ascii="Times New Roman" w:cs="Times New Roman" w:eastAsia="Times New Roman" w:hAnsi="Times New Roman"/>
          <w:sz w:val="18"/>
          <w:szCs w:val="18"/>
          <w:color w:val="auto"/>
        </w:rPr>
        <w:t>Common Stock, $0.00001 par value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Warrant Price: </w:t>
      </w:r>
      <w:r>
        <w:rPr>
          <w:rFonts w:ascii="Times New Roman" w:cs="Times New Roman" w:eastAsia="Times New Roman" w:hAnsi="Times New Roman"/>
          <w:sz w:val="18"/>
          <w:szCs w:val="18"/>
          <w:color w:val="auto"/>
        </w:rPr>
        <w:t>$1.30 per Share, subject to adjustment as provided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 Date: </w:t>
      </w:r>
      <w:r>
        <w:rPr>
          <w:rFonts w:ascii="Times New Roman" w:cs="Times New Roman" w:eastAsia="Times New Roman" w:hAnsi="Times New Roman"/>
          <w:sz w:val="18"/>
          <w:szCs w:val="18"/>
          <w:color w:val="auto"/>
        </w:rPr>
        <w:t>August 5,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August 5, 2025</w:t>
      </w:r>
      <w:r>
        <w:rPr>
          <w:rFonts w:ascii="Times New Roman" w:cs="Times New Roman" w:eastAsia="Times New Roman" w:hAnsi="Times New Roman"/>
          <w:sz w:val="18"/>
          <w:szCs w:val="18"/>
          <w:b w:val="1"/>
          <w:bCs w:val="1"/>
          <w:color w:val="auto"/>
        </w:rPr>
        <w:t xml:space="preserve"> See also Section 5.1(b)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460" w:right="20" w:hanging="145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issued in connection with that certain Loan and Security Agreement of even date herewith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Silicon Valley Bank and Affirm Loans I, LLC (as amended and/or modified and in effect from time to time,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above-stated Type/Series of Stock (the “</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Section 1.</w:t>
            </w:r>
          </w:p>
        </w:tc>
        <w:tc>
          <w:tcPr>
            <w:tcW w:w="140" w:type="dxa"/>
            <w:vAlign w:val="bottom"/>
          </w:tcPr>
          <w:p>
            <w:pPr>
              <w:spacing w:after="0"/>
              <w:rPr>
                <w:sz w:val="17"/>
                <w:szCs w:val="17"/>
                <w:color w:val="auto"/>
              </w:rPr>
            </w:pPr>
          </w:p>
        </w:tc>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EXERCISE.</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Method of Exercise. Holder may at any time and from time to time exercise this Warrant, in whole or in part, by delivering to</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9" w:name="page400"/>
    <w:bookmarkEnd w:id="39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 Y(A-B)/A</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X =</w:t>
            </w:r>
          </w:p>
        </w:tc>
        <w:tc>
          <w:tcPr>
            <w:tcW w:w="9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number of Shares to be issued to the Holder;</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Y =</w:t>
            </w:r>
          </w:p>
        </w:tc>
        <w:tc>
          <w:tcPr>
            <w:tcW w:w="9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number of Shares with respect to which this Warrant is being exercised (inclusive of the Shares surrendered to the</w:t>
            </w:r>
          </w:p>
        </w:tc>
      </w:tr>
      <w:tr>
        <w:trPr>
          <w:trHeight w:val="234"/>
        </w:trPr>
        <w:tc>
          <w:tcPr>
            <w:tcW w:w="640" w:type="dxa"/>
            <w:vAlign w:val="bottom"/>
          </w:tcPr>
          <w:p>
            <w:pPr>
              <w:spacing w:after="0"/>
              <w:rPr>
                <w:sz w:val="20"/>
                <w:szCs w:val="20"/>
                <w:color w:val="auto"/>
              </w:rPr>
            </w:pPr>
          </w:p>
        </w:tc>
        <w:tc>
          <w:tcPr>
            <w:tcW w:w="9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Company in payment of the aggregate Warrant Price);</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A =</w:t>
            </w:r>
          </w:p>
        </w:tc>
        <w:tc>
          <w:tcPr>
            <w:tcW w:w="9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Fair Market Value (as determined pursuant to Section 1.3 below) of one Share; and</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 =</w:t>
            </w:r>
          </w:p>
        </w:tc>
        <w:tc>
          <w:tcPr>
            <w:tcW w:w="9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Warrant Price.</w:t>
            </w:r>
          </w:p>
        </w:tc>
      </w:tr>
      <w:tr>
        <w:trPr>
          <w:trHeight w:val="39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Market Value. If shares of the Class are then traded or quoted on a nationally recognized securities exchange, inter-dealer</w:t>
            </w: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quotation system or over-the-counter market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0" w:name="page401"/>
    <w:bookmarkEnd w:id="400"/>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Treatment of Warrant Upon Acquisition of Company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740" w:hanging="788"/>
        <w:spacing w:after="0"/>
        <w:tabs>
          <w:tab w:leader="none" w:pos="27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w:t>
      </w:r>
    </w:p>
    <w:p>
      <w:pPr>
        <w:spacing w:after="0" w:line="3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“Acquisition” shall not include the sale and issuance by the Company of its equity securities to one or more investors for cash in a transaction or series of related transactions the principal purpose of which is the bona fide equity financing of the Company.</w:t>
      </w:r>
    </w:p>
    <w:p>
      <w:pPr>
        <w:spacing w:after="0" w:line="192"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6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color w:val="auto"/>
        </w:rPr>
        <w:t>Cash/Public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and the fair market value of one Share as determined in accordance with Section 1.3 above would be greater than the Warrant Price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4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3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1" w:name="page402"/>
    <w:bookmarkEnd w:id="401"/>
    <w:tbl>
      <w:tblPr>
        <w:tblLayout w:type="fixed"/>
        <w:tblInd w:w="660" w:type="dxa"/>
        <w:tblCellMar>
          <w:top w:w="0" w:type="dxa"/>
          <w:left w:w="0" w:type="dxa"/>
          <w:bottom w:w="0" w:type="dxa"/>
          <w:right w:w="0" w:type="dxa"/>
        </w:tblCellMar>
      </w:tblPr>
      <w:tr>
        <w:trPr>
          <w:trHeight w:val="207"/>
        </w:trPr>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Section 2.</w:t>
            </w:r>
          </w:p>
        </w:tc>
        <w:tc>
          <w:tcPr>
            <w:tcW w:w="120" w:type="dxa"/>
            <w:vAlign w:val="bottom"/>
          </w:tcPr>
          <w:p>
            <w:pPr>
              <w:spacing w:after="0"/>
              <w:rPr>
                <w:sz w:val="17"/>
                <w:szCs w:val="17"/>
                <w:color w:val="auto"/>
              </w:rPr>
            </w:pP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THE SHARES AND WARRANT PRICE.</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12"/>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Dividends, Splits, Etc. If the Company declares or pays a dividend or distribution on the outstanding shares of the Class</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2" w:name="page403"/>
    <w:bookmarkEnd w:id="402"/>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REPRESENTATIONS AND COVENANTS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represents and warrants to, and agrees with, the Holder as follows:</w:t>
      </w:r>
    </w:p>
    <w:p>
      <w:pPr>
        <w:spacing w:after="0" w:line="225" w:lineRule="exact"/>
        <w:rPr>
          <w:sz w:val="20"/>
          <w:szCs w:val="20"/>
          <w:color w:val="auto"/>
        </w:rPr>
      </w:pPr>
    </w:p>
    <w:p>
      <w:pPr>
        <w:jc w:val="both"/>
        <w:ind w:firstLine="1952"/>
        <w:spacing w:after="0" w:line="266" w:lineRule="auto"/>
        <w:tabs>
          <w:tab w:leader="none" w:pos="2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Warrant Price referenced on the first page of this Warrant is not greater than the fair market value of a share of the Class as determined by the most recently completed valuation, approved by the Company’s Board of Directors, of the Company’s stock for purposes of its compliance with Section 409A of the Internal Revenue Code of 1986, as amended.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9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capitalization table attached hereto as Schedule 1 is true and complete, in all material respects, as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Issue Date.</w:t>
      </w:r>
    </w:p>
    <w:p>
      <w:pPr>
        <w:spacing w:after="0" w:line="207"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Notice of Certain Events</w:t>
      </w:r>
      <w:r>
        <w:rPr>
          <w:rFonts w:ascii="Times New Roman" w:cs="Times New Roman" w:eastAsia="Times New Roman" w:hAnsi="Times New Roman"/>
          <w:sz w:val="17"/>
          <w:szCs w:val="17"/>
          <w:color w:val="auto"/>
        </w:rPr>
        <w:t>. If the Company proposes at any time to:</w:t>
      </w:r>
    </w:p>
    <w:p>
      <w:pPr>
        <w:spacing w:after="0" w:line="225" w:lineRule="exact"/>
        <w:rPr>
          <w:sz w:val="20"/>
          <w:szCs w:val="20"/>
          <w:color w:val="auto"/>
        </w:rPr>
      </w:pPr>
    </w:p>
    <w:p>
      <w:pPr>
        <w:ind w:firstLine="1952"/>
        <w:spacing w:after="0" w:line="282" w:lineRule="auto"/>
        <w:tabs>
          <w:tab w:leader="none" w:pos="2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or distribution upon the outstanding shares of the Class, whether in cash, property, stock, or other securities and whether or not a regular cash dividend;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61" w:lineRule="exact"/>
        <w:rPr>
          <w:rFonts w:ascii="Times New Roman" w:cs="Times New Roman" w:eastAsia="Times New Roman" w:hAnsi="Times New Roman"/>
          <w:sz w:val="18"/>
          <w:szCs w:val="18"/>
          <w:color w:val="auto"/>
        </w:rPr>
      </w:pPr>
    </w:p>
    <w:p>
      <w:pPr>
        <w:ind w:left="2740" w:hanging="788"/>
        <w:spacing w:after="0"/>
        <w:tabs>
          <w:tab w:leader="none" w:pos="27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exchange, combination, substitution, reorganization or recapitalization of the outstanding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Class;</w:t>
      </w:r>
    </w:p>
    <w:p>
      <w:pPr>
        <w:spacing w:after="0" w:line="206"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Acquisition or to liquidate, dissolve or wind up; or</w:t>
      </w:r>
    </w:p>
    <w:p>
      <w:pPr>
        <w:spacing w:after="0" w:line="225" w:lineRule="exact"/>
        <w:rPr>
          <w:rFonts w:ascii="Times New Roman" w:cs="Times New Roman" w:eastAsia="Times New Roman" w:hAnsi="Times New Roman"/>
          <w:sz w:val="18"/>
          <w:szCs w:val="18"/>
          <w:color w:val="auto"/>
        </w:rPr>
      </w:pPr>
    </w:p>
    <w:p>
      <w:pPr>
        <w:ind w:left="2820" w:hanging="868"/>
        <w:spacing w:after="0"/>
        <w:tabs>
          <w:tab w:leader="none" w:pos="28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its initial, underwritten offering and sale of its securities to the public pursuant to an effective registration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under the Act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225" w:lineRule="exact"/>
        <w:rPr>
          <w:sz w:val="20"/>
          <w:szCs w:val="20"/>
          <w:color w:val="auto"/>
        </w:rPr>
      </w:pPr>
    </w:p>
    <w:p>
      <w:pPr>
        <w:jc w:val="both"/>
        <w:ind w:left="660" w:right="640" w:firstLine="2462"/>
        <w:spacing w:after="0" w:line="261" w:lineRule="auto"/>
        <w:tabs>
          <w:tab w:leader="none" w:pos="366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79" w:lineRule="exact"/>
        <w:rPr>
          <w:rFonts w:ascii="Times New Roman" w:cs="Times New Roman" w:eastAsia="Times New Roman" w:hAnsi="Times New Roman"/>
          <w:sz w:val="18"/>
          <w:szCs w:val="18"/>
          <w:color w:val="auto"/>
        </w:rPr>
      </w:pPr>
    </w:p>
    <w:p>
      <w:pPr>
        <w:jc w:val="both"/>
        <w:ind w:left="660" w:right="640" w:firstLine="2462"/>
        <w:spacing w:after="0" w:line="258" w:lineRule="auto"/>
        <w:tabs>
          <w:tab w:leader="none" w:pos="3677"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3" w:name="page404"/>
    <w:bookmarkEnd w:id="403"/>
    <w:p>
      <w:pPr>
        <w:ind w:left="660" w:right="640" w:firstLine="2462"/>
        <w:spacing w:after="0" w:line="282" w:lineRule="auto"/>
        <w:tabs>
          <w:tab w:leader="none" w:pos="377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IPO, at least seven (7) Business Days prior written notice of the date on which the Company proposes to file its registration statement in connection therewith.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also provide information requested by Holder that is reasonably necessary to enable Holder to comply with Holder’s accounting or reporting requirements.</w:t>
      </w:r>
    </w:p>
    <w:p>
      <w:pPr>
        <w:spacing w:after="0" w:line="16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REPRESENTATIONS, WARRANTIES OF THE HOLDER</w:t>
      </w:r>
      <w:r>
        <w:rPr>
          <w:rFonts w:ascii="Times New Roman" w:cs="Times New Roman" w:eastAsia="Times New Roman" w:hAnsi="Times New Roman"/>
          <w:sz w:val="17"/>
          <w:szCs w:val="17"/>
          <w:color w:val="auto"/>
        </w:rPr>
        <w:t>. The Holder represents and warrants to the Company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4.4</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Accredited Investor Status. Holder is an “accredited investor” within the meaning of Regulation D promulgated under the Act.</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12"/>
        </w:trPr>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4.5</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Act. Holder understands that this Warrant and the Shares issuable upon exercise hereof have not been registered under the</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4" w:name="page405"/>
    <w:bookmarkEnd w:id="404"/>
    <w:tbl>
      <w:tblPr>
        <w:tblLayout w:type="fixed"/>
        <w:tblInd w:w="130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4.6</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Voting Rights. Holder, as a Holder of this Warrant, will not have any voting rights until the exercise of this Warrant.</w:t>
            </w:r>
          </w:p>
        </w:tc>
      </w:tr>
      <w:tr>
        <w:trPr>
          <w:trHeight w:val="20"/>
        </w:trPr>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4.7</w:t>
            </w:r>
          </w:p>
        </w:tc>
        <w:tc>
          <w:tcPr>
            <w:tcW w:w="10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Lock-Up Agreement. In connection with the IPO and upon request of the Company or the underwriters managing the IPO,</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but subject to such extension(s) as may be required by the underwriters in order to publish research reports while complying with NASD Rule 2711 or NYSE Rule 472 (or any successor rule), as applicable) from the effective date of such registration as may be requested by the Company or such managing underwriters and to execute an agreement reflecting the foregoing as may be requested by the underwriters at the time of the Company’s initial public offering. In order to enforce the foregoing covenants, the Company may impose stop-transfer instructions with respect to the securities of Holder (and the securities of every other person subject to the restrictions in this Section 4.7. The underwriters in connection with the IPO are intended third party beneficiaries of this Section 4.7 and shall have the right, power and authority to enforce the provisions hereof as though they were a party hereto. The agreements of Holder in this Section 4.7 shall be effective only if all directors and officers of the Company, and all holders of one percent (1%) or more of the Company’s common stock (determined on an as-exercise, as-converted basis) are then subject to substantially similar written agreements with the Company and/or such underwriters.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Section 5.</w:t>
            </w:r>
          </w:p>
        </w:tc>
        <w:tc>
          <w:tcPr>
            <w:tcW w:w="140" w:type="dxa"/>
            <w:vAlign w:val="bottom"/>
          </w:tcPr>
          <w:p>
            <w:pPr>
              <w:spacing w:after="0"/>
              <w:rPr>
                <w:sz w:val="17"/>
                <w:szCs w:val="17"/>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Term; Automatic Cashless Exercise Upon Expiration.</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952"/>
        <w:spacing w:after="0" w:line="282" w:lineRule="auto"/>
        <w:tabs>
          <w:tab w:leader="none" w:pos="254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9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xml:space="preserve">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5" w:name="page406"/>
    <w:bookmarkEnd w:id="405"/>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certificate evidencing Shares shall be imprinted with a legend in substantially the following form:</w:t>
      </w:r>
    </w:p>
    <w:p>
      <w:pPr>
        <w:spacing w:after="0" w:line="225"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“ACT”), OR THE SECURITIES LAWS OF ANY STATE AND, EXCEPT AS SET FORTH IN THAT CERTAIN WARRANT TO PURCHASE STOCK ISSUED BY THE ISSUER TO SILICON VALLEY BANK DATED AUGUST ,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together with a legend in substantially the following form if then applicable:</w:t>
      </w:r>
    </w:p>
    <w:p>
      <w:pPr>
        <w:spacing w:after="0" w:line="225" w:lineRule="exact"/>
        <w:rPr>
          <w:sz w:val="20"/>
          <w:szCs w:val="20"/>
          <w:color w:val="auto"/>
        </w:rPr>
      </w:pPr>
    </w:p>
    <w:p>
      <w:pPr>
        <w:jc w:val="both"/>
        <w:ind w:left="660" w:right="640"/>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except in connection with an Acquisition of the Company by such a direct competitor.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6" w:name="page407"/>
    <w:bookmarkEnd w:id="406"/>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w:t>
      </w:r>
    </w:p>
    <w:p>
      <w:pPr>
        <w:spacing w:after="0" w:line="2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delivered and effective (i) when given personally, (ii)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0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 address: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Affirm, Inc.</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07"/>
        </w:trPr>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5.7</w:t>
            </w:r>
          </w:p>
        </w:tc>
        <w:tc>
          <w:tcPr>
            <w:tcW w:w="9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Attorneys’ Fees. In the event of any dispute between the parties concerning the terms and provisions of this Warrant, the party</w:t>
            </w:r>
          </w:p>
        </w:tc>
      </w:tr>
      <w:tr>
        <w:trPr>
          <w:trHeight w:val="20"/>
        </w:trPr>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w w:val="99"/>
              </w:rPr>
              <w:t>prevailing in such dispute shall be entitled to collect from the other party all costs incurred in such dispute, including reasonable attorneys’ fees.</w:t>
            </w:r>
          </w:p>
        </w:tc>
      </w:tr>
      <w:tr>
        <w:trPr>
          <w:trHeight w:val="391"/>
        </w:trPr>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4"/>
                <w:szCs w:val="24"/>
                <w:color w:val="auto"/>
              </w:rPr>
            </w:pPr>
          </w:p>
        </w:tc>
        <w:tc>
          <w:tcPr>
            <w:tcW w:w="8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Counterparts; Facsimile/Electronic Signatures. This Warrant may be executed in counterparts, all of which together shall</w:t>
            </w:r>
          </w:p>
        </w:tc>
      </w:tr>
      <w:tr>
        <w:trPr>
          <w:trHeight w:val="20"/>
        </w:trPr>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u w:val="single" w:color="auto"/>
          <w:color w:val="auto"/>
        </w:rPr>
        <w:t>Business Days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is any day that is not a Saturday, Sunday or a day on which Silicon Valley Bank is closed.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8" w:name="page409"/>
    <w:bookmarkEnd w:id="40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Warrant to Purchase Stock to be executed by their duly authorized representatives effective as of the Issue Date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of Financial Planning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9" w:name="page410"/>
    <w:bookmarkEnd w:id="40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Warrant to Purchase Stock to be executed by their duly authorized representatives effective as of the Issue Date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Denny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0" w:name="page411"/>
    <w:bookmarkEnd w:id="410"/>
    <w:p>
      <w:pPr>
        <w:jc w:val="center"/>
        <w:ind w:right="-11"/>
        <w:spacing w:after="0"/>
        <w:rPr>
          <w:sz w:val="20"/>
          <w:szCs w:val="20"/>
          <w:color w:val="auto"/>
        </w:rPr>
      </w:pPr>
      <w:r>
        <w:rPr>
          <w:rFonts w:ascii="Times New Roman" w:cs="Times New Roman" w:eastAsia="Times New Roman" w:hAnsi="Times New Roman"/>
          <w:sz w:val="18"/>
          <w:szCs w:val="18"/>
          <w:color w:val="auto"/>
        </w:rPr>
        <w:t>APPENDIX 1</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25" w:lineRule="exact"/>
        <w:rPr>
          <w:sz w:val="20"/>
          <w:szCs w:val="20"/>
          <w:color w:val="auto"/>
        </w:rPr>
      </w:pPr>
    </w:p>
    <w:p>
      <w:pPr>
        <w:ind w:left="652" w:hanging="652"/>
        <w:spacing w:after="0"/>
        <w:tabs>
          <w:tab w:leader="none" w:pos="65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to purchase _______ shares of the Common/Series ________ Preferred [circle one] Stock of</w:t>
      </w:r>
    </w:p>
    <w:p>
      <w:pPr>
        <w:spacing w:after="0" w:line="27" w:lineRule="exact"/>
        <w:rPr>
          <w:rFonts w:ascii="Times New Roman" w:cs="Times New Roman" w:eastAsia="Times New Roman" w:hAnsi="Times New Roman"/>
          <w:sz w:val="18"/>
          <w:szCs w:val="18"/>
          <w:color w:val="auto"/>
        </w:rPr>
      </w:pPr>
    </w:p>
    <w:p>
      <w:pPr>
        <w:ind w:left="65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attached Warrant To Purchase Stock, and tenders payment of the aggregate Warrant Price for such shares as follows:</w:t>
      </w:r>
    </w:p>
    <w:p>
      <w:pPr>
        <w:sectPr>
          <w:pgSz w:w="11900" w:h="16838" w:orient="portrait"/>
          <w:cols w:equalWidth="0" w:num="1">
            <w:col w:w="11232"/>
          </w:cols>
          <w:pgMar w:left="328" w:top="904" w:right="339" w:bottom="1440" w:gutter="0" w:footer="0" w:header="0"/>
        </w:sectPr>
      </w:pPr>
    </w:p>
    <w:p>
      <w:pPr>
        <w:spacing w:after="0" w:line="18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 ]</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240"/>
        <w:spacing w:after="0" w:line="263" w:lineRule="auto"/>
        <w:rPr>
          <w:sz w:val="20"/>
          <w:szCs w:val="20"/>
          <w:color w:val="auto"/>
        </w:rPr>
      </w:pPr>
      <w:r>
        <w:rPr>
          <w:rFonts w:ascii="Times New Roman" w:cs="Times New Roman" w:eastAsia="Times New Roman" w:hAnsi="Times New Roman"/>
          <w:sz w:val="18"/>
          <w:szCs w:val="18"/>
          <w:color w:val="auto"/>
        </w:rPr>
        <w:t>check in the amount of $ _____ payable to order of the Company enclosed herewith Wire transfer of immediately available funds to the Company’s account Cashless Exercise pursuant to Section 1.2 of the Warrant Other [Describe]</w:t>
      </w:r>
    </w:p>
    <w:p>
      <w:pPr>
        <w:spacing w:after="0" w:line="381" w:lineRule="exact"/>
        <w:rPr>
          <w:sz w:val="20"/>
          <w:szCs w:val="20"/>
          <w:color w:val="auto"/>
        </w:rPr>
      </w:pPr>
    </w:p>
    <w:p>
      <w:pPr>
        <w:sectPr>
          <w:pgSz w:w="11900" w:h="16838" w:orient="portrait"/>
          <w:cols w:equalWidth="0" w:num="2">
            <w:col w:w="1232" w:space="720"/>
            <w:col w:w="9280"/>
          </w:cols>
          <w:pgMar w:left="328" w:top="904" w:right="339" w:bottom="1440" w:gutter="0" w:footer="0" w:header="0"/>
          <w:type w:val="continuous"/>
        </w:sectPr>
      </w:pPr>
    </w:p>
    <w:p>
      <w:pPr>
        <w:spacing w:after="0" w:line="45" w:lineRule="exact"/>
        <w:rPr>
          <w:sz w:val="20"/>
          <w:szCs w:val="20"/>
          <w:color w:val="auto"/>
        </w:rPr>
      </w:pPr>
    </w:p>
    <w:p>
      <w:pPr>
        <w:ind w:left="1132" w:right="3960" w:hanging="1132"/>
        <w:spacing w:after="0" w:line="798" w:lineRule="auto"/>
        <w:tabs>
          <w:tab w:leader="none" w:pos="653"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-30480</wp:posOffset>
            </wp:positionV>
            <wp:extent cx="570039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5">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-450215</wp:posOffset>
            </wp:positionV>
            <wp:extent cx="570039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56" w:lineRule="exact"/>
        <w:rPr>
          <w:sz w:val="20"/>
          <w:szCs w:val="20"/>
          <w:color w:val="auto"/>
        </w:rPr>
      </w:pPr>
    </w:p>
    <w:p>
      <w:pPr>
        <w:ind w:left="1132"/>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-127635</wp:posOffset>
            </wp:positionV>
            <wp:extent cx="570039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32" w:lineRule="exact"/>
        <w:rPr>
          <w:sz w:val="20"/>
          <w:szCs w:val="20"/>
          <w:color w:val="auto"/>
        </w:rPr>
      </w:pPr>
    </w:p>
    <w:p>
      <w:pPr>
        <w:ind w:left="652" w:right="20" w:hanging="652"/>
        <w:spacing w:after="0" w:line="282" w:lineRule="auto"/>
        <w:tabs>
          <w:tab w:leader="none" w:pos="65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restates each of the representations and warranties in Section 4 of the Warrant to Purchase Stock as of the date hereof.</w:t>
      </w:r>
    </w:p>
    <w:p>
      <w:pPr>
        <w:spacing w:after="0" w:line="162"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HOLDER:</w:t>
      </w:r>
    </w:p>
    <w:p>
      <w:pPr>
        <w:spacing w:after="0" w:line="27"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35153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32"/>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20611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14605</wp:posOffset>
            </wp:positionV>
            <wp:extent cx="327469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206115"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type w:val="continuous"/>
        </w:sectPr>
      </w:pPr>
    </w:p>
    <w:bookmarkStart w:id="411" w:name="page412"/>
    <w:bookmarkEnd w:id="411"/>
    <w:p>
      <w:pPr>
        <w:ind w:left="10400"/>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WARRANT AND THE SECURITIES ISSUABLE UPON THE EXERCISE HEREOF HAVE NOT BEEN REGISTERED UNDER THE U.S. SECURITIES ACT OF 1933, AS AMENDED (THE “SECURITIES ACT”), OR UNDER THE SECURITIES LAWS OF CERTAIN STATES.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189" w:lineRule="exact"/>
        <w:rPr>
          <w:sz w:val="20"/>
          <w:szCs w:val="20"/>
          <w:color w:val="auto"/>
        </w:rPr>
      </w:pPr>
    </w:p>
    <w:p>
      <w:pPr>
        <w:spacing w:after="0"/>
        <w:tabs>
          <w:tab w:leader="none" w:pos="8580" w:val="left"/>
        </w:tabs>
        <w:rPr>
          <w:sz w:val="20"/>
          <w:szCs w:val="20"/>
          <w:color w:val="auto"/>
        </w:rPr>
      </w:pPr>
      <w:r>
        <w:rPr>
          <w:rFonts w:ascii="Times New Roman" w:cs="Times New Roman" w:eastAsia="Times New Roman" w:hAnsi="Times New Roman"/>
          <w:sz w:val="18"/>
          <w:szCs w:val="18"/>
          <w:color w:val="auto"/>
        </w:rPr>
        <w:t>Warrant No. CSW-SHOP-2</w:t>
      </w:r>
      <w:r>
        <w:rPr>
          <w:sz w:val="20"/>
          <w:szCs w:val="20"/>
          <w:color w:val="auto"/>
        </w:rPr>
        <w:tab/>
      </w:r>
      <w:r>
        <w:rPr>
          <w:rFonts w:ascii="Times New Roman" w:cs="Times New Roman" w:eastAsia="Times New Roman" w:hAnsi="Times New Roman"/>
          <w:sz w:val="17"/>
          <w:szCs w:val="17"/>
          <w:color w:val="auto"/>
        </w:rPr>
        <w:t>Date of Issuance: September 1, 2020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Number of Shares of Common Stock: As set forth on </w:t>
      </w: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Purchase Warrant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Affirm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which shall include any corporation or other entity that succeeds to the Company’s obligations under this Warrant, whether by permitted assignment, by merger or consolidation or otherwise), for value received, hereby certifies that Shopify Inc., a corporation governed by the laws of Canada, or its registered assigns (the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xml:space="preserve">”), is entitled, subject to the terms set forth below and including the terms relating to vesting and exercise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purchase from the Company, at any time after the date hereof and on or before the Expiration Date (as defined in Section 8) the number of shares set forth above of common stock of the Company, par value of $0.00001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of $0.01 per share. The shares purchasable upon exercise of this Warrant, and the purchase price per share, each as adjusted from time to time pursuant to the provisions of this Warrant, are hereinafter referred to as the “</w:t>
      </w:r>
      <w:r>
        <w:rPr>
          <w:rFonts w:ascii="Times New Roman" w:cs="Times New Roman" w:eastAsia="Times New Roman" w:hAnsi="Times New Roman"/>
          <w:sz w:val="18"/>
          <w:szCs w:val="18"/>
          <w:u w:val="single" w:color="auto"/>
          <w:color w:val="auto"/>
        </w:rPr>
        <w:t>Warrant Stock</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respectively.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Warrant is issued pursuant to, and is subject to the terms and conditions of, the Customer Installment Program Agreement between Affirm, Inc. and Shopify Inc. dated as of July 16, 2020, the Effective Date of the Customer Installment Program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Warrant No. CSW-SHOP-1 (the “</w:t>
      </w:r>
      <w:r>
        <w:rPr>
          <w:rFonts w:ascii="Times New Roman" w:cs="Times New Roman" w:eastAsia="Times New Roman" w:hAnsi="Times New Roman"/>
          <w:sz w:val="17"/>
          <w:szCs w:val="17"/>
          <w:u w:val="single" w:color="auto"/>
          <w:color w:val="auto"/>
        </w:rPr>
        <w:t>Original Warrant</w:t>
      </w:r>
      <w:r>
        <w:rPr>
          <w:rFonts w:ascii="Times New Roman" w:cs="Times New Roman" w:eastAsia="Times New Roman" w:hAnsi="Times New Roman"/>
          <w:sz w:val="17"/>
          <w:szCs w:val="17"/>
          <w:color w:val="auto"/>
        </w:rPr>
        <w:t>”) was originally issued by the Company on July 16, 2020 (the “</w:t>
      </w:r>
      <w:r>
        <w:rPr>
          <w:rFonts w:ascii="Times New Roman" w:cs="Times New Roman" w:eastAsia="Times New Roman" w:hAnsi="Times New Roman"/>
          <w:sz w:val="17"/>
          <w:szCs w:val="17"/>
          <w:u w:val="single" w:color="auto"/>
          <w:color w:val="auto"/>
        </w:rPr>
        <w:t>Original Date of Issuance</w:t>
      </w:r>
      <w:r>
        <w:rPr>
          <w:rFonts w:ascii="Times New Roman" w:cs="Times New Roman" w:eastAsia="Times New Roman" w:hAnsi="Times New Roman"/>
          <w:sz w:val="17"/>
          <w:szCs w:val="17"/>
          <w:color w:val="auto"/>
        </w:rPr>
        <w:t>”). The Registered Holder partially exercised the Original Warrant and this Warrant is issued as a Replacement Warrant (as defined below) pursuant to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2" w:name="page413"/>
    <w:bookmarkEnd w:id="412"/>
    <w:p>
      <w:pPr>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rights of the Registered Holder and the conditions to which this Warrant is subject, and to which the Registered Holder, by the acceptance of this Warrant, agrees:</w:t>
      </w:r>
    </w:p>
    <w:p>
      <w:pPr>
        <w:spacing w:after="0" w:line="158" w:lineRule="exact"/>
        <w:rPr>
          <w:sz w:val="20"/>
          <w:szCs w:val="20"/>
          <w:color w:val="auto"/>
        </w:rPr>
      </w:pPr>
    </w:p>
    <w:p>
      <w:pPr>
        <w:jc w:val="both"/>
        <w:ind w:firstLine="8"/>
        <w:spacing w:after="0" w:line="268" w:lineRule="auto"/>
        <w:tabs>
          <w:tab w:leader="none" w:pos="76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Number of Shares</w:t>
      </w:r>
      <w:r>
        <w:rPr>
          <w:rFonts w:ascii="Times New Roman" w:cs="Times New Roman" w:eastAsia="Times New Roman" w:hAnsi="Times New Roman"/>
          <w:sz w:val="18"/>
          <w:szCs w:val="18"/>
          <w:color w:val="auto"/>
        </w:rPr>
        <w:t>. Subject to the terms and conditions hereinafter set forth, including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the Registered Holder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upon surrender of this Warrant, to purchase from the Company the number of shares (subject to adjustment as provided herein) of Warrant Stock first set forth above.</w:t>
      </w:r>
    </w:p>
    <w:p>
      <w:pPr>
        <w:spacing w:after="0" w:line="17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Method of Exercise</w:t>
      </w:r>
      <w:r>
        <w:rPr>
          <w:rFonts w:ascii="Times New Roman" w:cs="Times New Roman" w:eastAsia="Times New Roman" w:hAnsi="Times New Roman"/>
          <w:sz w:val="18"/>
          <w:szCs w:val="18"/>
          <w:color w:val="auto"/>
        </w:rPr>
        <w:t>. This Warrant may be exercised by the Registered Holder, in whole or in part, at any time or from time to time on any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Expiration Date, subject to the terms and conditions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by delivering a purchase/exercise form in the form appended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Unless the Registered Holder is exercising this Warrant pursuant to a Net Issue Exercise in the manner specified in Section 2(d),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Holder shall also, as a condition to any exercise, deliver to the Company payment in full for the Purchase Price payable in respect of the number of shares of Warrant Stock purchased upon such exercise. The Purchase Price may be paid by cash, check, wire transfer, or by the surrender of promissory notes of the Company to the Registered Holder.</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Partial Exercise</w:t>
      </w:r>
      <w:r>
        <w:rPr>
          <w:rFonts w:ascii="Times New Roman" w:cs="Times New Roman" w:eastAsia="Times New Roman" w:hAnsi="Times New Roman"/>
          <w:sz w:val="18"/>
          <w:szCs w:val="18"/>
          <w:color w:val="auto"/>
        </w:rPr>
        <w:t>. Upon a partial exercise of this Warrant, this Warrant shall be cancelled and replaced with a new Warrant (the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on terms identical to those contained in this Warrant, except that the maximum number of shares of Warrant Stock issuable upon exercise is equal to the maximum number of shares of Warrant Stock issuable under this Warrant (as set forth above) reduced by (i) the number of shares of Warrant Stock set forth on the purchase/exercise form or (ii) the number of shares calculated pursuant to Section 2(d), as applicable.</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Net Issue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1292"/>
        <w:spacing w:after="0" w:line="258"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lieu of exercising this Warrant and delivering payment in the manner provided in Section 2(b), the Registered Holder may elect to exercise all or any portion of this Warrant by net exercise by giving notice of such election on the purchase/exercise form appended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shares of Warrant Stock computed using the following formula:</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Y(A-B)</w:t>
            </w:r>
          </w:p>
        </w:tc>
      </w:tr>
      <w:tr>
        <w:trPr>
          <w:trHeight w:val="237"/>
        </w:trPr>
        <w:tc>
          <w:tcPr>
            <w:tcW w:w="8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3" w:name="page414"/>
    <w:bookmarkEnd w:id="413"/>
    <w:p>
      <w:pPr>
        <w:ind w:left="652"/>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32"/>
          </w:cols>
          <w:pgMar w:left="328" w:top="904" w:right="339" w:bottom="1440" w:gutter="0" w:footer="0" w:header="0"/>
        </w:sectPr>
      </w:pP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Warrant Stock to be issued to the Registered Holder.</w:t>
      </w:r>
    </w:p>
    <w:p>
      <w:pPr>
        <w:spacing w:after="0" w:line="200" w:lineRule="exact"/>
        <w:rPr>
          <w:sz w:val="20"/>
          <w:szCs w:val="20"/>
          <w:color w:val="auto"/>
        </w:rPr>
      </w:pPr>
    </w:p>
    <w:p>
      <w:pPr>
        <w:sectPr>
          <w:pgSz w:w="11900" w:h="16838" w:orient="portrait"/>
          <w:cols w:equalWidth="0" w:num="2">
            <w:col w:w="872" w:space="420"/>
            <w:col w:w="9940"/>
          </w:cols>
          <w:pgMar w:left="328" w:top="904" w:right="339" w:bottom="1440" w:gutter="0" w:footer="0" w:header="0"/>
          <w:type w:val="continuous"/>
        </w:sectPr>
      </w:pPr>
    </w:p>
    <w:p>
      <w:pPr>
        <w:spacing w:after="0" w:line="3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Warrant Stock purchasable under this Warrant as set out on the purchase/exercise form.</w:t>
      </w:r>
    </w:p>
    <w:p>
      <w:pPr>
        <w:spacing w:after="0" w:line="200" w:lineRule="exact"/>
        <w:rPr>
          <w:sz w:val="20"/>
          <w:szCs w:val="20"/>
          <w:color w:val="auto"/>
        </w:rPr>
      </w:pPr>
    </w:p>
    <w:p>
      <w:pPr>
        <w:sectPr>
          <w:pgSz w:w="11900" w:h="16838" w:orient="portrait"/>
          <w:cols w:equalWidth="0" w:num="2">
            <w:col w:w="872" w:space="420"/>
            <w:col w:w="9940"/>
          </w:cols>
          <w:pgMar w:left="328" w:top="904" w:right="339" w:bottom="1440" w:gutter="0" w:footer="0" w:header="0"/>
          <w:type w:val="continuous"/>
        </w:sectPr>
      </w:pPr>
    </w:p>
    <w:p>
      <w:pPr>
        <w:spacing w:after="0" w:line="3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market value of one share of Warrant Stock on the date of such net exercise.</w:t>
      </w:r>
    </w:p>
    <w:p>
      <w:pPr>
        <w:spacing w:after="0" w:line="211" w:lineRule="exact"/>
        <w:rPr>
          <w:sz w:val="20"/>
          <w:szCs w:val="20"/>
          <w:color w:val="auto"/>
        </w:rPr>
      </w:pPr>
    </w:p>
    <w:p>
      <w:pPr>
        <w:sectPr>
          <w:pgSz w:w="11900" w:h="16838" w:orient="portrait"/>
          <w:cols w:equalWidth="0" w:num="2">
            <w:col w:w="932" w:space="360"/>
            <w:col w:w="9940"/>
          </w:cols>
          <w:pgMar w:left="328" w:top="904" w:right="339" w:bottom="1440" w:gutter="0" w:footer="0" w:header="0"/>
          <w:type w:val="continuous"/>
        </w:sectPr>
      </w:pPr>
    </w:p>
    <w:p>
      <w:pPr>
        <w:spacing w:after="0" w:line="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B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w:t>
      </w:r>
    </w:p>
    <w:p>
      <w:pPr>
        <w:spacing w:after="0" w:line="200" w:lineRule="exact"/>
        <w:rPr>
          <w:sz w:val="20"/>
          <w:szCs w:val="20"/>
          <w:color w:val="auto"/>
        </w:rPr>
      </w:pPr>
    </w:p>
    <w:p>
      <w:pPr>
        <w:sectPr>
          <w:pgSz w:w="11900" w:h="16838" w:orient="portrait"/>
          <w:cols w:equalWidth="0" w:num="2">
            <w:col w:w="912" w:space="380"/>
            <w:col w:w="9940"/>
          </w:cols>
          <w:pgMar w:left="328" w:top="904" w:right="339" w:bottom="1440" w:gutter="0" w:footer="0" w:header="0"/>
          <w:type w:val="continuous"/>
        </w:sectPr>
      </w:pPr>
    </w:p>
    <w:p>
      <w:pPr>
        <w:spacing w:after="0" w:line="25" w:lineRule="exact"/>
        <w:rPr>
          <w:sz w:val="20"/>
          <w:szCs w:val="20"/>
          <w:color w:val="auto"/>
        </w:rPr>
      </w:pPr>
    </w:p>
    <w:p>
      <w:pPr>
        <w:ind w:left="1292" w:hanging="1292"/>
        <w:spacing w:after="0" w:line="282" w:lineRule="auto"/>
        <w:tabs>
          <w:tab w:leader="none" w:pos="129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2(d), the “fair market value of Warrant Stock on the date of net exercise” shall mean with respect to each share of Warrant Stock:</w:t>
      </w:r>
    </w:p>
    <w:p>
      <w:pPr>
        <w:spacing w:after="0" w:line="162" w:lineRule="exact"/>
        <w:rPr>
          <w:sz w:val="20"/>
          <w:szCs w:val="20"/>
          <w:color w:val="auto"/>
        </w:rPr>
      </w:pPr>
    </w:p>
    <w:p>
      <w:pPr>
        <w:jc w:val="both"/>
        <w:ind w:left="1292" w:hanging="1292"/>
        <w:spacing w:after="0" w:line="258" w:lineRule="auto"/>
        <w:tabs>
          <w:tab w:leader="none" w:pos="129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is in connection with consummation of the sale of the securities of the Company (or an affiliate (as defined in Rule 405 under the Securities Act) thereof) pursuant to a registration statement filed by the Company (or an affiliate thereof) under the Securities Act), in connection with a firm commitment underwritten offering to the general public (an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if the Company’s registration statement relating to such public offering has been declared effective by the Securities and Exchange Commission, then the fair market value shall be the initial “Price to Public” per share specified in the final prospectus with respect to the offering;</w:t>
      </w:r>
    </w:p>
    <w:p>
      <w:pPr>
        <w:spacing w:after="0" w:line="183" w:lineRule="exact"/>
        <w:rPr>
          <w:rFonts w:ascii="Times New Roman" w:cs="Times New Roman" w:eastAsia="Times New Roman" w:hAnsi="Times New Roman"/>
          <w:sz w:val="18"/>
          <w:szCs w:val="18"/>
          <w:color w:val="auto"/>
        </w:rPr>
      </w:pPr>
    </w:p>
    <w:p>
      <w:pPr>
        <w:jc w:val="both"/>
        <w:ind w:left="1292" w:hanging="1292"/>
        <w:spacing w:after="0" w:line="256" w:lineRule="auto"/>
        <w:tabs>
          <w:tab w:leader="none" w:pos="129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is not applicable, the fair market value of Warrant Stock shall be at the per share valuation as determined by an independent third-party valuation firm within the prior twelve (12) months approved in good faith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unless the Company is at such time subject to a consolidation or merger of the Company with or into another corporation (other than a consolidation or merger in which the Company is the surviving entity), or any transfer of all or substantially all of the assets of the Company, in which case the fair market value of Warrant Stock shall be deemed to be the value received by the holders of such stock pursuant to such acquisition.</w:t>
      </w:r>
    </w:p>
    <w:p>
      <w:pPr>
        <w:spacing w:after="0" w:line="183" w:lineRule="exact"/>
        <w:rPr>
          <w:sz w:val="20"/>
          <w:szCs w:val="20"/>
          <w:color w:val="auto"/>
        </w:rPr>
      </w:pPr>
    </w:p>
    <w:p>
      <w:pPr>
        <w:ind w:left="652" w:hanging="652"/>
        <w:spacing w:after="0"/>
        <w:tabs>
          <w:tab w:leader="none" w:pos="65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of Stock</w:t>
      </w:r>
      <w:r>
        <w:rPr>
          <w:rFonts w:ascii="Times New Roman" w:cs="Times New Roman" w:eastAsia="Times New Roman" w:hAnsi="Times New Roman"/>
          <w:sz w:val="18"/>
          <w:szCs w:val="18"/>
          <w:color w:val="auto"/>
        </w:rPr>
        <w:t>. Upon exercise of the Warrant and as a condition of such exercise, the Registered Holder shall become (if not already) party to</w:t>
      </w:r>
    </w:p>
    <w:p>
      <w:pPr>
        <w:spacing w:after="0" w:line="31"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certain Amended and Restated Voting Agreement, dated June 18, 2019, by and among the Company and the other parties named therein, as amended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by delivering an adoption agreement in the form appended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duly executed by such Registered Holder, and (ii) that certain Investors’ Rights Agreement, dated June 18, 2019, by and among the Company and the other parties named therein, as amended from time to time (the “</w:t>
      </w:r>
      <w:r>
        <w:rPr>
          <w:rFonts w:ascii="Times New Roman" w:cs="Times New Roman" w:eastAsia="Times New Roman" w:hAnsi="Times New Roman"/>
          <w:sz w:val="18"/>
          <w:szCs w:val="18"/>
          <w:u w:val="single" w:color="auto"/>
          <w:color w:val="auto"/>
        </w:rPr>
        <w:t>Investors’ Rights Agreement</w:t>
      </w:r>
      <w:r>
        <w:rPr>
          <w:rFonts w:ascii="Times New Roman" w:cs="Times New Roman" w:eastAsia="Times New Roman" w:hAnsi="Times New Roman"/>
          <w:sz w:val="18"/>
          <w:szCs w:val="18"/>
          <w:color w:val="auto"/>
        </w:rPr>
        <w:t xml:space="preserve">”), by delivering a joinder in the form appended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188" w:lineRule="exact"/>
        <w:rPr>
          <w:sz w:val="20"/>
          <w:szCs w:val="20"/>
          <w:color w:val="auto"/>
        </w:rPr>
      </w:pPr>
    </w:p>
    <w:p>
      <w:pPr>
        <w:ind w:left="1292" w:hanging="1292"/>
        <w:spacing w:after="0"/>
        <w:tabs>
          <w:tab w:leader="none" w:pos="129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or certificates for the number of shares of Warrant Stock to which such Registered Holder shall be entitled;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type w:val="continuous"/>
        </w:sectPr>
      </w:pPr>
    </w:p>
    <w:bookmarkStart w:id="414" w:name="page415"/>
    <w:bookmarkEnd w:id="414"/>
    <w:p>
      <w:pPr>
        <w:ind w:left="1292" w:hanging="1292"/>
        <w:spacing w:after="0"/>
        <w:tabs>
          <w:tab w:leader="none" w:pos="129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such exercise is in part only, a Replacement Warrant as provided in Section 2(c); and,</w:t>
      </w:r>
    </w:p>
    <w:p>
      <w:pPr>
        <w:spacing w:after="0" w:line="225" w:lineRule="exact"/>
        <w:rPr>
          <w:rFonts w:ascii="Times New Roman" w:cs="Times New Roman" w:eastAsia="Times New Roman" w:hAnsi="Times New Roman"/>
          <w:sz w:val="18"/>
          <w:szCs w:val="18"/>
          <w:color w:val="auto"/>
        </w:rPr>
      </w:pPr>
    </w:p>
    <w:p>
      <w:pPr>
        <w:ind w:left="1292" w:hanging="1292"/>
        <w:spacing w:after="0"/>
        <w:tabs>
          <w:tab w:leader="none" w:pos="129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check payable to the Registered Holder for any cash amounts payable as described in Section 12.</w:t>
      </w:r>
    </w:p>
    <w:p>
      <w:pPr>
        <w:spacing w:after="0" w:line="221" w:lineRule="exact"/>
        <w:rPr>
          <w:sz w:val="20"/>
          <w:szCs w:val="20"/>
          <w:color w:val="auto"/>
        </w:rPr>
      </w:pPr>
    </w:p>
    <w:p>
      <w:pPr>
        <w:jc w:val="both"/>
        <w:ind w:left="652" w:hanging="652"/>
        <w:spacing w:after="0" w:line="259" w:lineRule="auto"/>
        <w:tabs>
          <w:tab w:leader="none" w:pos="65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Automatic Exercise</w:t>
      </w:r>
      <w:r>
        <w:rPr>
          <w:rFonts w:ascii="Times New Roman" w:cs="Times New Roman" w:eastAsia="Times New Roman" w:hAnsi="Times New Roman"/>
          <w:sz w:val="18"/>
          <w:szCs w:val="18"/>
          <w:color w:val="auto"/>
        </w:rPr>
        <w:t>. If this Warrant remains outstanding as of the Expiration Date then, at such time, this Warrant shall, automatically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 Time of Exercise</w:t>
      </w:r>
      <w:r>
        <w:rPr>
          <w:rFonts w:ascii="Times New Roman" w:cs="Times New Roman" w:eastAsia="Times New Roman" w:hAnsi="Times New Roman"/>
          <w:sz w:val="18"/>
          <w:szCs w:val="18"/>
          <w:color w:val="auto"/>
        </w:rPr>
        <w:t>. Each exercise of this Warrant shall be deemed to have been made upon the satisfaction of all of the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At such time, the person or persons in whose name or names any certificates for Warrant Stock shall be issuable upon such exercise as provided herein shall be deemed to have become the holder or holders of record of the Warrant Stock represented by such certificates.</w:t>
      </w:r>
    </w:p>
    <w:p>
      <w:pPr>
        <w:spacing w:after="0" w:line="171" w:lineRule="exact"/>
        <w:rPr>
          <w:sz w:val="20"/>
          <w:szCs w:val="20"/>
          <w:color w:val="auto"/>
        </w:rPr>
      </w:pPr>
    </w:p>
    <w:p>
      <w:pPr>
        <w:ind w:left="632" w:hanging="632"/>
        <w:spacing w:after="0"/>
        <w:tabs>
          <w:tab w:leader="none" w:pos="63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hanging="652"/>
        <w:spacing w:after="0" w:line="268" w:lineRule="auto"/>
        <w:tabs>
          <w:tab w:leader="none" w:pos="65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Splits and Dividends</w:t>
      </w:r>
      <w:r>
        <w:rPr>
          <w:rFonts w:ascii="Times New Roman" w:cs="Times New Roman" w:eastAsia="Times New Roman" w:hAnsi="Times New Roman"/>
          <w:sz w:val="18"/>
          <w:szCs w:val="18"/>
          <w:color w:val="auto"/>
        </w:rPr>
        <w:t>. The Purchase Price and the number of shares of Warrant Stock for which this Warrant remains exercisable shall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proportionally adjusted to reflect any stock dividend, stock split, reverse stock split or other similar event affecting the number of outstanding shares of Warrant Stock.</w:t>
      </w:r>
    </w:p>
    <w:p>
      <w:pPr>
        <w:spacing w:after="0" w:line="170"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 for Other Dividends and Distributions</w:t>
      </w:r>
      <w:r>
        <w:rPr>
          <w:rFonts w:ascii="Times New Roman" w:cs="Times New Roman" w:eastAsia="Times New Roman" w:hAnsi="Times New Roman"/>
          <w:sz w:val="18"/>
          <w:szCs w:val="18"/>
          <w:color w:val="auto"/>
        </w:rPr>
        <w:t>. In case the Company shall make or issue, or shall fix a record date for the determination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holders entitled to receive, a dividend or other distribution payable with respect to the Warrant Stock that is payable in (a) securities of the Company (other than issuances with respect to which adjustment is made under Section 3(a) or Section 3(c)) or (b) assets (other than cash) which dividend or distribution is actually made (each a “</w:t>
      </w:r>
      <w:r>
        <w:rPr>
          <w:rFonts w:ascii="Times New Roman" w:cs="Times New Roman" w:eastAsia="Times New Roman" w:hAnsi="Times New Roman"/>
          <w:sz w:val="18"/>
          <w:szCs w:val="18"/>
          <w:u w:val="single" w:color="auto"/>
          <w:color w:val="auto"/>
        </w:rPr>
        <w:t>Dividend Event</w:t>
      </w:r>
      <w:r>
        <w:rPr>
          <w:rFonts w:ascii="Times New Roman" w:cs="Times New Roman" w:eastAsia="Times New Roman" w:hAnsi="Times New Roman"/>
          <w:sz w:val="18"/>
          <w:szCs w:val="18"/>
          <w:color w:val="auto"/>
        </w:rPr>
        <w:t>”), then, and in each such case, Registered Holder, upon exercise of this Warrant at any time after such Dividend Event, shall receive, in addition to the shares of Warrant Stock, the securities or such other assets of the Company that would have been payable to Registered Holder if Registered Holder had completed such exercise of this Warrant immediately prior to such Dividend Event.</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15" w:name="page416"/>
    <w:bookmarkEnd w:id="415"/>
    <w:p>
      <w:pPr>
        <w:jc w:val="both"/>
        <w:ind w:left="652" w:hanging="652"/>
        <w:spacing w:after="0" w:line="254" w:lineRule="auto"/>
        <w:tabs>
          <w:tab w:leader="none" w:pos="65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 for Reorganization, Consolidation, Merger</w:t>
      </w:r>
      <w:r>
        <w:rPr>
          <w:rFonts w:ascii="Times New Roman" w:cs="Times New Roman" w:eastAsia="Times New Roman" w:hAnsi="Times New Roman"/>
          <w:sz w:val="18"/>
          <w:szCs w:val="18"/>
          <w:color w:val="auto"/>
        </w:rPr>
        <w:t>. In case of any recapitalization or reorganization of the Company or in case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consolidate with or merge into one or more other corporations or entities which results in a change of the Warrant Stock (each,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then, and in each such case, Registered Holder, upon the exercise of this Warrant after such Reorganization Event, shall be entitled to receive, in lieu of the stock or other securities and property that Registered Holder, would have been entitled to receive upon such exercise prior to such Reorganization Event, the stock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of stock or other securities or property receivable upon the exercise of this Warrant after the consummation of such Reorganization Event.</w:t>
      </w:r>
    </w:p>
    <w:p>
      <w:pPr>
        <w:spacing w:after="0" w:line="182" w:lineRule="exact"/>
        <w:rPr>
          <w:rFonts w:ascii="Times New Roman" w:cs="Times New Roman" w:eastAsia="Times New Roman" w:hAnsi="Times New Roman"/>
          <w:sz w:val="18"/>
          <w:szCs w:val="18"/>
          <w:color w:val="auto"/>
        </w:rPr>
      </w:pPr>
    </w:p>
    <w:p>
      <w:pPr>
        <w:ind w:left="652" w:hanging="652"/>
        <w:spacing w:after="0" w:line="286" w:lineRule="auto"/>
        <w:tabs>
          <w:tab w:leader="none" w:pos="65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Change Necessary</w:t>
      </w:r>
      <w:r>
        <w:rPr>
          <w:rFonts w:ascii="Times New Roman" w:cs="Times New Roman" w:eastAsia="Times New Roman" w:hAnsi="Times New Roman"/>
          <w:sz w:val="18"/>
          <w:szCs w:val="18"/>
          <w:color w:val="auto"/>
        </w:rPr>
        <w:t>. The form of this Warrant need not be changed because of any adjustment in the Purchase Price or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Warrant Stock issuable upon its exercise.</w:t>
      </w:r>
    </w:p>
    <w:p>
      <w:pPr>
        <w:spacing w:after="0" w:line="154"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The Company shall provide prompt notice to the Registered Holder, using commercially reasonable efforts to provide such notice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stock as the Warrant Stock. The Company will also provide information requested by Registered Holder that is reasonably necessary to enable Registered Holder to comply with Registered Holder’s accounting or reporting requirements.</w:t>
      </w:r>
    </w:p>
    <w:p>
      <w:pPr>
        <w:spacing w:after="0" w:line="183" w:lineRule="exact"/>
        <w:rPr>
          <w:sz w:val="20"/>
          <w:szCs w:val="20"/>
          <w:color w:val="auto"/>
        </w:rPr>
      </w:pPr>
    </w:p>
    <w:p>
      <w:pPr>
        <w:ind w:left="632" w:hanging="632"/>
        <w:spacing w:after="0"/>
        <w:tabs>
          <w:tab w:leader="none" w:pos="63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hanging="652"/>
        <w:spacing w:after="0" w:line="254" w:lineRule="auto"/>
        <w:tabs>
          <w:tab w:leader="none" w:pos="65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Unregistered Security</w:t>
      </w:r>
      <w:r>
        <w:rPr>
          <w:rFonts w:ascii="Times New Roman" w:cs="Times New Roman" w:eastAsia="Times New Roman" w:hAnsi="Times New Roman"/>
          <w:sz w:val="18"/>
          <w:szCs w:val="18"/>
          <w:color w:val="auto"/>
        </w:rPr>
        <w:t>. Each holder of this Warrant acknowledges that, as of the date hereof, none of the Company’s securities (including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and the Warrant Stock) have been registered under the Securities Act, and agrees not to sell, pledge, distribute, offer for sale, transfer or otherwise dispose of this Warrant or any Warrant Stock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Stock issued upon the exercise of this Warrant (and any securities issued by the Company upon conversion or exchange thereof) shall bear a legend substantially to the foregoing effect. The Warrant Stock issuable pursuant to this Warrant shall have the registration rights described in Section 7 hereto.</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16" w:name="page417"/>
    <w:bookmarkEnd w:id="416"/>
    <w:p>
      <w:pPr>
        <w:jc w:val="both"/>
        <w:ind w:left="652" w:hanging="652"/>
        <w:spacing w:after="0" w:line="268" w:lineRule="auto"/>
        <w:tabs>
          <w:tab w:leader="none" w:pos="65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Subject to the provisions of Section 4(a) hereof, this Warrant and all rights hereunder are transferable, in whole or in part,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(as defined in Rule 405 under the Securities Act) of the Registered Holder upon surrender of this Warrant with a properly executed assignment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at the principal office of the Company.</w:t>
      </w:r>
    </w:p>
    <w:p>
      <w:pPr>
        <w:spacing w:after="0" w:line="170" w:lineRule="exact"/>
        <w:rPr>
          <w:rFonts w:ascii="Times New Roman" w:cs="Times New Roman" w:eastAsia="Times New Roman" w:hAnsi="Times New Roman"/>
          <w:sz w:val="18"/>
          <w:szCs w:val="18"/>
          <w:color w:val="auto"/>
        </w:rPr>
      </w:pPr>
    </w:p>
    <w:p>
      <w:pPr>
        <w:jc w:val="both"/>
        <w:ind w:left="652" w:hanging="652"/>
        <w:spacing w:after="0" w:line="262" w:lineRule="auto"/>
        <w:tabs>
          <w:tab w:leader="none" w:pos="65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The Company will maintain a register containing the names and addresses of the Registered Holder(s) of this Warrant.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176" w:lineRule="exact"/>
        <w:rPr>
          <w:sz w:val="20"/>
          <w:szCs w:val="20"/>
          <w:color w:val="auto"/>
        </w:rPr>
      </w:pPr>
    </w:p>
    <w:p>
      <w:pPr>
        <w:ind w:left="632" w:hanging="632"/>
        <w:spacing w:after="0"/>
        <w:tabs>
          <w:tab w:leader="none" w:pos="63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the Registered Holder</w:t>
      </w:r>
      <w:r>
        <w:rPr>
          <w:rFonts w:ascii="Times New Roman" w:cs="Times New Roman" w:eastAsia="Times New Roman" w:hAnsi="Times New Roman"/>
          <w:sz w:val="18"/>
          <w:szCs w:val="18"/>
          <w:color w:val="auto"/>
        </w:rPr>
        <w:t>. The Registered Holder hereby represents and warrants to the Company that:</w:t>
      </w:r>
    </w:p>
    <w:p>
      <w:pPr>
        <w:spacing w:after="0" w:line="225" w:lineRule="exact"/>
        <w:rPr>
          <w:sz w:val="20"/>
          <w:szCs w:val="20"/>
          <w:color w:val="auto"/>
        </w:rPr>
      </w:pPr>
    </w:p>
    <w:p>
      <w:pPr>
        <w:jc w:val="both"/>
        <w:ind w:left="652" w:hanging="652"/>
        <w:spacing w:after="0" w:line="259" w:lineRule="auto"/>
        <w:tabs>
          <w:tab w:leader="none" w:pos="65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color w:val="auto"/>
        </w:rPr>
        <w:t>. The Registered Holder has full power and authority to enter into this Warrant. The Warrant, when executed and delivered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 Entirely for Own Account</w:t>
      </w:r>
      <w:r>
        <w:rPr>
          <w:rFonts w:ascii="Times New Roman" w:cs="Times New Roman" w:eastAsia="Times New Roman" w:hAnsi="Times New Roman"/>
          <w:sz w:val="18"/>
          <w:szCs w:val="18"/>
          <w:color w:val="auto"/>
        </w:rPr>
        <w:t>. This Warrant is issued to the Registered Holder in reliance upon the Registered Holder’s representation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which by the Registered Holder’s acceptance of this Warrant, the Registered Holder hereby confirms, that the Warrant to be acquired by the Registered Holder and the Warrant Stock (and any securities issued by the Company upon conversion or exchange thereof)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will be acquired for investment for the Registered Holder’s own account, not as a nominee or agent, and not with a view to the resale or distribution of any part thereof.</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color w:val="auto"/>
        </w:rPr>
        <w:t>. The Registered Holder understands that the Securities have not been, and, other than as provided herein,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registered under the Securities Act, by reason of a specific exemption from the registration provisions of the Securities Act which depends upon, among other things, the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17" w:name="page418"/>
    <w:bookmarkEnd w:id="417"/>
    <w:p>
      <w:pPr>
        <w:ind w:left="652" w:hanging="652"/>
        <w:spacing w:after="0" w:line="286" w:lineRule="auto"/>
        <w:tabs>
          <w:tab w:leader="none" w:pos="65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Accredited Investor</w:t>
      </w:r>
      <w:r>
        <w:rPr>
          <w:rFonts w:ascii="Times New Roman" w:cs="Times New Roman" w:eastAsia="Times New Roman" w:hAnsi="Times New Roman"/>
          <w:sz w:val="18"/>
          <w:szCs w:val="18"/>
          <w:color w:val="auto"/>
        </w:rPr>
        <w:t>. The Registered Holder is an accredited investor as defined in Rule 501(a) of Regulation D promulgated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w:t>
      </w:r>
    </w:p>
    <w:p>
      <w:pPr>
        <w:spacing w:after="0" w:line="154"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Market Stand-Off Agreement</w:t>
      </w:r>
      <w:r>
        <w:rPr>
          <w:rFonts w:ascii="Times New Roman" w:cs="Times New Roman" w:eastAsia="Times New Roman" w:hAnsi="Times New Roman"/>
          <w:sz w:val="18"/>
          <w:szCs w:val="18"/>
          <w:color w:val="auto"/>
        </w:rPr>
        <w:t>. The Registered Holder agrees that, in connection with an</w:t>
      </w:r>
      <w:r>
        <w:rPr>
          <w:rFonts w:ascii="Times New Roman" w:cs="Times New Roman" w:eastAsia="Times New Roman" w:hAnsi="Times New Roman"/>
          <w:sz w:val="18"/>
          <w:szCs w:val="18"/>
          <w:b w:val="1"/>
          <w:bCs w:val="1"/>
          <w:color w:val="auto"/>
        </w:rPr>
        <w:t xml:space="preserve"> IPO, </w:t>
      </w:r>
      <w:r>
        <w:rPr>
          <w:rFonts w:ascii="Times New Roman" w:cs="Times New Roman" w:eastAsia="Times New Roman" w:hAnsi="Times New Roman"/>
          <w:sz w:val="18"/>
          <w:szCs w:val="18"/>
          <w:color w:val="auto"/>
        </w:rPr>
        <w:t>the Warrant Stock shall be subject to the “lock-up” provisions in Section 1.14 of the Investors’ Rights Agreement, and the Registered Holder agrees to execute an agreement reflecting Section 1.14 of the Investors’ Rights Agreement as may be requested by the Company or the managing underwriters at the time of an IPO</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632" w:hanging="632"/>
        <w:spacing w:after="0"/>
        <w:tabs>
          <w:tab w:leader="none" w:pos="63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Warranties and Covenants of the Company</w:t>
      </w:r>
      <w:r>
        <w:rPr>
          <w:rFonts w:ascii="Times New Roman" w:cs="Times New Roman" w:eastAsia="Times New Roman" w:hAnsi="Times New Roman"/>
          <w:sz w:val="18"/>
          <w:szCs w:val="18"/>
          <w:color w:val="auto"/>
        </w:rPr>
        <w:t>. The Company hereby represents and warrants to the Registered Holder that:</w:t>
      </w:r>
    </w:p>
    <w:p>
      <w:pPr>
        <w:spacing w:after="0" w:line="225" w:lineRule="exact"/>
        <w:rPr>
          <w:sz w:val="20"/>
          <w:szCs w:val="20"/>
          <w:color w:val="auto"/>
        </w:rPr>
      </w:pPr>
    </w:p>
    <w:p>
      <w:pPr>
        <w:jc w:val="both"/>
        <w:ind w:left="652" w:hanging="652"/>
        <w:spacing w:after="0" w:line="259" w:lineRule="auto"/>
        <w:tabs>
          <w:tab w:leader="none" w:pos="65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Corporate Power</w:t>
      </w:r>
      <w:r>
        <w:rPr>
          <w:rFonts w:ascii="Times New Roman" w:cs="Times New Roman" w:eastAsia="Times New Roman" w:hAnsi="Times New Roman"/>
          <w:sz w:val="18"/>
          <w:szCs w:val="18"/>
          <w:color w:val="auto"/>
        </w:rPr>
        <w:t>. The Company has full power and authority to execute, deliver and issue this Warrant. The Warrant, when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79" w:lineRule="exact"/>
        <w:rPr>
          <w:rFonts w:ascii="Times New Roman" w:cs="Times New Roman" w:eastAsia="Times New Roman" w:hAnsi="Times New Roman"/>
          <w:sz w:val="18"/>
          <w:szCs w:val="18"/>
          <w:color w:val="auto"/>
        </w:rPr>
      </w:pPr>
    </w:p>
    <w:p>
      <w:pPr>
        <w:ind w:left="652" w:hanging="652"/>
        <w:spacing w:after="0" w:line="286" w:lineRule="auto"/>
        <w:tabs>
          <w:tab w:leader="none" w:pos="65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color w:val="auto"/>
        </w:rPr>
        <w:t>. All corporate action on the part of the Company, its directors and stockholders necessary for the authorization,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delivery and performance by the Company of this Warrant has been taken.</w:t>
      </w:r>
    </w:p>
    <w:p>
      <w:pPr>
        <w:spacing w:after="0" w:line="15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 The authorized capital stock of the Company consisted, immediately prior to the Original Date of Issuance, of:</w:t>
      </w:r>
    </w:p>
    <w:p>
      <w:pPr>
        <w:spacing w:after="0" w:line="229" w:lineRule="exact"/>
        <w:rPr>
          <w:sz w:val="20"/>
          <w:szCs w:val="20"/>
          <w:color w:val="auto"/>
        </w:rPr>
      </w:pPr>
    </w:p>
    <w:p>
      <w:pPr>
        <w:jc w:val="both"/>
        <w:ind w:left="1292" w:hanging="1292"/>
        <w:spacing w:after="0" w:line="266" w:lineRule="auto"/>
        <w:tabs>
          <w:tab w:leader="none" w:pos="129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255,000,000 shares of Common Stock, 47,677,601 shares of which are issued and outstanding. All of the outstanding shares of Common Stock have been duly authorized, are fully paid and nonassessable and were issued in compliance with all applicable federal and state securities laws.</w:t>
      </w:r>
    </w:p>
    <w:p>
      <w:pPr>
        <w:spacing w:after="0" w:line="175" w:lineRule="exact"/>
        <w:rPr>
          <w:rFonts w:ascii="Times New Roman" w:cs="Times New Roman" w:eastAsia="Times New Roman" w:hAnsi="Times New Roman"/>
          <w:sz w:val="18"/>
          <w:szCs w:val="18"/>
          <w:color w:val="auto"/>
        </w:rPr>
      </w:pPr>
    </w:p>
    <w:p>
      <w:pPr>
        <w:jc w:val="both"/>
        <w:ind w:left="1292" w:hanging="1292"/>
        <w:spacing w:after="0" w:line="254" w:lineRule="auto"/>
        <w:tabs>
          <w:tab w:leader="none" w:pos="129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124,453,009 shares of Preferred Stock, 21,428,572 shares of which have been designated Series A Preferred Stock, all shares of which are issued and outstanding; 19,788,417 shares of which have been designated Series B Preferred Stock, all shares of which are issued and outstanding; 15,129,141 shares of which have been designated Series C Preferred Stock, 13,802,530 shares of which are issued and outstanding; 22,705,526 shares of which have been designated Series D Preferred Stock, 22,318,532 shares of which are issued and outstanding; 21,391,882 shares of which have been designated Series E Preferred Stock, all shares of which are issued and outstanding; and 24,009,471 shares of which have been designated Series F Preferred Stock, 23,386,038 shares of which are issued and outstanding. All of the outstanding shares of Preferred Stock have been duly authorized, are fully paid and nonassessable and were issued in compliance with all applicable federal and state securities laws.</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18" w:name="page419"/>
    <w:bookmarkEnd w:id="418"/>
    <w:p>
      <w:pPr>
        <w:jc w:val="both"/>
        <w:ind w:left="1292" w:hanging="1292"/>
        <w:spacing w:after="0" w:line="256" w:lineRule="auto"/>
        <w:tabs>
          <w:tab w:leader="none" w:pos="129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reserved 70,609,793 shares of Common Stock for issuance to officers, directors, employees and consultants of the Company pursuant to its equity compensation plan(s) which have been duly adopted by the Board and approved by the Company’s holders of outstanding voting stock (collectively, the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Of such reserved shares of Common Stock, 8,176,950 restricted stock units have been granted and are currently outstanding, options to purchase 42,510,730 shares have been granted and are currently outstanding and 4,995,334 shares of Common Stock remain available for issuance to officers, directors, employees and consultants pursuant to the Stock Plan.</w:t>
      </w:r>
    </w:p>
    <w:p>
      <w:pPr>
        <w:spacing w:after="0" w:line="187" w:lineRule="exact"/>
        <w:rPr>
          <w:rFonts w:ascii="Times New Roman" w:cs="Times New Roman" w:eastAsia="Times New Roman" w:hAnsi="Times New Roman"/>
          <w:sz w:val="18"/>
          <w:szCs w:val="18"/>
          <w:color w:val="auto"/>
        </w:rPr>
      </w:pPr>
    </w:p>
    <w:p>
      <w:pPr>
        <w:jc w:val="both"/>
        <w:ind w:left="1292" w:hanging="1292"/>
        <w:spacing w:after="0" w:line="256" w:lineRule="auto"/>
        <w:tabs>
          <w:tab w:leader="none" w:pos="129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conversion privileges of the Preferred Stock, conversion privileges of the convertible promissory notes issued pursuant to the Note Purchase Agreement, dated as of April 29, 2020, by and among the Company and the parties thereto, warrants to purchase 706,065 shares of Common Stock and the outstanding options issued pursuant to the Stock Plan, and except as set forth in the Investors’ Rights Agreement, a true correct copy of which has been made available to the Registered Holder, there are no outstanding options, warrants, rights (including conversion or preemptive rights and rights of first refusal or similar rights) or agreements, orally or in writing, for the purchase or acquisition from the Company of any shares of its capital stock.</w:t>
      </w:r>
    </w:p>
    <w:p>
      <w:pPr>
        <w:spacing w:after="0" w:line="187" w:lineRule="exact"/>
        <w:rPr>
          <w:sz w:val="20"/>
          <w:szCs w:val="20"/>
          <w:color w:val="auto"/>
        </w:rPr>
      </w:pPr>
    </w:p>
    <w:p>
      <w:pPr>
        <w:ind w:left="652" w:hanging="652"/>
        <w:spacing w:after="0" w:line="282" w:lineRule="auto"/>
        <w:tabs>
          <w:tab w:leader="none" w:pos="65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Original Date of Issuance, the Company delivered to the Registered Holder an opinion of counsel (including a capitalization opinion) in form and substance reasonably satisfactory to the Registered Holder.</w:t>
      </w:r>
    </w:p>
    <w:p>
      <w:pPr>
        <w:spacing w:after="0" w:line="157" w:lineRule="exact"/>
        <w:rPr>
          <w:rFonts w:ascii="Times New Roman" w:cs="Times New Roman" w:eastAsia="Times New Roman" w:hAnsi="Times New Roman"/>
          <w:sz w:val="18"/>
          <w:szCs w:val="18"/>
          <w:color w:val="auto"/>
        </w:rPr>
      </w:pPr>
    </w:p>
    <w:p>
      <w:pPr>
        <w:jc w:val="both"/>
        <w:ind w:left="652" w:hanging="652"/>
        <w:spacing w:after="0" w:line="257" w:lineRule="auto"/>
        <w:tabs>
          <w:tab w:leader="none" w:pos="65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Warrant Stock</w:t>
      </w:r>
      <w:r>
        <w:rPr>
          <w:rFonts w:ascii="Times New Roman" w:cs="Times New Roman" w:eastAsia="Times New Roman" w:hAnsi="Times New Roman"/>
          <w:sz w:val="18"/>
          <w:szCs w:val="18"/>
          <w:color w:val="auto"/>
        </w:rPr>
        <w:t>. The Warrant Stock issuable upon exercise of this Warrant (and any securities issuable by the Company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or exchange thereof) has been duly authorized and validly reserved by the Company and when issued in accordance with the provisions of this Warrant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Stock issuable pursuant to this Warrant may be subject to restrictions on transfer under state and/or federal securities laws.</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 Subject in part to the truth and accuracy of the Registered Holder’s representations set forth in Section 5 hereof, the offer, issuance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this Warrant is, and the issuance of the Warrant Stock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19" w:name="page420"/>
    <w:bookmarkEnd w:id="419"/>
    <w:p>
      <w:pPr>
        <w:jc w:val="both"/>
        <w:ind w:left="652" w:hanging="652"/>
        <w:spacing w:after="0" w:line="253" w:lineRule="auto"/>
        <w:tabs>
          <w:tab w:leader="none" w:pos="65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Charter Documents</w:t>
      </w:r>
      <w:r>
        <w:rPr>
          <w:rFonts w:ascii="Times New Roman" w:cs="Times New Roman" w:eastAsia="Times New Roman" w:hAnsi="Times New Roman"/>
          <w:sz w:val="18"/>
          <w:szCs w:val="18"/>
          <w:color w:val="auto"/>
        </w:rPr>
        <w:t>. The Company has provided the Registered Holder with true and complete copies of the Company’s currently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Bylaws, and each Certificate of Designation or other charter document setting forth any rights, preferences and privileges of the Company’s capital stock, each as amended and in effect on the Original Date of Issuance. The Company shall not, by amendment of the Certificate of Incorporation, Bylaws or other organizational or charter documents or through a reorganization, transfer or sale of assets, consolidation, merger, dissolution, issue or sale of securities or any other voluntary action, avoid or seek to avoid the observance or performance of any of the terms to be observed or performed under this Warrant, but shall at all times in good faith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if the Certificate of Incorporation is amended, or the holders of the Company’s Preferred Stock waive their rights thereunder,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Stock; provided, however, that, notwithstanding the foregoing, the Company shall not impose any restrictions on the transferability or alienability of the Warrant Stock other than as may be in effect as of the Original Date of Issuance without the express written consent of the Registered Holder.</w:t>
      </w:r>
    </w:p>
    <w:p>
      <w:pPr>
        <w:spacing w:after="0" w:line="185"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Financial and Other Reports</w:t>
      </w:r>
      <w:r>
        <w:rPr>
          <w:rFonts w:ascii="Times New Roman" w:cs="Times New Roman" w:eastAsia="Times New Roman" w:hAnsi="Times New Roman"/>
          <w:sz w:val="18"/>
          <w:szCs w:val="18"/>
          <w:color w:val="auto"/>
        </w:rPr>
        <w:t>. Until the Expiration Date, the Company shall furnish to the Registered Holder, solely to the extent necessary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purposes of the Registered Holder’s compliance (as determined by the Registered Holder in its reasonable discretion) with regulatory, accounting and reporting requirements applicable to the Registered Holder, (i) within 180 days after the close of each fiscal year of the Company, audited financial statements of the Company and the notes thereto including a balance sheet, together with an income statement and a cash flow statement, for such fiscal year; (ii) promptly after the closing of each equity financing consummated by the Company after the Original Date of Issuance, a post-closing summary capitalization table and other information relating to the then-current valuation of the Company including any 409A valuation (or equivalent) reports,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to furnish a capitalization table or valuation following the repurchase of the Company’s outstanding common shares from former employees (the “</w:t>
      </w:r>
      <w:r>
        <w:rPr>
          <w:rFonts w:ascii="Times New Roman" w:cs="Times New Roman" w:eastAsia="Times New Roman" w:hAnsi="Times New Roman"/>
          <w:sz w:val="18"/>
          <w:szCs w:val="18"/>
          <w:u w:val="single" w:color="auto"/>
          <w:color w:val="auto"/>
        </w:rPr>
        <w:t>Repurchased Shares</w:t>
      </w:r>
      <w:r>
        <w:rPr>
          <w:rFonts w:ascii="Times New Roman" w:cs="Times New Roman" w:eastAsia="Times New Roman" w:hAnsi="Times New Roman"/>
          <w:sz w:val="18"/>
          <w:szCs w:val="18"/>
          <w:color w:val="auto"/>
        </w:rPr>
        <w:t>”) and the subsequent resale of all or part of the Repurchased Shares if the Repurchased Shares represent less than 5% of the Company’s issued and outstanding common shares, on a fully-diluted basis, at the time of repurchase, and (iii) at any time and from time to time, such information as the Registered Holder may reasonably request ((i) through (iii) collectively the “</w:t>
      </w:r>
      <w:r>
        <w:rPr>
          <w:rFonts w:ascii="Times New Roman" w:cs="Times New Roman" w:eastAsia="Times New Roman" w:hAnsi="Times New Roman"/>
          <w:sz w:val="18"/>
          <w:szCs w:val="18"/>
          <w:u w:val="single" w:color="auto"/>
          <w:color w:val="auto"/>
        </w:rPr>
        <w:t>Information Rights</w:t>
      </w:r>
      <w:r>
        <w:rPr>
          <w:rFonts w:ascii="Times New Roman" w:cs="Times New Roman" w:eastAsia="Times New Roman" w:hAnsi="Times New Roman"/>
          <w:sz w:val="18"/>
          <w:szCs w:val="18"/>
          <w:color w:val="auto"/>
        </w:rPr>
        <w:t>”). Any such information provided to the Registered Holder pursuant to the Information Rights shall be used by the Registered Holder solely for such regulatory, accounting and reporting requirements. Notwithstanding anything in this Section 6(h) to the contrary, if in connection with a Liquidation Transaction (as defined below) the Registered Holder receives securities of a privately held company, then the Information Rights described in this Section 6(h) shall be deemed to continue to apply to such company which shall be obligated by the provisions hereof.</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20" w:name="page421"/>
    <w:bookmarkEnd w:id="420"/>
    <w:p>
      <w:pPr>
        <w:ind w:left="640" w:hanging="632"/>
        <w:spacing w:after="0"/>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 Rights; Voting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56"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Stock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the Original Date of Issuance may not be amended, modified or waived by the Company without the prior written consent of the Registered Holder unless such amendment, modification or waiver affects the rights under the Investors’ Rights Agreement associated with the Warrant Stock in the same manner as such amendment, modification, or waiver affects the rights under the Investors’ Rights Agreement associated with all other shares of the same series and class of stock as the Warrant Stock.</w:t>
      </w:r>
    </w:p>
    <w:p>
      <w:pPr>
        <w:spacing w:after="0" w:line="18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Stock issuable pursuant to this Warrant shall be subject to the “Drag Along Right” set forth in Section 4 of the Voting Agreement, subject to the conditions set forth therein which section is incorporated herein by reference.</w:t>
      </w:r>
    </w:p>
    <w:p>
      <w:pPr>
        <w:spacing w:after="0" w:line="158" w:lineRule="exact"/>
        <w:rPr>
          <w:sz w:val="20"/>
          <w:szCs w:val="20"/>
          <w:color w:val="auto"/>
        </w:rPr>
      </w:pPr>
    </w:p>
    <w:p>
      <w:pPr>
        <w:ind w:firstLine="8"/>
        <w:spacing w:after="0" w:line="286" w:lineRule="auto"/>
        <w:tabs>
          <w:tab w:leader="none" w:pos="69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Warrant (and the right to purchase securities upon exercise hereof) shall terminate upon the earliest to occur of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hanging="652"/>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(10th) anniversary of the Original Date of Issuance first set forth above,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Transaction (as defined in the Company’s Certificate of Incorporation),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 IPO,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that the Registered Holder shall be given reasonable notice of such Liquidation Transaction or IPO (and the Company shall use commercially reasonable efforts to provide such notice at least 5 business days in advance of the Liquidation Transaction or IPO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opportunity to exercise this Warrant prior to or concurrently with such Liquidation Transaction or IPO.</w:t>
      </w:r>
    </w:p>
    <w:p>
      <w:pPr>
        <w:spacing w:after="0" w:line="172" w:lineRule="exact"/>
        <w:rPr>
          <w:sz w:val="20"/>
          <w:szCs w:val="20"/>
          <w:color w:val="auto"/>
        </w:rPr>
      </w:pPr>
    </w:p>
    <w:p>
      <w:pPr>
        <w:ind w:left="640" w:hanging="632"/>
        <w:spacing w:after="0"/>
        <w:tabs>
          <w:tab w:leader="none" w:pos="6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 of Certain Transactions</w:t>
      </w:r>
      <w:r>
        <w:rPr>
          <w:rFonts w:ascii="Times New Roman" w:cs="Times New Roman" w:eastAsia="Times New Roman" w:hAnsi="Times New Roman"/>
          <w:sz w:val="18"/>
          <w:szCs w:val="18"/>
          <w:color w:val="auto"/>
        </w:rPr>
        <w:t>. In case:</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 record of the holders of its outstanding stock of the same class as the Warrant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Company, any reclassification of the capital stock of the Company, any consolidation or merger of the Company, or any Liquidation Transaction,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color w:val="auto"/>
        </w:rPr>
        <w:t>then, and in each such case, the Company will mail or cause to be mailed to the Registered Holder of this Warrant a notice specifying, as the case may be,</w:t>
      </w:r>
    </w:p>
    <w:p>
      <w:pPr>
        <w:spacing w:after="0" w:line="27" w:lineRule="exact"/>
        <w:rPr>
          <w:sz w:val="20"/>
          <w:szCs w:val="20"/>
          <w:color w:val="auto"/>
        </w:rPr>
      </w:pPr>
    </w:p>
    <w:p>
      <w:pPr>
        <w:jc w:val="both"/>
        <w:ind w:firstLine="8"/>
        <w:spacing w:after="0" w:line="251" w:lineRule="auto"/>
        <w:tabs>
          <w:tab w:leader="none" w:pos="22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stock of the same class as the Warrant Stock (or such other stock or securities at the time deliverable upon such reorganization, reclassification, consolidation, merger, transfer, dissolution, liquidation, winding--up, redemption or conversion) are to be determined. Such notice shall be mailed at least 5 business days prior to the record date or effective date for the event specified in such notice. In addition, the Company shall use commercially reasonable efforts to provide the Registered Holder with prompt written notice of any amendment to the term “Liquidation Transaction” set forth in the Company’s Certificate of Incorporation.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stock as the Warrant Stock.</w:t>
      </w:r>
    </w:p>
    <w:p>
      <w:pPr>
        <w:spacing w:after="0" w:line="188" w:lineRule="exact"/>
        <w:rPr>
          <w:sz w:val="20"/>
          <w:szCs w:val="20"/>
          <w:color w:val="auto"/>
        </w:rPr>
      </w:pPr>
    </w:p>
    <w:p>
      <w:pPr>
        <w:jc w:val="both"/>
        <w:ind w:firstLine="8"/>
        <w:spacing w:after="0" w:line="262" w:lineRule="auto"/>
        <w:tabs>
          <w:tab w:leader="none" w:pos="69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Replacement of Warrants</w:t>
      </w:r>
      <w:r>
        <w:rPr>
          <w:rFonts w:ascii="Times New Roman" w:cs="Times New Roman" w:eastAsia="Times New Roman" w:hAnsi="Times New Roman"/>
          <w:sz w:val="18"/>
          <w:szCs w:val="18"/>
          <w:color w:val="auto"/>
        </w:rPr>
        <w:t>. Upon receipt of evidence reasonably satisfactory to the Company of the loss, theft, destruction or mutilation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76" w:lineRule="exact"/>
        <w:rPr>
          <w:rFonts w:ascii="Times New Roman" w:cs="Times New Roman" w:eastAsia="Times New Roman" w:hAnsi="Times New Roman"/>
          <w:sz w:val="18"/>
          <w:szCs w:val="18"/>
          <w:color w:val="auto"/>
        </w:rPr>
      </w:pPr>
    </w:p>
    <w:p>
      <w:pPr>
        <w:ind w:firstLine="8"/>
        <w:spacing w:after="0" w:line="286" w:lineRule="auto"/>
        <w:tabs>
          <w:tab w:leader="none" w:pos="602"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Rights as Stockholder</w:t>
      </w:r>
      <w:r>
        <w:rPr>
          <w:rFonts w:ascii="Times New Roman" w:cs="Times New Roman" w:eastAsia="Times New Roman" w:hAnsi="Times New Roman"/>
          <w:sz w:val="18"/>
          <w:szCs w:val="18"/>
          <w:color w:val="auto"/>
        </w:rPr>
        <w:t>. Until the exercise of this Warrant, the Registered Holder of this Warrant shall not have or exercise any rights by virtue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as a stockholder of the Company.</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666"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shares of Warrant Stock will be issued in connection with any exercise hereunder.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which would otherwise be issuable, the Company shall pay cash equal to the product of such fraction multiplied by the fair market value of one share of Warrant Stock on the date of exercise, as determined in accordance with Section 2(d)(ii).</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747"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 of Representations</w:t>
      </w:r>
      <w:r>
        <w:rPr>
          <w:rFonts w:ascii="Times New Roman" w:cs="Times New Roman" w:eastAsia="Times New Roman" w:hAnsi="Times New Roman"/>
          <w:sz w:val="18"/>
          <w:szCs w:val="18"/>
          <w:color w:val="auto"/>
        </w:rPr>
        <w:t>. Unless otherwise set forth in this Warrant, the representations, warranties and covenants contained in or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Warrant shall survive the execution and delivery of this Warrant.</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652"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any action at law or in equity (including arbitration) is necessary to enforce or interpret the terms of any of this Warrant,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prevailing party shall be entitled to reasonable attorney’s fees, costs and necessary disbursements in addition to any other relief to which such party may be entitled.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2" w:name="page423"/>
    <w:bookmarkEnd w:id="422"/>
    <w:p>
      <w:pPr>
        <w:ind w:left="592" w:hanging="592"/>
        <w:spacing w:after="0"/>
        <w:tabs>
          <w:tab w:leader="none" w:pos="592"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hanging="652"/>
        <w:spacing w:after="0" w:line="254" w:lineRule="auto"/>
        <w:tabs>
          <w:tab w:leader="none" w:pos="6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color w:val="auto"/>
        </w:rPr>
        <w:t>. In the event that the Registered Holder proposes to sell, pledge or otherwise transfer to a third party any Securities,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Securities, the Company shall have a right of first refusal with respect to all or any portion of such Securities (the “</w:t>
      </w:r>
      <w:r>
        <w:rPr>
          <w:rFonts w:ascii="Times New Roman" w:cs="Times New Roman" w:eastAsia="Times New Roman" w:hAnsi="Times New Roman"/>
          <w:sz w:val="18"/>
          <w:szCs w:val="18"/>
          <w:u w:val="single" w:color="auto"/>
          <w:color w:val="auto"/>
        </w:rPr>
        <w:t>Right of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Refusal</w:t>
      </w:r>
      <w:r>
        <w:rPr>
          <w:rFonts w:ascii="Times New Roman" w:cs="Times New Roman" w:eastAsia="Times New Roman" w:hAnsi="Times New Roman"/>
          <w:sz w:val="18"/>
          <w:szCs w:val="18"/>
          <w:color w:val="auto"/>
        </w:rPr>
        <w:t>”). If the Registered Holder desires to transfer Securities, the Registered Holder shall give a written notice of transfer to the Company describing fully the proposed transfer, including the number of Securities proposed to be transferred, the proposed transfer price, the name and address of the proposed transferee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proof satisfactory to the Company that the proposed sale or transfer will not violate any applicable federal, state or foreign securities laws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The Transfer Notice shall be signed both by the Registered Holder and by the proposed Transferee and must constitute a binding commitment of both parties to the transfer of the Securities. The Company shall have the right to purchase all or any portion of the Securities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5" w:lineRule="exact"/>
        <w:rPr>
          <w:rFonts w:ascii="Times New Roman" w:cs="Times New Roman" w:eastAsia="Times New Roman" w:hAnsi="Times New Roman"/>
          <w:sz w:val="18"/>
          <w:szCs w:val="18"/>
          <w:color w:val="auto"/>
        </w:rPr>
      </w:pPr>
    </w:p>
    <w:p>
      <w:pPr>
        <w:jc w:val="both"/>
        <w:ind w:left="652" w:hanging="652"/>
        <w:spacing w:after="0" w:line="254" w:lineRule="auto"/>
        <w:tabs>
          <w:tab w:leader="none" w:pos="6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receiving the Transfer Notice,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may, not later than 90 days after the Company received the Transfer Notice, conclude a transfer of the Securities subject to the Transfer Notice on the terms and conditions described in the Transfer Notice, provided that any such sale is made in compliance with applicable federal, state and foreign securities laws and not in violation of any other contractual restrictions to which the Registered Holder is bound. Any proposed transfer on terms and conditions different from those described in the Transfer Notice, as well as any subsequent proposed transfer by the Registered Holder, shall again be subject to the Right of First Refusal and shall require compliance with the procedure described in subsection (a) above. If the Company exercises its Right of First Refusal, the parties shall consummate the sale of the Securities on the terms set forth in the Transfer Notice within 60 days after the Company received the Transfer Notice (or within such longer period as may have been specified in the Transfer Notice); provided, however, that in the event the Transfer Notice provided that payment for the Securities was to be made in a form other than cash or cash equivalents paid at the time of transfer, the Company shall have the option of paying for the Securities with cash or cash equivalents equal to the present value of the consideration described in the Transfer Notice.</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with or into another entity,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Securities subject to this Section 15 shall immediately be subject to the Right of First Refusal. Appropriate adjustments to reflect the exchange or distribution of such securities or property shall be made to the number and/or class of the Securities subject to this Section 15.</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Right of First Refusal</w:t>
      </w:r>
      <w:r>
        <w:rPr>
          <w:rFonts w:ascii="Times New Roman" w:cs="Times New Roman" w:eastAsia="Times New Roman" w:hAnsi="Times New Roman"/>
          <w:sz w:val="18"/>
          <w:szCs w:val="18"/>
          <w:color w:val="auto"/>
        </w:rPr>
        <w:t>. Any other provision of this Section 15 notwithstanding, in the event that the shares of Warrant Stock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readily tradable on an established securities market when the Registered Holder desires to transfer Securities, the Company shall have no Right of First Refusal, and the Registered Holder shall have no obligation to comply with the procedures prescribed by this Section 15.</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23" w:name="page424"/>
    <w:bookmarkEnd w:id="423"/>
    <w:p>
      <w:pPr>
        <w:jc w:val="both"/>
        <w:ind w:left="652" w:hanging="652"/>
        <w:spacing w:after="0" w:line="262" w:lineRule="auto"/>
        <w:tabs>
          <w:tab w:leader="none" w:pos="65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Permitted Transfers</w:t>
      </w:r>
      <w:r>
        <w:rPr>
          <w:rFonts w:ascii="Times New Roman" w:cs="Times New Roman" w:eastAsia="Times New Roman" w:hAnsi="Times New Roman"/>
          <w:sz w:val="18"/>
          <w:szCs w:val="18"/>
          <w:color w:val="auto"/>
        </w:rPr>
        <w:t>. This Section 15 shall not apply to a transfer to an affiliate (as defined in Rule 405 under the Securities 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Holder, provided that the transferee agrees in writing on a form prescribed by the Company to be bound by all provisions of this Warrant. If the Registered Holder transfers any Securities, either under this subsection (e) or after the Company has failed to exercise the Right of First Refusal, then this Warrant shall apply to the transferee to the same extent as to the Registered Holder.</w:t>
      </w:r>
    </w:p>
    <w:p>
      <w:pPr>
        <w:spacing w:after="0" w:line="176"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the consideration for the shares of Warrant Stock to be purchased in accordance with this Section 15, then after such time the person from whom such shares of Warrant Stock are to be purchased shall no longer have any rights as a holder of such shares (other than the right to receive payment of such consideration in accordance with this Warrant). Such shares of Warrant Stock shall be deemed to have been purchased in accordance with the applicable provisions hereof, whether or not the certificate(s) therefor have been delivered as required by this Warrant.</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7" w:lineRule="auto"/>
        <w:tabs>
          <w:tab w:leader="none" w:pos="65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of Right of First Refusal</w:t>
      </w:r>
      <w:r>
        <w:rPr>
          <w:rFonts w:ascii="Times New Roman" w:cs="Times New Roman" w:eastAsia="Times New Roman" w:hAnsi="Times New Roman"/>
          <w:sz w:val="18"/>
          <w:szCs w:val="18"/>
          <w:color w:val="auto"/>
        </w:rPr>
        <w:t>. Following the delivery of a Transfer Notice to the Company, the Board may freely assign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First Refusal, in whole or in part. The transferee shall have the right to purchase all or any portion of the Securities on the terms of the proposal described in the Transfer Notice (subject, however, to any change in such terms permitted under subsection (b) above) by delivery of a notice of exercise of the Right of First Refusal within 30 days after the date on which the Transfer Notice was received by the Company. Any person or entity who accepts an assignment of the Right of First Refusal from the Company shall assume all of the Company’s rights and obligations under this Section 15.</w:t>
      </w:r>
    </w:p>
    <w:p>
      <w:pPr>
        <w:spacing w:after="0" w:line="182" w:lineRule="exact"/>
        <w:rPr>
          <w:sz w:val="20"/>
          <w:szCs w:val="20"/>
          <w:color w:val="auto"/>
        </w:rPr>
      </w:pPr>
    </w:p>
    <w:p>
      <w:pPr>
        <w:ind w:left="632" w:hanging="632"/>
        <w:spacing w:after="0"/>
        <w:tabs>
          <w:tab w:leader="none" w:pos="63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hanging="652"/>
        <w:spacing w:after="0" w:line="268" w:lineRule="auto"/>
        <w:tabs>
          <w:tab w:leader="none" w:pos="65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Warrant, and all acts and transactions pursuant hereto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obligations of the parties hereto shall be governed, construed and interpreted in accordance with the laws of the state of Delaware, without giving effect to principles of conflicts of law.</w:t>
      </w:r>
    </w:p>
    <w:p>
      <w:pPr>
        <w:spacing w:after="0" w:line="170" w:lineRule="exact"/>
        <w:rPr>
          <w:rFonts w:ascii="Times New Roman" w:cs="Times New Roman" w:eastAsia="Times New Roman" w:hAnsi="Times New Roman"/>
          <w:sz w:val="18"/>
          <w:szCs w:val="18"/>
          <w:color w:val="auto"/>
        </w:rPr>
      </w:pPr>
    </w:p>
    <w:p>
      <w:pPr>
        <w:ind w:left="652" w:hanging="652"/>
        <w:spacing w:after="0" w:line="286" w:lineRule="auto"/>
        <w:tabs>
          <w:tab w:leader="none" w:pos="65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With respect to any conflicts arising out of or related to this Warrant, the parties consent to the exclusive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venue in, the federal and state courts in Delaware.</w:t>
      </w:r>
    </w:p>
    <w:p>
      <w:pPr>
        <w:spacing w:after="0" w:line="154"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Warrant, together with the Agreement, sets forth the entire agreement and understanding of the parties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herein and supersedes all prior or contemporaneous discussions, understandings and agreements, whether oral or written, between them relating to the subject matter hereof.</w:t>
      </w:r>
    </w:p>
    <w:p>
      <w:pPr>
        <w:spacing w:after="0" w:line="170"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No modification of or amendment to this Warrant, nor any waiver of any rights under this Warrant, shall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in writing signed by the Company and the Registered Holder. No delay or failure to require performance of any provision of this Warrant shall constitute a waiver of that provision as to that or any other instance.</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24" w:name="page425"/>
    <w:bookmarkEnd w:id="424"/>
    <w:p>
      <w:pPr>
        <w:ind w:left="660" w:hanging="652"/>
        <w:spacing w:after="0" w:line="286" w:lineRule="auto"/>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rights and obligations of the Company and the Registered Holder shall be binding upon and benefit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assigns and permitted transferees of the parties.</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or request required or permitted to be given under this Warrant shall be in writing and shall be delivered personally,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Warrant becomes or is declared by a court of competent jurisdiction to be illegal, unenforceable or 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This Warrant is the result of negotiations between and has been reviewed by each of the parties hereto and their respective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accordingly, this Warrant shall be deemed to be the product of all of the parties hereto, and no ambiguity shall be construed in favor of or against any one of the parties hereto.</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Titles and Subtitles</w:t>
      </w:r>
      <w:r>
        <w:rPr>
          <w:rFonts w:ascii="Times New Roman" w:cs="Times New Roman" w:eastAsia="Times New Roman" w:hAnsi="Times New Roman"/>
          <w:sz w:val="18"/>
          <w:szCs w:val="18"/>
          <w:color w:val="auto"/>
        </w:rPr>
        <w:t>. The titles and subtitles used in this Warrant are included for convenience only and are not to be considered in construing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interpreting this Warrant.</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Warrant may be executed in any number of counterparts, each of which shall be deemed an original, and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5" w:name="page426"/>
    <w:bookmarkEnd w:id="425"/>
    <w:p>
      <w:pPr>
        <w:ind w:left="660"/>
        <w:spacing w:after="0"/>
        <w:rPr>
          <w:sz w:val="20"/>
          <w:szCs w:val="20"/>
          <w:color w:val="auto"/>
        </w:rPr>
      </w:pPr>
      <w:r>
        <w:rPr>
          <w:rFonts w:ascii="Times New Roman" w:cs="Times New Roman" w:eastAsia="Times New Roman" w:hAnsi="Times New Roman"/>
          <w:sz w:val="17"/>
          <w:szCs w:val="17"/>
          <w:color w:val="auto"/>
        </w:rPr>
        <w:t>IN WITNESS WHEREOF, the Company and the Registered Holder have executed this Warrant as of the date first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Max Levchin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650 California Street, 12th Floor, San Francisco, CA 94108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legalnotices@affirm.com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REGISTERED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SHOPIFY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Amy Shapero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Amy Shapero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150 Elgin Street, 8th Floor, Ottawa, Ontario, CA, K2P 1L4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contract_notices@shopify.com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6" w:name="page427"/>
    <w:bookmarkEnd w:id="42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OF WARRANT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Up to an aggregate of </w:t>
      </w:r>
      <w:r>
        <w:rPr>
          <w:rFonts w:ascii="Times New Roman" w:cs="Times New Roman" w:eastAsia="Times New Roman" w:hAnsi="Times New Roman"/>
          <w:sz w:val="18"/>
          <w:szCs w:val="18"/>
          <w:b w:val="1"/>
          <w:bCs w:val="1"/>
          <w:color w:val="auto"/>
        </w:rPr>
        <w:t>15,223,197</w:t>
      </w:r>
      <w:r>
        <w:rPr>
          <w:rFonts w:ascii="Times New Roman" w:cs="Times New Roman" w:eastAsia="Times New Roman" w:hAnsi="Times New Roman"/>
          <w:sz w:val="18"/>
          <w:szCs w:val="18"/>
          <w:color w:val="auto"/>
        </w:rPr>
        <w:t xml:space="preserve"> shares of Common Stock (subject to adjustment as provided in the Warrant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 the “</w:t>
      </w:r>
      <w:r>
        <w:rPr>
          <w:rFonts w:ascii="Times New Roman" w:cs="Times New Roman" w:eastAsia="Times New Roman" w:hAnsi="Times New Roman"/>
          <w:sz w:val="18"/>
          <w:szCs w:val="18"/>
          <w:u w:val="single" w:color="auto"/>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which will vest and become exercisable as follows: the Total Shares (the “</w:t>
      </w:r>
      <w:r>
        <w:rPr>
          <w:rFonts w:ascii="Times New Roman" w:cs="Times New Roman" w:eastAsia="Times New Roman" w:hAnsi="Times New Roman"/>
          <w:sz w:val="18"/>
          <w:szCs w:val="18"/>
          <w:u w:val="single" w:color="auto"/>
          <w:color w:val="auto"/>
        </w:rPr>
        <w:t>75% Amount</w:t>
      </w:r>
      <w:r>
        <w:rPr>
          <w:rFonts w:ascii="Times New Roman" w:cs="Times New Roman" w:eastAsia="Times New Roman" w:hAnsi="Times New Roman"/>
          <w:sz w:val="18"/>
          <w:szCs w:val="18"/>
          <w:color w:val="auto"/>
        </w:rPr>
        <w:t>”) shall vest monthly, in equal amounts (the 75% Amount/36 months), commencing on the first monthly anniversary date of the effective date of the Agreement following the date of launch of the GA Phase (as defined in the Program Outline for the Program, each as defined in the Agreement), and continuing on each monthly anniversary date of the effective date of the Agreement; provided, however, that the amount vested monthly shall be doubled (2 *(the 75% Amount/36 months)) for that number of months equal to the number of months between the effective date of the Agreement and the date of the first vesting of the 75% Amount, such that vesting of the full 75% Amount shall conclude on the 3-year anniversary of the effective date of the Agreement; provided, further, that no vesting of the 75% Amount shall occur following the termination of the Agreement in accordance with the terms thereof.</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vesting of the Total Shares shall be accelerated and the Total Shares shall be fully vested effective upon the earlier of (i) termination of the Agreement by Affirm, Inc. in accordance with Section 11.3 (Termination for Convenience) of the Agreement, (ii) immediately prior to a Liquidation Transaction, and (iii) immediately prior to consummation of an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herein without definition will have the meanings assigned thereto in the Warrant.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7" w:name="page428"/>
    <w:bookmarkEnd w:id="42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PURCHASE/EXERCISE FORM</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Affirm Holdings, Inc.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ectPr>
          <w:pgSz w:w="11900" w:h="16838" w:orient="portrait"/>
          <w:cols w:equalWidth="0" w:num="3">
            <w:col w:w="900" w:space="260"/>
            <w:col w:w="5780" w:space="720"/>
            <w:col w:w="358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pursuant to the provisions set forth in the attached Warrant No._____, hereby irrevocably elects to:</w:t>
      </w:r>
    </w:p>
    <w:p>
      <w:pPr>
        <w:spacing w:after="0" w:line="225" w:lineRule="exact"/>
        <w:rPr>
          <w:sz w:val="20"/>
          <w:szCs w:val="20"/>
          <w:color w:val="auto"/>
        </w:rPr>
      </w:pPr>
    </w:p>
    <w:p>
      <w:pPr>
        <w:ind w:left="660" w:hanging="652"/>
        <w:spacing w:after="0" w:line="261" w:lineRule="auto"/>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____________________ shares of the capital stock covered by such Warrant and herewith makes payment of $______________________, representing the full purchase price for such shares at the price per share provided for in such Warrant,</w:t>
      </w:r>
    </w:p>
    <w:p>
      <w:pP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ind w:left="660" w:hanging="652"/>
        <w:spacing w:after="0" w:line="282" w:lineRule="auto"/>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exercise such Warrant for __________________ shares purchasable under the Warrant pursuant to the Net Issue Exercise provisions of Section 2(d) of such Warrant.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of the Registered Holder set forth in the Warrant and by its signature below hereby makes such representations and warranties to the Company. Defined terms contained in this form shall have the meanings assigned to them in the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 TO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Shopify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28" w:name="page429"/>
    <w:bookmarkEnd w:id="428"/>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_______________________________________ hereby sells, assigns and transfers all of the rights of the undersigned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attached Warrant with respect to the number of shares of capital stock covered thereby set forth below, unto:</w:t>
      </w:r>
    </w:p>
    <w:p>
      <w:pPr>
        <w:sectPr>
          <w:pgSz w:w="11900" w:h="16838" w:orient="portrait"/>
          <w:cols w:equalWidth="0" w:num="1">
            <w:col w:w="11240"/>
          </w:cols>
          <w:pgMar w:left="320" w:top="900" w:right="339" w:bottom="1440" w:gutter="0" w:footer="0" w:header="0"/>
        </w:sectPr>
      </w:pP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u w:val="single" w:color="auto"/>
          <w:color w:val="auto"/>
        </w:rPr>
        <w:t>Name of Assignee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Address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 of Shares</w:t>
      </w:r>
    </w:p>
    <w:p>
      <w:pPr>
        <w:spacing w:after="0" w:line="200" w:lineRule="exact"/>
        <w:rPr>
          <w:sz w:val="20"/>
          <w:szCs w:val="20"/>
          <w:color w:val="auto"/>
        </w:rPr>
      </w:pPr>
    </w:p>
    <w:p>
      <w:pPr>
        <w:sectPr>
          <w:pgSz w:w="11900" w:h="16838" w:orient="portrait"/>
          <w:cols w:equalWidth="0" w:num="3">
            <w:col w:w="5160" w:space="720"/>
            <w:col w:w="2720" w:space="720"/>
            <w:col w:w="192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 TO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This Adoption Agreement (“</w:t>
      </w:r>
      <w:r>
        <w:rPr>
          <w:rFonts w:ascii="Times New Roman" w:cs="Times New Roman" w:eastAsia="Times New Roman" w:hAnsi="Times New Roman"/>
          <w:sz w:val="18"/>
          <w:szCs w:val="18"/>
          <w:u w:val="single" w:color="auto"/>
          <w:color w:val="auto"/>
        </w:rPr>
        <w:t>Adoption Agreement</w:t>
      </w:r>
      <w:r>
        <w:rPr>
          <w:rFonts w:ascii="Times New Roman" w:cs="Times New Roman" w:eastAsia="Times New Roman" w:hAnsi="Times New Roman"/>
          <w:sz w:val="18"/>
          <w:szCs w:val="18"/>
          <w:color w:val="auto"/>
        </w:rPr>
        <w:t>”) is executed by the undersigned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pursuant to the terms of that certain Amended and Restated Voting Agreement dated as of June 18, 2019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Affirm Holdings, Inc., a Delaware corporation (the “Company”) and certain of its stockholders. Capitalized terms used but not defined herein shall have the respective meanings ascribed to such terms in the Agreement. By the execution of this Adoption Agreement, the Holder agrees as follows:</w:t>
      </w:r>
    </w:p>
    <w:p>
      <w:pPr>
        <w:spacing w:after="0" w:line="180" w:lineRule="exact"/>
        <w:rPr>
          <w:sz w:val="20"/>
          <w:szCs w:val="20"/>
          <w:color w:val="auto"/>
        </w:rPr>
      </w:pPr>
    </w:p>
    <w:p>
      <w:pPr>
        <w:ind w:firstLine="656"/>
        <w:spacing w:after="0" w:line="282" w:lineRule="auto"/>
        <w:tabs>
          <w:tab w:leader="none" w:pos="102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w:t>
      </w:r>
      <w:r>
        <w:rPr>
          <w:rFonts w:ascii="Times New Roman" w:cs="Times New Roman" w:eastAsia="Times New Roman" w:hAnsi="Times New Roman"/>
          <w:sz w:val="18"/>
          <w:szCs w:val="18"/>
          <w:color w:val="auto"/>
        </w:rPr>
        <w:t>t. Holder acknowledges that Holder is acquiring certain shares of the capital stock of the Company (the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or options, warrants or other rights to acquire such Stock, for one of the following reasons (Check the appropriate box):</w:t>
      </w:r>
    </w:p>
    <w:p>
      <w:pPr>
        <w:spacing w:after="0" w:line="161" w:lineRule="exact"/>
        <w:rPr>
          <w:rFonts w:ascii="Times New Roman" w:cs="Times New Roman" w:eastAsia="Times New Roman" w:hAnsi="Times New Roman"/>
          <w:sz w:val="18"/>
          <w:szCs w:val="18"/>
          <w:color w:val="auto"/>
        </w:rPr>
      </w:pPr>
    </w:p>
    <w:p>
      <w:pPr>
        <w:ind w:left="2040" w:hanging="1020"/>
        <w:spacing w:after="0" w:line="282" w:lineRule="auto"/>
        <w:tabs>
          <w:tab w:leader="none" w:pos="2040" w:val="left"/>
        </w:tabs>
        <w:numPr>
          <w:ilvl w:val="1"/>
          <w:numId w:val="2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a transferee of Shares from a party in such party’s capacity as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bound by the Agreement, and after such transfer, Holder shall be considered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for all purposes of the Agreement.</w:t>
      </w:r>
    </w:p>
    <w:p>
      <w:pPr>
        <w:spacing w:after="0" w:line="161" w:lineRule="exact"/>
        <w:rPr>
          <w:rFonts w:ascii="MS PGothic" w:cs="MS PGothic" w:eastAsia="MS PGothic" w:hAnsi="MS PGothic"/>
          <w:sz w:val="18"/>
          <w:szCs w:val="18"/>
          <w:color w:val="auto"/>
        </w:rPr>
      </w:pPr>
    </w:p>
    <w:p>
      <w:pPr>
        <w:ind w:left="2040" w:right="20" w:hanging="1020"/>
        <w:spacing w:after="0" w:line="282" w:lineRule="auto"/>
        <w:tabs>
          <w:tab w:leader="none" w:pos="2040" w:val="left"/>
        </w:tabs>
        <w:numPr>
          <w:ilvl w:val="1"/>
          <w:numId w:val="2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a transferee of Shares from a party in such party’s capacity as a “</w:t>
      </w:r>
      <w:r>
        <w:rPr>
          <w:rFonts w:ascii="Times New Roman" w:cs="Times New Roman" w:eastAsia="Times New Roman" w:hAnsi="Times New Roman"/>
          <w:sz w:val="18"/>
          <w:szCs w:val="18"/>
          <w:u w:val="single" w:color="auto"/>
          <w:color w:val="auto"/>
        </w:rPr>
        <w:t>Common Holder</w:t>
      </w:r>
      <w:r>
        <w:rPr>
          <w:rFonts w:ascii="Times New Roman" w:cs="Times New Roman" w:eastAsia="Times New Roman" w:hAnsi="Times New Roman"/>
          <w:sz w:val="18"/>
          <w:szCs w:val="18"/>
          <w:color w:val="auto"/>
        </w:rPr>
        <w:t>” bound by the Agreement, and after such transfer, Holder shall be considered a “</w:t>
      </w:r>
      <w:r>
        <w:rPr>
          <w:rFonts w:ascii="Times New Roman" w:cs="Times New Roman" w:eastAsia="Times New Roman" w:hAnsi="Times New Roman"/>
          <w:sz w:val="18"/>
          <w:szCs w:val="18"/>
          <w:u w:val="single" w:color="auto"/>
          <w:color w:val="auto"/>
        </w:rPr>
        <w:t>Common Holder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for all purposes of the Agreement.</w:t>
      </w:r>
    </w:p>
    <w:p>
      <w:pPr>
        <w:spacing w:after="0" w:line="161" w:lineRule="exact"/>
        <w:rPr>
          <w:rFonts w:ascii="MS PGothic" w:cs="MS PGothic" w:eastAsia="MS PGothic" w:hAnsi="MS PGothic"/>
          <w:sz w:val="18"/>
          <w:szCs w:val="18"/>
          <w:color w:val="auto"/>
        </w:rPr>
      </w:pPr>
    </w:p>
    <w:p>
      <w:pPr>
        <w:ind w:left="2040" w:hanging="1020"/>
        <w:spacing w:after="0" w:line="282" w:lineRule="auto"/>
        <w:tabs>
          <w:tab w:leader="none" w:pos="2040" w:val="left"/>
        </w:tabs>
        <w:numPr>
          <w:ilvl w:val="1"/>
          <w:numId w:val="2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a new Investor in accordance with Section 5.4(a) of the Agreement, in which case Holder will be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for all purposes of the Agreement.</w:t>
      </w:r>
    </w:p>
    <w:p>
      <w:pPr>
        <w:spacing w:after="0" w:line="162" w:lineRule="exact"/>
        <w:rPr>
          <w:sz w:val="20"/>
          <w:szCs w:val="20"/>
          <w:color w:val="auto"/>
        </w:rPr>
      </w:pPr>
    </w:p>
    <w:p>
      <w:pPr>
        <w:ind w:left="2040" w:right="20" w:hanging="1020"/>
        <w:spacing w:after="0" w:line="282" w:lineRule="auto"/>
        <w:tabs>
          <w:tab w:leader="none" w:pos="2040" w:val="left"/>
        </w:tabs>
        <w:numPr>
          <w:ilvl w:val="1"/>
          <w:numId w:val="2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accordance with Section 5.4(b) of the Agreement, as a new party who is not a new Investor, in which case Holder will be a “</w:t>
      </w:r>
      <w:r>
        <w:rPr>
          <w:rFonts w:ascii="Times New Roman" w:cs="Times New Roman" w:eastAsia="Times New Roman" w:hAnsi="Times New Roman"/>
          <w:sz w:val="18"/>
          <w:szCs w:val="18"/>
          <w:u w:val="single" w:color="auto"/>
          <w:color w:val="auto"/>
        </w:rPr>
        <w:t>Common Holder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for all purposes of the Agreement.</w:t>
      </w:r>
    </w:p>
    <w:p>
      <w:pPr>
        <w:spacing w:after="0" w:line="377" w:lineRule="exact"/>
        <w:rPr>
          <w:rFonts w:ascii="MS PGothic" w:cs="MS PGothic" w:eastAsia="MS PGothic" w:hAnsi="MS PGothic"/>
          <w:sz w:val="18"/>
          <w:szCs w:val="18"/>
          <w:color w:val="auto"/>
        </w:rPr>
      </w:pPr>
    </w:p>
    <w:p>
      <w:pPr>
        <w:ind w:firstLine="656"/>
        <w:spacing w:after="0" w:line="282" w:lineRule="auto"/>
        <w:tabs>
          <w:tab w:leader="none" w:pos="102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Holder (a) agrees that the Stock acquired by Holder shall be bound by and subject to the terms of the Agreement, and (b) hereby adopts the Agreement with the same force and effect as if Holder were originally a Party thereto.</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Holder at the address listed beside Holder’s signature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0" w:name="page431"/>
    <w:bookmarkEnd w:id="430"/>
    <w:p>
      <w:pPr>
        <w:ind w:left="1960"/>
        <w:spacing w:after="0"/>
        <w:rPr>
          <w:sz w:val="20"/>
          <w:szCs w:val="20"/>
          <w:color w:val="auto"/>
        </w:rPr>
      </w:pPr>
      <w:r>
        <w:rPr>
          <w:rFonts w:ascii="Times New Roman" w:cs="Times New Roman" w:eastAsia="Times New Roman" w:hAnsi="Times New Roman"/>
          <w:sz w:val="18"/>
          <w:szCs w:val="18"/>
          <w:b w:val="1"/>
          <w:bCs w:val="1"/>
          <w:color w:val="auto"/>
        </w:rPr>
        <w:t xml:space="preserve">EXECUTED AND DATED </w:t>
      </w:r>
      <w:r>
        <w:rPr>
          <w:rFonts w:ascii="Times New Roman" w:cs="Times New Roman" w:eastAsia="Times New Roman" w:hAnsi="Times New Roman"/>
          <w:sz w:val="18"/>
          <w:szCs w:val="18"/>
          <w:color w:val="auto"/>
        </w:rPr>
        <w:t>this _____ day of _____________, 20___.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SHOPIFY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150 Elgin Street, 8th Floor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Ottawa,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Canada, K2P 1L4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18"/>
          <w:szCs w:val="18"/>
          <w:color w:val="auto"/>
        </w:rPr>
        <w:t>contract notices@shopify.com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6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6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6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31" w:name="page432"/>
    <w:bookmarkEnd w:id="4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TO INVESTORS’ RIGHTS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Amended and Restated Investors’ Rights Agreement, solely for purposes of 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Section 3 of such Amended and Restated Investors’ Rights Agreement, as of the date set forth below.</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SHOPIFY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285432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857250</wp:posOffset>
            </wp:positionV>
            <wp:extent cx="355727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70">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574675</wp:posOffset>
            </wp:positionV>
            <wp:extent cx="355727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71">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291465</wp:posOffset>
            </wp:positionV>
            <wp:extent cx="355727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7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2012 STOCK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(Adopted by the Board on November 18, 2020; Approved by the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the Company on [•]; IPO Date on [•])</w:t>
      </w:r>
    </w:p>
    <w:p>
      <w:pPr>
        <w:spacing w:after="0" w:line="207" w:lineRule="exact"/>
        <w:rPr>
          <w:sz w:val="20"/>
          <w:szCs w:val="20"/>
          <w:color w:val="auto"/>
        </w:rPr>
      </w:pPr>
    </w:p>
    <w:p>
      <w:pPr>
        <w:jc w:val="both"/>
        <w:ind w:firstLine="656"/>
        <w:spacing w:after="0" w:line="258" w:lineRule="auto"/>
        <w:tabs>
          <w:tab w:leader="none" w:pos="1422"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Amended and Restated 2012 Stock Plan are to attract and retain the best available personnel for positions 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Restricted Stock Units and Other Awards may also be granted under the Plan.</w:t>
      </w:r>
    </w:p>
    <w:p>
      <w:pPr>
        <w:spacing w:after="0" w:line="183"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shall apply:</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11"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means any one person (within the meaning of Section 13(d) of the Exchange Act), or more than one such person acting as a group (as defined under Treasury Regulation § 1.409A-3(i)(5)(v)(B)), in each case, other than (i) the Company, (ii) any Subsidiary, Parent or Affiliate, (iii) any employee benefit plan sponsored by the Company or by any Subsidiary, Parent or Affiliate, (iv) an entity of which at least a majority of its Voting Power is owned directly or indirectly by the Company, (v) an entity owned directly or indirectly by the stockholders of the Company in substantially the same proportions as their ownership of Common Stock or (vi) an entity in which the holders of at least a majority of the Voting Power of the Company outstanding immediately prior to the relevant transaction continue to hold (either by their shares remaining outstanding in the continuing entity or by their shares being converted into securities of the surviving entity or its parent entity) a majority of the total Voting Power of the Company (or the surviving entity or its parent entity) outstanding immediately after such transaction.</w:t>
      </w:r>
    </w:p>
    <w:p>
      <w:pPr>
        <w:spacing w:after="0" w:line="19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its Committee appointed pursuant to Section 4 of the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521"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8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administration of Awards, including under applicable U.S. state corporate laws, U.S. federal and applicable state securities laws, other U.S. federal and state laws, the Code, any Stock Exchange rules or regulations and the applicable laws, rules and regulations of any other country or jurisdiction where Awards are granted under the Plan, as such laws, rules, regulations and requirements shall be in place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3" w:name="page434"/>
    <w:bookmarkEnd w:id="433"/>
    <w:p>
      <w:pPr>
        <w:ind w:firstLine="1304"/>
        <w:spacing w:after="0" w:line="282" w:lineRule="auto"/>
        <w:tabs>
          <w:tab w:leader="none" w:pos="217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except when referring to a particular category of grant under the Plan, shall include Incentive Stock Options, Non-statutory Stock Options, Restricted Stock Awards, Restricted Stock Units or any combination of the foregoing.</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29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xml:space="preserve">” means a written or electronic agreement setting forth the terms and provisions applicable to an Award granted under the Plan. Each Award Agreement may contain terms and conditions in addition to those set forth in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event of any conflict in the terms of the Plan and the Award Agreement, the terms of the Plan shall govern.</w:t>
      </w:r>
    </w:p>
    <w:p>
      <w:pPr>
        <w:spacing w:after="0" w:line="17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9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Cashless Transaction</w:t>
      </w:r>
      <w:r>
        <w:rPr>
          <w:rFonts w:ascii="Times New Roman" w:cs="Times New Roman" w:eastAsia="Times New Roman" w:hAnsi="Times New Roman"/>
          <w:sz w:val="18"/>
          <w:szCs w:val="18"/>
          <w:color w:val="auto"/>
        </w:rPr>
        <w:t>” means a program approved by the Administrator in which payment of the Option exercise price and/or Tax Withholding Obligations applicable to an Award may be satisfied, in whole or in part, with Shares subject to the Award,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applicable Tax Withholding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31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termination of a Holder’s Continuous Service Status will exist if the Holder is terminated by the Company for any of the following reasons: (i) Holder’s willful failure substantially to perform his or her duties and responsibilities to the Company or deliberate violation of a Company policy; (ii) Holder’s commission of any act of fraud, embezzlement, dishonesty or any other willful misconduct that has caused or is reasonably expected to result in material injury to the Company; (iii) unauthorized use or disclosure by Holder of any proprietary information or trade secrets of the Company or any other party to whom the Holder owes an obligation of nondisclosure as a result of his or her relationship with the Company; or (iv) Holder’s willful breach of any of his or her obligations under any written agreement or covenant with the Company. The determination as to whether a Holder is being terminated for Cause shall be made in good faith by the Company’s Board of Directors and shall be final and binding on the Holder. The foregoing definition does not in any way limit the Company’s ability to terminate a Holder’s employment or consulting relationship at any time as provided in Section 6(b) below, and 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be interpreted to include any Subsidiary, Parent or Affiliate, as appropriate.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37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(i) a majority of members of the Board is replaced during any 12-month period by Directors whose appointment or election is not endorsed by a majority of the members of the Board before the date of each appointment or election; (ii) an Acquiror acquires (or has acquired during the 12-month period ending on the date of the most recent acquisition by such Acquiror) all or substantially all of the Company’s assets; (iii) any merger, consolidation or other business combination transaction of the Company with or into an Acquiror; or (iv) an Acquiror acquires ownership of stock of the Company that, together with stock held by such Acquiror, constitutes more than 50% of the total fair market value or total Voting Power of the stock of the Company. Notwithstanding anything in this Plan to the contrary, (x)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of Control for purposes of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limitation shall only apply to the extent necessary to prevent any tax becoming due under Section 409A of the Code; and (y) a transaction shall not constitute a Change of Control if its sole purpose is to change the state of the Company’s incorporation, or to create a holding company that will be owned in substantially the same proportions by the persons who hold the Company’s securities immediately before such transaction.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4" w:name="page435"/>
    <w:bookmarkEnd w:id="434"/>
    <w:p>
      <w:pPr>
        <w:ind w:left="2180" w:hanging="876"/>
        <w:spacing w:after="0"/>
        <w:tabs>
          <w:tab w:leader="none" w:pos="21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5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one or more committees or subcommittees of the Board appointed by the Board to administer the Plan in accordance with Section 4 below.</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Affirm Holdings, Inc., a Delaware corporation.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3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who is engaged by the Company or any Parent, Subsidiary or Affiliate to render services and is compensated for such services, and any director of the Company whether compensated for such services or not, who satisfies the requirements of subsection (c)(1) of Rule 701 under the Securities Act of 1933, as amended.</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4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 Status</w:t>
      </w:r>
      <w:r>
        <w:rPr>
          <w:rFonts w:ascii="Times New Roman" w:cs="Times New Roman" w:eastAsia="Times New Roman" w:hAnsi="Times New Roman"/>
          <w:sz w:val="18"/>
          <w:szCs w:val="18"/>
          <w:color w:val="auto"/>
        </w:rPr>
        <w:t>” means the absence of any interruption or termination of service as an Employee or Consultant. Continuous Service Status as an Employee or Consultant shall not be considered interrupted in the case of: (i) sick leave; (ii) military leave; (iii) any other leave of absence approved by the Administrator,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Parents, Subsidiaries, Affiliates or their respective successors. A change in status from an Employee to a Consultant or from a Consultant to an Employee will not constitute an interruption of Continuous Service Status. However, for Incentive Stock Option purposes, termination of Continuous Service Status will occur when the Employee ceases to be an employee (as determined in accordance with Section 3401(c) of the Code and the regulations promulgated thereunder) of the Company or one of its Subsidiaries. The Administrator shall determine whether any corporate transaction, such as a sale or spin-off of a division or business unit, or a joint venture, shall be deemed to result in a termination of Continuous Service Status.</w:t>
      </w:r>
    </w:p>
    <w:p>
      <w:pPr>
        <w:spacing w:after="0" w:line="194"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“disability” within the meaning of Section 22(e)(3) of the Code.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5" w:name="page436"/>
    <w:bookmarkEnd w:id="435"/>
    <w:p>
      <w:pPr>
        <w:jc w:val="both"/>
        <w:ind w:firstLine="1304"/>
        <w:spacing w:after="0" w:line="261" w:lineRule="auto"/>
        <w:tabs>
          <w:tab w:leader="none" w:pos="246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employed by the Company or any Parent or Subsidiary, with the status of employment determined based upon such factors as are deemed appropriate by the Administrator in its discretion, subject to any requirements of the Code or the Applicable Laws. The payment by the Company of a director’s fee to a Director shall not be sufficient to constitute “employment” of such Director by the Company.</w:t>
      </w:r>
    </w:p>
    <w:p>
      <w:pPr>
        <w:spacing w:after="0" w:line="179"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Evergreen Shares</w:t>
      </w:r>
      <w:r>
        <w:rPr>
          <w:rFonts w:ascii="Times New Roman" w:cs="Times New Roman" w:eastAsia="Times New Roman" w:hAnsi="Times New Roman"/>
          <w:sz w:val="18"/>
          <w:szCs w:val="18"/>
          <w:color w:val="auto"/>
        </w:rPr>
        <w:t>” means Shares made available for issuance under the Plan pursuant to Section 3(b) of the Plan.</w:t>
      </w:r>
    </w:p>
    <w:p>
      <w:pPr>
        <w:spacing w:after="0" w:line="225"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1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a share of Common Stock or other property as determined by the Administrator, in its discretion, or by the Company, in its discretion, if such determination is expressly allocated to the Company herein, subject to the following:</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3121"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Common Stock is listed on a national or regional securities exchange or market system, including without limitation the Nasdaq Global Market, the Fair Market Value of a share of Common Stock shall be the closing price on such date of a share of Common Stock (or the mean of the closing bid and asked prices of a share of Common Stock if the stock is so quoted instead) as quoted on such exchange or market system constituting the primary market for the Common Stock, as reported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Wall Street Journal</w:t>
      </w:r>
      <w:r>
        <w:rPr>
          <w:rFonts w:ascii="Times New Roman" w:cs="Times New Roman" w:eastAsia="Times New Roman" w:hAnsi="Times New Roman"/>
          <w:sz w:val="18"/>
          <w:szCs w:val="18"/>
          <w:color w:val="auto"/>
        </w:rPr>
        <w:t xml:space="preserve"> or such other source as the Administrator deems reliable. If the relevant date does not fall on a day on which the Common Stock has traded on such securities exchange or market system, the date on which the Fair Market Value shall be established shall be the last day on which the Common Stock was so traded prior to the relevant date, or such other appropriate day as shall be determined by the Administrator, in its discretion.</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83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Common Stock is not listed on a national or regional securities exchange or market system, the Fair Market Value of a share of Common Stock shall be as determined by the Administrator in good faith using a reasonable application of a reasonable valuation method in a manner that complies with Sections 409A and 422 of the Code and without regard to any restriction other than a restriction which, by its terms, will never lapse.</w:t>
      </w:r>
    </w:p>
    <w:p>
      <w:pPr>
        <w:spacing w:after="0" w:line="179"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holder of one or more Awards or Shares issued pursuant to an Award.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as designated in the applicable Option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Public Offering</w:t>
      </w:r>
      <w:r>
        <w:rPr>
          <w:rFonts w:ascii="Times New Roman" w:cs="Times New Roman" w:eastAsia="Times New Roman" w:hAnsi="Times New Roman"/>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Shares shall be publicly held.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6" w:name="page437"/>
    <w:bookmarkEnd w:id="436"/>
    <w:p>
      <w:pPr>
        <w:ind w:left="2140" w:hanging="836"/>
        <w:spacing w:after="0"/>
        <w:tabs>
          <w:tab w:leader="none" w:pos="21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Date</w:t>
      </w:r>
      <w:r>
        <w:rPr>
          <w:rFonts w:ascii="Times New Roman" w:cs="Times New Roman" w:eastAsia="Times New Roman" w:hAnsi="Times New Roman"/>
          <w:sz w:val="18"/>
          <w:szCs w:val="18"/>
          <w:color w:val="auto"/>
        </w:rPr>
        <w:t>” means the offering date of the Initial Public Offering.</w:t>
      </w:r>
    </w:p>
    <w:p>
      <w:pPr>
        <w:spacing w:after="0" w:line="225" w:lineRule="exact"/>
        <w:rPr>
          <w:sz w:val="20"/>
          <w:szCs w:val="20"/>
          <w:color w:val="auto"/>
        </w:rPr>
      </w:pPr>
    </w:p>
    <w:p>
      <w:pPr>
        <w:ind w:left="2240" w:hanging="936"/>
        <w:spacing w:after="0"/>
        <w:tabs>
          <w:tab w:leader="none" w:pos="22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not intended to qualify as an Incentive Stock Option, as designated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Option Agreement.</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1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 Options granted under the Plan may be Incentive Stock Options or Non-statutory Stock Options, as determined by the Administrator at the time of grant.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50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a written document, the form(s) of which shall be approved from time to time by the Administrator, reflecting the terms of an Option granted under the Plan and includes any documents attached to or incorporated into such Option Agreement, including, but not limited to, a notice of stock option grant and a form of exercise notice.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9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Exchange Program</w:t>
      </w:r>
      <w:r>
        <w:rPr>
          <w:rFonts w:ascii="Times New Roman" w:cs="Times New Roman" w:eastAsia="Times New Roman" w:hAnsi="Times New Roman"/>
          <w:sz w:val="18"/>
          <w:szCs w:val="18"/>
          <w:color w:val="auto"/>
        </w:rPr>
        <w:t>” means a program approved by the Administrator whereby outstanding Options are exchanged for Options with a lower exercise price or are amended to decrease the exercise price as a result of a decline in the Fair Market Value of the Common Stock.</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Optioned Stock</w:t>
      </w:r>
      <w:r>
        <w:rPr>
          <w:rFonts w:ascii="Times New Roman" w:cs="Times New Roman" w:eastAsia="Times New Roman" w:hAnsi="Times New Roman"/>
          <w:sz w:val="18"/>
          <w:szCs w:val="18"/>
          <w:color w:val="auto"/>
        </w:rPr>
        <w:t>” means Shares that are subject to an Option or that were issued pursuant to the exercise of an Option.</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an Employee or Consultant who receives an Option.</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Award</w:t>
      </w:r>
      <w:r>
        <w:rPr>
          <w:rFonts w:ascii="Times New Roman" w:cs="Times New Roman" w:eastAsia="Times New Roman" w:hAnsi="Times New Roman"/>
          <w:sz w:val="18"/>
          <w:szCs w:val="18"/>
          <w:color w:val="auto"/>
        </w:rPr>
        <w:t>” means an award granted to a Holder pursuant to Section 11 of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9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Award Agreement</w:t>
      </w:r>
      <w:r>
        <w:rPr>
          <w:rFonts w:ascii="Times New Roman" w:cs="Times New Roman" w:eastAsia="Times New Roman" w:hAnsi="Times New Roman"/>
          <w:sz w:val="18"/>
          <w:szCs w:val="18"/>
          <w:color w:val="auto"/>
        </w:rPr>
        <w:t>” means a written document, the form(s) of which shall be approved from time to time by the Administrator, reflecting the terms of Other Awards granted under the Plan and includes any document attached to such agreement.</w:t>
      </w:r>
    </w:p>
    <w:p>
      <w:pPr>
        <w:spacing w:after="0" w:line="161"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provision.</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19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61"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Affirm Holdings, Inc. Amended and Restated 2012 Stock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2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means a written document, the form(s) of which shall be approved from time to time by the Administrator, reflecting the terms of Restricted Stock granted under the Plan and includes any documents attached to such agreement.</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means Awards granted pursuant to Section 9 below and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such Awards.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7" w:name="page438"/>
    <w:bookmarkEnd w:id="437"/>
    <w:p>
      <w:pPr>
        <w:ind w:firstLine="1304"/>
        <w:spacing w:after="0" w:line="282" w:lineRule="auto"/>
        <w:tabs>
          <w:tab w:leader="none" w:pos="223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an Award of phantom stock units to a Holder, which may be settled in cash or Shares as determined by the Administrator, pursuant to Section 10.</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45"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Agreement</w:t>
      </w:r>
      <w:r>
        <w:rPr>
          <w:rFonts w:ascii="Times New Roman" w:cs="Times New Roman" w:eastAsia="Times New Roman" w:hAnsi="Times New Roman"/>
          <w:sz w:val="18"/>
          <w:szCs w:val="18"/>
          <w:color w:val="auto"/>
        </w:rPr>
        <w:t>” means a written document, the form(s) of which shall be approved from time to time by the Administrator, reflecting the terms of Restricted Stock Units granted under the Plan and includes any document attached to such agreement.</w:t>
      </w:r>
    </w:p>
    <w:p>
      <w:pPr>
        <w:spacing w:after="0" w:line="161"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as amended from time to time, or any successor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w:t>
      </w:r>
    </w:p>
    <w:p>
      <w:pPr>
        <w:spacing w:after="0" w:line="206"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of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45"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any stock exchange or consolidated stock price reporting system on which prices for the Common Stock are quoted at any given time.</w:t>
      </w:r>
    </w:p>
    <w:p>
      <w:pPr>
        <w:spacing w:after="0" w:line="161"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provision.</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9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Withholding Obligations</w:t>
      </w:r>
      <w:r>
        <w:rPr>
          <w:rFonts w:ascii="Times New Roman" w:cs="Times New Roman" w:eastAsia="Times New Roman" w:hAnsi="Times New Roman"/>
          <w:sz w:val="18"/>
          <w:szCs w:val="18"/>
          <w:color w:val="auto"/>
        </w:rPr>
        <w:t>” means any applicable U.S. federal, state, local or non-U.S. tax withholding obligations, social contributions, required deductions or other similar obligations that may arise in connection with an Award.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53"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means a person who owns stock representing more than ten percent (10%) of the voting power of all classes of stock of the Company or any Parent or Subsidiary.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6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means the total combined voting power of all classes of stock (or, in the case of an entity that is not a corporation, similar equity interests) of the relevant entity determined in a manner consistent with the principles applicable to Section 409A of the Code.</w:t>
      </w:r>
    </w:p>
    <w:p>
      <w:pPr>
        <w:spacing w:after="0" w:line="161"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11"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Shares</w:t>
      </w:r>
      <w:r>
        <w:rPr>
          <w:rFonts w:ascii="Times New Roman" w:cs="Times New Roman" w:eastAsia="Times New Roman" w:hAnsi="Times New Roman"/>
          <w:sz w:val="18"/>
          <w:szCs w:val="18"/>
          <w:color w:val="auto"/>
        </w:rPr>
        <w:t>. Subject to the provisions of Section 14 of the Plan, the maximum aggregate number of Shares that may be issued under the Plan is 118,374,202 Shares of Common Stock. The aggregate number of Shares which may be issued upon the exercise of Incentive Stock Options shall in no event exceed 118,374,202 Shares, subject to adjustment pursuant to Section 14 of the Plan. The Shares may be authorized, but unissued, or reacquired Common Stock. For purposes of this limitation, the Shares underlying any Awards that are forfeited, canceled, satisfied without the issuance of Shares, surrendered pursuant to an Option Exchange Program or otherwise terminated (other than by exercise) and Shares that are withheld upon exercise of any Option or settlement of an Award to cover the exercise price or tax withholding shall become available for future grant or sale under the Plan.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8" w:name="page439"/>
    <w:bookmarkEnd w:id="438"/>
    <w:p>
      <w:pPr>
        <w:jc w:val="both"/>
        <w:ind w:firstLine="1304"/>
        <w:spacing w:after="0" w:line="255" w:lineRule="auto"/>
        <w:tabs>
          <w:tab w:leader="none" w:pos="223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Evergreen Shares</w:t>
      </w:r>
      <w:r>
        <w:rPr>
          <w:rFonts w:ascii="Times New Roman" w:cs="Times New Roman" w:eastAsia="Times New Roman" w:hAnsi="Times New Roman"/>
          <w:sz w:val="18"/>
          <w:szCs w:val="18"/>
          <w:color w:val="auto"/>
        </w:rPr>
        <w:t>. In addition, the number of Shares available for issuance under the Plan will automatically increase on the first day of each fiscal year, for a period of not more than ten years from the date the Plan is approved by the stockholders of the Company, commencing on July 1, 2021 and ending on (and including) July 1, 2030, in an amount equal to five percent (5%) of the total number of shares of the Company’s capital stock outstanding on the last day of the calendar month prior to the date of such automatic increase. Notwithstanding the foregoing, the Board may act prior to the first day of a given fiscal year to provide that there will be no increase in the number of Shares available for issuance under the Plan for such fiscal year or that the increase in the number of Shares available for issuance under the Plan for such year will be a lesser number of Shares than would otherwise occur pursuant to the preceding sentence.</w:t>
      </w:r>
    </w:p>
    <w:p>
      <w:pPr>
        <w:spacing w:after="0" w:line="188"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9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shall be administered by the Board or a Committee, or a combination thereof, as determined by the Board. The Plan may be administered by different administrative bodies with respect to different classes of Holders and, if permitted by the Applicable Laws, the Board may authorize one or more officers to make awards under the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15"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Composition</w:t>
      </w:r>
      <w:r>
        <w:rPr>
          <w:rFonts w:ascii="Times New Roman" w:cs="Times New Roman" w:eastAsia="Times New Roman" w:hAnsi="Times New Roman"/>
          <w:sz w:val="18"/>
          <w:szCs w:val="18"/>
          <w:color w:val="auto"/>
        </w:rPr>
        <w:t>. If a Committee has been appointed pursuant to this Section 4, such Committee shall continue to serve in its 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administering the Plan in accordance with the requirements of Rule 16b-3 of the Code, to the extent permitted or required by such provisions. The Committee shall in all events conform to any requirements of the Applicable Laws.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4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the specific duties delegated by the Board to such Committee, the Administrator shall have the authority, in its discretion:</w:t>
      </w:r>
    </w:p>
    <w:p>
      <w:pPr>
        <w:spacing w:after="0" w:line="161"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the Plan and to adopt, amend and rescind from time to time rules and regulations for the administration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w:t>
      </w:r>
    </w:p>
    <w:p>
      <w:pPr>
        <w:spacing w:after="0" w:line="206" w:lineRule="exact"/>
        <w:rPr>
          <w:rFonts w:ascii="Times New Roman" w:cs="Times New Roman" w:eastAsia="Times New Roman" w:hAnsi="Times New Roman"/>
          <w:sz w:val="18"/>
          <w:szCs w:val="18"/>
          <w:color w:val="auto"/>
        </w:rPr>
      </w:pPr>
    </w:p>
    <w:p>
      <w:pPr>
        <w:ind w:left="1300" w:firstLine="652"/>
        <w:spacing w:after="0" w:line="282" w:lineRule="auto"/>
        <w:tabs>
          <w:tab w:leader="none" w:pos="2793"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Fair Market Value of the Common Stock in accordance with Section 2(v) of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determination shall be applied consistently with respect to Holders under the Plan;</w:t>
      </w:r>
    </w:p>
    <w:p>
      <w:pPr>
        <w:spacing w:after="0" w:line="161"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and Consultants to whom Awards may from time to time be granted;</w:t>
      </w:r>
    </w:p>
    <w:p>
      <w:pPr>
        <w:spacing w:after="0" w:line="225"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Plan awards are granted;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9" w:name="page440"/>
    <w:bookmarkEnd w:id="439"/>
    <w:p>
      <w:pPr>
        <w:ind w:left="180" w:right="20" w:firstLine="652"/>
        <w:spacing w:after="0" w:line="282" w:lineRule="auto"/>
        <w:tabs>
          <w:tab w:leader="none" w:pos="179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(other than a cash-based Other Award), and the amount of cash to be covered by each cash-based Other Award;</w:t>
      </w:r>
    </w:p>
    <w:p>
      <w:pPr>
        <w:spacing w:after="0" w:line="161" w:lineRule="exact"/>
        <w:rPr>
          <w:rFonts w:ascii="Times New Roman" w:cs="Times New Roman" w:eastAsia="Times New Roman" w:hAnsi="Times New Roman"/>
          <w:sz w:val="18"/>
          <w:szCs w:val="18"/>
          <w:color w:val="auto"/>
        </w:rPr>
      </w:pPr>
    </w:p>
    <w:p>
      <w:pPr>
        <w:ind w:left="1640" w:hanging="808"/>
        <w:spacing w:after="0"/>
        <w:tabs>
          <w:tab w:leader="none" w:pos="16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form(s) of Award Agreement(s) and other related documents used under the Plan;</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66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which terms and conditions include but are not limited to the exercise or purchase price, the time or times when Awards may vest and/or be exercised (which may be based on performance criteria), any vesting acceleration or waiver of forfeiture restrictions, any pro rata adjustment to vesting as a result of a Holder’s transitioning from full- to part-time service (or vice versa), and any restriction or limitation regarding any Award, Optioned Stock, Restricted Stock, Restricted Stock Unit or Share underlying an Other Award;</w:t>
      </w:r>
    </w:p>
    <w:p>
      <w:pPr>
        <w:spacing w:after="0" w:line="183" w:lineRule="exact"/>
        <w:rPr>
          <w:rFonts w:ascii="Times New Roman" w:cs="Times New Roman" w:eastAsia="Times New Roman" w:hAnsi="Times New Roman"/>
          <w:sz w:val="18"/>
          <w:szCs w:val="18"/>
          <w:color w:val="auto"/>
        </w:rPr>
      </w:pPr>
    </w:p>
    <w:p>
      <w:pPr>
        <w:ind w:left="1620" w:hanging="788"/>
        <w:spacing w:after="0"/>
        <w:tabs>
          <w:tab w:leader="none" w:pos="16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under what circumstances an Award may be settled in cash under Section 10(e) instead of</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6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Laws and Section 4(h) of the Plan, to implement an Option Exchange Program on such terms and conditions as the Administrator in its discretion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adjustment to an Option that would materially and adversely affect the rights of any Optionee shall be made without the prior written consent of the Optionee;</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73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waive or otherwise adjust the terms and conditions of any outstanding Award, any Award Agreement or any other agreement related to any Optioned Stock, Restricted Stock, Restricted Stock Unit or Share underlying an Other Award, including any amendment adjusting vesting or exercisability (e.g., in connection with a change in the terms or conditions under which such person is providing services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adjustment shall be made that would materially and adversely affect the rights of any Holder without his or her consent;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Administrator shall not have any such authority to the extent that the grant of such authority would cause any tax to become due under Section 409A of the Code;</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65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extend the term of any Award, including, without limitation, extending the period following a termination of a Holder’s Continuous Service Status during which any such Award may remain outstanding or (B) provide for the accrual of dividends or dividend equivalents with respect to any such Award; provided that the Administrator shall not have any such authority to the extent that the grant of such authority would cause any tax to become due under Section 409A of the Code;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payment in respect of accrued dividends or dividend equivalents shall be made prior to the vesting of the relevant Award;</w:t>
      </w:r>
    </w:p>
    <w:p>
      <w:pPr>
        <w:spacing w:after="0" w:line="39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40" w:name="page441"/>
    <w:bookmarkEnd w:id="440"/>
    <w:p>
      <w:pPr>
        <w:jc w:val="both"/>
        <w:ind w:left="1300" w:firstLine="652"/>
        <w:spacing w:after="0" w:line="266" w:lineRule="auto"/>
        <w:tabs>
          <w:tab w:leader="none" w:pos="2842"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any Award Agreement and any agreement related to any Optioned Stock, Restricted Stock, Restricted Stock Unit or Share underlying an Other Award, which constructions, interpretations and decisions shall be final and binding on all Holders;</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68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fulfill the purposes of the Plan and without amending the Plan, to modify grants of Awards to Holders who are foreign nationals or employed outside of the United States in order to recognize differences in local law, tax policies or customs;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91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addenda pursuant to Section 4(d) of the Plan or to grant Awards to, or to modify the terms of any outstanding Award Agreement or any agreement related to any Optioned Stock, Restricted Stock, Restricted Stock Unit or Share underlying an Other Award held by, Holders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73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take or make any and all other actions or determinations which it determines to be necessary or advisable for the administration of the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9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Addenda</w:t>
      </w:r>
      <w:r>
        <w:rPr>
          <w:rFonts w:ascii="Times New Roman" w:cs="Times New Roman" w:eastAsia="Times New Roman" w:hAnsi="Times New Roman"/>
          <w:sz w:val="18"/>
          <w:szCs w:val="18"/>
          <w:color w:val="auto"/>
        </w:rPr>
        <w:t>. The Administrator may approve such addenda to the Plan as it may consider necessary or appropriate for the purpose of granting Awards to Employees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7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Administration of the Plan</w:t>
      </w:r>
      <w:r>
        <w:rPr>
          <w:rFonts w:ascii="Times New Roman" w:cs="Times New Roman" w:eastAsia="Times New Roman" w:hAnsi="Times New Roman"/>
          <w:sz w:val="18"/>
          <w:szCs w:val="18"/>
          <w:color w:val="auto"/>
        </w:rPr>
        <w:t xml:space="preserve">. Subject to Applicable Laws, the Administrator, in its discretion, may delegate to one or more officers of the Company the power to designate Employees who are not officers of the Company to be recipients of Options, and to determine the number of such Options to be received by such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resolution so authorizing such officer(s) shall specify the total number of Options the officer(s) may so award and may not delegate the authority to set the exercise price or the vesting terms of such Options. Any such delegation by the Administrator shall also provide that such officer(s) may not grant Awards to himself or herself (or other officers of the Company) without the approval of the Administrator. The Administrator may revoke or amend the terms of a delegation at any time but such action shall not invalidate any prior actions of the Administrator’s delegate or delegates that were consistent with the terms of the Plan.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1" w:name="page442"/>
    <w:bookmarkEnd w:id="441"/>
    <w:p>
      <w:pPr>
        <w:jc w:val="both"/>
        <w:ind w:firstLine="1304"/>
        <w:spacing w:after="0" w:line="253" w:lineRule="auto"/>
        <w:tabs>
          <w:tab w:leader="none" w:pos="2249"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maximum extent permitted by Applicable Laws, each member of the Committee (including officers of the 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6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Decisions of the Administrator</w:t>
      </w:r>
      <w:r>
        <w:rPr>
          <w:rFonts w:ascii="Times New Roman" w:cs="Times New Roman" w:eastAsia="Times New Roman" w:hAnsi="Times New Roman"/>
          <w:sz w:val="18"/>
          <w:szCs w:val="18"/>
          <w:color w:val="auto"/>
        </w:rPr>
        <w:t>. Decisions of the Administrator shall be final, binding and conclusive on all parties. For the avoidance of doubt, the Administrator may exercise all discretion granted to it under the Plan in a non-uniform manner among Holders and Awards, and the Administrator may take different actions with respect to the vested and unvested portions of an Award.</w:t>
      </w:r>
    </w:p>
    <w:p>
      <w:pPr>
        <w:spacing w:after="0" w:line="175"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 Required for Repricing</w:t>
      </w:r>
      <w:r>
        <w:rPr>
          <w:rFonts w:ascii="Times New Roman" w:cs="Times New Roman" w:eastAsia="Times New Roman" w:hAnsi="Times New Roman"/>
          <w:sz w:val="18"/>
          <w:szCs w:val="18"/>
          <w:color w:val="auto"/>
        </w:rPr>
        <w:t>. Notwithstanding any provision of this Plan to the contrary, in no event shall</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repricing (within the meaning of U.S. generally accepted accounting principles or any applicable Stock Exchange rule) of Options issued under the Plan be permitted at any time under any circumstances, (ii) any new Awards be issued in substitution for outstanding Options previously granted to Holders if such action would be considered a repricing (within the meaning of U.S. generally accepted accounting principles or any applicable Stock Exchange rule) or (iii) any Option or stock appreciation right (x) have its exercise price be reduced or (y) be purchased (or otherwise “cashed out”) by the Company if, on the date of such purchase, the exercise price per Share covered by such Option or stock appreciation right is less than 100% of the Fair Market Value of a Share on such date, in the case of each (i)-(iii), unless the approval of the stockholders of the Company has been obtained to take such action.</w:t>
      </w:r>
    </w:p>
    <w:p>
      <w:pPr>
        <w:spacing w:after="0" w:line="189" w:lineRule="exact"/>
        <w:rPr>
          <w:rFonts w:ascii="Times New Roman" w:cs="Times New Roman" w:eastAsia="Times New Roman" w:hAnsi="Times New Roman"/>
          <w:sz w:val="18"/>
          <w:szCs w:val="18"/>
          <w:color w:val="auto"/>
        </w:rPr>
      </w:pPr>
    </w:p>
    <w:p>
      <w:pPr>
        <w:ind w:right="20" w:firstLine="656"/>
        <w:spacing w:after="0" w:line="282" w:lineRule="auto"/>
        <w:tabs>
          <w:tab w:leader="none" w:pos="1741"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Restricted Stock, Restricted Stock Units and Other Awards may be granted to Employees and Consultants, subject to Applicable Laws. Incentive Stock Options may be granted only to Employees of the Company or of a Subsidiary.</w:t>
      </w:r>
    </w:p>
    <w:p>
      <w:pPr>
        <w:spacing w:after="0" w:line="161"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65"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$100,000 Limitation</w:t>
      </w:r>
      <w:r>
        <w:rPr>
          <w:rFonts w:ascii="Times New Roman" w:cs="Times New Roman" w:eastAsia="Times New Roman" w:hAnsi="Times New Roman"/>
          <w:sz w:val="18"/>
          <w:szCs w:val="18"/>
          <w:color w:val="auto"/>
        </w:rPr>
        <w:t>. Notwithstanding any designation under Section 8(a), to the extent that the aggregate Fair Market 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subject to an Incentive Stock Option shall be determined as of the date of the grant of such Option.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2" w:name="page443"/>
    <w:bookmarkEnd w:id="442"/>
    <w:p>
      <w:pPr>
        <w:jc w:val="both"/>
        <w:ind w:firstLine="1304"/>
        <w:spacing w:after="0" w:line="256" w:lineRule="auto"/>
        <w:tabs>
          <w:tab w:leader="none" w:pos="222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Neither the Plan nor any Award shall confer upon any Holder any right with respect to continuation of an employment or consulting relationship with the Company (or any Parent, Subsidiary or Affiliate), nor shall it interfere in any way with (i) such Holder’s right or the Company’s right (or the Parent’s, Subsidiary’s or Affiliate’s right) to terminate the employment or consulting relationship at any time for any reason, or (ii) the Company’s right to increase or decrease the compensation of the Holder from the rate in existence at the time of the grant of an Award. No payment with respect to any Awards under the Plan shall be taken into account in determining any benefits under any pension, retirement, profit sharing, group insurance or other benefit plan of the Company except as otherwise specifically provided in such other plan.</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9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Awards</w:t>
      </w:r>
      <w:r>
        <w:rPr>
          <w:rFonts w:ascii="Times New Roman" w:cs="Times New Roman" w:eastAsia="Times New Roman" w:hAnsi="Times New Roman"/>
          <w:sz w:val="18"/>
          <w:szCs w:val="18"/>
          <w:color w:val="auto"/>
        </w:rPr>
        <w:t>. No person shall have any claim or right to receive an Award hereunder. The Administrator’s granting of an Award to a Holder at any time shall neither require the Administrator to grant an Award to such Holder, or to any other Holder or other person at any time, nor preclude the Administrator from making subsequent grants to such Holder or any other Holder or other person.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9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Grants to Non-Employee Directors</w:t>
      </w:r>
      <w:r>
        <w:rPr>
          <w:rFonts w:ascii="Times New Roman" w:cs="Times New Roman" w:eastAsia="Times New Roman" w:hAnsi="Times New Roman"/>
          <w:sz w:val="18"/>
          <w:szCs w:val="18"/>
          <w:color w:val="auto"/>
        </w:rPr>
        <w:t xml:space="preserve">. The maximum number of Shares subject to Awards (and of cash subject to cash-based Other Awards) granted under the Plan or otherwise during any one fiscal year to any Director (other than a Director who is also an Employee) for service on the Board, taken together with any cash fees paid by the Company to such Director during such fiscal year for service on the Board, will not exceed $600,000 in total value (calculating the value of any such Awards based on the grant date fair value of such Awards for financial reporting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the first fiscal year during which such a Director serves on the Board (or, in the event such Director does not receive any Awards during such first fiscal year, the second fiscal year during which such a Director serves on the Board), such maximum total value shall instead be $900,000.</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78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shall become effective as of the IPO date, subject to the approval of the stockholders of the Company as provided in Section 27 of the Plan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It shall continue in effect for a term of ten (10) years from the Effective Date unless sooner terminated under Section 17(a) of the Plan.</w:t>
      </w:r>
    </w:p>
    <w:p>
      <w:pPr>
        <w:spacing w:after="0" w:line="175"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the grant of any Option, the Company and the Optionee shall enter into an Option Agreement. The terms and conditions of each such Option Agreement shall be determined by the Administrator, and such terms and conditions may differ among individual Awards and Optionees.</w:t>
      </w:r>
    </w:p>
    <w:p>
      <w:pPr>
        <w:spacing w:after="0" w:line="162" w:lineRule="exact"/>
        <w:rPr>
          <w:sz w:val="20"/>
          <w:szCs w:val="20"/>
          <w:color w:val="auto"/>
        </w:rPr>
      </w:pPr>
    </w:p>
    <w:p>
      <w:pPr>
        <w:ind w:left="2340" w:hanging="1036"/>
        <w:spacing w:after="0"/>
        <w:tabs>
          <w:tab w:leader="none" w:pos="2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 of Option</w:t>
      </w:r>
      <w:r>
        <w:rPr>
          <w:rFonts w:ascii="Times New Roman" w:cs="Times New Roman" w:eastAsia="Times New Roman" w:hAnsi="Times New Roman"/>
          <w:sz w:val="18"/>
          <w:szCs w:val="18"/>
          <w:color w:val="auto"/>
        </w:rPr>
        <w:t>. Each Option shall be designated in the Option Agreement as either an Incentive Stock Option or a Non-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Stock Option.</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shall be the term stated in the Option Agreement; provided that the term shall be no more than ten (10) years from the 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3" w:name="page444"/>
    <w:bookmarkEnd w:id="443"/>
    <w:p>
      <w:pPr>
        <w:ind w:firstLine="1304"/>
        <w:spacing w:after="0" w:line="282" w:lineRule="auto"/>
        <w:tabs>
          <w:tab w:leader="none" w:pos="219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shall be set forth in the Option Agreement and such price as is determined by the Administrator but shall be subject to the following:</w:t>
      </w:r>
    </w:p>
    <w:p>
      <w:pPr>
        <w:spacing w:after="0" w:line="161"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ind w:left="1960" w:firstLine="640"/>
        <w:spacing w:after="0" w:line="282" w:lineRule="auto"/>
        <w:tabs>
          <w:tab w:leader="none" w:pos="3483"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grant is a Ten Percent Holder, the per Share exercise price shall be no less than 110% of the Fair Market Value per Share on the date of grant; or</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3531"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other Employee, the per Share exercise price shall be no less than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87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798"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other than as required above pursuant to a merger or other corporate transaction.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9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Permissible Consideration</w:t>
      </w:r>
      <w:r>
        <w:rPr>
          <w:rFonts w:ascii="Times New Roman" w:cs="Times New Roman" w:eastAsia="Times New Roman" w:hAnsi="Times New Roman"/>
          <w:sz w:val="18"/>
          <w:szCs w:val="18"/>
          <w:color w:val="auto"/>
        </w:rPr>
        <w:t>. The consideration to be paid for the Shares to be issued upon exercise of an Option, including the method of payment, shall be determined by the Administrator (and, in the case of an Incentive Stock Option and to the extent required by Applicable Laws, shall be determined at the time of grant) and may consist entirely of (1) cash; (2) check; (3) subject to any requirements of the Applicable Laws, delivery of Optionee’s promissory note having such recourse, interest, security and redemption provisions as the Administrator determines to be appropriate (subject to the provisions of Section 153 of the Delaware General Corporation Law); (4) cancellation of indebtedness; (5) Shares that have a Fair Market Value on the date of surrender equal to the aggregate exercise price of the Shares as to which the Option is exercised, provided that in the case of Shares acquired, directly or indirectly, from the Company, such Shares must have been owned by the Optionee for more than six months on the date of surrender (or such other period as may be required to avoid the Company's incurring an adverse accounting charge); (6) a Cashless Transaction; (7) any combination of the foregoing methods of payment; or (8) such other consideration and method of payment as determined by the Administrator and to the extent permitted under Applicable Laws.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4" w:name="page445"/>
    <w:bookmarkEnd w:id="444"/>
    <w:p>
      <w:pPr>
        <w:ind w:left="1060" w:hanging="876"/>
        <w:spacing w:after="0"/>
        <w:tabs>
          <w:tab w:leader="none" w:pos="10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928"/>
        <w:spacing w:after="0"/>
        <w:tabs>
          <w:tab w:leader="none" w:pos="17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5" w:lineRule="auto"/>
        <w:tabs>
          <w:tab w:leader="none" w:pos="239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Exercisability. Any Option granted hereunder shall be exercisable at such times and under such conditions as determined by the Administrator, consistent with the terms of the Plan and reflected in the Option Agreement, including vesting requirements and/or performance criteria with respect to the Company and/or the Optionee. Any such vesting requirements or performance criteria may be based upon the achievement of Company-wide, business unit, or individual goals (including, but not limited to, Continuous Service Status), or any other basis determined by the Administrator in its sole discretion. Each Option shall be exercisable in whole or in part. The partial exercise of an Option shall not cause the expiration, termination or cancellation of the remaining portion thereof.</w:t>
      </w:r>
    </w:p>
    <w:p>
      <w:pPr>
        <w:spacing w:after="0" w:line="188"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2371"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Leave of Absence. The Administrator shall have the discretion to determine whether and to what extent the vesting of Options shall be tolled during any unpaid leave of absence;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absence of such determination, vesting of Options shall be tolled during any such unpaid leave (unless otherwise required by the Applicable Laws). In the event of military leave, vesting shall toll during any unpaid portion of such leave, provided that, upon a Holder’s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Holder continued to provide services to the Company throughout the leave on the same terms as he or she was providing services immediately prior to such leave.</w:t>
      </w:r>
    </w:p>
    <w:p>
      <w:pPr>
        <w:spacing w:after="0" w:line="19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735"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Minimum Exercise Requirements. An Option may not be exercised for a fraction of a Share. The Administrator may require that an Option be exercised as to a minimum number of Shares, or a minimum aggregate exercise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requirement shall not prevent an Optionee from exercising the full number of Shares as to which the Option is then exercisable.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2457"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and Results of Exercise. An Option shall be deemed exercised when written or electronic notice of such exercise has been given to the Company in accordance with the terms of the Option Agreement by the person entitled to exercise the Option and the Company has received full payment for the Shares with respect to which the Option is exercised and has paid, or made arrangements to satisfy, any Tax Withholding Obligations in accordance with Section 12 of the Plan. Full payment may, as authorized by the Administrator, consist of any consideration and method of payment allowable under Section 8(d) of the Plan, provided that the Administrator may, in its sole discretion, refuse to accept any form of consideration at the time of any Option exercise. The exercise of an Option in any manner shall result in a decrease in the number of Shares that thereafter may be available, both for purposes of the Plan and for sale under the Option, by the number of Shares as to which the Option is exercised.</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45" w:name="page446"/>
    <w:bookmarkEnd w:id="445"/>
    <w:p>
      <w:pPr>
        <w:jc w:val="both"/>
        <w:ind w:left="840" w:firstLine="640"/>
        <w:spacing w:after="0" w:line="258" w:lineRule="auto"/>
        <w:tabs>
          <w:tab w:leader="none" w:pos="237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Stockholder.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No adjustment will be made for a dividend or other right for which the record date is prior to the date of issuance, except as provided in Section 14 of the Plan.</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9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Consulting Relationship</w:t>
      </w:r>
      <w:r>
        <w:rPr>
          <w:rFonts w:ascii="Times New Roman" w:cs="Times New Roman" w:eastAsia="Times New Roman" w:hAnsi="Times New Roman"/>
          <w:sz w:val="18"/>
          <w:szCs w:val="18"/>
          <w:color w:val="auto"/>
        </w:rPr>
        <w:t>. Except as otherwise set forth in this Section 8(e), the Administrator shall establish and set forth in the applicable Option Agreement the terms and conditions upon which an Option shall remain exercisable, if at all, following termination of an Optionee’s Continuous Service Status, which provisions may be waived or modified by the Administrator at any time. Unless the Administrator otherwise provides in the Option Agreement, to the extent that the Optionee is not vested in Shares underlying his or her Option at the date of termination of his or her Continuous Service Status, or if the Optionee (or other person entitled to exercise the Option) does not exercise the Option to the extent so entitled within the time specified in the Option Agreement or below (as applicable), the Option shall terminate and the Shares underlying the unexercised portion of the Option shall revert to the Plan. In no event may any Option be exercised after the expiration of the Option term as set forth in the Option Agreement (and subject to Section 7 of the Plan).</w:t>
      </w:r>
    </w:p>
    <w:p>
      <w:pPr>
        <w:spacing w:after="0" w:line="188"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following provisions (1) shall apply to the extent an Option Agreement does not specify the terms and conditions upon which an Option shall terminate upon termination of an Optionee’s Continuous Service Status, and (2) establish the minimum post-termination exercise periods that may be set forth in an Option Agreement:</w:t>
      </w:r>
    </w:p>
    <w:p>
      <w:pPr>
        <w:spacing w:after="0" w:line="176" w:lineRule="exact"/>
        <w:rPr>
          <w:sz w:val="20"/>
          <w:szCs w:val="20"/>
          <w:color w:val="auto"/>
        </w:rPr>
      </w:pPr>
    </w:p>
    <w:p>
      <w:pPr>
        <w:jc w:val="both"/>
        <w:ind w:left="840" w:firstLine="640"/>
        <w:spacing w:after="0" w:line="253" w:lineRule="auto"/>
        <w:tabs>
          <w:tab w:leader="none" w:pos="2457"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other than Upon Disability or Death or for Cause. In the event of termination of Optionee’s Continuous Service Status other than under the circumstances set forth in subsections (B), (C) and (D) below, such Optionee may exercise an Option until the earlier of (1) three months following the date of such termination (to the extent the Optionee was vested in the Shares underlying the Option as of the date of such termination), if the Optionee’s Continuous Service Status is terminated prior to the Optionee completing two full years of Continuous Service Status; (2) seven years following the date of such termination (to the extent the Optionee was vested in the Shares underlying the Option as of the date of such termination), if the Optionee’s Continuous Service Status is terminated on or after the Optionee completing two or more full years of Continuous Service Status; or (3) the expiration of the term of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may in the Option Agreement specify a shorter or longer period of time (but not beyond the expiration date of the Option) following termination of Optionee’s Continuous Service Status during which Optionee may exercise the Option as to Shares that were vested and exercisable as of the date of termination of Optionee’s Continuous Service Status. No termination shall be deemed to occur and this Section 8(e)(ii)(A) shall not apply if (y) the Optionee is a Consultant who becomes an Employee, or (z) the Optionee is an Employee who becomes a Consultant.</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46" w:name="page447"/>
    <w:bookmarkEnd w:id="446"/>
    <w:p>
      <w:pPr>
        <w:jc w:val="both"/>
        <w:ind w:left="840" w:firstLine="640"/>
        <w:spacing w:after="0" w:line="254" w:lineRule="auto"/>
        <w:tabs>
          <w:tab w:leader="none" w:pos="235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of Optionee. In the event of termination of an Optionee’s Continuous Service Status as a result of his or her Disability, such Optionee may exercise an Option until the earlier of (1) any time within twelve months following the date of such termination (to the extent the Optionee was vested in the Shares underlying the Option as of the date of such termination), if the Optionee’s Continuous Service Status is terminated prior to the Optionee completing two full years of Continuous Service Status; (2) any time within seven years following the date of such termination (to the extent the Optionee was vested in the Shares underlying the Option as of the date of such termination), if the Optionee’s Continuous Service Status is terminated on or after the Optionee completing two or more full years of Continuous Service Status; or (3) the expiration of the term of such Option.</w:t>
      </w:r>
    </w:p>
    <w:p>
      <w:pPr>
        <w:spacing w:after="0" w:line="191"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238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Optionee. In the event of the death of an Optionee during the period of Continuous Service Status since the date of grant of the Option, or within thirty days following termination of Optionee’s Continuous Service Status, the Option may be exercised by Optionee’s estate or by a person who acquired the right to exercise the Option by bequest or inheritance until the earliest of (1) any time within twelve months following the date of death (to the extent the Optionee was vested in the Shares underlying the Option as of the date of death, or the date the Optionee’s Continuous Service Status terminated, if earlier), if the Optionee’s Continuous Service Status is terminated prior to the Optionee completing two full years of Continuous Service Status; (2) any time within seven years following the date of death (to the extent the Optionee was vested in the Shares underlying the Option as of the date of death, or the date the Optionee’s Continuous Service Status terminated, if earlier), if the Optionee’s Continuous Service Status is terminated on or after the Optionee completing two or more full years of Continuous Service Status; or (3) the expiration of the term of such Option.</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47" w:name="page448"/>
    <w:bookmarkEnd w:id="447"/>
    <w:p>
      <w:pPr>
        <w:jc w:val="both"/>
        <w:ind w:left="1960" w:firstLine="640"/>
        <w:spacing w:after="0" w:line="253" w:lineRule="auto"/>
        <w:tabs>
          <w:tab w:leader="none" w:pos="3537"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Cause. In the event of termination of an Optionee’s Continuous Service Status for Cause, any Option (including any exercisable portion thereof) held by such Optionee shall immediately terminate in its entirety upon first notification to the Optionee of termination of the Optionee’s Continuous Service Status. If an Optionee’s employment or consulting relationship with the Company is suspended pending an investigation of whether the Optionee shall be terminated for Cause, all the Optionee’s rights under any Option likewise shall be suspended during the investigation period and the Optionee shall have no right to exercise any Option. The Administrator shall have authority to effect such procedures and take such actions as are necessary to carry out the legal intent of this Section 8(e)(ii)(D), including such procedures and actions as are required to cause the Optionee to return to the Company Shares purchased under the Option that have been purchased or that vested within six months of the events giving rise to the for-Cause termination of the Optionee’s Continuous Service Status and, if such Shares have been transferred by the Optionee, to remit to the Company the value of such transferred Shares.</w:t>
      </w:r>
    </w:p>
    <w:p>
      <w:pPr>
        <w:spacing w:after="0" w:line="194"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332"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in its sole discretion, grant (or sell at par value or such other purchase price determined by the Administrator) to an eligible individual (as determined under Section 5 of the Plan) a Restricted Stock Award under the Plan. The Administrator shall determine the restrictions and conditions applicable to each Restricted Stock Award at the time of grant. Conditions may be based on Continuing Service Status, achievement of pre-established performance goals and objectives and/or such other criteria as the Administrator may determine. Upon the grant of a Restricted Stock Award, the Company and the Holder shall enter into a Restricted Stock Agreement. The terms and conditions of each such Restricted Stock Agreement shall be determined by the Administrator, and such terms and conditions may differ among individual Awards and Holders.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383"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Holder of Restricted Stock shall be considered the record owner of and shall be entitled to vote the Restricted Stock if, and to the extent, such Shares are entitled to voting rights, subject to such conditions contained in the Restricted Stock Agreement. The Holder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9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Stock may not be sold, assigned, transferred, pledged or otherwise encumbered or disposed of except as specifically provided herein or in the Restricted Stock Agreement. Except as may otherwise be provided by the Administrator either in the Restricted Stock Agreement or, subject to Section 13 below, in writing after the Restricted Stock Agreement is issued, if a Holder’s Continuous Service Status terminates, the Company or its assigns shall have the right, as may be specified in the relevant instrument, to repurchase some or all of the Shares subject to the Award at such purchase price as is set forth in the Award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8" w:name="page449"/>
    <w:bookmarkEnd w:id="448"/>
    <w:p>
      <w:pPr>
        <w:jc w:val="both"/>
        <w:ind w:firstLine="1304"/>
        <w:spacing w:after="0" w:line="256" w:lineRule="auto"/>
        <w:tabs>
          <w:tab w:leader="none" w:pos="2248"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Administrator at the time of grant shall specify in the Restricted Stock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Restricted Stock Agreement. Any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delivery of Restricted Stock, the Administrator, in its sole discretion, may reduce or waive any applicable vesting criteria.</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42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xml:space="preserve">. The Administrator shall have the discretion to determine whether and to what extent the lapsing of Company repurchase rights shall be tolled during any unpaid leave of absence;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absence of such determination, such lapsing shall be tolled during any such unpaid leave (unless otherwise required by the Applicable Laws). In the event of military leave, the lapsing of Company repurchase rights shall toll during any unpaid portion of such leave, provided that, upon a Holder’s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Agreement to the same extent as would have applied had the Holder continued to provide services to the Company throughout the leave on the same terms as he or she was providing services immediately prior to such leave.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03"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 Status</w:t>
      </w:r>
      <w:r>
        <w:rPr>
          <w:rFonts w:ascii="Times New Roman" w:cs="Times New Roman" w:eastAsia="Times New Roman" w:hAnsi="Times New Roman"/>
          <w:sz w:val="18"/>
          <w:szCs w:val="18"/>
          <w:color w:val="auto"/>
        </w:rPr>
        <w:t>. Unless otherwise provided in the applicable Restricted Stock Agreement, in the event the Holder’s Continuous Service Status is terminated for any reason (including death or Disability) prior to the vesting of a Share of Restricted Stock, such Share shall be (i) forfeited for no consideration, in the event it was granted to the Holder, or (ii) subject to a repurchase option exercisable by the Company at the original purchase price paid by the Holder, in the event it was purchased by the Holder.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221"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Restricted Stock Agreement shall contain such other terms, provisions and conditions not inconsistent with the Plan as may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31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in its sole discretion, grant to an eligible person (as determined under Section 5 of the Plan) Restricted Stock Units under the Plan. The Administrator shall determine the restrictions and conditions applicable to each Restricted Stock Unit at the time of grant. Vesting conditions may be based on Continuous Service Status, achievement of pre-established performance goals and objectives and/or other such criteria as the Administrator may determine Upon the grant of Restricted Stock Units, the Holder and the Company shall enter into an Restricted Stock Unit Agreement. The terms and conditions of each such Restricted Stock Unit Agreement shall be determined by the Administrator and may differ among individual Awards and Holders. On or promptly following the vesting date or dates applicable to any Restricted Stock Unit, but in no event later than March 15 of the year following the year in which such vesting occurs, such Restricted Stock Unit(s) shall be settled in the form of cash or Shares, as specified in the Restricted Stock Unit Agreement. Restricted Stock Units may not be sold, assigned, transferred, pledged, or otherwise encumbered or disposed of.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9" w:name="page450"/>
    <w:bookmarkEnd w:id="449"/>
    <w:p>
      <w:pPr>
        <w:jc w:val="both"/>
        <w:ind w:firstLine="1304"/>
        <w:spacing w:after="0" w:line="266" w:lineRule="auto"/>
        <w:tabs>
          <w:tab w:leader="none" w:pos="219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Holder shall have the rights of a stockholder only as to Shares, if any, acquired upon settlement of Restricted Stock Units. A Holder shall not be deemed to have acquired any such Shares unless and until the Restricted Stock Units shall have been settled in Shares pursuant to the terms of the Plan and the Restricted Stock Unit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2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Terms</w:t>
      </w:r>
      <w:r>
        <w:rPr>
          <w:rFonts w:ascii="Times New Roman" w:cs="Times New Roman" w:eastAsia="Times New Roman" w:hAnsi="Times New Roman"/>
          <w:sz w:val="18"/>
          <w:szCs w:val="18"/>
          <w:color w:val="auto"/>
        </w:rPr>
        <w:t>. When Restricted Stock Units are granted under the Plan, the Company shall advise the recipient in writing of the terms, conditions and restrictions applicable to the Award, including the number of Restricted Stock Units that such person shall be entitled to receive. The offer to receive Restricted Stock Units shall be accepted by execution of a Restricted Stock Unit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6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Settlement</w:t>
      </w:r>
      <w:r>
        <w:rPr>
          <w:rFonts w:ascii="Times New Roman" w:cs="Times New Roman" w:eastAsia="Times New Roman" w:hAnsi="Times New Roman"/>
          <w:sz w:val="18"/>
          <w:szCs w:val="18"/>
          <w:color w:val="auto"/>
        </w:rPr>
        <w:t>. The Administrator may, in its sole discretion, set vesting criteria for the Restricted Stock Units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Restricted Stock Units, the Administrator, in its sole discretion, may reduce or waive any applicable vesting criteria.</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Settlement</w:t>
      </w:r>
      <w:r>
        <w:rPr>
          <w:rFonts w:ascii="Times New Roman" w:cs="Times New Roman" w:eastAsia="Times New Roman" w:hAnsi="Times New Roman"/>
          <w:sz w:val="18"/>
          <w:szCs w:val="18"/>
          <w:color w:val="auto"/>
        </w:rPr>
        <w:t>. Settlement of earned Restricted Stock Units will be made upon the date(s) determined by the Administrator and may be subject to additional conditions, if any, each as set forth in the Restricted Stock Unit Agreement. The Administrator, in its sole discretion, may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3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Restricted Stock Unit Agreement or in writing after the Restricted Stock Unit Agreement is issued, a Holder’s right in all Restricted Stock Units that have not vested shall automatically terminate upon the Holder’s cessation of Continuous Service Status with the Company and any Subsidiary for any reason.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9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Restricted Stock Unit Agreement shall contain such other terms, provisions and conditions not inconsistent with the Plan as may be determined by the Administrator in its sole discretion. In addition, the provisions of Restricted Stock Unit Agreements need not be the same with respect to each Holder.</w:t>
      </w:r>
    </w:p>
    <w:p>
      <w:pPr>
        <w:spacing w:after="0" w:line="17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Awards.</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332"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from time to time grant cash-based, equity-based or equity-related awards not otherwise described herein in such amounts and on such terms as it shall determine, subject to the terms and conditions set forth in the Plan. Without limiting the generality of the preceding sentence, each such Other Award may (i) involve the transfer of actual Shares to Holders, either at the time of grant or thereafter, or payment in cash or otherwise, (ii) be subject to performance-based vesting conditions and/or multipliers and/or service-based vesting conditions, (iii) be in the form of cash, stock appreciation rights, phantom stock, performance shares, deferred share units, share-denominated performance units or other similar awards and (iv) be designed to comply with Applicable Laws of jurisdictions other than the United States; provided that each cash-based Other Award shall be denominated in cash and each equity-based or equity-related Other Award shall be denominated in, or shall have a value determined by reference to, a number of Shares, in each case that is specified (or will be determined using a formula that is specified) at the time of the grant of such Other Award.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0" w:name="page451"/>
    <w:bookmarkEnd w:id="450"/>
    <w:p>
      <w:pPr>
        <w:jc w:val="both"/>
        <w:ind w:firstLine="1304"/>
        <w:spacing w:after="0" w:line="266" w:lineRule="auto"/>
        <w:tabs>
          <w:tab w:leader="none" w:pos="218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Terms</w:t>
      </w:r>
      <w:r>
        <w:rPr>
          <w:rFonts w:ascii="Times New Roman" w:cs="Times New Roman" w:eastAsia="Times New Roman" w:hAnsi="Times New Roman"/>
          <w:sz w:val="18"/>
          <w:szCs w:val="18"/>
          <w:color w:val="auto"/>
        </w:rPr>
        <w:t>. When Other Awards are granted under the Plan, the Company shall advise the recipient in writing of the terms, conditions and restrictions applicable to the Other Award. The offer to receive Other Awards shall be accepted by execution of an Other Award Agreement in the form determined by the Administrator.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3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Settlement and Payment</w:t>
      </w:r>
      <w:r>
        <w:rPr>
          <w:rFonts w:ascii="Times New Roman" w:cs="Times New Roman" w:eastAsia="Times New Roman" w:hAnsi="Times New Roman"/>
          <w:sz w:val="18"/>
          <w:szCs w:val="18"/>
          <w:color w:val="auto"/>
        </w:rPr>
        <w:t>. The Administrator may, in its sole discretion, set vesting criteria for the Other Award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the Other Award, the Administrator, in its sole discretion, may reduce or waive any applicable vesting criteria.</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8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Settlement or Payment</w:t>
      </w:r>
      <w:r>
        <w:rPr>
          <w:rFonts w:ascii="Times New Roman" w:cs="Times New Roman" w:eastAsia="Times New Roman" w:hAnsi="Times New Roman"/>
          <w:sz w:val="18"/>
          <w:szCs w:val="18"/>
          <w:color w:val="auto"/>
        </w:rPr>
        <w:t>. Settlement or payment of earned Other Awards will be made upon the date(s) determined by the Administrator and may be subject to additional conditions, if any, each as set forth in the Other Award Agreement. The Administrator will settle earned cash-based Other Awards solely in cash but, in its sole discretion, may settle earned equity-based or equity related Other Awards in cash, Shares, or a combination of both.</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32"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Other Award Agreement shall contain such other terms, provisions and conditions not inconsistent with the Plan as may be determined by the Administrator in its sole discretion. The provisions of Other Award Agreements need not be the same with respect to each Holder.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5"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(if any), no right to vote or receive dividends or any other rights as a holder of capital stock shall exist with respect to the equity-based or equity-related Other Awards. No adjustment will be made for a dividend or other right for which the record date is prior to the date of issuance, except as provided in Section 14 of the Plan.</w:t>
      </w:r>
    </w:p>
    <w:p>
      <w:pPr>
        <w:spacing w:after="0" w:line="179"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3125"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grant, vesting and exercise or settlement of an Award, the Holder (or, in the case of the Holder’s death or a permitted transferee, the person holding, exercising or receiving the proceeds of the Award) shall make such arrangements as the Administrator may require for the satisfaction of any Tax Withholding Obligations that may arise in connection with such Award. The Company and any Subsidiary shall, to the extent permitted by law, have the right to deduct any such taxes from any payment of any kind otherwise due to the grantee.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1" w:name="page452"/>
    <w:bookmarkEnd w:id="451"/>
    <w:p>
      <w:pPr>
        <w:jc w:val="both"/>
        <w:ind w:left="1300" w:firstLine="652"/>
        <w:spacing w:after="0" w:line="252" w:lineRule="auto"/>
        <w:tabs>
          <w:tab w:leader="none" w:pos="3162"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required tax withholding obligation may be satisfied, in whole or in part, by the Company withholding from Shares to be issued pursuant to an Award a number of Shares having an aggregate Fair Market Value (as of the date the withholding is effected) that would satisfy the satisfaction of any Tax Withholding Obligations that may arise in connection with such Award. The Administrator may, in its sole discretion, permit or require a Holder (or, in the case of the Holder’s death or a permitted transferee, the person holding, exercising or receiving the proceeds of the Award) to satisfy all or part of his or her Tax Withholding Obligations by remitting cash to the Company, by Cashless Transaction or by surrendering Shares (either directly or by stock attestation) that he or she previously acquired; provided that, unless specifically permitted by the Administrator (i) any Cashless Transaction must be an approved broker-assisted Cashless Transaction and the Shares withheld in the Cashless Transaction must be limited to avoid financial accounting charges under applicable accounting guidance, and (ii) any surrendered Shares must have been previously held for any minimum duration required to avoid financial accounting charges under applicable accounting guidance. Any payment of taxes by surrendering Shares to the Company may be subject to restrictions, including, but not limited to, any restrictions required by rules of the Securities and Exchange Commission. In addition, upon the exercise or settlement of any Award in cash, or the making of any other payment with respect to any Award (other than in Shares), the Company shall have the right to withhold from any payment required to be made pursuant thereto an amount sufficient to satisfy any Tax Withholding Obligations attributable to such exercise, settlement or payment.</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437"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Notwithstanding anything to the contrary contained in this Plan, to the extent that the Administrator determines that any Award granted under the Plan is subject to Code Section 409A and unless otherwise specified in the applicable Award Agreement, the Award Agreement evidencing such Award shall incorporate the terms and conditions necessary for such Award to avoid the consequences described in Code Section 409A(a)(1), and to the maximum extent permitted under Applicable Law (and unless otherwise stated in the applicable Award Agreement), the Plan and the Award Agreements shall be interpreted in a manner that results in their conforming to the requirements of Code Section 409A(a)(2), (3) and (4) and any Department of Treasury or Internal Revenue Service regulations or other interpretive guidance issued under Section 409A (whenever issued, the “</w:t>
      </w:r>
      <w:r>
        <w:rPr>
          <w:rFonts w:ascii="Times New Roman" w:cs="Times New Roman" w:eastAsia="Times New Roman" w:hAnsi="Times New Roman"/>
          <w:sz w:val="18"/>
          <w:szCs w:val="18"/>
          <w:u w:val="single" w:color="auto"/>
          <w:color w:val="auto"/>
        </w:rPr>
        <w:t>Guidance</w:t>
      </w:r>
      <w:r>
        <w:rPr>
          <w:rFonts w:ascii="Times New Roman" w:cs="Times New Roman" w:eastAsia="Times New Roman" w:hAnsi="Times New Roman"/>
          <w:sz w:val="18"/>
          <w:szCs w:val="18"/>
          <w:color w:val="auto"/>
        </w:rPr>
        <w:t>”). Notwithstanding anything to the contrary in this Plan (and unless the Award Agreement provides otherwise, with specific reference to this sentence), to the extent that a Holder holding an Award that constitutes “deferred compensation” under Section 409A and the Guidance is a “specified employee” (also as defined thereunder), no distribution or payment of any amount shall be made before a date that is six months following the date of such Holder’s “separation from service” (as defined in Section 409A and the Guidance) or, if earlier, the date of the Holder’s death.</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2" w:name="page453"/>
    <w:bookmarkEnd w:id="452"/>
    <w:p>
      <w:pPr>
        <w:jc w:val="both"/>
        <w:ind w:firstLine="1304"/>
        <w:spacing w:after="0" w:line="253" w:lineRule="auto"/>
        <w:tabs>
          <w:tab w:leader="none" w:pos="2332"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Benefits</w:t>
      </w:r>
      <w:r>
        <w:rPr>
          <w:rFonts w:ascii="Times New Roman" w:cs="Times New Roman" w:eastAsia="Times New Roman" w:hAnsi="Times New Roman"/>
          <w:sz w:val="18"/>
          <w:szCs w:val="18"/>
          <w:color w:val="auto"/>
        </w:rPr>
        <w:t>. The Administrator may in its discretion and upon such terms and conditions as it determines appropriate permit one or more Holders whom it selects to (i) defer compensation payable pursuant to the terms of an Award, or (ii) defer compensation arising outside the terms of this Plan pursuant to a program that provides for deferred payment in satisfaction of such other compensation amounts through the issuance of one or more Awards. Any such deferral arrangement shall be evidenced by an Award Agreement in such form as the Administrator shall from time to time establish, and no such deferral arrangement shall be a valid and binding obligation unless evidenced by a fully executed Award Agreement, the form of which the Administrator has approved, including through the Administrator’s establishing a written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under this Plan to govern the form of Award Agreements participating in such Program. Any such Award Agreement or Program shall specify the treatment of dividends or dividend equivalent rights (if any) that apply to Awards governed thereby, and shall further provide that any elections governing payment of amounts pursuant to such Program shall be in writing, shall be delivered to the Company or its agent in a form and manner that complies with Code Section 409A and the Guidance, and shall specify the amount to be distributed in settlement of the deferral arrangement, as well as the time and form of such distribution in a manner that complies with Code Section 409A and the Guidance.</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59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Unless otherwise determined by the Administrator, Awards may not be sold, pledged, assigned, hypothecated, transferred or disposed of in any manner other than by will or by the laws of descent or distribution. The designation of a beneficiary by a Holder will not constitute a transfer. An Option may be exercised, during the lifetime of the holder of the Option, only by such holder or a transferee permitted by this Section 13. Upon the death of a Holder, outstanding Awards granted to such Holder may be exercised only by the executors or administrators of the Holder’s estate, by any person or persons who shall have acquired such right to exercise by will or by the laws of descent and distribution or by another transferee permitted by the Administrator pursuant to this Section 13. No transfer by will, the laws of descent and distribution or otherwise of any Award, or of the right to exercise any Award, shall be effective to bind the Company unless (a) the Administrator shall have been furnished with written notice thereof and with a copy of the will and/or such evidence as the Administrator may deem necessary to establish the validity of the transfer, (b) if the transfer was other than by will or by the laws of descent or distribution, the Administrator has provided its written consent to such transfer, and (c) the Administrator shall have been furnished with an agreement by the transferee to comply with all the terms and conditions of the Award that are or would have been applicable to the Holder, to be bound by the acknowledgements made by the Holder in connection with the grant of the Award and, if the transfer was other than by will or by the laws of descent or distribution, to be bound by any additional conditions the Administrator may, in its sole discretion, impose. For the avoidance of doubt, to the extent an unvested Award is transferred, the Continuous Service Status of the Holder will continue to determine, without limitation, the vesting and exercisability of such Award, to the same extent that the Continuous Service Status of the Holder would have done so had the Holder continued to directly hold such Award.</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3" w:name="page454"/>
    <w:bookmarkEnd w:id="453"/>
    <w:p>
      <w:pPr>
        <w:ind w:left="1520" w:hanging="864"/>
        <w:spacing w:after="0"/>
        <w:tabs>
          <w:tab w:leader="none" w:pos="15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 Merger or Certain Other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9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any action required under Applicable Laws by the stockholders of the Company, (i) the numbers and class (or type) of Shares, units representing Shares, or other stock or securities: (x) available for future Awards (including pursuant to Incentive Stock Options) under Section 3(a) of the Plan and (y) covered by each outstanding Award, (ii) the price per Share covered by each such outstanding Option, and (iii) any repurchase price per Share applicable to Shares issued pursuant to any Award, shall be proportionately adjusted (or substituted) by the Administrator in the event of a stock split, reverse stock split, stock dividend, combination, consolidation, recapitalization (including a recapitalization through a large nonrecurring cash dividend) or reclassification of the Shares, subdivision of the Shares, exchange of the Shares, a rights offering, a reorganization, merger, spin-off, split-up, change in corporate structure, other increase or decrease in the number of Shares or other similar occurrence. Any adjustment by the Administrator pursuant to this Section 14 shall be made in the Administrator’s sole discretion and shall be final, binding and conclusive. Except as expressly provided herein, (I) no issuance by the Company of shares of stock of any class, or securities convertible into shares of stock of any class, shall affect, and no adjustment by reason thereof shall be made with respect to, the number or price of Shares subject to, or the terms related to, an Award, and (II) no Holder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the Company or any other corporation. If, by reason of a transaction described in this Section 14 or an adjustment pursuant to this Section 14, a Holder’s Award Agreement or agreement related to any Optioned Stock, Restricted Stock, Restricted Stock Unit or Share underlying an Other Award covers additional or different shares of stock or securities (or units representing additional or different shares of stock or securities), then such additional or different shares (and the units representing such additional or different shares), and the Award Agreement or agreement related to the Optioned Stock, Restricted Stock, Restricted Stock Unit or Share underlying an Other Award in respect thereof, shall be subject to all of the terms, conditions and restrictions which were applicable to the Award, Optioned Stock, Restricted Stock, Restricted Stock Units or Shares underlying an Other Award prior to such adjustment.</w:t>
      </w:r>
    </w:p>
    <w:p>
      <w:pPr>
        <w:spacing w:after="0" w:line="190" w:lineRule="exact"/>
        <w:rPr>
          <w:rFonts w:ascii="Times New Roman" w:cs="Times New Roman" w:eastAsia="Times New Roman" w:hAnsi="Times New Roman"/>
          <w:sz w:val="18"/>
          <w:szCs w:val="18"/>
          <w:color w:val="auto"/>
        </w:rPr>
      </w:pPr>
    </w:p>
    <w:p>
      <w:pPr>
        <w:ind w:firstLine="1304"/>
        <w:spacing w:after="0" w:line="282" w:lineRule="auto"/>
        <w:tabs>
          <w:tab w:leader="none" w:pos="250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dissolution or liquidation of the Company, each Award will terminate immediately prior to the consummation of such action, unless otherwise determined by the Administrator.</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246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(i) a transfer of all or substantially all of the Company’s assets, (ii) a merger, consolidation or other capital reorganization or business combination transaction of the Company with or into another corporation, entity or person, (iii) the consummation of a transaction, or series of related transactions, in which any “person” (as such term is used in Sections 13(d) and 14(d) of the Exchange Act) becomes the “beneficial owner” (as defined in Rule 13d-3 of the Exchange Act), directly or indirectly, of more than 50% of the total Voting Power of the Company, or (iv) a Change of Control (each transaction set forth in clauses (i) through (iv) hereof, a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each outstanding Award (vested or unvested) will be treated as the Administrator determines, which determination may be made without the consent of any Holder and need not treat all outstanding Awards (or portion thereof) in an identical manner. Such determination, without the consent of any Holder,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equity awards for such Awards; (D) the cancellation of such Awards in exchange for a payment to the Holders equal to the excess (if any) of (1) the Fair Market Value of the Shares subject to such Awards as of the closing date of such Corporate Transaction (which may, for this purpose, be determined by reference to the value, as determined by the Administrator, of the property (including cash) received by the holder of a Share as a result of such Corporate Transaction) over (2) the exercise price or purchase price paid or to be paid for the Shares subject to the Awards (if any); or (E) the opportunity for Optionees to exercise their Options prior to the occurrence of the Corporate Transaction and the termination (for no consideration) upon the consummation of such Corporate Transaction of any Options not exercised prior thereto.</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4" w:name="page455"/>
    <w:bookmarkEnd w:id="454"/>
    <w:p>
      <w:pPr>
        <w:jc w:val="both"/>
        <w:ind w:right="20" w:firstLine="1304"/>
        <w:spacing w:after="0" w:line="266" w:lineRule="auto"/>
        <w:tabs>
          <w:tab w:leader="none" w:pos="219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No provision of this Section 14 shall be given effect to the extent that such provision would cause any tax to become due under Section 409A of the Code. Furthermore, no provision of this Section 14 shall be given effect to the extent such provision would result in short-swing profits liability under Section 16 of the Exchange Act or violate the exemptive conditions of Rule 16b-3 of the Exchange Act.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50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 Award may be subject to additional acceleration of vesting and exercisability upon or after a Change of Control as may be provided in the Award Agreement for such Award.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63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granting such Award,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Award is so granted within a reasonable time after the date of such grant.</w:t>
      </w:r>
    </w:p>
    <w:p>
      <w:pPr>
        <w:spacing w:after="0" w:line="18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5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to Amend or Terminate</w:t>
      </w:r>
      <w:r>
        <w:rPr>
          <w:rFonts w:ascii="Times New Roman" w:cs="Times New Roman" w:eastAsia="Times New Roman" w:hAnsi="Times New Roman"/>
          <w:sz w:val="18"/>
          <w:szCs w:val="18"/>
          <w:color w:val="auto"/>
        </w:rPr>
        <w:t>. The Board may at any time amend, alter, suspend, discontinue or terminate the Plan, but no amendment, alteration, suspension, discontinuation or termination (other than an adjustment pursuant to Section 14 of the Plan) shall be made that would materially and adversely affect the rights of any Holder under any outstanding Award, without his or her consent. The preceding sentence shall not restrict the Administrator’s ability to exercise its discretionary authority hereunder, which discretion may be exercised without amendment to the Plan. No provision of this Section 17 shall be given effect to the extent that such provision would cause any tax to become due under Section 409A of the Code. In addition, to the extent necessary and desirable to comply with the Applicable Laws, the Company shall obtain stockholder approval of any Plan amendment in such a manner and to such a degree as required.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5" w:name="page456"/>
    <w:bookmarkEnd w:id="455"/>
    <w:p>
      <w:pPr>
        <w:jc w:val="both"/>
        <w:ind w:firstLine="656"/>
        <w:spacing w:after="0" w:line="253" w:lineRule="auto"/>
        <w:tabs>
          <w:tab w:leader="none" w:pos="154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 Securities Matters</w:t>
      </w:r>
      <w:r>
        <w:rPr>
          <w:rFonts w:ascii="Times New Roman" w:cs="Times New Roman" w:eastAsia="Times New Roman" w:hAnsi="Times New Roman"/>
          <w:sz w:val="18"/>
          <w:szCs w:val="18"/>
          <w:color w:val="auto"/>
        </w:rPr>
        <w:t>. The Company shall be under no obligation to affect the registration pursuant to the Securities Act of 1933, as amended, of any Shares to be issued hereunder or to effect similar compliance under any state, local or non-U.S. laws. Notwithstanding any other provision of the Plan or any Award Agreement, the Company shall not be obligated, and shall have no liability for failure, to issue or deliver any Shares under the Plan unless such issuance or delivery would comply with the Applicable Laws, with such compliance determined by the Company in consultation with its legal counsel. The Administrator may require, as a condition to the issuance of Shares pursuant to the terms hereof, that the recipient of such Shares make such covenants, agreements and representations, and that any related certificates representing such Shares bear such legends, as the Administrator, in its sole discretion, deems necessary or desirable. The exercise or settlement of any Award granted hereunder shall only be effective at such time as counsel to the Company shall have determined that the issuance and delivery of Shares pursuant to such exercise or settlement is in compliance with all Applicable Laws. The Company may, in its sole discretion, defer the effectiveness of any exercise or settlement of an Award granted hereunder in order to allow the issuance of Shares pursuant thereto to be made pursuant to registration or an exemption from registration or other methods for compliance available under U.S. federal, state, local or non-U.S. securities laws. The Company shall inform the Holder in writing of its decision to defer the effectiveness of the exercise or settlement of an Award granted hereunder. During the period that the effectiveness of the exercise of an Award has been deferred, the Holder may, by written notice, withdraw such exercise and obtain the refund of any amount paid with respect thereto.</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61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Notwithstanding anything in the Plan or in any Award Agreement to the contrary, the Company will be entitled to the extent permitted or required by Applicable Law, Company policy and/or the requirements of a Stock Exchange on which the Shares are listed for trading, in each case, as in effect from time to time, to recoup compensation of whatever kind paid by the Company at any time to a Holder under this Plan. No such recoupment of compensation will be an event giving rise to a right to resign for “good reason” or “constructive termination” (or similar term) under any agreement between any Holder and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59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Status &amp; Leaves of Absence</w:t>
      </w:r>
      <w:r>
        <w:rPr>
          <w:rFonts w:ascii="Times New Roman" w:cs="Times New Roman" w:eastAsia="Times New Roman" w:hAnsi="Times New Roman"/>
          <w:sz w:val="18"/>
          <w:szCs w:val="18"/>
          <w:color w:val="auto"/>
        </w:rPr>
        <w:t xml:space="preserve">. The Administrator shall have the discretion to determine (whether by establishing a policy applicable to the treatment of any or all Awards in such circumstances, or by making an individualized determination) at any time whether and to what extent any tolling, reduction, vesting-extension, forfeiture or other treatment should be applied to an Award in connection with a Holder’s leave of absence or a change in a Holder’s regular level of time commitment to the Company (e.g., in connection with a change from full-time to part-time status);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Administrator shall not have any such discretion (whether pursuant to a policy or specific determination) to the extent that the grant of such discretion would cause any tax to become due under Section 409A of the Code;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absence of a determination to the contrary by the Administrator, vesting shall continue during any paid leave and shall be tolled during any unpaid leave (in all cases, unless otherwise required by Applicable Laws). In the event of any such tolling, forfeiture, reduction or extension, the Holder shall have no right to the portion of the Award so tolled, forfeited, reduced or extended (except for the right that remains, if any, after the application of such 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53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Comply</w:t>
      </w:r>
      <w:r>
        <w:rPr>
          <w:rFonts w:ascii="Times New Roman" w:cs="Times New Roman" w:eastAsia="Times New Roman" w:hAnsi="Times New Roman"/>
          <w:sz w:val="18"/>
          <w:szCs w:val="18"/>
          <w:color w:val="auto"/>
        </w:rPr>
        <w:t>. In addition to the remedies of the Company elsewhere provided for herein, failure by a Holder to comply with any of the terms and conditions of the Plan or any Award Agreement, unless such failure is remedied by such Holder within ten days after having been notified of such failure by the Administrator, shall be grounds for the cancellation and forfeiture of such Award, in whole or in part, as the Administrator, in its sole discretion, may determine.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6" w:name="page457"/>
    <w:bookmarkEnd w:id="456"/>
    <w:p>
      <w:pPr>
        <w:ind w:firstLine="656"/>
        <w:spacing w:after="0" w:line="282" w:lineRule="auto"/>
        <w:tabs>
          <w:tab w:leader="none" w:pos="155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during the term of this Plan, will at all times reserve and keep available such number of Shares as shall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Awards shall be evidenced by Award Agreements, respectively, in such form(s) as the Administrator shall from time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approve.</w:t>
      </w:r>
    </w:p>
    <w:p>
      <w:pPr>
        <w:spacing w:after="0" w:line="20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2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for in an Award Agreement, the Plan and each Award Agreement will be interpreted to the greatest extent possible in a manner that makes the Plan and the Awards granted hereunder exempt from Section 409A of the Code, and, to the extent not so exempt, in compliance with Section 409A of the Code. If the Administrator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8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Award that constitutes nonqualified deferred compensation within the meaning of Section 409A of the Code, termination of a Holder’s Continuous Service Status shall mean a separation from service within the meaning of Section 409A of the Code, unless the Holder was an Employee immediately prior to such termination and is then contemporaneously retained as a Consultant pursuant to a written agreement and such agreement provides otherwise. The Continuous Service Status of a Holder shall be deemed to have terminated for all purposes of the Plan if such person is employed by or provides services to Subsidiary and such Subsidiary ceases to be a Subsidiary, unless the Administrator determines otherwise. To the extent permitted by Section 409A of the Code, a Holder who ceases to be an Employee of the Company but continues, or simultaneously commences, services as a Director of the Company shall be deemed to have had a termination of Continuous Service Status for purposes of the Plan.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59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Unless stated otherwise in an Award Agreement, a Holder may designate one or more beneficiaries with respect to an Award by timely filing the prescribed form with the Company. A beneficiary designation may be changed by filing the prescribed form with the Company at any time before the Holder’s death. If no beneficiary was designated or if no designated beneficiary survives the Holder, then, after a Holder’s death, any vested Award(s) shall be transferred or distributed to the Holder’s estate.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7" w:name="page458"/>
    <w:bookmarkEnd w:id="457"/>
    <w:p>
      <w:pPr>
        <w:ind w:right="20" w:firstLine="656"/>
        <w:spacing w:after="0" w:line="282" w:lineRule="auto"/>
        <w:tabs>
          <w:tab w:leader="none" w:pos="150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and Receipts</w:t>
      </w:r>
      <w:r>
        <w:rPr>
          <w:rFonts w:ascii="Times New Roman" w:cs="Times New Roman" w:eastAsia="Times New Roman" w:hAnsi="Times New Roman"/>
          <w:sz w:val="18"/>
          <w:szCs w:val="18"/>
          <w:color w:val="auto"/>
        </w:rPr>
        <w:t>. The expenses of the Plan shall be paid by the Company. Any proceeds received by the Company in connection with any Award will be used for general corporate purposes.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53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If required by the Applicable Laws, continuance of the Plan shall be subject to approval by the stockholders of the Company within twelve (12) months before or after the date the Plan is adopted. Such stockholder approval shall be obtained in the manner and to the degree required under the Applicable Laws. If the stockholders fail to approve the Plan within 12 months after its adoption by the Board, then any Awards granted or sold under the Plan shall be rescinded and no additional grants or sales shall thereafter be made under the Plan. Subject to such approval by stockholders and to the requirement that no Shares may be issued hereunder prior to such approval, Awards may be granted hereunder on and after adoption of the Plan by the Board.</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65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Holder shall be deemed completed as of the date of such corporate action, unless otherwise determined by the Administrator, regardless of when the instrument, certificate, or letter evidencing the Award is communicated to, or actually received or accepted by, the Holder.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preparation of the Award Agreement or related grant documentation, the corporate records will control, and the Holder will have no legally binding right to the incorrect term in the Award Agreement or related grant documentation.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81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51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written notice to the Company required by any provisions of this Plan shall be addressed to the Secretary of the Company and shall be effective when received.</w:t>
      </w:r>
    </w:p>
    <w:p>
      <w:pPr>
        <w:spacing w:after="0" w:line="16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Interpretation of Plan and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6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all determinations made and actions taken pursuant hereto shall be governed by the substantive laws, but not the choice of law rules, of the state of Delaware.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1"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of the Plan or any Award granted under the Plan is declared to be illegal, invalid or otherwise unenforceable by a court of competent jurisdiction, such provision shall be reformed, if possible, to the extent necessary to render it legal, valid and enforceable, or otherwise deleted, and the remainder of the terms of the Plan and/or Award shall not be affected except to the extent necessary to reform or delete such illegal, invalid or unenforceable provision.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8" w:name="page459"/>
    <w:bookmarkEnd w:id="458"/>
    <w:p>
      <w:pPr>
        <w:ind w:firstLine="1304"/>
        <w:spacing w:after="0" w:line="282" w:lineRule="auto"/>
        <w:tabs>
          <w:tab w:leader="none" w:pos="248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preceding the text of the sections hereof are inserted solely for convenience of reference, and shall not constitute a part of the Plan, nor shall they affect its meaning, construction or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2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Plan and any Award shall inure to the benefit of and be binding upon the parties hereto and their respective permitted heirs, beneficiaries, successors and assigns.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0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arising under the Plan or under any Award shall be decided by the Administrator in its total and absolute discretion. In the event the Holder believes that a decision by the Administrator with respect to such person was arbitrary or capricious, the Holder may request arbitration with respect to such decision. The review by the arbitrator shall be limited to determining whether the Administrator’s decision was arbitrary or capricious. This arbitration shall be the sole and exclusive review permitted of the Administrator’s decision, and the Awardee shall as a condition to the receipt of an Award be deemed to explicitly waive any right to judicial review.</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54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The Company and any Affiliate which is in existence or hereafter comes into existence shall not be liable to a Holder, an Employee or any other persons as 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94"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Non-Issuance of Shares</w:t>
      </w:r>
      <w:r>
        <w:rPr>
          <w:rFonts w:ascii="Times New Roman" w:cs="Times New Roman" w:eastAsia="Times New Roman" w:hAnsi="Times New Roman"/>
          <w:sz w:val="18"/>
          <w:szCs w:val="18"/>
          <w:color w:val="auto"/>
        </w:rPr>
        <w:t>. The non-issuance or sale of Shares (including under Section 18 above) as to which the Company has been unable to obtain from any regulatory body having jurisdiction the authority deemed by the Company’s counsel to be necessary to the lawful issuance and sale of any shares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41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Any tax consequence realized by any Holder, Employee or other person due to the receipt, vesting, exercise or settlement of any Award granted hereunder or due to the transfer of any Shares issued hereunder. The Holder is responsible for, and by accepting an Award under the Plan agrees to bear, all taxes of any nature that are legally imposed upon the Holder in connection with an Award, and the Company does not assume, and will not be liable to any party for, any cost or liability arising in connection with such tax liability legally imposed on the Holder. In particular, Awards issued under the Plan may be characterized by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as “deferred compensation” under the Code resulting in additional taxes, including in some cases interest and penalties. In the event the IRS determines that an Award constitutes deferred compensation under the Code or challenges any good faith characterization made by the Company or any other party of the tax treatment applicable to an Award, the Holder will be responsible for the additional taxes, and interest and penalties, if any, that are determined to apply if such challenge succeeds, and the Company will not reimburse the Holder for the amount of any additional taxes, penalties or interest that result.</w:t>
      </w:r>
    </w:p>
    <w:p>
      <w:pPr>
        <w:spacing w:after="0" w:line="188" w:lineRule="exact"/>
        <w:rPr>
          <w:rFonts w:ascii="Times New Roman" w:cs="Times New Roman" w:eastAsia="Times New Roman" w:hAnsi="Times New Roman"/>
          <w:sz w:val="18"/>
          <w:szCs w:val="18"/>
          <w:color w:val="auto"/>
        </w:rPr>
      </w:pPr>
    </w:p>
    <w:p>
      <w:pPr>
        <w:ind w:left="2440" w:hanging="1136"/>
        <w:spacing w:after="0"/>
        <w:tabs>
          <w:tab w:leader="none" w:pos="244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The requirement that a Holder forfeit an Award, or the benefits received or to be received under an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Applicable Law.</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9" w:name="page460"/>
    <w:bookmarkEnd w:id="459"/>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2012 STOCK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Affirm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Affirm Holdings, Inc. Amended and Restated 2012 Stock Plan and any applicable sub-plan for a particular country, as applicable (together,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granted to Grantee set forth below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as of the date set forth below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a restricted stock unit award covering the number of units set forth below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each of which represents one (1) share of the Company’s class A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the shares of Common Stock underlying the RSUs,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RSUs are subject to all of the terms and conditions set forth in this Restricted Stock Unit Grant Notice (the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and the Restricted Stock Unit Agreement (the “</w:t>
      </w:r>
      <w:r>
        <w:rPr>
          <w:rFonts w:ascii="Times New Roman" w:cs="Times New Roman" w:eastAsia="Times New Roman" w:hAnsi="Times New Roman"/>
          <w:sz w:val="18"/>
          <w:szCs w:val="18"/>
          <w:b w:val="1"/>
          <w:bCs w:val="1"/>
          <w:color w:val="auto"/>
        </w:rPr>
        <w:t>RSU Agreement</w:t>
      </w:r>
      <w:r>
        <w:rPr>
          <w:rFonts w:ascii="Times New Roman" w:cs="Times New Roman" w:eastAsia="Times New Roman" w:hAnsi="Times New Roman"/>
          <w:sz w:val="18"/>
          <w:szCs w:val="18"/>
          <w:color w:val="auto"/>
        </w:rPr>
        <w:t>”) and the Plan, both of which are attached hereto and incorporated herein in their entirety. Capitalized terms not explicitly defined in this Grant Notice but defined in the Plan or the RSU Agreement will have the same definitions as in the Plan or the RSU Agreement. In the event of any conflict between the terms of the Grant Notice and the Plan, the terms of the Plan will control.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 of Grantee»</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Board Approval Date:</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of Board Approval»</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 of Grant»</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Restricted Stock Units Granted:</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Shares»</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«Vesting Commencement Date»</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«Vesting Schedule»</w:t>
            </w:r>
          </w:p>
        </w:tc>
      </w:tr>
      <w:tr>
        <w:trPr>
          <w:trHeight w:val="414"/>
        </w:trPr>
        <w:tc>
          <w:tcPr>
            <w:tcW w:w="3740" w:type="dxa"/>
            <w:vAlign w:val="bottom"/>
          </w:tcPr>
          <w:p>
            <w:pPr>
              <w:spacing w:after="0"/>
              <w:rPr>
                <w:sz w:val="24"/>
                <w:szCs w:val="24"/>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 long as Grantee’s Continuous Service Status does not terminate (and provided that no vesting</w:t>
            </w:r>
          </w:p>
        </w:tc>
      </w:tr>
      <w:tr>
        <w:trPr>
          <w:trHeight w:val="216"/>
        </w:trPr>
        <w:tc>
          <w:tcPr>
            <w:tcW w:w="374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shall occur following the date of such termination), the RSUs shall vest in accordance with the</w:t>
            </w:r>
          </w:p>
        </w:tc>
      </w:tr>
      <w:tr>
        <w:trPr>
          <w:trHeight w:val="216"/>
        </w:trPr>
        <w:tc>
          <w:tcPr>
            <w:tcW w:w="374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vesting schedule above. Each tranche of RSUs that vests, or is scheduled to vest, pursuant to this</w:t>
            </w:r>
          </w:p>
        </w:tc>
      </w:tr>
      <w:tr>
        <w:trPr>
          <w:trHeight w:val="216"/>
        </w:trPr>
        <w:tc>
          <w:tcPr>
            <w:tcW w:w="374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 Notice is hereby designated as a “separate payment” for purposes of Treasury Regulation</w:t>
            </w:r>
          </w:p>
        </w:tc>
      </w:tr>
      <w:tr>
        <w:trPr>
          <w:trHeight w:val="234"/>
        </w:trPr>
        <w:tc>
          <w:tcPr>
            <w:tcW w:w="374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1.409A-2(b)(2).</w:t>
            </w: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[Vesting Acceleration:]</w:t>
            </w: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within the three (3) months prior to or eighteen (18) months following the occurrence of a</w:t>
            </w:r>
          </w:p>
        </w:tc>
      </w:tr>
      <w:tr>
        <w:trPr>
          <w:trHeight w:val="216"/>
        </w:trPr>
        <w:tc>
          <w:tcPr>
            <w:tcW w:w="374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Control, Grantee’s Continuous Service Status is terminated by the Company without</w:t>
            </w:r>
          </w:p>
        </w:tc>
      </w:tr>
      <w:tr>
        <w:trPr>
          <w:trHeight w:val="216"/>
        </w:trPr>
        <w:tc>
          <w:tcPr>
            <w:tcW w:w="374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Cause (other than due to Grantee’s death or Disability) or Grantee resigns for Good Reason, then one</w:t>
            </w:r>
          </w:p>
        </w:tc>
      </w:tr>
      <w:tr>
        <w:trPr>
          <w:trHeight w:val="216"/>
        </w:trPr>
        <w:tc>
          <w:tcPr>
            <w:tcW w:w="374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hundred percent (100%) of the remaining unvested RSUs granted hereunder shall immediately vest</w:t>
            </w:r>
          </w:p>
        </w:tc>
      </w:tr>
      <w:tr>
        <w:trPr>
          <w:trHeight w:val="234"/>
        </w:trPr>
        <w:tc>
          <w:tcPr>
            <w:tcW w:w="374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and in accordance with the terms of the Company’s Officer Severance Plan.]</w:t>
            </w:r>
          </w:p>
        </w:tc>
      </w:tr>
      <w:tr>
        <w:trPr>
          <w:trHeight w:val="702"/>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color w:val="auto"/>
        </w:rPr>
        <w:t>Issuance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Mandatory Sale to Cover Tax Withholding Obligations/Company Withholding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Upon vesting, RSUs shall be settled in Shares on a date determined by the Company, in its sole and absolute discretion (but in no event later than two and one-half (2 ½) months after the end of the year in which the vesting date occurs).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notwithstanding anything stated herein, in the RSU Agreement, the Plan or any other agreement applicable to the RSUs, the Company shall have the discretion to settle the RSUs prior to the time set forth herein to the extent permitted by Treasury Regulation Section 1.409A-3(j)(4).</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condition to acceptance of this award of RSUs, to the greatest extent permitted under the Plan and Applicable Laws, any Tax Withholding Obligations will be satisfied through the sale of a number of the Shares issuable upon settlement determined in accordance with Section 5 of the RSU Agreement and the remittance of the cash proceeds of such sale to the Company. Under the RSU Agreement, the Company is authorized and directed by Grantee to make payment from the cash proceeds of the sale directly to the appropriate taxing authorities in an amount equal to the Tax Withholding Obligations. It is the Company’s intent that the mandatory sale to cover Tax Withholding Obligations imposed by the Company on Grantee in connection with the receipt of this Award comply with the requirements of Rule 10b5-1(c)(1)(i)(B) under the Exchange Act and be interpreted to comply with the requirements of Rule 10b5-1(c). Notwithstanding the foregoing, in its sole discretion, pursuant to the RSU Agreement, the Company may instead withhold a number of the Shares issuable upon settlement determined in accordance with Section 5 of the RSU Agreement and make payments from its own funds to the appropriate taxing authorities in an amount equal to the Tax Withholding Obligations, or may enter into any other arrangement with Grantee to satisfy Grantee’s Tax Withholding Obligations in accordance with Section 5 of the RSU Agreement.</w:t>
      </w:r>
    </w:p>
    <w:p>
      <w:pPr>
        <w:spacing w:after="0" w:line="200" w:lineRule="exact"/>
        <w:rPr>
          <w:sz w:val="20"/>
          <w:szCs w:val="20"/>
          <w:color w:val="auto"/>
        </w:rPr>
      </w:pP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17145</wp:posOffset>
            </wp:positionV>
            <wp:extent cx="713232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40" w:space="720"/>
            <w:col w:w="7280"/>
          </w:cols>
          <w:pgMar w:left="320" w:top="931" w:right="339" w:bottom="1440" w:gutter="0" w:footer="0" w:header="0"/>
        </w:sectPr>
      </w:pPr>
    </w:p>
    <w:bookmarkStart w:id="461" w:name="page462"/>
    <w:bookmarkEnd w:id="4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(i) the RSUs are granted under and governed by the terms and conditions of the Affirm Holdings, Inc. Amended and Restated 2012 Stock Plan and the RSU Agreement, both of which are attached and made a part of this document and (ii) the RSUs granted hereby are in full satisfaction of any promise of a grant of stock options and/or restricted stock units to you as may be set forth in an offer letter (or similar agreement) between you and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you agree and acknowledge that your rights to any Shares upon the settlement of the RSUs will be received only when the RSUs vest, that the grant of the RSUs is not as consideration for services you rendered to the Company prior to your Vesting Commencement Date, and that nothing in this Grant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56616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63" w:name="page464"/>
    <w:bookmarkEnd w:id="463"/>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AMENDED AND RESTATED STOCK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AWARD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your Restricted Stock Unit Grant Notice (the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and 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Affirm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granted you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as of the Date of Grant set forth in the Grant Notice, a restricted stock unit award covering the number of units set forth in your Grant Notice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each of which represents one (1) share of the Company’s class A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the shares of Common Stock underlying the RSUs,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the Company’s Amended and Restated 2012 Stock Plan and any applicable sub-plan for a particular country (together,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83" w:lineRule="exact"/>
        <w:rPr>
          <w:sz w:val="20"/>
          <w:szCs w:val="20"/>
          <w:color w:val="auto"/>
        </w:rPr>
      </w:pPr>
    </w:p>
    <w:p>
      <w:pPr>
        <w:jc w:val="both"/>
        <w:ind w:firstLine="656"/>
        <w:spacing w:after="0" w:line="268" w:lineRule="auto"/>
        <w:tabs>
          <w:tab w:leader="none" w:pos="151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Stockholder Rights</w:t>
      </w:r>
      <w:r>
        <w:rPr>
          <w:rFonts w:ascii="Times New Roman" w:cs="Times New Roman" w:eastAsia="Times New Roman" w:hAnsi="Times New Roman"/>
          <w:sz w:val="18"/>
          <w:szCs w:val="18"/>
          <w:color w:val="auto"/>
        </w:rPr>
        <w:t>. Unless and until such time as Shares are issued pursuant to this Agreement in settlement of vested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shall have no ownership of the Shares allocated to the RSUs, including, without limitation, no right to dividends (or dividend equivalents) or to vote such Shares.</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147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 Except as otherwise provided in the Plan or the Grant Notice, if Grantee’s Continuous Service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at any time for any reason, all RSUs for which vesting is no longer possible under the terms of the Grant Notice and this Agreement shall be forfeited to the Company on the date of such termination of Continuous Service Status, and all rights of Grantee to such RSUs shall immediately terminate at such time. Further, unless otherwise approved by the Company, Grantee’s right to vest in the RSUs will terminate as of such date and will not be extended by any contractual notice period or any period of “garden leave” or similar notice period mandated under employment laws in the jurisdiction where Grantee is employed or the terms of Grantee’s employment agreement, if any.</w:t>
      </w:r>
    </w:p>
    <w:p>
      <w:pPr>
        <w:spacing w:after="0" w:line="182" w:lineRule="exact"/>
        <w:rPr>
          <w:rFonts w:ascii="Times New Roman" w:cs="Times New Roman" w:eastAsia="Times New Roman" w:hAnsi="Times New Roman"/>
          <w:sz w:val="18"/>
          <w:szCs w:val="18"/>
          <w:color w:val="auto"/>
        </w:rPr>
      </w:pPr>
    </w:p>
    <w:p>
      <w:pPr>
        <w:jc w:val="both"/>
        <w:ind w:firstLine="656"/>
        <w:spacing w:after="0" w:line="262" w:lineRule="auto"/>
        <w:tabs>
          <w:tab w:leader="none" w:pos="14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(2 ½)</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after the end of the year in which the vesting date occurs), the Company shall issue to Grantee the number of Shares equal to the aggregate number of RSUs that have vested pursuant to Grant Notice on such date and Grantee shall thereafter have all the rights of a stockholder of the Company with respect to such shares.</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4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the Plan, including the powers of the Administrator set forth in Section 4 of the Plan. Capitalized terms in this Agreement shall have the meaning specified in the Plan, unless a different meaning is specified herein.</w:t>
      </w:r>
    </w:p>
    <w:p>
      <w:pPr>
        <w:spacing w:after="0" w:line="170"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Responsibility for Taxes</w:t>
      </w:r>
      <w:r>
        <w:rPr>
          <w:rFonts w:ascii="Times New Roman" w:cs="Times New Roman" w:eastAsia="Times New Roman" w:hAnsi="Times New Roman"/>
          <w:sz w:val="18"/>
          <w:szCs w:val="18"/>
          <w:color w:val="auto"/>
        </w:rPr>
        <w:t>. As a condition to the grant, vesting, and settlement of the RSUs, Grantee acknowledges that, regardless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taken by the Company or, if different, Grantee’s employer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the ultimate liability for all income tax, social security contributions (including employer’s social security contributions to the extent such amounts may be lawfully recovered from Grantee),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or subsequent sale of the Shares allocated to the RSUs, or the participation in the Plan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4" w:name="page465"/>
    <w:bookmarkEnd w:id="46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Grantee further acknowledges that the Company and/or the Employer: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Grantee’s liability for Tax-Related Items or achieve any particular tax result. Grantee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if Grantee is subject to Tax-Related Items in more than one jurisdiction between the Date of Grant and the date of any relevant taxable or tax withholding event, as applicable, Grantee acknowledges that the Company and/or the Employer (or former employer, as applicable) may be required to withhold or account for Tax-Related Items in more than one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this Agreement and subject to Applicable Laws, Grantee authorizes the Company and/or the Employer, or their respective agents, at their discretion, to satisfy Grantee’s Tax Withholding Obligations by (i) withholding from Grantee’s wages or other compensation paid to Grantee by the Company or the Employer, (ii) withholding from proceeds of the sale of Shares acquired pursuant to the RSUs either through a voluntary sale or through a mandatory sale arranged by the Company (on Grantee’s behalf pursuant to this authorization) without further consent, (iii) withholding Shares that would otherwise be issued upon settlement of the RSUs or (iv) such other method as determined by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Depending on the method of satisfying the Tax Withholding Obligations, the Company may pay, withhold or account for such Tax Withholding Obligations by considering applicable minimum statutory withholding amounts or other applicable tax or withholding rates, including maximum applicable rates, in which case Grantee will receive a refund of any over-withheld or over-paid amount in cash and will have no entitlement to the Share equivalent.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5" w:name="page466"/>
    <w:bookmarkEnd w:id="46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Grantee agrees to pay to the Company or the Employer any amount of Tax Withholding Obligations that the Company or the Employer may be required to pay, withhold or account for as a result of Grantee’s receipt, vesting or settlement of the RSUs, the issuance of the Shares allocated to the RSUs or the participation in the Plan that cannot be satisfied by the means previously described. The Company may refuse to issue or deliver the Shares or the proceeds of the sale of Shares if Grantee fails to comply with his or her obligations in connection with the Tax Withholding Obligations.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Grantee understands that Grantee may suffer adverse tax consequences as a result of Grantee’s receipt, the vesting and/or settlement of the RSUs, the issuance of Shares allocated to the RSUs and/or the disposition of such Shares. Grantee represents that Grantee has consulted any tax consultants Grantee deems advisable in connection with the receipt of the RSUs, the vesting and/or settlement of the RSUs, the issuance of Shares allocated to the RSUs and/or the disposition of such Shares and that Grantee is not relying on the Company (or the Employer) for any tax advice.</w:t>
      </w:r>
    </w:p>
    <w:p>
      <w:pPr>
        <w:spacing w:after="0" w:line="176" w:lineRule="exact"/>
        <w:rPr>
          <w:sz w:val="20"/>
          <w:szCs w:val="20"/>
          <w:color w:val="auto"/>
        </w:rPr>
      </w:pPr>
    </w:p>
    <w:p>
      <w:pPr>
        <w:jc w:val="both"/>
        <w:ind w:firstLine="656"/>
        <w:spacing w:after="0" w:line="259" w:lineRule="auto"/>
        <w:tabs>
          <w:tab w:leader="none" w:pos="159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All payments made and benefits provided under this Agreement are intended to be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of the Code to the maximum extent permitted pursuant to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RSUs, Grantee hereby indemnifies the Company for any liability that arises as a result of Section 409A.</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45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Obligation to Continue Employment</w:t>
      </w:r>
      <w:r>
        <w:rPr>
          <w:rFonts w:ascii="Times New Roman" w:cs="Times New Roman" w:eastAsia="Times New Roman" w:hAnsi="Times New Roman"/>
          <w:sz w:val="18"/>
          <w:szCs w:val="18"/>
          <w:color w:val="auto"/>
        </w:rPr>
        <w:t>. Neither the Company nor any Subsidiary is obligated by or as a result of the Plan or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continue Grantee in employment and neither the Plan nor this Agreement shall interfere in any way with the right of the Company or any Subsidiary to terminate Grantee’s employment or consulting relationship, for any reason, with or without cause.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56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Grantee’s participation in the Plan, or Grantee’s receipt, vesting or settlement of the RSUs or the Shares allocated thereto or the sale of such Shares. Grantee is hereby advised to consult with his or her own personal tax, legal and financial advisors regarding his or her participation in the Plan and the RSUs before accepting the RSUs or otherwise taking any action related to the RSUs or the Plan.</w:t>
      </w:r>
    </w:p>
    <w:p>
      <w:pPr>
        <w:spacing w:after="0" w:line="17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color w:val="auto"/>
        </w:rPr>
        <w:t>. In accepting the RSUs, Grantee acknowledges, understands and agrees that: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6" w:name="page467"/>
    <w:bookmarkEnd w:id="466"/>
    <w:p>
      <w:pPr>
        <w:ind w:firstLine="1304"/>
        <w:spacing w:after="0" w:line="282" w:lineRule="auto"/>
        <w:tabs>
          <w:tab w:leader="none" w:pos="214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discretionary in nature, and may be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1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61"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participating in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0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allocated to the RSUs are not intended to replace any pension rights or compensation and are outside the scope of Grantee’s employment contract, if 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62"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allocated to the RSUs,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32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9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entity in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Grantee pursuant to the settlement of the RSUs or the subsequent sale of the Shares allocated to the RSUs.</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36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or request required or permitted to be given under this Agreement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the Company</w:t>
      </w:r>
      <w:r>
        <w:rPr>
          <w:rFonts w:ascii="Times New Roman" w:cs="Times New Roman" w:eastAsia="Times New Roman" w:hAnsi="Times New Roman"/>
          <w:sz w:val="18"/>
          <w:szCs w:val="18"/>
          <w:color w:val="auto"/>
        </w:rPr>
        <w:t>,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650 California Street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Floor 12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People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equity@affirm.com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Grantee</w:t>
      </w:r>
      <w:r>
        <w:rPr>
          <w:rFonts w:ascii="Times New Roman" w:cs="Times New Roman" w:eastAsia="Times New Roman" w:hAnsi="Times New Roman"/>
          <w:sz w:val="18"/>
          <w:szCs w:val="18"/>
          <w:color w:val="auto"/>
        </w:rPr>
        <w:t>, to: Grantee’s last residence shown on the records of the Company or its affiliates.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7" w:name="page468"/>
    <w:bookmarkEnd w:id="467"/>
    <w:p>
      <w:pPr>
        <w:ind w:left="1320" w:hanging="664"/>
        <w:spacing w:after="0"/>
        <w:tabs>
          <w:tab w:leader="none" w:pos="13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Protection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445"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12"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7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02"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acts and transactions pursuant hereto and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be governed, construed and interpreted in accordance with the laws of the State of California, without giving effect to principles of conflicts of law.</w:t>
      </w:r>
    </w:p>
    <w:p>
      <w:pPr>
        <w:spacing w:after="0" w:line="170"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4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THE PARTIES CONSENT TO PERSONAL JURISDICTION IN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ANY ACTION OR PROCEEDING ARISING FROM OR RELATED TO THIS AGREEMENT SHALL BE BROUGHT AND TRIED EXCLUSIVELY IN THE STATE OR FEDERAL COURTS LOCATED IN THE STATE OF CALIFORNIA. THE PARTIES IRREVOCABLY AND UNCONDITIONALLY WAIVE ANY OBJECTION TO THE LAYING OF VENUE OF ANY SUCH ACTION OR PROCEEDING BROUGHT IN ANY SUCH COURT. THE PARTIES EXPRESSLY ACKNOWLEDGE THAT THE STATE OF CALIFORNIA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8" w:name="page469"/>
    <w:bookmarkEnd w:id="468"/>
    <w:p>
      <w:pPr>
        <w:jc w:val="both"/>
        <w:ind w:firstLine="1304"/>
        <w:spacing w:after="0" w:line="256" w:lineRule="auto"/>
        <w:tabs>
          <w:tab w:leader="none" w:pos="2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Addendum and Sub-Plans</w:t>
      </w:r>
      <w:r>
        <w:rPr>
          <w:rFonts w:ascii="Times New Roman" w:cs="Times New Roman" w:eastAsia="Times New Roman" w:hAnsi="Times New Roman"/>
          <w:sz w:val="18"/>
          <w:szCs w:val="18"/>
          <w:color w:val="auto"/>
        </w:rPr>
        <w:t>. Notwithstanding any provisions in this Agreement, the RSUs shall be subject to any special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in any Addendum to this Agreement for Grantee’s country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0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Enforcement of Rights; Amendment</w:t>
      </w:r>
      <w:r>
        <w:rPr>
          <w:rFonts w:ascii="Times New Roman" w:cs="Times New Roman" w:eastAsia="Times New Roman" w:hAnsi="Times New Roman"/>
          <w:sz w:val="18"/>
          <w:szCs w:val="18"/>
          <w:color w:val="auto"/>
        </w:rPr>
        <w:t>. This Agreement, together with the Plan and the Grant Notice,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RSUs.</w:t>
      </w:r>
    </w:p>
    <w:p>
      <w:pPr>
        <w:spacing w:after="0" w:line="184" w:lineRule="exact"/>
        <w:rPr>
          <w:rFonts w:ascii="Times New Roman" w:cs="Times New Roman" w:eastAsia="Times New Roman" w:hAnsi="Times New Roman"/>
          <w:sz w:val="18"/>
          <w:szCs w:val="18"/>
          <w:color w:val="auto"/>
        </w:rPr>
      </w:pPr>
    </w:p>
    <w:p>
      <w:pPr>
        <w:jc w:val="both"/>
        <w:ind w:firstLine="1304"/>
        <w:spacing w:after="0" w:line="259" w:lineRule="auto"/>
        <w:tabs>
          <w:tab w:leader="none" w:pos="220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one or more provisions of this Agreement, the Grant Notice or the Plan are held to be unenforceable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179"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73"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This Agreement is the result of negotiations between and has been reviewed by each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counsel, if any; accordingly, this Agreement shall be deemed to be the product of all of the parties hereto, and no ambiguity shall be construed in favor of or against any one of the parties hereto.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9" w:name="page470"/>
    <w:bookmarkEnd w:id="469"/>
    <w:p>
      <w:pPr>
        <w:jc w:val="both"/>
        <w:ind w:firstLine="1304"/>
        <w:spacing w:after="0" w:line="262" w:lineRule="auto"/>
        <w:tabs>
          <w:tab w:leader="none" w:pos="2158"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Electronic Signature</w:t>
      </w:r>
      <w:r>
        <w:rPr>
          <w:rFonts w:ascii="Times New Roman" w:cs="Times New Roman" w:eastAsia="Times New Roman" w:hAnsi="Times New Roman"/>
          <w:sz w:val="18"/>
          <w:szCs w:val="18"/>
          <w:color w:val="auto"/>
        </w:rPr>
        <w:t>. This Agreement may be executed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rights and benefits of this Agreement shall inure to the benefit of, and be enforceable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successors and assigns. The rights and obligations of Grantee under this Agreement may only be assigned with the prior written consent of the Company.</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237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Applicable to Section 16 Persons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Plan or this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9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Grantee’s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Plan, on the RSUs and on any Shares allocated to the RSUs, to the extent the Company determines it is necessary or advisable for legal or administrative reasons, and to require Grantee to sign any additional agreements or undertakings that may be necessary to accomplish the foregoing. Grantee also acknowledges that the Applicable Laws of the country in which Grantee is residing or working at the time of grant, vesting and settlement of the RSUs or the sale of Shares received pursuant to the RSUs (including any rules or regulations governing securities, foreign exchange, tax, labor or other matters) may subject Grantee to additional procedural or regulatory requirements that Grantee is and will be solely responsible for and must fulfill. Such requirements may be outlined in but are not limited to the Addendum. Notwithstanding any provision herein, the RSUs and Grantee’s participation in the Plan shall be subject to any applicable special terms and conditions or disclosures as set forth in the Addendum.</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to Grantee by email or any other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documents, elections or notices related to this Agreement, the RSUs, the Shares allocated to the RSUs,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0" w:name="page471"/>
    <w:bookmarkEnd w:id="470"/>
    <w:p>
      <w:pPr>
        <w:jc w:val="both"/>
        <w:ind w:left="-20" w:firstLine="656"/>
        <w:spacing w:after="0" w:line="262" w:lineRule="auto"/>
        <w:tabs>
          <w:tab w:leader="none" w:pos="1397"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acknowledges receipt of a copy of the Plan and represents that he or she is familiar with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thereof (and has had an opportunity to consult counsel regarding the terms of this Agreement), and hereby accepts this award of RSUs and agrees to be bound by its contractual terms as set forth herein and in the Plan. Grantee hereby agrees to accept as binding, conclusive and final all decisions and interpretations of the Plan Administrator regarding any questions relating to the RSUs.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471" w:name="page472"/>
    <w:bookmarkEnd w:id="471"/>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60870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2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0073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2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2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17145</wp:posOffset>
            </wp:positionV>
            <wp:extent cx="306006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2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2" w:name="page473"/>
    <w:bookmarkEnd w:id="472"/>
    <w:p>
      <w:pPr>
        <w:jc w:val="center"/>
        <w:spacing w:after="0"/>
        <w:rPr>
          <w:sz w:val="20"/>
          <w:szCs w:val="20"/>
          <w:color w:val="auto"/>
        </w:rPr>
      </w:pPr>
      <w:r>
        <w:rPr>
          <w:rFonts w:ascii="Times New Roman" w:cs="Times New Roman" w:eastAsia="Times New Roman" w:hAnsi="Times New Roman"/>
          <w:sz w:val="18"/>
          <w:szCs w:val="18"/>
          <w:b w:val="1"/>
          <w:bCs w:val="1"/>
          <w:color w:val="auto"/>
        </w:rPr>
        <w:t>Country-Specific Addendum</w:t>
      </w:r>
    </w:p>
    <w:p>
      <w:pPr>
        <w:sectPr>
          <w:pgSz w:w="11900" w:h="16838" w:orient="portrait"/>
          <w:cols w:equalWidth="0" w:num="1">
            <w:col w:w="9019"/>
          </w:cols>
          <w:pgMar w:left="1440" w:top="90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473" w:name="page474"/>
    <w:bookmarkEnd w:id="473"/>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2012 STOCK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 FOR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Affirm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Affirm Holdings, Inc. Amended and Restated 2012 Stock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granted to the non-employee director set forth below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 as of the date set forth below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a restricted stock unit award covering the number of units set forth below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each of which represents one (1) share of the Company’s class A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the shares of Common Stock underlying the RSUs,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RSUs are subject to all of the terms and conditions set forth in this Restricted Stock Unit Grant Notice for Directors (the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and the Director Restricted Stock Unit Agreement (the “</w:t>
      </w:r>
      <w:r>
        <w:rPr>
          <w:rFonts w:ascii="Times New Roman" w:cs="Times New Roman" w:eastAsia="Times New Roman" w:hAnsi="Times New Roman"/>
          <w:sz w:val="18"/>
          <w:szCs w:val="18"/>
          <w:b w:val="1"/>
          <w:bCs w:val="1"/>
          <w:color w:val="auto"/>
        </w:rPr>
        <w:t>Director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the Plan, both of which are attached hereto and incorporated herein in their entirety. Capitalized terms not explicitly defined in this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but defined in the Plan or the Director RSU Agreement will have the same definitions as in the Plan or the Director RSU Agreement. In the event of any conflict between the terms of the Grant Notice and the Plan, the terms of the Plan will control.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«Name of Grantee»</w:t>
            </w: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Board Approval Date:</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«Date of Board Approval»</w:t>
            </w: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«Date of Grant»</w:t>
            </w: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Restricted Stock Units Granted:</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«Total Shares»</w:t>
            </w: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«Vesting Commencement Date»</w:t>
            </w: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«Vesting Schedule»</w:t>
            </w:r>
          </w:p>
        </w:tc>
      </w:tr>
      <w:tr>
        <w:trPr>
          <w:trHeight w:val="41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Vesting Acceleration:</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 the event of a Change of Control, any unvested portion of this award of</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RSUs shall become immediately vested in full as of immediately prior to the</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effective date of the Change of Control, subject to the consummation of the</w:t>
            </w:r>
          </w:p>
        </w:tc>
      </w:tr>
      <w:tr>
        <w:trPr>
          <w:trHeight w:val="234"/>
        </w:trPr>
        <w:tc>
          <w:tcPr>
            <w:tcW w:w="4580" w:type="dxa"/>
            <w:vAlign w:val="bottom"/>
          </w:tcPr>
          <w:p>
            <w:pPr>
              <w:spacing w:after="0"/>
              <w:rPr>
                <w:sz w:val="20"/>
                <w:szCs w:val="20"/>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Change of Control.</w:t>
            </w:r>
          </w:p>
        </w:tc>
      </w:tr>
      <w:tr>
        <w:trPr>
          <w:trHeight w:val="41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Issuance Schedule:</w:t>
            </w: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Upon vesting, RSUs shall be settled in Shares on a date determined by the</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Company, in its sole and absolute discretion (but in no event later than two</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and one-half (2 ½) months after the end of the year in which the vesting date</w:t>
            </w:r>
          </w:p>
        </w:tc>
      </w:tr>
      <w:tr>
        <w:trPr>
          <w:trHeight w:val="234"/>
        </w:trPr>
        <w:tc>
          <w:tcPr>
            <w:tcW w:w="4580" w:type="dxa"/>
            <w:vAlign w:val="bottom"/>
          </w:tcPr>
          <w:p>
            <w:pPr>
              <w:spacing w:after="0"/>
              <w:rPr>
                <w:sz w:val="20"/>
                <w:szCs w:val="20"/>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occurs).</w:t>
            </w:r>
          </w:p>
        </w:tc>
      </w:tr>
      <w:tr>
        <w:trPr>
          <w:trHeight w:val="414"/>
        </w:trPr>
        <w:tc>
          <w:tcPr>
            <w:tcW w:w="4580" w:type="dxa"/>
            <w:vAlign w:val="bottom"/>
          </w:tcPr>
          <w:p>
            <w:pPr>
              <w:spacing w:after="0"/>
              <w:rPr>
                <w:sz w:val="24"/>
                <w:szCs w:val="24"/>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Further,  notwithstanding  anything  stated  herein,  in  the  Director  RSU</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Agreement, the Plan or any other agreement applicable to the RSUs, the</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Company shall have the discretion to settle the RSUs prior to the time set</w:t>
            </w:r>
          </w:p>
        </w:tc>
      </w:tr>
      <w:tr>
        <w:trPr>
          <w:trHeight w:val="216"/>
        </w:trPr>
        <w:tc>
          <w:tcPr>
            <w:tcW w:w="4580" w:type="dxa"/>
            <w:vAlign w:val="bottom"/>
          </w:tcPr>
          <w:p>
            <w:pPr>
              <w:spacing w:after="0"/>
              <w:rPr>
                <w:sz w:val="18"/>
                <w:szCs w:val="18"/>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forth herein to the extent permitted by Treasury Regulation Section 1.409A-</w:t>
            </w:r>
          </w:p>
        </w:tc>
      </w:tr>
      <w:tr>
        <w:trPr>
          <w:trHeight w:val="234"/>
        </w:trPr>
        <w:tc>
          <w:tcPr>
            <w:tcW w:w="4580" w:type="dxa"/>
            <w:vAlign w:val="bottom"/>
          </w:tcPr>
          <w:p>
            <w:pPr>
              <w:spacing w:after="0"/>
              <w:rPr>
                <w:sz w:val="20"/>
                <w:szCs w:val="20"/>
                <w:color w:val="auto"/>
              </w:rPr>
            </w:pPr>
          </w:p>
        </w:tc>
        <w:tc>
          <w:tcPr>
            <w:tcW w:w="66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3(j)(4).</w:t>
            </w:r>
          </w:p>
        </w:tc>
      </w:tr>
      <w:tr>
        <w:trPr>
          <w:trHeight w:val="432"/>
        </w:trPr>
        <w:tc>
          <w:tcPr>
            <w:tcW w:w="4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4" w:name="page475"/>
    <w:bookmarkEnd w:id="4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(i) the RSUs are granted under and governed by the terms and conditions of the Affirm Holdings, Inc. Amended and Restated 2012 Stock Plan and the Director RSU Agreement, both of which are attached and made a part of this document and (ii) the RSUs granted hereby are in full satisfaction of any promise of a grant of stock options and/or restricted stock units to you as may be set forth in an offer letter (or similar agreement) between you and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you agree and acknowledge that your rights to any Shares upon the settlement of the RSUs will be received only when the RSUs vest, that the grant of the RSUs is not as consideration for services you rendered to the Company prior to your Vesting Commencement Date, and that nothing in this Grant Notice or the attached documents confers upon you any right to continue as a director of the Company for any period of time, nor does it interfere in any way with your right or the Company’s right to terminate such directorship at any time, for any reason, with or without cause.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17595"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7">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0898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1759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30">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17145</wp:posOffset>
            </wp:positionV>
            <wp:extent cx="330898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76" w:name="page477"/>
    <w:bookmarkEnd w:id="476"/>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AMENDED AND RESTATED STOCK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 RESTRICTED STOCK UNIT AWARD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your Restricted Stock Unit Grant Notice for Directors (the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and this Director Restricted Stock Unit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Affirm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granted you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as of the Date of Grant set forth in the Grant Notice, a restricted stock unit award covering the number of units set forth in your Grant Notice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each of which represents one (1) share of the Company’s class A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the shares of Common Stock underlying the RSUs,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the Company’s Amended and Restated 2012 Stock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83" w:lineRule="exact"/>
        <w:rPr>
          <w:sz w:val="20"/>
          <w:szCs w:val="20"/>
          <w:color w:val="auto"/>
        </w:rPr>
      </w:pPr>
    </w:p>
    <w:p>
      <w:pPr>
        <w:jc w:val="both"/>
        <w:ind w:firstLine="656"/>
        <w:spacing w:after="0" w:line="268" w:lineRule="auto"/>
        <w:tabs>
          <w:tab w:leader="none" w:pos="17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Stockholder Rights</w:t>
      </w:r>
      <w:r>
        <w:rPr>
          <w:rFonts w:ascii="Times New Roman" w:cs="Times New Roman" w:eastAsia="Times New Roman" w:hAnsi="Times New Roman"/>
          <w:sz w:val="18"/>
          <w:szCs w:val="18"/>
          <w:color w:val="auto"/>
        </w:rPr>
        <w:t>. Unless and until such time as Shares are issued pursuant to this Agreement in settlement of vested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shall have no ownership of the Shares allocated to the RSUs, including, without limitation, no right to dividends (or dividend equivalents) or to vote such Shares.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6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Directorship</w:t>
      </w:r>
      <w:r>
        <w:rPr>
          <w:rFonts w:ascii="Times New Roman" w:cs="Times New Roman" w:eastAsia="Times New Roman" w:hAnsi="Times New Roman"/>
          <w:sz w:val="18"/>
          <w:szCs w:val="18"/>
          <w:color w:val="auto"/>
        </w:rPr>
        <w:t>. Except as otherwise provided in the Plan or the Grant Notice, if Grantee’s Continuous Service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at any time for any reason, all RSUs for which vesting is no longer possible under the terms of the Grant Notice and this Agreement shall be forfeited to the Company on the date of such termination of Continuous Service Status, and all rights of Grantee to such RSUs shall immediately terminate at such time.</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687"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(2 ½)</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after the end of the year in which the vesting date occurs), the Company shall issue to Grantee the number of Shares equal to the aggregate number of RSUs that have vested pursuant to Grant Notice on such date and Grantee shall thereafter have all the rights of a stockholder of the Company with respect to such shares.</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6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the Plan, including the powers of the Administrator set forth in Section 4 of the Plan. Capitalized terms in this Agreement shall have the meaning specified in the Plan, unless a different meaning is specified herein.</w:t>
      </w:r>
    </w:p>
    <w:p>
      <w:pPr>
        <w:spacing w:after="0" w:line="170"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Responsibility for Taxes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5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grant, vesting, and settlement of the RSUs, Grantee acknowledges that, regardless of any action taken by the Company or, if different, the Affiliate to which Grantee provides Continuous Service (the “</w:t>
      </w:r>
      <w:r>
        <w:rPr>
          <w:rFonts w:ascii="Times New Roman" w:cs="Times New Roman" w:eastAsia="Times New Roman" w:hAnsi="Times New Roman"/>
          <w:sz w:val="18"/>
          <w:szCs w:val="18"/>
          <w:b w:val="1"/>
          <w:bCs w:val="1"/>
          <w:color w:val="auto"/>
        </w:rPr>
        <w:t>Service Recipient</w:t>
      </w:r>
      <w:r>
        <w:rPr>
          <w:rFonts w:ascii="Times New Roman" w:cs="Times New Roman" w:eastAsia="Times New Roman" w:hAnsi="Times New Roman"/>
          <w:sz w:val="18"/>
          <w:szCs w:val="18"/>
          <w:color w:val="auto"/>
        </w:rPr>
        <w:t>”), the ultimate liability for all income tax, social security contributions,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or subsequent sale of the Shares allocated to the RSUs, or the participation in the Plan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is and remains Grantee’s responsibility. Grantee further acknowledges and agrees that Grantee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7" w:name="page478"/>
    <w:bookmarkEnd w:id="477"/>
    <w:p>
      <w:pPr>
        <w:jc w:val="both"/>
        <w:ind w:firstLine="1304"/>
        <w:spacing w:after="0" w:line="255" w:lineRule="auto"/>
        <w:tabs>
          <w:tab w:leader="none" w:pos="2302"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further acknowledges that the Company and/or the Service Recipient: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Grantee’s liability for Tax-Related Items or achieve any particular tax result. Grantee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319"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understands that Grantee may suffer adverse tax consequences as a result of Grantee’s receipt, the vesting and/or settlement of the RSUs, the issuance of Shares allocated to the RSUs and/or the disposition of such Shares. Grantee represents that Grantee has consulted any tax consultants Grantee deems advisable in connection with the receipt of the RSUs, the vesting and/or settlement of the RSUs, the issuance of Shares allocated to the RSUs and/or the disposition of such Shares and that Grantee is not relying on the Company (or the Service Recipient) for any tax advice.</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7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All payments made and benefits provided under this Agreement are intended to be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of the Code to the maximum extent permitted pursuant to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RSUs, Grantee hereby indemnifies the Company for any liability that arises as a result of Section 409A.</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Obligation to Continue Directorship</w:t>
      </w:r>
      <w:r>
        <w:rPr>
          <w:rFonts w:ascii="Times New Roman" w:cs="Times New Roman" w:eastAsia="Times New Roman" w:hAnsi="Times New Roman"/>
          <w:sz w:val="18"/>
          <w:szCs w:val="18"/>
          <w:color w:val="auto"/>
        </w:rPr>
        <w:t>. Neither the Company nor any Subsidiary is obligated by or as a result of the Plan or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continue Grantee’s directorship and neither the Plan nor this Agreement shall interfere in any way with the right of the Company or any Subsidiary to terminate Grantee’s directorship, for any reason, with or without cause.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8" w:name="page479"/>
    <w:bookmarkEnd w:id="478"/>
    <w:p>
      <w:pPr>
        <w:jc w:val="both"/>
        <w:ind w:left="-20" w:firstLine="656"/>
        <w:spacing w:after="0" w:line="262" w:lineRule="auto"/>
        <w:tabs>
          <w:tab w:leader="none" w:pos="174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Grantee’s participation in the Plan, or Grantee’s receipt, vesting or settlement of the RSUs or the Shares allocated thereto or the sale of such Shares. Grantee is hereby advised to consult with his or her own personal tax, legal and financial advisors regarding his or her participation in the Plan and the RSUs before accepting the RSUs or otherwise taking any action related to the RSUs or the Plan.</w:t>
      </w:r>
    </w:p>
    <w:p>
      <w:pPr>
        <w:spacing w:after="0" w:line="176" w:lineRule="exact"/>
        <w:rPr>
          <w:rFonts w:ascii="Times New Roman" w:cs="Times New Roman" w:eastAsia="Times New Roman" w:hAnsi="Times New Roman"/>
          <w:sz w:val="18"/>
          <w:szCs w:val="18"/>
          <w:color w:val="auto"/>
        </w:rPr>
      </w:pPr>
    </w:p>
    <w:p>
      <w:pPr>
        <w:ind w:left="1580" w:hanging="944"/>
        <w:spacing w:after="0"/>
        <w:tabs>
          <w:tab w:leader="none" w:pos="15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color w:val="auto"/>
        </w:rPr>
        <w:t>. In accepting the RSUs, Grantee acknowledges, understands and agrees that:</w:t>
      </w:r>
    </w:p>
    <w:p>
      <w:pPr>
        <w:spacing w:after="0" w:line="229" w:lineRule="exact"/>
        <w:rPr>
          <w:rFonts w:ascii="Times New Roman" w:cs="Times New Roman" w:eastAsia="Times New Roman" w:hAnsi="Times New Roman"/>
          <w:sz w:val="18"/>
          <w:szCs w:val="18"/>
          <w:color w:val="auto"/>
        </w:rPr>
      </w:pPr>
    </w:p>
    <w:p>
      <w:pPr>
        <w:ind w:left="-20" w:firstLine="1304"/>
        <w:spacing w:after="0" w:line="282" w:lineRule="auto"/>
        <w:tabs>
          <w:tab w:leader="none" w:pos="2177"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discretionary in nature, and may be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21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61" w:lineRule="exact"/>
        <w:rPr>
          <w:rFonts w:ascii="Times New Roman" w:cs="Times New Roman" w:eastAsia="Times New Roman" w:hAnsi="Times New Roman"/>
          <w:sz w:val="18"/>
          <w:szCs w:val="18"/>
          <w:color w:val="auto"/>
        </w:rPr>
      </w:pPr>
    </w:p>
    <w:p>
      <w:pPr>
        <w:ind w:left="2160" w:hanging="876"/>
        <w:spacing w:after="0"/>
        <w:tabs>
          <w:tab w:leader="none" w:pos="21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2160" w:hanging="876"/>
        <w:spacing w:after="0"/>
        <w:tabs>
          <w:tab w:leader="none" w:pos="21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participating in the Plan;</w:t>
      </w:r>
    </w:p>
    <w:p>
      <w:pPr>
        <w:spacing w:after="0" w:line="225" w:lineRule="exact"/>
        <w:rPr>
          <w:rFonts w:ascii="Times New Roman" w:cs="Times New Roman" w:eastAsia="Times New Roman" w:hAnsi="Times New Roman"/>
          <w:sz w:val="18"/>
          <w:szCs w:val="18"/>
          <w:color w:val="auto"/>
        </w:rPr>
      </w:pPr>
    </w:p>
    <w:p>
      <w:pPr>
        <w:ind w:left="2160" w:hanging="876"/>
        <w:spacing w:after="0"/>
        <w:tabs>
          <w:tab w:leader="none" w:pos="21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allocated to the RSUs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2405"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allocated to the RSUs,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and</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237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171" w:lineRule="exact"/>
        <w:rPr>
          <w:rFonts w:ascii="Times New Roman" w:cs="Times New Roman" w:eastAsia="Times New Roman" w:hAnsi="Times New Roman"/>
          <w:sz w:val="18"/>
          <w:szCs w:val="18"/>
          <w:color w:val="auto"/>
        </w:rPr>
      </w:pPr>
    </w:p>
    <w:p>
      <w:pPr>
        <w:jc w:val="both"/>
        <w:ind w:left="-20" w:firstLine="656"/>
        <w:spacing w:after="0" w:line="259" w:lineRule="auto"/>
        <w:tabs>
          <w:tab w:leader="none" w:pos="171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or request required or permitted to be given under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479" w:name="page480"/>
    <w:bookmarkEnd w:id="479"/>
    <w:p>
      <w:pPr>
        <w:ind w:left="660"/>
        <w:spacing w:after="0"/>
        <w:rPr>
          <w:sz w:val="20"/>
          <w:szCs w:val="20"/>
          <w:color w:val="auto"/>
        </w:rPr>
      </w:pPr>
      <w:r>
        <w:rPr>
          <w:rFonts w:ascii="Times New Roman" w:cs="Times New Roman" w:eastAsia="Times New Roman" w:hAnsi="Times New Roman"/>
          <w:sz w:val="18"/>
          <w:szCs w:val="18"/>
          <w:b w:val="1"/>
          <w:bCs w:val="1"/>
          <w:color w:val="auto"/>
        </w:rPr>
        <w:t>If to the Company</w:t>
      </w:r>
      <w:r>
        <w:rPr>
          <w:rFonts w:ascii="Times New Roman" w:cs="Times New Roman" w:eastAsia="Times New Roman" w:hAnsi="Times New Roman"/>
          <w:sz w:val="18"/>
          <w:szCs w:val="18"/>
          <w:color w:val="auto"/>
        </w:rPr>
        <w:t>, to:</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650 California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Floor 12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People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equity@affirm.com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Grantee</w:t>
      </w:r>
      <w:r>
        <w:rPr>
          <w:rFonts w:ascii="Times New Roman" w:cs="Times New Roman" w:eastAsia="Times New Roman" w:hAnsi="Times New Roman"/>
          <w:sz w:val="18"/>
          <w:szCs w:val="18"/>
          <w:color w:val="auto"/>
        </w:rPr>
        <w:t>, to: Grantee’s last residence shown on the records of the Company or its affiliates.</w:t>
      </w:r>
    </w:p>
    <w:p>
      <w:pPr>
        <w:spacing w:after="0" w:line="225" w:lineRule="exact"/>
        <w:rPr>
          <w:sz w:val="20"/>
          <w:szCs w:val="20"/>
          <w:color w:val="auto"/>
        </w:rPr>
      </w:pPr>
    </w:p>
    <w:p>
      <w:pPr>
        <w:ind w:left="1500" w:hanging="844"/>
        <w:spacing w:after="0"/>
        <w:tabs>
          <w:tab w:leader="none" w:pos="15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Protection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521"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75"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7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65"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acts and transactions pursuant hereto and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be governed, construed and interpreted in accordance with the laws of the State of California, without giving effect to principles of conflicts of law.</w:t>
      </w:r>
    </w:p>
    <w:p>
      <w:pPr>
        <w:spacing w:after="0" w:line="170"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9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THE PARTIES CONSENT TO PERSONAL JURISDICTION IN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ANY ACTION OR PROCEEDING ARISING FROM OR RELATED TO THIS AGREEMENT SHALL BE BROUGHT AND TRIED EXCLUSIVELY IN THE STATE OR FEDERAL COURTS LOCATED IN THE STATE OF CALIFORNIA. THE PARTIES IRREVOCABLY AND UNCONDITIONALLY WAIVE ANY OBJECTION TO THE LAYING OF VENUE OF ANY SUCH ACTION OR PROCEEDING BROUGHT IN ANY SUCH COURT. THE PARTIES EXPRESSLY ACKNOWLEDGE THAT THE STATE OF CALIFORNIA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0" w:name="page481"/>
    <w:bookmarkEnd w:id="480"/>
    <w:p>
      <w:pPr>
        <w:jc w:val="both"/>
        <w:ind w:firstLine="1304"/>
        <w:spacing w:after="0" w:line="255" w:lineRule="auto"/>
        <w:tabs>
          <w:tab w:leader="none" w:pos="230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Enforcement of Rights; Amendment</w:t>
      </w:r>
      <w:r>
        <w:rPr>
          <w:rFonts w:ascii="Times New Roman" w:cs="Times New Roman" w:eastAsia="Times New Roman" w:hAnsi="Times New Roman"/>
          <w:sz w:val="18"/>
          <w:szCs w:val="18"/>
          <w:color w:val="auto"/>
        </w:rPr>
        <w:t>. This Agreement, together with the Plan and the Grant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RSUs.</w:t>
      </w:r>
    </w:p>
    <w:p>
      <w:pPr>
        <w:spacing w:after="0" w:line="184" w:lineRule="exact"/>
        <w:rPr>
          <w:rFonts w:ascii="Times New Roman" w:cs="Times New Roman" w:eastAsia="Times New Roman" w:hAnsi="Times New Roman"/>
          <w:sz w:val="18"/>
          <w:szCs w:val="18"/>
          <w:color w:val="auto"/>
        </w:rPr>
      </w:pPr>
    </w:p>
    <w:p>
      <w:pPr>
        <w:jc w:val="both"/>
        <w:ind w:firstLine="1304"/>
        <w:spacing w:after="0" w:line="259" w:lineRule="auto"/>
        <w:tabs>
          <w:tab w:leader="none" w:pos="226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one or more provisions of this Agreement, the Grant Notice or the Plan are held to be unenforceable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179"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1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This Agreement is the result of negotiations between and has been reviewed by each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counsel, if any; accordingly, this Agreement shall be deemed to be the product of all of the parties hereto, and no ambiguity shall be construed in favor of or against any one of the parties hereto.</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2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Electronic Signature</w:t>
      </w:r>
      <w:r>
        <w:rPr>
          <w:rFonts w:ascii="Times New Roman" w:cs="Times New Roman" w:eastAsia="Times New Roman" w:hAnsi="Times New Roman"/>
          <w:sz w:val="18"/>
          <w:szCs w:val="18"/>
          <w:color w:val="auto"/>
        </w:rPr>
        <w:t>. This Agreement may be executed in two or more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8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rights and benefits of this Agreement shall inure to the benefit of, and be enforceable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successors and assigns. The rights and obligations of Grantee under this Agreement may only be assigned with the prior written consent of the Company.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1" w:name="page482"/>
    <w:bookmarkEnd w:id="481"/>
    <w:p>
      <w:pPr>
        <w:jc w:val="both"/>
        <w:ind w:firstLine="1304"/>
        <w:spacing w:after="0" w:line="259" w:lineRule="auto"/>
        <w:tabs>
          <w:tab w:leader="none" w:pos="2423"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Applicable to Section 16 Persons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Plan or this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2689"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on the RSUs and on any Shares allocated to the RSUs, to the extent the Company determines it is necessary or advisable for legal or administrative reasons, and to require Grantee to sign any additional agreements or undertakings that may be necessary to accomplish the foregoing. Grantee also acknowledges that the Applicable Laws of the country in which Grantee is residing or working at the time of grant, vesting and settlement of the RSUs or the sale of Shares received pursuant to the RSUs (including any rules or regulations governing securities, foreign exchange, tax, labor, or other matters) may subject Grantee to additional procedural or regulatory requirements that Grantee is and will be solely responsible for and must fulfill.</w:t>
      </w:r>
    </w:p>
    <w:p>
      <w:pPr>
        <w:spacing w:after="0" w:line="182"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71"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to Grantee by email or any other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documents, elections or notices related to this Agreement, the RSUs, the Shares allocated to the RSUs,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82" w:lineRule="exact"/>
        <w:rPr>
          <w:rFonts w:ascii="Times New Roman" w:cs="Times New Roman" w:eastAsia="Times New Roman" w:hAnsi="Times New Roman"/>
          <w:sz w:val="18"/>
          <w:szCs w:val="18"/>
          <w:color w:val="auto"/>
        </w:rPr>
      </w:pPr>
    </w:p>
    <w:p>
      <w:pPr>
        <w:jc w:val="both"/>
        <w:ind w:firstLine="656"/>
        <w:spacing w:after="0" w:line="262" w:lineRule="auto"/>
        <w:tabs>
          <w:tab w:leader="none" w:pos="154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acknowledges receipt of a copy of the Plan and represents that he or she is familiar with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thereof and has had an opportunity to consult counsel regarding the terms of this Agreement, and hereby accepts this award of RSUs and agrees to be bound by its contractual terms as set forth herein and in the Plan. Grantee hereby agrees to accept as binding, conclusive and final all decisions and interpretations of the Plan Administrator regarding any questions relating to the RSUs.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2" w:name="page483"/>
    <w:bookmarkEnd w:id="482"/>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6903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9">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17145</wp:posOffset>
            </wp:positionV>
            <wp:extent cx="325755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4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25755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4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6903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42">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17145</wp:posOffset>
            </wp:positionV>
            <wp:extent cx="325755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4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25755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44">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66903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3" w:name="page484"/>
    <w:bookmarkEnd w:id="483"/>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2012 STOCK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Affirm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Affirm Holdings, Inc. Amended and Restated 2012 Stock Plan, as may be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an option to purchase the number of shares of the Company’s Class A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This Option is subject to all of the terms and conditions set forth herein, as well as in the Plan and the Stock Option Award Agreement attached hereto (the “</w:t>
      </w: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each of which are incorporated herein by reference. Unless otherwise defined herein, the terms defined in the Plan shall have the same defined meanings in this Grant Notice and the Stock Option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«Name of Grantee»</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Board Approval Date: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 of Board Approval»</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 of Grant»</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Share»</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Exercise Price»</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«Type» Stock Option</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«Vesting Commencement Date»</w:t>
            </w: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Vesting/Exercise Schedule: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This Option may be exercised, in whole or in part, at any time after the Option has vested in</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accordance with the vesting schedule below. So long as your employment or consulting relationship</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with the Company continues, the Shares underlying the Option shall vest and become exercisable in</w:t>
            </w:r>
          </w:p>
        </w:tc>
      </w:tr>
      <w:tr>
        <w:trPr>
          <w:trHeight w:val="234"/>
        </w:trPr>
        <w:tc>
          <w:tcPr>
            <w:tcW w:w="3180" w:type="dxa"/>
            <w:vAlign w:val="bottom"/>
          </w:tcPr>
          <w:p>
            <w:pPr>
              <w:spacing w:after="0"/>
              <w:rPr>
                <w:sz w:val="20"/>
                <w:szCs w:val="20"/>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accordance with the following schedule:</w:t>
            </w:r>
          </w:p>
        </w:tc>
      </w:tr>
      <w:tr>
        <w:trPr>
          <w:trHeight w:val="432"/>
        </w:trPr>
        <w:tc>
          <w:tcPr>
            <w:tcW w:w="3180" w:type="dxa"/>
            <w:vAlign w:val="bottom"/>
          </w:tcPr>
          <w:p>
            <w:pPr>
              <w:spacing w:after="0"/>
              <w:rPr>
                <w:sz w:val="24"/>
                <w:szCs w:val="24"/>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«Vesting Schedule»</w:t>
            </w: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[Vesting Acceleration:]</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[If, within the three (3) months prior to or eighteen (18) months following the occurrence of a</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Change in Control, Grantee’s Continuous Service Status is terminated by the Company without</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Cause (other than due to Grantee’s death or Disability) or Grantee resigns for Good Reason, then one</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hundred percent (100%) of the remaining unvested Shares subject to the Option granted hereunder</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shall immediately vest pursuant to and in accordance with the terms of the Company’s Officer</w:t>
            </w:r>
          </w:p>
        </w:tc>
      </w:tr>
      <w:tr>
        <w:trPr>
          <w:trHeight w:val="234"/>
        </w:trPr>
        <w:tc>
          <w:tcPr>
            <w:tcW w:w="3180" w:type="dxa"/>
            <w:vAlign w:val="bottom"/>
          </w:tcPr>
          <w:p>
            <w:pPr>
              <w:spacing w:after="0"/>
              <w:rPr>
                <w:sz w:val="20"/>
                <w:szCs w:val="20"/>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Severance Plan.]</w:t>
            </w:r>
          </w:p>
        </w:tc>
      </w:tr>
      <w:tr>
        <w:trPr>
          <w:trHeight w:val="675"/>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7"/>
          <w:szCs w:val="17"/>
          <w:color w:val="auto"/>
        </w:rPr>
        <w:t>Termination Period:</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This Option may be exercised until the earlier of [three (3) months] following the date of termination of your Continuous Service Status (except upon a termination due to disability or upon death, as set out in Section 4 of the Stock Option Agreement) or the Expiration Date, in each case to the extent the Option was vested in the Shares underlying the Option as of the date of such termination. Notwithstanding the foregoing, if your Continuous Service Status is terminated due to Cause, then the Option shall terminate immediately prior to the date of such termination. You are responsible for keeping track of these exercise periods following any termination of your service relationship with the Company. The Company will not provide further notice of such periods.</w:t>
      </w:r>
    </w:p>
    <w:p>
      <w:pPr>
        <w:spacing w:after="0" w:line="192" w:lineRule="exact"/>
        <w:rPr>
          <w:sz w:val="20"/>
          <w:szCs w:val="20"/>
          <w:color w:val="auto"/>
        </w:rPr>
      </w:pPr>
    </w:p>
    <w:p>
      <w:pPr>
        <w:sectPr>
          <w:pgSz w:w="11900" w:h="16838" w:orient="portrait"/>
          <w:cols w:equalWidth="0" w:num="2">
            <w:col w:w="3240" w:space="720"/>
            <w:col w:w="728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Transferability: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This Option may not be transferred.</w:t>
      </w:r>
    </w:p>
    <w:p>
      <w:pPr>
        <w:spacing w:after="0" w:line="211" w:lineRule="exact"/>
        <w:rPr>
          <w:sz w:val="20"/>
          <w:szCs w:val="20"/>
          <w:color w:val="auto"/>
        </w:rPr>
      </w:pPr>
    </w:p>
    <w:p>
      <w:pPr>
        <w:sectPr>
          <w:pgSz w:w="11900" w:h="16838" w:orient="portrait"/>
          <w:cols w:equalWidth="0" w:num="2">
            <w:col w:w="3240" w:space="720"/>
            <w:col w:w="7280"/>
          </w:cols>
          <w:pgMar w:left="320" w:top="904" w:right="339" w:bottom="1440" w:gutter="0" w:footer="0" w:header="0"/>
          <w:type w:val="continuous"/>
        </w:sectPr>
      </w:pPr>
    </w:p>
    <w:p>
      <w:pPr>
        <w:spacing w:after="0" w:line="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the Option is granted under and governed by the terms and conditions of the Affirm Holdings, Inc. Amended and Restated 2012 Stock Plan and the Stock Option Agreement, both of which are attached and made a part of this document.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Grant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56616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86" w:name="page487"/>
    <w:bookmarkEnd w:id="486"/>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2012 STOCK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your Stock Option Grant Notice (the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and this Stock Option Award Agreement (this “</w:t>
      </w: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Affirm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granted you (the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as of the Date of Grant set forth in the Grant Notice, an option to purchase the number of Shares set forth in your Grant Notice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pursuant to the Company’s Amended and Restated 2012 Stock Plan and any applicable sub-plan for a particular country (together,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Capitalized terms not explicitly defined in this Stock Option Agreement but defined in the Plan or in the Grant Notice shall have the meaning ascribed to them in the Plan or in the Grant Notice. In the event of any conflict between the terms of this Stock Option Agreement and the Plan, the terms of the Plan will control.</w:t>
      </w:r>
    </w:p>
    <w:p>
      <w:pPr>
        <w:spacing w:after="0" w:line="182" w:lineRule="exact"/>
        <w:rPr>
          <w:sz w:val="20"/>
          <w:szCs w:val="20"/>
          <w:color w:val="auto"/>
        </w:rPr>
      </w:pPr>
    </w:p>
    <w:p>
      <w:pPr>
        <w:jc w:val="both"/>
        <w:ind w:firstLine="656"/>
        <w:spacing w:after="0" w:line="262" w:lineRule="auto"/>
        <w:tabs>
          <w:tab w:leader="none" w:pos="140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 In consideration of Grantee’s past and/or continued employment with or service to the Company and for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effective as of the Date of Grant set forth in the Grant Notice, the Company irrevocably grants to Grantee the Option to purchase any part or all of an aggregate of the number of Shares set forth in the Grant Notice, upon the terms and conditions set forth in the Plan and this Stock Option Agreement, subject to adjustments as provided in Section 14 of the Plan.</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140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The exercise price of the Shares subject to the Option shall be as set forth in the Grant Notice, without commission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charge; provided, however, that the price per share of the Shares subject to the Option shall not be less than 100% of the Fair Market Value of a Share on the Date of Grant. Notwithstanding the foregoing, if the Option is designated as an Incentive Stock Option and Grantee is a Ten Percent Holder as of the Date of Grant, the exercise price per share of the Shares subject to the Option shall not be less than 110% of the Fair Market Value of a Share on the Date of Grant.</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 below, the Option shall become vested and exercisable in such amounts and at such times as are set forth in the Grant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w:t>
      </w:r>
    </w:p>
    <w:p>
      <w:pPr>
        <w:spacing w:after="0" w:line="20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72"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Option that has not become vested and exercisable on the date on which Grantee’s Continuous Service Status ends shall thereafter become vested and exercisable, except as may be otherwise provided by the Administrator or as set forth in a written agreement between the Company and Grantee.</w:t>
      </w:r>
    </w:p>
    <w:p>
      <w:pPr>
        <w:spacing w:after="0" w:line="175" w:lineRule="exact"/>
        <w:rPr>
          <w:rFonts w:ascii="Times New Roman" w:cs="Times New Roman" w:eastAsia="Times New Roman" w:hAnsi="Times New Roman"/>
          <w:sz w:val="18"/>
          <w:szCs w:val="18"/>
          <w:color w:val="auto"/>
        </w:rPr>
      </w:pPr>
    </w:p>
    <w:p>
      <w:pPr>
        <w:ind w:right="20" w:firstLine="980"/>
        <w:spacing w:after="0" w:line="282" w:lineRule="auto"/>
        <w:tabs>
          <w:tab w:leader="none" w:pos="126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3(a) hereof and the Grant Notice, but subject to Section 3(b) hereof, in the event of a Corporate Transaction, the Option shall be treated pursuant to Section 14(c) and Section 15 of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7" w:name="page488"/>
    <w:bookmarkEnd w:id="487"/>
    <w:p>
      <w:pPr>
        <w:ind w:firstLine="656"/>
        <w:spacing w:after="0" w:line="286" w:lineRule="auto"/>
        <w:tabs>
          <w:tab w:leader="none" w:pos="144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Exercise</w:t>
      </w:r>
      <w:r>
        <w:rPr>
          <w:rFonts w:ascii="Times New Roman" w:cs="Times New Roman" w:eastAsia="Times New Roman" w:hAnsi="Times New Roman"/>
          <w:sz w:val="18"/>
          <w:szCs w:val="18"/>
          <w:color w:val="auto"/>
        </w:rPr>
        <w:t>. Except as otherwise provided herein, the term of the Option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shall commence on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terminate on the date of the first to occur of the following events:</w:t>
      </w:r>
    </w:p>
    <w:p>
      <w:pPr>
        <w:spacing w:after="0" w:line="158" w:lineRule="exact"/>
        <w:rPr>
          <w:rFonts w:ascii="Times New Roman" w:cs="Times New Roman" w:eastAsia="Times New Roman" w:hAnsi="Times New Roman"/>
          <w:sz w:val="18"/>
          <w:szCs w:val="18"/>
          <w:color w:val="auto"/>
        </w:rPr>
      </w:pPr>
    </w:p>
    <w:p>
      <w:pPr>
        <w:ind w:right="20" w:firstLine="1304"/>
        <w:spacing w:after="0" w:line="282" w:lineRule="auto"/>
        <w:tabs>
          <w:tab w:leader="none" w:pos="216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 is designated as an Incentive Stock Option and Grantee, at the time the Option was granted, was a Ten Percent Holder, the expiration of five (5) years from the Date of Grant;</w:t>
      </w:r>
    </w:p>
    <w:p>
      <w:pPr>
        <w:spacing w:after="0" w:line="16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Grant;</w:t>
      </w:r>
    </w:p>
    <w:p>
      <w:pPr>
        <w:spacing w:after="0" w:line="135" w:lineRule="exact"/>
        <w:rPr>
          <w:rFonts w:ascii="Times New Roman" w:cs="Times New Roman" w:eastAsia="Times New Roman" w:hAnsi="Times New Roman"/>
          <w:sz w:val="18"/>
          <w:szCs w:val="18"/>
          <w:color w:val="auto"/>
        </w:rPr>
      </w:pPr>
    </w:p>
    <w:p>
      <w:pPr>
        <w:ind w:firstLine="1304"/>
        <w:spacing w:after="0" w:line="282" w:lineRule="auto"/>
        <w:tabs>
          <w:tab w:leader="none" w:pos="214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following Grantee’s termination of Continuous Service Status with the Company and its Affiliates as a result of the termination of Grantee’s Continuous Service Status by the Company or any of its Affiliates on account of death or Disability;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3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(30) days following Grantee’s termination of Continuous Service Status with the Company and its Affiliates as a result of the termination of Grantee’s Continuous Service Status by Grantee other than for Cause;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88"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last business day immediately prior to the date of Grantee’s termination of Continuous Service Status by the Company for Cause or for any reason other than those reasons set forth above.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Upon the expiration of the Option Period, the Options and all unexercised rights granted to Grantee hereunder shall terminate and thereafter be null and void.</w:t>
      </w:r>
    </w:p>
    <w:p>
      <w:pPr>
        <w:spacing w:after="0" w:line="158" w:lineRule="exact"/>
        <w:rPr>
          <w:sz w:val="20"/>
          <w:szCs w:val="20"/>
          <w:color w:val="auto"/>
        </w:rPr>
      </w:pPr>
    </w:p>
    <w:p>
      <w:pPr>
        <w:jc w:val="both"/>
        <w:ind w:firstLine="656"/>
        <w:spacing w:after="0" w:line="257" w:lineRule="auto"/>
        <w:tabs>
          <w:tab w:leader="none" w:pos="135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Method of Exercise</w:t>
      </w:r>
      <w:r>
        <w:rPr>
          <w:rFonts w:ascii="Times New Roman" w:cs="Times New Roman" w:eastAsia="Times New Roman" w:hAnsi="Times New Roman"/>
          <w:sz w:val="18"/>
          <w:szCs w:val="18"/>
          <w:color w:val="auto"/>
        </w:rPr>
        <w:t>. Grantee may exercise all or any portion of the Options, to the extent vested, by giving written notice of exercise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specifying the number of Shares to be purchased, accompanied by payment in full of the aggregate Exercise Price of the Shares so purchased in cash or its equivalent; provided that, with the consent of the Administrator, in accordance with Section 8(d) of the Plan, Grantee may satisfy the payment of the aggregate Exercise Price of such Shares pursuant to a Cashless Transaction or through electing to have the Company withhold from the number of Shares that would otherwise be issued upon exercise of the Option the largest whole number of Shares with a Fair Market Value equal to the applicable aggregate Exercise Price payable in respect of such exercise.</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5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Rights to Continuation of Employment or Future Awards</w:t>
      </w:r>
      <w:r>
        <w:rPr>
          <w:rFonts w:ascii="Times New Roman" w:cs="Times New Roman" w:eastAsia="Times New Roman" w:hAnsi="Times New Roman"/>
          <w:sz w:val="18"/>
          <w:szCs w:val="18"/>
          <w:color w:val="auto"/>
        </w:rPr>
        <w:t>. Nothing in the Plan or this Stock Option Agreement shall confer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any right to any future Award or to continue in the employ of the Company or any Affiliate thereof, or shall interfere with or restrict the right of the Company or its Affiliates to terminate Grantee’s employment any time for any reason whatsoever, with or without cause.</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35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 of Option</w:t>
      </w:r>
      <w:r>
        <w:rPr>
          <w:rFonts w:ascii="Times New Roman" w:cs="Times New Roman" w:eastAsia="Times New Roman" w:hAnsi="Times New Roman"/>
          <w:sz w:val="18"/>
          <w:szCs w:val="18"/>
          <w:color w:val="auto"/>
        </w:rPr>
        <w:t>. Except as otherwise provided under Section 13 of the Plan, neither this Stock Option Agreement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granted herein shall be transferable or assignable by Grantee.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377"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be entitled to require a cash payment by or on behalf of Grantee in respect of any sums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permitted by federal, state or local tax law to be withheld with respect to the exercise of the Option; provided that, notwithstanding the foregoing, the Administrator may permit Grantee to satisfy the applicable tax obligations with respect to the Option in accordance with the terms of Section 12 of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8" w:name="page489"/>
    <w:bookmarkEnd w:id="488"/>
    <w:p>
      <w:pPr>
        <w:ind w:left="1340" w:hanging="684"/>
        <w:spacing w:after="0"/>
        <w:tabs>
          <w:tab w:leader="none" w:pos="13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color w:val="auto"/>
        </w:rPr>
        <w:t>. In accepting the Option, Grantee acknowledges, understands and agrees that:</w:t>
      </w:r>
    </w:p>
    <w:p>
      <w:pPr>
        <w:spacing w:after="0" w:line="229" w:lineRule="exact"/>
        <w:rPr>
          <w:rFonts w:ascii="Times New Roman" w:cs="Times New Roman" w:eastAsia="Times New Roman" w:hAnsi="Times New Roman"/>
          <w:sz w:val="18"/>
          <w:szCs w:val="18"/>
          <w:color w:val="auto"/>
        </w:rPr>
      </w:pPr>
    </w:p>
    <w:p>
      <w:pPr>
        <w:ind w:firstLine="899"/>
        <w:spacing w:after="0" w:line="282" w:lineRule="auto"/>
        <w:tabs>
          <w:tab w:leader="none" w:pos="139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discretionary in nature, and may be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firstLine="899"/>
        <w:spacing w:after="0" w:line="282" w:lineRule="auto"/>
        <w:tabs>
          <w:tab w:leader="none" w:pos="138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stock options, or benefits in lieu of stock options, even if stock options have been granted in the past;</w:t>
      </w:r>
    </w:p>
    <w:p>
      <w:pPr>
        <w:spacing w:after="0" w:line="161" w:lineRule="exact"/>
        <w:rPr>
          <w:rFonts w:ascii="Times New Roman" w:cs="Times New Roman" w:eastAsia="Times New Roman" w:hAnsi="Times New Roman"/>
          <w:sz w:val="18"/>
          <w:szCs w:val="18"/>
          <w:color w:val="auto"/>
        </w:rPr>
      </w:pPr>
    </w:p>
    <w:p>
      <w:pPr>
        <w:ind w:left="1320" w:hanging="421"/>
        <w:spacing w:after="0"/>
        <w:tabs>
          <w:tab w:leader="none" w:pos="13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stock options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participating in the Plan;</w:t>
      </w:r>
    </w:p>
    <w:p>
      <w:pPr>
        <w:spacing w:after="0" w:line="225" w:lineRule="exact"/>
        <w:rPr>
          <w:rFonts w:ascii="Times New Roman" w:cs="Times New Roman" w:eastAsia="Times New Roman" w:hAnsi="Times New Roman"/>
          <w:sz w:val="18"/>
          <w:szCs w:val="18"/>
          <w:color w:val="auto"/>
        </w:rPr>
      </w:pPr>
    </w:p>
    <w:p>
      <w:pPr>
        <w:ind w:firstLine="899"/>
        <w:spacing w:after="0" w:line="282" w:lineRule="auto"/>
        <w:tabs>
          <w:tab w:leader="none" w:pos="1369"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purchased upon exercise are not intended to replace any pension rights or compensation and are outside the scope of Grantee’s employment contract, if any;</w:t>
      </w:r>
    </w:p>
    <w:p>
      <w:pPr>
        <w:spacing w:after="0" w:line="161" w:lineRule="exact"/>
        <w:rPr>
          <w:rFonts w:ascii="Times New Roman" w:cs="Times New Roman" w:eastAsia="Times New Roman" w:hAnsi="Times New Roman"/>
          <w:sz w:val="18"/>
          <w:szCs w:val="18"/>
          <w:color w:val="auto"/>
        </w:rPr>
      </w:pPr>
    </w:p>
    <w:p>
      <w:pPr>
        <w:jc w:val="both"/>
        <w:ind w:firstLine="899"/>
        <w:spacing w:after="0" w:line="266" w:lineRule="auto"/>
        <w:tabs>
          <w:tab w:leader="none" w:pos="134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purchased upon exercise,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jc w:val="both"/>
        <w:ind w:firstLine="899"/>
        <w:spacing w:after="0" w:line="266" w:lineRule="auto"/>
        <w:tabs>
          <w:tab w:leader="none" w:pos="136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Option and the benefits evidenced by this Stock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71" w:lineRule="exact"/>
        <w:rPr>
          <w:rFonts w:ascii="Times New Roman" w:cs="Times New Roman" w:eastAsia="Times New Roman" w:hAnsi="Times New Roman"/>
          <w:sz w:val="18"/>
          <w:szCs w:val="18"/>
          <w:color w:val="auto"/>
        </w:rPr>
      </w:pPr>
    </w:p>
    <w:p>
      <w:pPr>
        <w:jc w:val="both"/>
        <w:ind w:firstLine="899"/>
        <w:spacing w:after="0" w:line="262" w:lineRule="auto"/>
        <w:tabs>
          <w:tab w:leader="none" w:pos="1447"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Parent, Subsidiaries or Affiliates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Option (or the calculation of income or withholding taxes thereunder) or of any amounts due to Grantee pursuant to the exercise of the Option or the subsequent sale of the Shares purchased pursuant to the Option.</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503"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Issuance of Shares</w:t>
      </w:r>
      <w:r>
        <w:rPr>
          <w:rFonts w:ascii="Times New Roman" w:cs="Times New Roman" w:eastAsia="Times New Roman" w:hAnsi="Times New Roman"/>
          <w:sz w:val="18"/>
          <w:szCs w:val="18"/>
          <w:color w:val="auto"/>
        </w:rPr>
        <w:t>. The Shares deliverable upon the exercise of the Option, or any portion thereof, may be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authorized but unissued Shares or issued Shares that have then been reacquired by the Company. Such Shares shall be fully paid and nonassessable. The Company shall not be required to issue or deliver any Shares purchased upon the exercise of the Option or portion thereof prior to fulfillment of all of the conditions in Section 18 of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9" w:name="page490"/>
    <w:bookmarkEnd w:id="489"/>
    <w:p>
      <w:pPr>
        <w:jc w:val="both"/>
        <w:ind w:firstLine="656"/>
        <w:spacing w:after="0" w:line="268" w:lineRule="auto"/>
        <w:tabs>
          <w:tab w:leader="none" w:pos="132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color w:val="auto"/>
        </w:rPr>
        <w:t>. Grantee shall have no rights of a stockholder with respect to the Shares subject to the Option (including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and the right to receive distributions or dividends) unless and until Shares are issued to Grantee in respect thereof in accordance with this Stock Option Agreement.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35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Option Agreement Subject to Plan</w:t>
      </w:r>
      <w:r>
        <w:rPr>
          <w:rFonts w:ascii="Times New Roman" w:cs="Times New Roman" w:eastAsia="Times New Roman" w:hAnsi="Times New Roman"/>
          <w:sz w:val="18"/>
          <w:szCs w:val="18"/>
          <w:color w:val="auto"/>
        </w:rPr>
        <w:t>. This Stock Option Agreement is made pursuant to all of the provisions of the Plan,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herein by this reference, and is intended, and shall be interpreted in a manner, to comply therewith. In the event of any conflict between the provisions of this Stock Option Agreement and the provisions of the Plan, the provisions of the Plan shall govern.</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36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Notification of Disposition</w:t>
      </w:r>
      <w:r>
        <w:rPr>
          <w:rFonts w:ascii="Times New Roman" w:cs="Times New Roman" w:eastAsia="Times New Roman" w:hAnsi="Times New Roman"/>
          <w:sz w:val="18"/>
          <w:szCs w:val="18"/>
          <w:color w:val="auto"/>
        </w:rPr>
        <w:t>. If the Option is designated as an Incentive Stock Option, Grantee shall give prompt notice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disposition or other transfer of any Shares acquired under this Stock Option Agreement if such disposition or transfer is made (a) within two (2) years from the Date of Grant with respect to such Shares or (b) within one (1) year after the transfer of such Shares to Grantee. Such notice shall specify the date of such disposition or other transfer and the amount realized, in cash, other property, assumption of indebtedness or other consideration, by Grantee in such disposition or other transfer.</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44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or request required or permitted to be given under this Stock Option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the Company</w:t>
      </w:r>
      <w:r>
        <w:rPr>
          <w:rFonts w:ascii="Times New Roman" w:cs="Times New Roman" w:eastAsia="Times New Roman" w:hAnsi="Times New Roman"/>
          <w:sz w:val="18"/>
          <w:szCs w:val="18"/>
          <w:color w:val="auto"/>
        </w:rPr>
        <w:t>,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650 California Street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Floor 12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People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equity@affirm.com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Grantee</w:t>
      </w:r>
      <w:r>
        <w:rPr>
          <w:rFonts w:ascii="Times New Roman" w:cs="Times New Roman" w:eastAsia="Times New Roman" w:hAnsi="Times New Roman"/>
          <w:sz w:val="18"/>
          <w:szCs w:val="18"/>
          <w:color w:val="auto"/>
        </w:rPr>
        <w:t>, to: Grantee’s last residence shown on the records of the Company or its affiliates.</w:t>
      </w:r>
    </w:p>
    <w:p>
      <w:pPr>
        <w:spacing w:after="0" w:line="225" w:lineRule="exact"/>
        <w:rPr>
          <w:sz w:val="20"/>
          <w:szCs w:val="20"/>
          <w:color w:val="auto"/>
        </w:rPr>
      </w:pPr>
    </w:p>
    <w:p>
      <w:pPr>
        <w:ind w:left="1340" w:hanging="684"/>
        <w:spacing w:after="0"/>
        <w:tabs>
          <w:tab w:leader="none" w:pos="13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Protection.</w:t>
      </w:r>
    </w:p>
    <w:p>
      <w:pPr>
        <w:spacing w:after="0" w:line="229" w:lineRule="exact"/>
        <w:rPr>
          <w:rFonts w:ascii="Times New Roman" w:cs="Times New Roman" w:eastAsia="Times New Roman" w:hAnsi="Times New Roman"/>
          <w:sz w:val="18"/>
          <w:szCs w:val="18"/>
          <w:color w:val="auto"/>
        </w:rPr>
      </w:pPr>
    </w:p>
    <w:p>
      <w:pPr>
        <w:jc w:val="both"/>
        <w:ind w:firstLine="980"/>
        <w:spacing w:after="0" w:line="258" w:lineRule="auto"/>
        <w:tabs>
          <w:tab w:leader="none" w:pos="1387"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administration of the Plan and this Stock Option Agreement, it will be necessary for the Company (or its payroll administrators) to collect, hold and process certain personal information about Optionee and to transfer this data to certain third parties such as brokers with whom Optionee may elect to deposit any share capital under the Plan. Optionee consents to the Company (or its payroll administrators) collecting, holding and processing Optionee’s personal data and transferring this data to the Company or any other third parties insofar as is reasonably necessary to implement, administer and manage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0" w:name="page491"/>
    <w:bookmarkEnd w:id="490"/>
    <w:p>
      <w:pPr>
        <w:jc w:val="both"/>
        <w:ind w:firstLine="980"/>
        <w:spacing w:after="0" w:line="266" w:lineRule="auto"/>
        <w:tabs>
          <w:tab w:leader="none" w:pos="1272"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understands that Optionee may, at any time, view Optionee’s personal data, require any necessary corrections to it or withdraw the consents herein in writing by contacting the Company, but acknowledges that without the use of such data it may not be practicable for the Company to administer Optionee’s involvement in the Plan in a timely fashion or at all and this may be detrimental to Optionee.</w:t>
      </w:r>
    </w:p>
    <w:p>
      <w:pPr>
        <w:spacing w:after="0" w:line="17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202" w:val="left"/>
        </w:tabs>
        <w:numPr>
          <w:ilvl w:val="2"/>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acts and transactions pursuant hereto and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be governed, construed and interpreted in accordance with the laws of the State of California, without giving effect to principles of conflicts of law.</w:t>
      </w:r>
    </w:p>
    <w:p>
      <w:pPr>
        <w:spacing w:after="0" w:line="170"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26" w:val="left"/>
        </w:tabs>
        <w:numPr>
          <w:ilvl w:val="2"/>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THE PARTIES CONSENT TO PERSONAL JURISDICTION IN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ANY ACTION OR PROCEEDING ARISING FROM OR RELATED TO THIS AGREEMENT SHALL BE BROUGHT AND TRIED EXCLUSIVELY IN THE STATE OR FEDERAL COURTS LOCATED IN THE STATE OF CALIFORNIA. THE PARTIES IRREVOCABLY AND UNCONDITIONALLY WAIVE ANY OBJECTION TO THE LAYING OF VENUE OF ANY SUCH ACTION OR PROCEEDING BROUGHT IN ANY SUCH COURT. THE PARTIES EXPRESSLY ACKNOWLEDGE THAT THE STATE OF CALIFORNIA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14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75" w:val="left"/>
        </w:tabs>
        <w:numPr>
          <w:ilvl w:val="2"/>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Addendum and Sub-Plans</w:t>
      </w:r>
      <w:r>
        <w:rPr>
          <w:rFonts w:ascii="Times New Roman" w:cs="Times New Roman" w:eastAsia="Times New Roman" w:hAnsi="Times New Roman"/>
          <w:sz w:val="18"/>
          <w:szCs w:val="18"/>
          <w:color w:val="auto"/>
        </w:rPr>
        <w:t>. Notwithstanding any provisions in this Stock Option Agreement, the Option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special terms and conditions set forth in any Addendum to this Stock Option Agreement for Grantee’s country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Stock Option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1" w:name="page492"/>
    <w:bookmarkEnd w:id="491"/>
    <w:p>
      <w:pPr>
        <w:jc w:val="both"/>
        <w:ind w:firstLine="1304"/>
        <w:spacing w:after="0" w:line="254" w:lineRule="auto"/>
        <w:tabs>
          <w:tab w:leader="none" w:pos="225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Enforcement of Rights; Amendment</w:t>
      </w:r>
      <w:r>
        <w:rPr>
          <w:rFonts w:ascii="Times New Roman" w:cs="Times New Roman" w:eastAsia="Times New Roman" w:hAnsi="Times New Roman"/>
          <w:sz w:val="18"/>
          <w:szCs w:val="18"/>
          <w:color w:val="auto"/>
        </w:rPr>
        <w:t>. This Stock Option Agreement, together with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sets forth the entire agreement and understanding of the parties relating to the subject matter herein and merges all prior or contemporaneous discussions or agreements between them. Except as contemplated by the Plan, no modification of or amendment to this Stock Option Agreement, nor any waiver of any rights under this Stock Option Agreement, shall be effective unless in writing signed by the parties to this Stock Option Agreement to the extent it would materially and adversely affect the rights of Grantee. The failure by either party to enforce any rights under this Stock Option Agreement shall not be construed as a waiver of any rights of such party. Notwithstanding anything to the contrary in the Plan or this Stock Option Agreement, the Company reserves the right to revise this Stock Option Agreement as it deems necessary or advisable, in its sole discretion and without the consent of Grantee, to comply with Code Section 409A or to otherwise avoid imposition of any additional tax or income recognition under Section 409A of the Code in connection with the Option.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35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Should any provision of this Stock Option Agreement be held by a court of competent jurisdiction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or enforceable only if modified, such holding shall not affect the validity of the remainder of this Stock Option Agreement, the balance of which shall continue to be binding upon the parties hereto with any such modification (if any) to become a part hereof and treated as though contained in this original Stock Option Agreement. Moreover, if one or more of the provisions contained in this Stock Option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7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This Agreement is the result of negotiations between and has been reviewed by each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counsel, if any; accordingly, this Stock Option Agreement shall be deemed to be the product of all of the parties hereto and no ambiguity shall be construed in favor of or against any one of the parties hereto.</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219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Electronic Signature</w:t>
      </w:r>
      <w:r>
        <w:rPr>
          <w:rFonts w:ascii="Times New Roman" w:cs="Times New Roman" w:eastAsia="Times New Roman" w:hAnsi="Times New Roman"/>
          <w:sz w:val="18"/>
          <w:szCs w:val="18"/>
          <w:color w:val="auto"/>
        </w:rPr>
        <w:t>. This Stock Option Agreement may be executed in two or more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deemed an original and all of which together shall constitute one instrument. Facsimile, email or other electronic execution and delivery of this Stock Option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3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Option Agreement Binding on Successors</w:t>
      </w:r>
      <w:r>
        <w:rPr>
          <w:rFonts w:ascii="Times New Roman" w:cs="Times New Roman" w:eastAsia="Times New Roman" w:hAnsi="Times New Roman"/>
          <w:sz w:val="18"/>
          <w:szCs w:val="18"/>
          <w:color w:val="auto"/>
        </w:rPr>
        <w:t>. The terms of this Stock Option Agreement shall be binding upon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upon Grantee’s heirs, executors, administrators, personal representatives, transferees, assignees and successors in interest, and upon the Company and its successors and assignees, subject to the terms of the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2" w:name="page493"/>
    <w:bookmarkEnd w:id="492"/>
    <w:p>
      <w:pPr>
        <w:jc w:val="both"/>
        <w:ind w:firstLine="1304"/>
        <w:spacing w:after="0" w:line="259" w:lineRule="auto"/>
        <w:tabs>
          <w:tab w:leader="none" w:pos="2149"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Optionee’s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future participation in the Plan, the Option, the Shares subject to the Option, any other Company securities or any other Company-related documents, by electronic means. Optionee hereby (i) consents to receive such documents by electronic means, (ii) consents to use of electronic signatures, and (iii) if applicable, agrees to participate in the Plan and/or receive any such documents through an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3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Necessary Acts</w:t>
      </w:r>
      <w:r>
        <w:rPr>
          <w:rFonts w:ascii="Times New Roman" w:cs="Times New Roman" w:eastAsia="Times New Roman" w:hAnsi="Times New Roman"/>
          <w:sz w:val="18"/>
          <w:szCs w:val="18"/>
          <w:color w:val="auto"/>
        </w:rPr>
        <w:t>. Grantee hereby agrees to perform all acts, and to execute and deliver any documents that may be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carry out the provisions of this Stock Option Agreement, including but not limited to all acts and documents related to compliance with federal and/or state securities and/or tax laws.</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252"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Headings are used solely for the convenience of the parties and shall not be deemed to be a limitation upon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descriptive of the contents of any such Section.</w:t>
      </w:r>
    </w:p>
    <w:p>
      <w:pPr>
        <w:spacing w:after="0" w:line="154"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No amendment or modification hereof shall be valid unless it shall be in writing and signed by all parties 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4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Applicable to Section 16 Persons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Plan or this Stock Option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is subject to Section 16 of the Exchange Act, the Plan, the Grant Notice and this Stock Option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Stock Option Agreement shall be deemed amended to the extent necessary to conform to such applicable exemptive rule.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4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Grantee’s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on the Option and on any Shares issued pursuant to this Stock Option Agreement, to the extent the Company determines it is necessary or advisable for legal or administrative reasons, and to require Grantee to sign any additional agreements or undertakings that may be necessary to accomplish the foregoing. Grantee also acknowledges that the Applicable Laws of the country in which Grantee is residing or working at the time of grant and vesting of the Option or the sale of Shares received pursuant to this Stock Option Agreement (including any rules or regulations governing securities, foreign exchange, tax, labor or other matters) may subject Grantee to additional procedural or regulatory requirements that Grantee is and will be solely responsible for and must fulfill. Such requirements may be outlined in but are not limited to the Addendum. Notwithstanding any provision herein, the Option and Grantee’s participation in the Plan shall be subject to any applicable special terms and conditions or disclosures as set forth in the Addendum.</w:t>
      </w:r>
    </w:p>
    <w:p>
      <w:pPr>
        <w:spacing w:after="0" w:line="184" w:lineRule="exact"/>
        <w:rPr>
          <w:rFonts w:ascii="Times New Roman" w:cs="Times New Roman" w:eastAsia="Times New Roman" w:hAnsi="Times New Roman"/>
          <w:sz w:val="18"/>
          <w:szCs w:val="18"/>
          <w:color w:val="auto"/>
        </w:rPr>
      </w:pPr>
    </w:p>
    <w:p>
      <w:pPr>
        <w:jc w:val="both"/>
        <w:ind w:firstLine="656"/>
        <w:spacing w:after="0" w:line="262" w:lineRule="auto"/>
        <w:tabs>
          <w:tab w:leader="none" w:pos="139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Agreement</w:t>
      </w:r>
      <w:r>
        <w:rPr>
          <w:rFonts w:ascii="Times New Roman" w:cs="Times New Roman" w:eastAsia="Times New Roman" w:hAnsi="Times New Roman"/>
          <w:sz w:val="18"/>
          <w:szCs w:val="18"/>
          <w:color w:val="auto"/>
        </w:rPr>
        <w:t>. Optionee acknowledges receipt of a copy of the Plan and represents that he or she is familiar with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thereof (and has had an opportunity to consult counsel regarding the Option terms), and hereby accepts the Option and agrees to be bound by its contractual terms as set forth herein and in the Plan. Optionee hereby agrees to accept as binding, conclusive and final all decisions and interpretations of the Plan Administrator regarding any questions relating to the Option.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3" w:name="page494"/>
    <w:bookmarkEnd w:id="493"/>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Stock Option Agreement pursuant to the Company’s instructions to Grantee (including through an online acceptance process) is acceptable.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356616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17145</wp:posOffset>
            </wp:positionV>
            <wp:extent cx="306006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4" w:name="page495"/>
    <w:bookmarkEnd w:id="494"/>
    <w:p>
      <w:pPr>
        <w:jc w:val="center"/>
        <w:spacing w:after="0"/>
        <w:rPr>
          <w:sz w:val="20"/>
          <w:szCs w:val="20"/>
          <w:color w:val="auto"/>
        </w:rPr>
      </w:pPr>
      <w:r>
        <w:rPr>
          <w:rFonts w:ascii="Times New Roman" w:cs="Times New Roman" w:eastAsia="Times New Roman" w:hAnsi="Times New Roman"/>
          <w:sz w:val="18"/>
          <w:szCs w:val="18"/>
          <w:b w:val="1"/>
          <w:bCs w:val="1"/>
          <w:color w:val="auto"/>
        </w:rPr>
        <w:t>Country-Specific Addendum</w:t>
      </w:r>
    </w:p>
    <w:p>
      <w:pPr>
        <w:sectPr>
          <w:pgSz w:w="11900" w:h="16838" w:orient="portrait"/>
          <w:cols w:equalWidth="0" w:num="1">
            <w:col w:w="9019"/>
          </w:cols>
          <w:pgMar w:left="1440" w:top="90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495" w:name="page496"/>
    <w:bookmarkEnd w:id="49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333333"/>
        </w:rPr>
        <w:t>We consent to the reference to our firm under the caption “Experts” and to the use of our report dated October 7, 2020, with respect to the consolidated financial statements of Affirm Holdings, Inc. included in Amendment No.2 to the Registration Statement (Form S-1) and related Preliminary Prospectus of Affirm Holdings, Inc. for the registration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December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6" w:name="page497"/>
    <w:bookmarkEnd w:id="49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October 7, 2020, relating to the financial statements of Affirm Holdings, Inc.. We also consent to the reference to us under the heading "Experts" in such Registration Statement.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7" w:name="page498"/>
    <w:bookmarkEnd w:id="49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DIRECTOR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Affirm Holdings,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Jenny J.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J.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8" w:name="page499"/>
    <w:bookmarkEnd w:id="49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DIRECTOR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Affirm Holdings,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Jacqueline D. Reses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Jacqueline D. Reses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DIRECTOR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Affirm Holdings,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217E23"/>
    <w:multiLevelType w:val="hybridMultilevel"/>
    <w:lvl w:ilvl="0">
      <w:lvlJc w:val="left"/>
      <w:lvlText w:val="(%1)"/>
      <w:numFmt w:val="decimal"/>
      <w:start w:val="1"/>
    </w:lvl>
  </w:abstractNum>
  <w:abstractNum w:abstractNumId="1">
    <w:nsid w:val="710757D0"/>
    <w:multiLevelType w:val="hybridMultilevel"/>
    <w:lvl w:ilvl="0">
      <w:lvlJc w:val="left"/>
      <w:lvlText w:val="•"/>
      <w:numFmt w:val="bullet"/>
      <w:start w:val="1"/>
    </w:lvl>
  </w:abstractNum>
  <w:abstractNum w:abstractNumId="2">
    <w:nsid w:val="5015CD1A"/>
    <w:multiLevelType w:val="hybridMultilevel"/>
    <w:lvl w:ilvl="0">
      <w:lvlJc w:val="left"/>
      <w:lvlText w:val="•"/>
      <w:numFmt w:val="bullet"/>
      <w:start w:val="1"/>
    </w:lvl>
  </w:abstractNum>
  <w:abstractNum w:abstractNumId="3">
    <w:nsid w:val="424479DA"/>
    <w:multiLevelType w:val="hybridMultilevel"/>
    <w:lvl w:ilvl="0">
      <w:lvlJc w:val="left"/>
      <w:lvlText w:val="•"/>
      <w:numFmt w:val="bullet"/>
      <w:start w:val="1"/>
    </w:lvl>
  </w:abstractNum>
  <w:abstractNum w:abstractNumId="4">
    <w:nsid w:val="1A9A9E69"/>
    <w:multiLevelType w:val="hybridMultilevel"/>
    <w:lvl w:ilvl="0">
      <w:lvlJc w:val="left"/>
      <w:lvlText w:val="•"/>
      <w:numFmt w:val="bullet"/>
      <w:start w:val="1"/>
    </w:lvl>
  </w:abstractNum>
  <w:abstractNum w:abstractNumId="5">
    <w:nsid w:val="475E256A"/>
    <w:multiLevelType w:val="hybridMultilevel"/>
    <w:lvl w:ilvl="0">
      <w:lvlJc w:val="left"/>
      <w:lvlText w:val="•"/>
      <w:numFmt w:val="bullet"/>
      <w:start w:val="1"/>
    </w:lvl>
  </w:abstractNum>
  <w:abstractNum w:abstractNumId="6">
    <w:nsid w:val="368DB37E"/>
    <w:multiLevelType w:val="hybridMultilevel"/>
    <w:lvl w:ilvl="0">
      <w:lvlJc w:val="left"/>
      <w:lvlText w:val="•"/>
      <w:numFmt w:val="bullet"/>
      <w:start w:val="1"/>
    </w:lvl>
  </w:abstractNum>
  <w:abstractNum w:abstractNumId="7">
    <w:nsid w:val="6A3B714C"/>
    <w:multiLevelType w:val="hybridMultilevel"/>
    <w:lvl w:ilvl="0">
      <w:lvlJc w:val="left"/>
      <w:lvlText w:val="•"/>
      <w:numFmt w:val="bullet"/>
      <w:start w:val="1"/>
    </w:lvl>
  </w:abstractNum>
  <w:abstractNum w:abstractNumId="8">
    <w:nsid w:val="327B517E"/>
    <w:multiLevelType w:val="hybridMultilevel"/>
    <w:lvl w:ilvl="0">
      <w:lvlJc w:val="left"/>
      <w:lvlText w:val="•"/>
      <w:numFmt w:val="bullet"/>
      <w:start w:val="1"/>
    </w:lvl>
  </w:abstractNum>
  <w:abstractNum w:abstractNumId="9">
    <w:nsid w:val="1F461B51"/>
    <w:multiLevelType w:val="hybridMultilevel"/>
    <w:lvl w:ilvl="0">
      <w:lvlJc w:val="left"/>
      <w:lvlText w:val="•"/>
      <w:numFmt w:val="bullet"/>
      <w:start w:val="1"/>
    </w:lvl>
  </w:abstractNum>
  <w:abstractNum w:abstractNumId="10">
    <w:nsid w:val="29BACF25"/>
    <w:multiLevelType w:val="hybridMultilevel"/>
    <w:lvl w:ilvl="0">
      <w:lvlJc w:val="left"/>
      <w:lvlText w:val="•"/>
      <w:numFmt w:val="bullet"/>
      <w:start w:val="1"/>
    </w:lvl>
  </w:abstractNum>
  <w:abstractNum w:abstractNumId="11">
    <w:nsid w:val="5D5BABB3"/>
    <w:multiLevelType w:val="hybridMultilevel"/>
    <w:lvl w:ilvl="0">
      <w:lvlJc w:val="left"/>
      <w:lvlText w:val="•"/>
      <w:numFmt w:val="bullet"/>
      <w:start w:val="1"/>
    </w:lvl>
  </w:abstractNum>
  <w:abstractNum w:abstractNumId="12">
    <w:nsid w:val="51BF6B48"/>
    <w:multiLevelType w:val="hybridMultilevel"/>
    <w:lvl w:ilvl="0">
      <w:lvlJc w:val="left"/>
      <w:lvlText w:val="•"/>
      <w:numFmt w:val="bullet"/>
      <w:start w:val="1"/>
    </w:lvl>
  </w:abstractNum>
  <w:abstractNum w:abstractNumId="13">
    <w:nsid w:val="7E0F6384"/>
    <w:multiLevelType w:val="hybridMultilevel"/>
    <w:lvl w:ilvl="0">
      <w:lvlJc w:val="left"/>
      <w:lvlText w:val="•"/>
      <w:numFmt w:val="bullet"/>
      <w:start w:val="1"/>
    </w:lvl>
  </w:abstractNum>
  <w:abstractNum w:abstractNumId="14">
    <w:nsid w:val="2B4B8B53"/>
    <w:multiLevelType w:val="hybridMultilevel"/>
    <w:lvl w:ilvl="0">
      <w:lvlJc w:val="left"/>
      <w:lvlText w:val="•"/>
      <w:numFmt w:val="bullet"/>
      <w:start w:val="1"/>
    </w:lvl>
  </w:abstractNum>
  <w:abstractNum w:abstractNumId="15">
    <w:nsid w:val="72E3413A"/>
    <w:multiLevelType w:val="hybridMultilevel"/>
    <w:lvl w:ilvl="0">
      <w:lvlJc w:val="left"/>
      <w:lvlText w:val="•"/>
      <w:numFmt w:val="bullet"/>
      <w:start w:val="1"/>
    </w:lvl>
  </w:abstractNum>
  <w:abstractNum w:abstractNumId="16">
    <w:nsid w:val="116AE494"/>
    <w:multiLevelType w:val="hybridMultilevel"/>
    <w:lvl w:ilvl="0">
      <w:lvlJc w:val="left"/>
      <w:lvlText w:val="•"/>
      <w:numFmt w:val="bullet"/>
      <w:start w:val="1"/>
    </w:lvl>
  </w:abstractNum>
  <w:abstractNum w:abstractNumId="17">
    <w:nsid w:val="3494B2FB"/>
    <w:multiLevelType w:val="hybridMultilevel"/>
    <w:lvl w:ilvl="0">
      <w:lvlJc w:val="left"/>
      <w:lvlText w:val="•"/>
      <w:numFmt w:val="bullet"/>
      <w:start w:val="1"/>
    </w:lvl>
  </w:abstractNum>
  <w:abstractNum w:abstractNumId="18">
    <w:nsid w:val="B13A31"/>
    <w:multiLevelType w:val="hybridMultilevel"/>
    <w:lvl w:ilvl="0">
      <w:lvlJc w:val="left"/>
      <w:lvlText w:val="•"/>
      <w:numFmt w:val="bullet"/>
      <w:start w:val="1"/>
    </w:lvl>
  </w:abstractNum>
  <w:abstractNum w:abstractNumId="19">
    <w:nsid w:val="64429599"/>
    <w:multiLevelType w:val="hybridMultilevel"/>
    <w:lvl w:ilvl="0">
      <w:lvlJc w:val="left"/>
      <w:lvlText w:val="•"/>
      <w:numFmt w:val="bullet"/>
      <w:start w:val="1"/>
    </w:lvl>
  </w:abstractNum>
  <w:abstractNum w:abstractNumId="20">
    <w:nsid w:val="631F1690"/>
    <w:multiLevelType w:val="hybridMultilevel"/>
    <w:lvl w:ilvl="0">
      <w:lvlJc w:val="left"/>
      <w:lvlText w:val="$"/>
      <w:numFmt w:val="bullet"/>
      <w:start w:val="1"/>
    </w:lvl>
  </w:abstractNum>
  <w:abstractNum w:abstractNumId="21">
    <w:nsid w:val="25973E32"/>
    <w:multiLevelType w:val="hybridMultilevel"/>
    <w:lvl w:ilvl="0">
      <w:lvlJc w:val="left"/>
      <w:lvlText w:val="(%1)"/>
      <w:numFmt w:val="decimal"/>
      <w:start w:val="1"/>
    </w:lvl>
  </w:abstractNum>
  <w:abstractNum w:abstractNumId="22">
    <w:nsid w:val="EAD6F57"/>
    <w:multiLevelType w:val="hybridMultilevel"/>
    <w:lvl w:ilvl="0">
      <w:lvlJc w:val="left"/>
      <w:lvlText w:val="(%1)"/>
      <w:numFmt w:val="decimal"/>
      <w:start w:val="4"/>
    </w:lvl>
  </w:abstractNum>
  <w:abstractNum w:abstractNumId="23">
    <w:nsid w:val="6EC9D844"/>
    <w:multiLevelType w:val="hybridMultilevel"/>
    <w:lvl w:ilvl="0">
      <w:lvlJc w:val="left"/>
      <w:lvlText w:val="(%1)"/>
      <w:numFmt w:val="decimal"/>
      <w:start w:val="1"/>
    </w:lvl>
  </w:abstractNum>
  <w:abstractNum w:abstractNumId="24">
    <w:nsid w:val="5C49EAEE"/>
    <w:multiLevelType w:val="hybridMultilevel"/>
    <w:lvl w:ilvl="0">
      <w:lvlJc w:val="left"/>
      <w:lvlText w:val="•"/>
      <w:numFmt w:val="bullet"/>
      <w:start w:val="1"/>
    </w:lvl>
  </w:abstractNum>
  <w:abstractNum w:abstractNumId="25">
    <w:nsid w:val="64AF49B"/>
    <w:multiLevelType w:val="hybridMultilevel"/>
    <w:lvl w:ilvl="0">
      <w:lvlJc w:val="left"/>
      <w:lvlText w:val="$"/>
      <w:numFmt w:val="bullet"/>
      <w:start w:val="1"/>
    </w:lvl>
  </w:abstractNum>
  <w:abstractNum w:abstractNumId="26">
    <w:nsid w:val="397C46BC"/>
    <w:multiLevelType w:val="hybridMultilevel"/>
    <w:lvl w:ilvl="0">
      <w:lvlJc w:val="left"/>
      <w:lvlText w:val="(%1)"/>
      <w:numFmt w:val="decimal"/>
      <w:start w:val="1"/>
    </w:lvl>
  </w:abstractNum>
  <w:abstractNum w:abstractNumId="27">
    <w:nsid w:val="7E448DE9"/>
    <w:multiLevelType w:val="hybridMultilevel"/>
    <w:lvl w:ilvl="0">
      <w:lvlJc w:val="left"/>
      <w:lvlText w:val="$"/>
      <w:numFmt w:val="bullet"/>
      <w:start w:val="1"/>
    </w:lvl>
  </w:abstractNum>
  <w:abstractNum w:abstractNumId="28">
    <w:nsid w:val="5A9CC3E5"/>
    <w:multiLevelType w:val="hybridMultilevel"/>
    <w:lvl w:ilvl="0">
      <w:lvlJc w:val="left"/>
      <w:lvlText w:val="•"/>
      <w:numFmt w:val="bullet"/>
      <w:start w:val="1"/>
    </w:lvl>
  </w:abstractNum>
  <w:abstractNum w:abstractNumId="29">
    <w:nsid w:val="1AFE3625"/>
    <w:multiLevelType w:val="hybridMultilevel"/>
    <w:lvl w:ilvl="0">
      <w:lvlJc w:val="left"/>
      <w:lvlText w:val="•"/>
      <w:numFmt w:val="bullet"/>
      <w:start w:val="1"/>
    </w:lvl>
  </w:abstractNum>
  <w:abstractNum w:abstractNumId="30">
    <w:nsid w:val="3CA88ECF"/>
    <w:multiLevelType w:val="hybridMultilevel"/>
    <w:lvl w:ilvl="0">
      <w:lvlJc w:val="left"/>
      <w:lvlText w:val="•"/>
      <w:numFmt w:val="bullet"/>
      <w:start w:val="1"/>
    </w:lvl>
  </w:abstractNum>
  <w:abstractNum w:abstractNumId="31">
    <w:nsid w:val="6EBE4208"/>
    <w:multiLevelType w:val="hybridMultilevel"/>
    <w:lvl w:ilvl="0">
      <w:lvlJc w:val="left"/>
      <w:lvlText w:val="•"/>
      <w:numFmt w:val="bullet"/>
      <w:start w:val="1"/>
    </w:lvl>
  </w:abstractNum>
  <w:abstractNum w:abstractNumId="32">
    <w:nsid w:val="C058DF5"/>
    <w:multiLevelType w:val="hybridMultilevel"/>
    <w:lvl w:ilvl="0">
      <w:lvlJc w:val="left"/>
      <w:lvlText w:val="•"/>
      <w:numFmt w:val="bullet"/>
      <w:start w:val="1"/>
    </w:lvl>
  </w:abstractNum>
  <w:abstractNum w:abstractNumId="33">
    <w:nsid w:val="CBE5BE9"/>
    <w:multiLevelType w:val="hybridMultilevel"/>
    <w:lvl w:ilvl="0">
      <w:lvlJc w:val="left"/>
      <w:lvlText w:val="(%1)"/>
      <w:numFmt w:val="lowerRoman"/>
      <w:start w:val="4"/>
    </w:lvl>
  </w:abstractNum>
  <w:abstractNum w:abstractNumId="34">
    <w:nsid w:val="3102BBE2"/>
    <w:multiLevelType w:val="hybridMultilevel"/>
    <w:lvl w:ilvl="0">
      <w:lvlJc w:val="left"/>
      <w:lvlText w:val="•"/>
      <w:numFmt w:val="bullet"/>
      <w:start w:val="1"/>
    </w:lvl>
  </w:abstractNum>
  <w:abstractNum w:abstractNumId="35">
    <w:nsid w:val="26A02C5E"/>
    <w:multiLevelType w:val="hybridMultilevel"/>
    <w:lvl w:ilvl="0">
      <w:lvlJc w:val="left"/>
      <w:lvlText w:val="•"/>
      <w:numFmt w:val="bullet"/>
      <w:start w:val="1"/>
    </w:lvl>
  </w:abstractNum>
  <w:abstractNum w:abstractNumId="36">
    <w:nsid w:val="541C8153"/>
    <w:multiLevelType w:val="hybridMultilevel"/>
    <w:lvl w:ilvl="0">
      <w:lvlJc w:val="left"/>
      <w:lvlText w:val="•"/>
      <w:numFmt w:val="bullet"/>
      <w:start w:val="1"/>
    </w:lvl>
  </w:abstractNum>
  <w:abstractNum w:abstractNumId="37">
    <w:nsid w:val="67906F60"/>
    <w:multiLevelType w:val="hybridMultilevel"/>
    <w:lvl w:ilvl="0">
      <w:lvlJc w:val="left"/>
      <w:lvlText w:val="•"/>
      <w:numFmt w:val="bullet"/>
      <w:start w:val="1"/>
    </w:lvl>
  </w:abstractNum>
  <w:abstractNum w:abstractNumId="38">
    <w:nsid w:val="10DB9DAA"/>
    <w:multiLevelType w:val="hybridMultilevel"/>
    <w:lvl w:ilvl="0">
      <w:lvlJc w:val="left"/>
      <w:lvlText w:val="$"/>
      <w:numFmt w:val="bullet"/>
      <w:start w:val="1"/>
    </w:lvl>
  </w:abstractNum>
  <w:abstractNum w:abstractNumId="39">
    <w:nsid w:val="697D2D2"/>
    <w:multiLevelType w:val="hybridMultilevel"/>
    <w:lvl w:ilvl="0">
      <w:lvlJc w:val="left"/>
      <w:lvlText w:val="•"/>
      <w:numFmt w:val="bullet"/>
      <w:start w:val="1"/>
    </w:lvl>
  </w:abstractNum>
  <w:abstractNum w:abstractNumId="40">
    <w:nsid w:val="6D68AB2"/>
    <w:multiLevelType w:val="hybridMultilevel"/>
    <w:lvl w:ilvl="0">
      <w:lvlJc w:val="left"/>
      <w:lvlText w:val="(%1)"/>
      <w:numFmt w:val="decimal"/>
      <w:start w:val="1"/>
    </w:lvl>
  </w:abstractNum>
  <w:abstractNum w:abstractNumId="41">
    <w:nsid w:val="3A966CD0"/>
    <w:multiLevelType w:val="hybridMultilevel"/>
    <w:lvl w:ilvl="0">
      <w:lvlJc w:val="left"/>
      <w:lvlText w:val="•"/>
      <w:numFmt w:val="bullet"/>
      <w:start w:val="1"/>
    </w:lvl>
  </w:abstractNum>
  <w:abstractNum w:abstractNumId="42">
    <w:nsid w:val="63F37E85"/>
    <w:multiLevelType w:val="hybridMultilevel"/>
    <w:lvl w:ilvl="0">
      <w:lvlJc w:val="left"/>
      <w:lvlText w:val="•"/>
      <w:numFmt w:val="bullet"/>
      <w:start w:val="1"/>
    </w:lvl>
  </w:abstractNum>
  <w:abstractNum w:abstractNumId="43">
    <w:nsid w:val="5895F5FA"/>
    <w:multiLevelType w:val="hybridMultilevel"/>
    <w:lvl w:ilvl="0">
      <w:lvlJc w:val="left"/>
      <w:lvlText w:val="•"/>
      <w:numFmt w:val="bullet"/>
      <w:start w:val="1"/>
    </w:lvl>
  </w:abstractNum>
  <w:abstractNum w:abstractNumId="44">
    <w:nsid w:val="38A5D054"/>
    <w:multiLevelType w:val="hybridMultilevel"/>
    <w:lvl w:ilvl="0">
      <w:lvlJc w:val="left"/>
      <w:lvlText w:val="•"/>
      <w:numFmt w:val="bullet"/>
      <w:start w:val="1"/>
    </w:lvl>
  </w:abstractNum>
  <w:abstractNum w:abstractNumId="45">
    <w:nsid w:val="F3F09D8"/>
    <w:multiLevelType w:val="hybridMultilevel"/>
    <w:lvl w:ilvl="0">
      <w:lvlJc w:val="left"/>
      <w:lvlText w:val="•"/>
      <w:numFmt w:val="bullet"/>
      <w:start w:val="1"/>
    </w:lvl>
  </w:abstractNum>
  <w:abstractNum w:abstractNumId="46">
    <w:nsid w:val="4B793735"/>
    <w:multiLevelType w:val="hybridMultilevel"/>
    <w:lvl w:ilvl="0">
      <w:lvlJc w:val="left"/>
      <w:lvlText w:val="(%1)"/>
      <w:numFmt w:val="decimal"/>
      <w:start w:val="1"/>
    </w:lvl>
  </w:abstractNum>
  <w:abstractNum w:abstractNumId="47">
    <w:nsid w:val="4A10B4E8"/>
    <w:multiLevelType w:val="hybridMultilevel"/>
    <w:lvl w:ilvl="0">
      <w:lvlJc w:val="left"/>
      <w:lvlText w:val="(%1)"/>
      <w:numFmt w:val="decimal"/>
      <w:start w:val="1"/>
    </w:lvl>
  </w:abstractNum>
  <w:abstractNum w:abstractNumId="48">
    <w:nsid w:val="43D3BCD4"/>
    <w:multiLevelType w:val="hybridMultilevel"/>
    <w:lvl w:ilvl="0">
      <w:lvlJc w:val="left"/>
      <w:lvlText w:val="•"/>
      <w:numFmt w:val="bullet"/>
      <w:start w:val="1"/>
    </w:lvl>
  </w:abstractNum>
  <w:abstractNum w:abstractNumId="49">
    <w:nsid w:val="4C2A7166"/>
    <w:multiLevelType w:val="hybridMultilevel"/>
    <w:lvl w:ilvl="0">
      <w:lvlJc w:val="left"/>
      <w:lvlText w:val="(%1)"/>
      <w:numFmt w:val="decimal"/>
      <w:start w:val="1"/>
    </w:lvl>
  </w:abstractNum>
  <w:abstractNum w:abstractNumId="50">
    <w:nsid w:val="2E534A82"/>
    <w:multiLevelType w:val="hybridMultilevel"/>
    <w:lvl w:ilvl="0">
      <w:lvlJc w:val="left"/>
      <w:lvlText w:val="•"/>
      <w:numFmt w:val="bullet"/>
      <w:start w:val="1"/>
    </w:lvl>
  </w:abstractNum>
  <w:abstractNum w:abstractNumId="51">
    <w:nsid w:val="26F2D364"/>
    <w:multiLevelType w:val="hybridMultilevel"/>
    <w:lvl w:ilvl="0">
      <w:lvlJc w:val="left"/>
      <w:lvlText w:val="•"/>
      <w:numFmt w:val="bullet"/>
      <w:start w:val="1"/>
    </w:lvl>
  </w:abstractNum>
  <w:abstractNum w:abstractNumId="52">
    <w:nsid w:val="71C1AF98"/>
    <w:multiLevelType w:val="hybridMultilevel"/>
    <w:lvl w:ilvl="0">
      <w:lvlJc w:val="left"/>
      <w:lvlText w:val="(%1)"/>
      <w:numFmt w:val="lowerRoman"/>
      <w:start w:val="2"/>
    </w:lvl>
  </w:abstractNum>
  <w:abstractNum w:abstractNumId="53">
    <w:nsid w:val="3D00B9D9"/>
    <w:multiLevelType w:val="hybridMultilevel"/>
    <w:lvl w:ilvl="0">
      <w:lvlJc w:val="left"/>
      <w:lvlText w:val="(%1)"/>
      <w:numFmt w:val="decimal"/>
      <w:start w:val="1"/>
    </w:lvl>
  </w:abstractNum>
  <w:abstractNum w:abstractNumId="54">
    <w:nsid w:val="15BCABA8"/>
    <w:multiLevelType w:val="hybridMultilevel"/>
    <w:lvl w:ilvl="0">
      <w:lvlJc w:val="left"/>
      <w:lvlText w:val="(%1)"/>
      <w:numFmt w:val="decimal"/>
      <w:start w:val="1"/>
    </w:lvl>
  </w:abstractNum>
  <w:abstractNum w:abstractNumId="55">
    <w:nsid w:val="4E0B9A87"/>
    <w:multiLevelType w:val="hybridMultilevel"/>
    <w:lvl w:ilvl="0">
      <w:lvlJc w:val="left"/>
      <w:lvlText w:val="•"/>
      <w:numFmt w:val="bullet"/>
      <w:start w:val="1"/>
    </w:lvl>
  </w:abstractNum>
  <w:abstractNum w:abstractNumId="56">
    <w:nsid w:val="434BAE75"/>
    <w:multiLevelType w:val="hybridMultilevel"/>
    <w:lvl w:ilvl="0">
      <w:lvlJc w:val="left"/>
      <w:lvlText w:val="•"/>
      <w:numFmt w:val="bullet"/>
      <w:start w:val="1"/>
    </w:lvl>
  </w:abstractNum>
  <w:abstractNum w:abstractNumId="57">
    <w:nsid w:val="4F38F265"/>
    <w:multiLevelType w:val="hybridMultilevel"/>
    <w:lvl w:ilvl="0">
      <w:lvlJc w:val="left"/>
      <w:lvlText w:val="•"/>
      <w:numFmt w:val="bullet"/>
      <w:start w:val="1"/>
    </w:lvl>
  </w:abstractNum>
  <w:abstractNum w:abstractNumId="58">
    <w:nsid w:val="4C502870"/>
    <w:multiLevelType w:val="hybridMultilevel"/>
    <w:lvl w:ilvl="0">
      <w:lvlJc w:val="left"/>
      <w:lvlText w:val="•"/>
      <w:numFmt w:val="bullet"/>
      <w:start w:val="1"/>
    </w:lvl>
  </w:abstractNum>
  <w:abstractNum w:abstractNumId="59">
    <w:nsid w:val="1DE8725A"/>
    <w:multiLevelType w:val="hybridMultilevel"/>
    <w:lvl w:ilvl="0">
      <w:lvlJc w:val="left"/>
      <w:lvlText w:val="•"/>
      <w:numFmt w:val="bullet"/>
      <w:start w:val="1"/>
    </w:lvl>
  </w:abstractNum>
  <w:abstractNum w:abstractNumId="60">
    <w:nsid w:val="6A37288A"/>
    <w:multiLevelType w:val="hybridMultilevel"/>
    <w:lvl w:ilvl="0">
      <w:lvlJc w:val="left"/>
      <w:lvlText w:val="•"/>
      <w:numFmt w:val="bullet"/>
      <w:start w:val="1"/>
    </w:lvl>
  </w:abstractNum>
  <w:abstractNum w:abstractNumId="61">
    <w:nsid w:val="8F8B73F"/>
    <w:multiLevelType w:val="hybridMultilevel"/>
    <w:lvl w:ilvl="0">
      <w:lvlJc w:val="left"/>
      <w:lvlText w:val="•"/>
      <w:numFmt w:val="bullet"/>
      <w:start w:val="1"/>
    </w:lvl>
  </w:abstractNum>
  <w:abstractNum w:abstractNumId="62">
    <w:nsid w:val="CA6B462"/>
    <w:multiLevelType w:val="hybridMultilevel"/>
    <w:lvl w:ilvl="0">
      <w:lvlJc w:val="left"/>
      <w:lvlText w:val="•"/>
      <w:numFmt w:val="bullet"/>
      <w:start w:val="1"/>
    </w:lvl>
  </w:abstractNum>
  <w:abstractNum w:abstractNumId="63">
    <w:nsid w:val="763CB680"/>
    <w:multiLevelType w:val="hybridMultilevel"/>
    <w:lvl w:ilvl="0">
      <w:lvlJc w:val="left"/>
      <w:lvlText w:val="•"/>
      <w:numFmt w:val="bullet"/>
      <w:start w:val="1"/>
    </w:lvl>
  </w:abstractNum>
  <w:abstractNum w:abstractNumId="64">
    <w:nsid w:val="15B71329"/>
    <w:multiLevelType w:val="hybridMultilevel"/>
    <w:lvl w:ilvl="0">
      <w:lvlJc w:val="left"/>
      <w:lvlText w:val="•"/>
      <w:numFmt w:val="bullet"/>
      <w:start w:val="1"/>
    </w:lvl>
  </w:abstractNum>
  <w:abstractNum w:abstractNumId="65">
    <w:nsid w:val="3DA97044"/>
    <w:multiLevelType w:val="hybridMultilevel"/>
    <w:lvl w:ilvl="0">
      <w:lvlJc w:val="left"/>
      <w:lvlText w:val="•"/>
      <w:numFmt w:val="bullet"/>
      <w:start w:val="1"/>
    </w:lvl>
  </w:abstractNum>
  <w:abstractNum w:abstractNumId="66">
    <w:nsid w:val="1CDCE2DE"/>
    <w:multiLevelType w:val="hybridMultilevel"/>
    <w:lvl w:ilvl="0">
      <w:lvlJc w:val="left"/>
      <w:lvlText w:val="•"/>
      <w:numFmt w:val="bullet"/>
      <w:start w:val="1"/>
    </w:lvl>
  </w:abstractNum>
  <w:abstractNum w:abstractNumId="67">
    <w:nsid w:val="69D3947C"/>
    <w:multiLevelType w:val="hybridMultilevel"/>
    <w:lvl w:ilvl="0">
      <w:lvlJc w:val="left"/>
      <w:lvlText w:val="•"/>
      <w:numFmt w:val="bullet"/>
      <w:start w:val="1"/>
    </w:lvl>
  </w:abstractNum>
  <w:abstractNum w:abstractNumId="68">
    <w:nsid w:val="2539DFA5"/>
    <w:multiLevelType w:val="hybridMultilevel"/>
    <w:lvl w:ilvl="0">
      <w:lvlJc w:val="left"/>
      <w:lvlText w:val="•"/>
      <w:numFmt w:val="bullet"/>
      <w:start w:val="1"/>
    </w:lvl>
  </w:abstractNum>
  <w:abstractNum w:abstractNumId="69">
    <w:nsid w:val="2DB88089"/>
    <w:multiLevelType w:val="hybridMultilevel"/>
    <w:lvl w:ilvl="0">
      <w:lvlJc w:val="left"/>
      <w:lvlText w:val="•"/>
      <w:numFmt w:val="bullet"/>
      <w:start w:val="1"/>
    </w:lvl>
  </w:abstractNum>
  <w:abstractNum w:abstractNumId="70">
    <w:nsid w:val="706B674E"/>
    <w:multiLevelType w:val="hybridMultilevel"/>
    <w:lvl w:ilvl="0">
      <w:lvlJc w:val="left"/>
      <w:lvlText w:val="•"/>
      <w:numFmt w:val="bullet"/>
      <w:start w:val="1"/>
    </w:lvl>
  </w:abstractNum>
  <w:abstractNum w:abstractNumId="71">
    <w:nsid w:val="2C106A57"/>
    <w:multiLevelType w:val="hybridMultilevel"/>
    <w:lvl w:ilvl="0">
      <w:lvlJc w:val="left"/>
      <w:lvlText w:val="•"/>
      <w:numFmt w:val="bullet"/>
      <w:start w:val="1"/>
    </w:lvl>
  </w:abstractNum>
  <w:abstractNum w:abstractNumId="72">
    <w:nsid w:val="684EED59"/>
    <w:multiLevelType w:val="hybridMultilevel"/>
    <w:lvl w:ilvl="0">
      <w:lvlJc w:val="left"/>
      <w:lvlText w:val="•"/>
      <w:numFmt w:val="bullet"/>
      <w:start w:val="1"/>
    </w:lvl>
  </w:abstractNum>
  <w:abstractNum w:abstractNumId="73">
    <w:nsid w:val="545EE5D3"/>
    <w:multiLevelType w:val="hybridMultilevel"/>
    <w:lvl w:ilvl="0">
      <w:lvlJc w:val="left"/>
      <w:lvlText w:val="•"/>
      <w:numFmt w:val="bullet"/>
      <w:start w:val="1"/>
    </w:lvl>
  </w:abstractNum>
  <w:abstractNum w:abstractNumId="74">
    <w:nsid w:val="4A66051"/>
    <w:multiLevelType w:val="hybridMultilevel"/>
    <w:lvl w:ilvl="0">
      <w:lvlJc w:val="left"/>
      <w:lvlText w:val="•"/>
      <w:numFmt w:val="bullet"/>
      <w:start w:val="1"/>
    </w:lvl>
  </w:abstractNum>
  <w:abstractNum w:abstractNumId="75">
    <w:nsid w:val="20F4BDAD"/>
    <w:multiLevelType w:val="hybridMultilevel"/>
    <w:lvl w:ilvl="0">
      <w:lvlJc w:val="left"/>
      <w:lvlText w:val="(%1)"/>
      <w:numFmt w:val="decimal"/>
      <w:start w:val="2"/>
    </w:lvl>
  </w:abstractNum>
  <w:abstractNum w:abstractNumId="76">
    <w:nsid w:val="639DEFAC"/>
    <w:multiLevelType w:val="hybridMultilevel"/>
    <w:lvl w:ilvl="0">
      <w:lvlJc w:val="left"/>
      <w:lvlText w:val="(%1)"/>
      <w:numFmt w:val="decimal"/>
      <w:start w:val="1"/>
    </w:lvl>
  </w:abstractNum>
  <w:abstractNum w:abstractNumId="77">
    <w:nsid w:val="501F9786"/>
    <w:multiLevelType w:val="hybridMultilevel"/>
    <w:lvl w:ilvl="0">
      <w:lvlJc w:val="left"/>
      <w:lvlText w:val="(%1)"/>
      <w:numFmt w:val="decimal"/>
      <w:start w:val="1"/>
    </w:lvl>
  </w:abstractNum>
  <w:abstractNum w:abstractNumId="78">
    <w:nsid w:val="6B057295"/>
    <w:multiLevelType w:val="hybridMultilevel"/>
    <w:lvl w:ilvl="0">
      <w:lvlJc w:val="left"/>
      <w:lvlText w:val="(%1)"/>
      <w:numFmt w:val="decimal"/>
      <w:start w:val="1"/>
    </w:lvl>
  </w:abstractNum>
  <w:abstractNum w:abstractNumId="79">
    <w:nsid w:val="2771AC80"/>
    <w:multiLevelType w:val="hybridMultilevel"/>
    <w:lvl w:ilvl="0">
      <w:lvlJc w:val="left"/>
      <w:lvlText w:val="(%1)"/>
      <w:numFmt w:val="decimal"/>
      <w:start w:val="4"/>
    </w:lvl>
  </w:abstractNum>
  <w:abstractNum w:abstractNumId="80">
    <w:nsid w:val="1C4A08EC"/>
    <w:multiLevelType w:val="hybridMultilevel"/>
    <w:lvl w:ilvl="0">
      <w:lvlJc w:val="left"/>
      <w:lvlText w:val="(%1)"/>
      <w:numFmt w:val="decimal"/>
      <w:start w:val="1"/>
    </w:lvl>
  </w:abstractNum>
  <w:abstractNum w:abstractNumId="81">
    <w:nsid w:val="1958BD17"/>
    <w:multiLevelType w:val="hybridMultilevel"/>
    <w:lvl w:ilvl="0">
      <w:lvlJc w:val="left"/>
      <w:lvlText w:val="•"/>
      <w:numFmt w:val="bullet"/>
      <w:start w:val="1"/>
    </w:lvl>
  </w:abstractNum>
  <w:abstractNum w:abstractNumId="82">
    <w:nsid w:val="4E647FE4"/>
    <w:multiLevelType w:val="hybridMultilevel"/>
    <w:lvl w:ilvl="0">
      <w:lvlJc w:val="left"/>
      <w:lvlText w:val="•"/>
      <w:numFmt w:val="bullet"/>
      <w:start w:val="1"/>
    </w:lvl>
  </w:abstractNum>
  <w:abstractNum w:abstractNumId="83">
    <w:nsid w:val="E0BB885"/>
    <w:multiLevelType w:val="hybridMultilevel"/>
    <w:lvl w:ilvl="0">
      <w:lvlJc w:val="left"/>
      <w:lvlText w:val="•"/>
      <w:numFmt w:val="bullet"/>
      <w:start w:val="1"/>
    </w:lvl>
  </w:abstractNum>
  <w:abstractNum w:abstractNumId="84">
    <w:nsid w:val="565976F1"/>
    <w:multiLevelType w:val="hybridMultilevel"/>
    <w:lvl w:ilvl="0">
      <w:lvlJc w:val="left"/>
      <w:lvlText w:val="•"/>
      <w:numFmt w:val="bullet"/>
      <w:start w:val="1"/>
    </w:lvl>
  </w:abstractNum>
  <w:abstractNum w:abstractNumId="85">
    <w:nsid w:val="64212B8C"/>
    <w:multiLevelType w:val="hybridMultilevel"/>
    <w:lvl w:ilvl="0">
      <w:lvlJc w:val="left"/>
      <w:lvlText w:val="(%1)"/>
      <w:numFmt w:val="decimal"/>
      <w:start w:val="1"/>
    </w:lvl>
  </w:abstractNum>
  <w:abstractNum w:abstractNumId="86">
    <w:nsid w:val="5C17530C"/>
    <w:multiLevelType w:val="hybridMultilevel"/>
    <w:lvl w:ilvl="0">
      <w:lvlJc w:val="left"/>
      <w:lvlText w:val="•"/>
      <w:numFmt w:val="bullet"/>
      <w:start w:val="1"/>
    </w:lvl>
  </w:abstractNum>
  <w:abstractNum w:abstractNumId="87">
    <w:nsid w:val="19A52566"/>
    <w:multiLevelType w:val="hybridMultilevel"/>
    <w:lvl w:ilvl="0">
      <w:lvlJc w:val="left"/>
      <w:lvlText w:val="•"/>
      <w:numFmt w:val="bullet"/>
      <w:start w:val="1"/>
    </w:lvl>
  </w:abstractNum>
  <w:abstractNum w:abstractNumId="88">
    <w:nsid w:val="335A1DF1"/>
    <w:multiLevelType w:val="hybridMultilevel"/>
    <w:lvl w:ilvl="0">
      <w:lvlJc w:val="left"/>
      <w:lvlText w:val="(%1)"/>
      <w:numFmt w:val="decimal"/>
      <w:start w:val="1"/>
    </w:lvl>
  </w:abstractNum>
  <w:abstractNum w:abstractNumId="89">
    <w:nsid w:val="28677B7C"/>
    <w:multiLevelType w:val="hybridMultilevel"/>
    <w:lvl w:ilvl="0">
      <w:lvlJc w:val="left"/>
      <w:lvlText w:val="(%1)"/>
      <w:numFmt w:val="decimal"/>
      <w:start w:val="2"/>
    </w:lvl>
  </w:abstractNum>
  <w:abstractNum w:abstractNumId="90">
    <w:nsid w:val="378D97C0"/>
    <w:multiLevelType w:val="hybridMultilevel"/>
    <w:lvl w:ilvl="0">
      <w:lvlJc w:val="left"/>
      <w:lvlText w:val="•"/>
      <w:numFmt w:val="bullet"/>
      <w:start w:val="1"/>
    </w:lvl>
  </w:abstractNum>
  <w:abstractNum w:abstractNumId="91">
    <w:nsid w:val="1D91467C"/>
    <w:multiLevelType w:val="hybridMultilevel"/>
    <w:lvl w:ilvl="0">
      <w:lvlJc w:val="left"/>
      <w:lvlText w:val="•"/>
      <w:numFmt w:val="bullet"/>
      <w:start w:val="1"/>
    </w:lvl>
  </w:abstractNum>
  <w:abstractNum w:abstractNumId="92">
    <w:nsid w:val="316032BB"/>
    <w:multiLevelType w:val="hybridMultilevel"/>
    <w:lvl w:ilvl="0">
      <w:lvlJc w:val="left"/>
      <w:lvlText w:val="•"/>
      <w:numFmt w:val="bullet"/>
      <w:start w:val="1"/>
    </w:lvl>
  </w:abstractNum>
  <w:abstractNum w:abstractNumId="93">
    <w:nsid w:val="44344C22"/>
    <w:multiLevelType w:val="hybridMultilevel"/>
    <w:lvl w:ilvl="0">
      <w:lvlJc w:val="left"/>
      <w:lvlText w:val="(%1)"/>
      <w:numFmt w:val="decimal"/>
      <w:start w:val="1"/>
    </w:lvl>
  </w:abstractNum>
  <w:abstractNum w:abstractNumId="94">
    <w:nsid w:val="13CDFCFC"/>
    <w:multiLevelType w:val="hybridMultilevel"/>
    <w:lvl w:ilvl="0">
      <w:lvlJc w:val="left"/>
      <w:lvlText w:val="(%1)"/>
      <w:numFmt w:val="decimal"/>
      <w:start w:val="1"/>
    </w:lvl>
  </w:abstractNum>
  <w:abstractNum w:abstractNumId="95">
    <w:nsid w:val="471745E4"/>
    <w:multiLevelType w:val="hybridMultilevel"/>
    <w:lvl w:ilvl="0">
      <w:lvlJc w:val="left"/>
      <w:lvlText w:val="(%1)"/>
      <w:numFmt w:val="decimal"/>
      <w:start w:val="1"/>
    </w:lvl>
  </w:abstractNum>
  <w:abstractNum w:abstractNumId="96">
    <w:nsid w:val="1DDBC66"/>
    <w:multiLevelType w:val="hybridMultilevel"/>
    <w:lvl w:ilvl="0">
      <w:lvlJc w:val="left"/>
      <w:lvlText w:val="$"/>
      <w:numFmt w:val="bullet"/>
      <w:start w:val="1"/>
    </w:lvl>
  </w:abstractNum>
  <w:abstractNum w:abstractNumId="97">
    <w:nsid w:val="30AADFDA"/>
    <w:multiLevelType w:val="hybridMultilevel"/>
    <w:lvl w:ilvl="0">
      <w:lvlJc w:val="left"/>
      <w:lvlText w:val="(%1)"/>
      <w:numFmt w:val="decimal"/>
      <w:start w:val="1"/>
    </w:lvl>
  </w:abstractNum>
  <w:abstractNum w:abstractNumId="98">
    <w:nsid w:val="30EADA61"/>
    <w:multiLevelType w:val="hybridMultilevel"/>
    <w:lvl w:ilvl="0">
      <w:lvlJc w:val="left"/>
      <w:lvlText w:val="•"/>
      <w:numFmt w:val="bullet"/>
      <w:start w:val="1"/>
    </w:lvl>
  </w:abstractNum>
  <w:abstractNum w:abstractNumId="99">
    <w:nsid w:val="27179C0B"/>
    <w:multiLevelType w:val="hybridMultilevel"/>
    <w:lvl w:ilvl="0">
      <w:lvlJc w:val="left"/>
      <w:lvlText w:val="•"/>
      <w:numFmt w:val="bullet"/>
      <w:start w:val="1"/>
    </w:lvl>
  </w:abstractNum>
  <w:abstractNum w:abstractNumId="100">
    <w:nsid w:val="5E636063"/>
    <w:multiLevelType w:val="hybridMultilevel"/>
    <w:lvl w:ilvl="0">
      <w:lvlJc w:val="left"/>
      <w:lvlText w:val="(%1)"/>
      <w:numFmt w:val="lowerLetter"/>
      <w:start w:val="2"/>
    </w:lvl>
  </w:abstractNum>
  <w:abstractNum w:abstractNumId="101">
    <w:nsid w:val="215641AF"/>
    <w:multiLevelType w:val="hybridMultilevel"/>
    <w:lvl w:ilvl="0">
      <w:lvlJc w:val="left"/>
      <w:lvlText w:val="*"/>
      <w:numFmt w:val="bullet"/>
      <w:start w:val="1"/>
    </w:lvl>
  </w:abstractNum>
  <w:abstractNum w:abstractNumId="102">
    <w:nsid w:val="53280662"/>
    <w:multiLevelType w:val="hybridMultilevel"/>
    <w:lvl w:ilvl="0">
      <w:lvlJc w:val="left"/>
      <w:lvlText w:val="(%1)"/>
      <w:numFmt w:val="decimal"/>
      <w:start w:val="1"/>
    </w:lvl>
    <w:lvl w:ilvl="1">
      <w:lvlJc w:val="left"/>
      <w:lvlText w:val="(%2)"/>
      <w:numFmt w:val="lowerRoman"/>
      <w:start w:val="3"/>
    </w:lvl>
  </w:abstractNum>
  <w:abstractNum w:abstractNumId="103">
    <w:nsid w:val="46B24DBC"/>
    <w:multiLevelType w:val="hybridMultilevel"/>
    <w:lvl w:ilvl="0">
      <w:lvlJc w:val="left"/>
      <w:lvlText w:val="%1"/>
      <w:numFmt w:val="decimal"/>
      <w:start w:val="1"/>
    </w:lvl>
    <w:lvl w:ilvl="1">
      <w:lvlJc w:val="left"/>
      <w:lvlText w:val="(%2)"/>
      <w:numFmt w:val="lowerRoman"/>
      <w:start w:val="5"/>
    </w:lvl>
  </w:abstractNum>
  <w:abstractNum w:abstractNumId="104">
    <w:nsid w:val="75B52783"/>
    <w:multiLevelType w:val="hybridMultilevel"/>
    <w:lvl w:ilvl="0">
      <w:lvlJc w:val="left"/>
      <w:lvlText w:val="(%1)"/>
      <w:numFmt w:val="decimal"/>
      <w:start w:val="5"/>
    </w:lvl>
    <w:lvl w:ilvl="1">
      <w:lvlJc w:val="left"/>
      <w:lvlText w:val="(%2)"/>
      <w:numFmt w:val="lowerRoman"/>
      <w:start w:val="2"/>
    </w:lvl>
  </w:abstractNum>
  <w:abstractNum w:abstractNumId="105">
    <w:nsid w:val="57CE66B4"/>
    <w:multiLevelType w:val="hybridMultilevel"/>
    <w:lvl w:ilvl="0">
      <w:lvlJc w:val="left"/>
      <w:lvlText w:val="(%1)"/>
      <w:numFmt w:val="decimal"/>
      <w:start w:val="10"/>
    </w:lvl>
    <w:lvl w:ilvl="1">
      <w:lvlJc w:val="left"/>
      <w:lvlText w:val="(%2)"/>
      <w:numFmt w:val="lowerRoman"/>
      <w:start w:val="3"/>
    </w:lvl>
  </w:abstractNum>
  <w:abstractNum w:abstractNumId="106">
    <w:nsid w:val="67A70B69"/>
    <w:multiLevelType w:val="hybridMultilevel"/>
    <w:lvl w:ilvl="0">
      <w:lvlJc w:val="left"/>
      <w:lvlText w:val="%1"/>
      <w:numFmt w:val="decimal"/>
      <w:start w:val="1"/>
    </w:lvl>
    <w:lvl w:ilvl="1">
      <w:lvlJc w:val="left"/>
      <w:lvlText w:val="(%2)"/>
      <w:numFmt w:val="lowerRoman"/>
      <w:start w:val="5"/>
    </w:lvl>
  </w:abstractNum>
  <w:abstractNum w:abstractNumId="107">
    <w:nsid w:val="5953172F"/>
    <w:multiLevelType w:val="hybridMultilevel"/>
    <w:lvl w:ilvl="0">
      <w:lvlJc w:val="left"/>
      <w:lvlText w:val="%1"/>
      <w:numFmt w:val="decimal"/>
      <w:start w:val="1"/>
    </w:lvl>
    <w:lvl w:ilvl="1">
      <w:lvlJc w:val="left"/>
      <w:lvlText w:val="(%2)"/>
      <w:numFmt w:val="lowerRoman"/>
      <w:start w:val="7"/>
    </w:lvl>
  </w:abstractNum>
  <w:abstractNum w:abstractNumId="108">
    <w:nsid w:val="27EDFE3A"/>
    <w:multiLevelType w:val="hybridMultilevel"/>
    <w:lvl w:ilvl="0">
      <w:lvlJc w:val="left"/>
      <w:lvlText w:val="(%1)"/>
      <w:numFmt w:val="decimal"/>
      <w:start w:val="11"/>
    </w:lvl>
    <w:lvl w:ilvl="1">
      <w:lvlJc w:val="left"/>
      <w:lvlText w:val="(%2)"/>
      <w:numFmt w:val="lowerRoman"/>
      <w:start w:val="2"/>
    </w:lvl>
  </w:abstractNum>
  <w:abstractNum w:abstractNumId="109">
    <w:nsid w:val="52AC7DFF"/>
    <w:multiLevelType w:val="hybridMultilevel"/>
    <w:lvl w:ilvl="0">
      <w:lvlJc w:val="left"/>
      <w:lvlText w:val="•"/>
      <w:numFmt w:val="bullet"/>
      <w:start w:val="1"/>
    </w:lvl>
  </w:abstractNum>
  <w:abstractNum w:abstractNumId="110">
    <w:nsid w:val="C4C3AF"/>
    <w:multiLevelType w:val="hybridMultilevel"/>
    <w:lvl w:ilvl="0">
      <w:lvlJc w:val="left"/>
      <w:lvlText w:val="(%1)"/>
      <w:numFmt w:val="lowerLetter"/>
      <w:start w:val="2"/>
    </w:lvl>
  </w:abstractNum>
  <w:abstractNum w:abstractNumId="111">
    <w:nsid w:val="44380727"/>
    <w:multiLevelType w:val="hybridMultilevel"/>
    <w:lvl w:ilvl="0">
      <w:lvlJc w:val="left"/>
      <w:lvlText w:val="•"/>
      <w:numFmt w:val="bullet"/>
      <w:start w:val="1"/>
    </w:lvl>
  </w:abstractNum>
  <w:abstractNum w:abstractNumId="112">
    <w:nsid w:val="6C053B16"/>
    <w:multiLevelType w:val="hybridMultilevel"/>
    <w:lvl w:ilvl="0">
      <w:lvlJc w:val="left"/>
      <w:lvlText w:val="(%1)"/>
      <w:numFmt w:val="upperLetter"/>
      <w:start w:val="1"/>
    </w:lvl>
  </w:abstractNum>
  <w:abstractNum w:abstractNumId="113">
    <w:nsid w:val="4F294393"/>
    <w:multiLevelType w:val="hybridMultilevel"/>
    <w:lvl w:ilvl="0">
      <w:lvlJc w:val="left"/>
      <w:lvlText w:val="•"/>
      <w:numFmt w:val="bullet"/>
      <w:start w:val="1"/>
    </w:lvl>
  </w:abstractNum>
  <w:abstractNum w:abstractNumId="114">
    <w:nsid w:val="5243BFAC"/>
    <w:multiLevelType w:val="hybridMultilevel"/>
    <w:lvl w:ilvl="0">
      <w:lvlJc w:val="left"/>
      <w:lvlText w:val="•"/>
      <w:numFmt w:val="bullet"/>
      <w:start w:val="1"/>
    </w:lvl>
  </w:abstractNum>
  <w:abstractNum w:abstractNumId="115">
    <w:nsid w:val="425EB207"/>
    <w:multiLevelType w:val="hybridMultilevel"/>
    <w:lvl w:ilvl="0">
      <w:lvlJc w:val="left"/>
      <w:lvlText w:val="•"/>
      <w:numFmt w:val="bullet"/>
      <w:start w:val="1"/>
    </w:lvl>
  </w:abstractNum>
  <w:abstractNum w:abstractNumId="116">
    <w:nsid w:val="334A6F1F"/>
    <w:multiLevelType w:val="hybridMultilevel"/>
    <w:lvl w:ilvl="0">
      <w:lvlJc w:val="left"/>
      <w:lvlText w:val="•"/>
      <w:numFmt w:val="bullet"/>
      <w:start w:val="1"/>
    </w:lvl>
  </w:abstractNum>
  <w:abstractNum w:abstractNumId="117">
    <w:nsid w:val="2E5B12B8"/>
    <w:multiLevelType w:val="hybridMultilevel"/>
    <w:lvl w:ilvl="0">
      <w:lvlJc w:val="left"/>
      <w:lvlText w:val="•"/>
      <w:numFmt w:val="bullet"/>
      <w:start w:val="1"/>
    </w:lvl>
  </w:abstractNum>
  <w:abstractNum w:abstractNumId="118">
    <w:nsid w:val="5C03D76D"/>
    <w:multiLevelType w:val="hybridMultilevel"/>
    <w:lvl w:ilvl="0">
      <w:lvlJc w:val="left"/>
      <w:lvlText w:val="(%1)"/>
      <w:numFmt w:val="decimal"/>
      <w:start w:val="2"/>
    </w:lvl>
  </w:abstractNum>
  <w:abstractNum w:abstractNumId="119">
    <w:nsid w:val="66A48D11"/>
    <w:multiLevelType w:val="hybridMultilevel"/>
    <w:lvl w:ilvl="0">
      <w:lvlJc w:val="left"/>
      <w:lvlText w:val="•"/>
      <w:numFmt w:val="bullet"/>
      <w:start w:val="1"/>
    </w:lvl>
  </w:abstractNum>
  <w:abstractNum w:abstractNumId="120">
    <w:nsid w:val="56C28E34"/>
    <w:multiLevelType w:val="hybridMultilevel"/>
    <w:lvl w:ilvl="0">
      <w:lvlJc w:val="left"/>
      <w:lvlText w:val="•"/>
      <w:numFmt w:val="bullet"/>
      <w:start w:val="1"/>
    </w:lvl>
  </w:abstractNum>
  <w:abstractNum w:abstractNumId="121">
    <w:nsid w:val="13916F2D"/>
    <w:multiLevelType w:val="hybridMultilevel"/>
    <w:lvl w:ilvl="0">
      <w:lvlJc w:val="left"/>
      <w:lvlText w:val="•"/>
      <w:numFmt w:val="bullet"/>
      <w:start w:val="1"/>
    </w:lvl>
  </w:abstractNum>
  <w:abstractNum w:abstractNumId="122">
    <w:nsid w:val="435D38D"/>
    <w:multiLevelType w:val="hybridMultilevel"/>
    <w:lvl w:ilvl="0">
      <w:lvlJc w:val="left"/>
      <w:lvlText w:val="•"/>
      <w:numFmt w:val="bullet"/>
      <w:start w:val="1"/>
    </w:lvl>
  </w:abstractNum>
  <w:abstractNum w:abstractNumId="123">
    <w:nsid w:val="822C0EF"/>
    <w:multiLevelType w:val="hybridMultilevel"/>
    <w:lvl w:ilvl="0">
      <w:lvlJc w:val="left"/>
      <w:lvlText w:val="(%1)"/>
      <w:numFmt w:val="lowerLetter"/>
      <w:start w:val="1"/>
    </w:lvl>
  </w:abstractNum>
  <w:abstractNum w:abstractNumId="124">
    <w:nsid w:val="57C5BB4F"/>
    <w:multiLevelType w:val="hybridMultilevel"/>
    <w:lvl w:ilvl="0">
      <w:lvlJc w:val="left"/>
      <w:lvlText w:val="(%1)"/>
      <w:numFmt w:val="lowerLetter"/>
      <w:start w:val="7"/>
    </w:lvl>
  </w:abstractNum>
  <w:abstractNum w:abstractNumId="125">
    <w:nsid w:val="1803D089"/>
    <w:multiLevelType w:val="hybridMultilevel"/>
    <w:lvl w:ilvl="0">
      <w:lvlJc w:val="left"/>
      <w:lvlText w:val="(%1)"/>
      <w:numFmt w:val="lowerLetter"/>
      <w:start w:val="1"/>
    </w:lvl>
  </w:abstractNum>
  <w:abstractNum w:abstractNumId="126">
    <w:nsid w:val="4F3A06D4"/>
    <w:multiLevelType w:val="hybridMultilevel"/>
    <w:lvl w:ilvl="0">
      <w:lvlJc w:val="left"/>
      <w:lvlText w:val="(%1)"/>
      <w:numFmt w:val="lowerLetter"/>
      <w:start w:val="1"/>
    </w:lvl>
  </w:abstractNum>
  <w:abstractNum w:abstractNumId="127">
    <w:nsid w:val="59A377B6"/>
    <w:multiLevelType w:val="hybridMultilevel"/>
    <w:lvl w:ilvl="0">
      <w:lvlJc w:val="left"/>
      <w:lvlText w:val="(%1)"/>
      <w:numFmt w:val="lowerRoman"/>
      <w:start w:val="1"/>
    </w:lvl>
  </w:abstractNum>
  <w:abstractNum w:abstractNumId="128">
    <w:nsid w:val="48AEB063"/>
    <w:multiLevelType w:val="hybridMultilevel"/>
    <w:lvl w:ilvl="0">
      <w:lvlJc w:val="left"/>
      <w:lvlText w:val="(%1)"/>
      <w:numFmt w:val="lowerRoman"/>
      <w:start w:val="1"/>
    </w:lvl>
  </w:abstractNum>
  <w:abstractNum w:abstractNumId="129">
    <w:nsid w:val="24E135"/>
    <w:multiLevelType w:val="hybridMultilevel"/>
    <w:lvl w:ilvl="0">
      <w:lvlJc w:val="left"/>
      <w:lvlText w:val="(%1)"/>
      <w:numFmt w:val="lowerLetter"/>
      <w:start w:val="1"/>
    </w:lvl>
  </w:abstractNum>
  <w:abstractNum w:abstractNumId="130">
    <w:nsid w:val="BB13C1"/>
    <w:multiLevelType w:val="hybridMultilevel"/>
    <w:lvl w:ilvl="0">
      <w:lvlJc w:val="left"/>
      <w:lvlText w:val="(%1)"/>
      <w:numFmt w:val="decimal"/>
      <w:start w:val="1"/>
    </w:lvl>
  </w:abstractNum>
  <w:abstractNum w:abstractNumId="131">
    <w:nsid w:val="271210C7"/>
    <w:multiLevelType w:val="hybridMultilevel"/>
    <w:lvl w:ilvl="0">
      <w:lvlJc w:val="left"/>
      <w:lvlText w:val="%1."/>
      <w:numFmt w:val="decimal"/>
      <w:start w:val="1"/>
    </w:lvl>
  </w:abstractNum>
  <w:abstractNum w:abstractNumId="132">
    <w:nsid w:val="217B22E4"/>
    <w:multiLevelType w:val="hybridMultilevel"/>
    <w:lvl w:ilvl="0">
      <w:lvlJc w:val="left"/>
      <w:lvlText w:val="%1."/>
      <w:numFmt w:val="decimal"/>
      <w:start w:val="2"/>
    </w:lvl>
  </w:abstractNum>
  <w:abstractNum w:abstractNumId="133">
    <w:nsid w:val="53E31A24"/>
    <w:multiLevelType w:val="hybridMultilevel"/>
    <w:lvl w:ilvl="0">
      <w:lvlJc w:val="left"/>
      <w:lvlText w:val="(%1)"/>
      <w:numFmt w:val="lowerRoman"/>
      <w:start w:val="2"/>
    </w:lvl>
  </w:abstractNum>
  <w:abstractNum w:abstractNumId="134">
    <w:nsid w:val="6DC45E83"/>
    <w:multiLevelType w:val="hybridMultilevel"/>
    <w:lvl w:ilvl="0">
      <w:lvlJc w:val="left"/>
      <w:lvlText w:val="(%1)"/>
      <w:numFmt w:val="lowerRoman"/>
      <w:start w:val="2"/>
    </w:lvl>
  </w:abstractNum>
  <w:abstractNum w:abstractNumId="135">
    <w:nsid w:val="17304A67"/>
    <w:multiLevelType w:val="hybridMultilevel"/>
    <w:lvl w:ilvl="0">
      <w:lvlJc w:val="left"/>
      <w:lvlText w:val="%1."/>
      <w:numFmt w:val="lowerLetter"/>
      <w:start w:val="1"/>
    </w:lvl>
  </w:abstractNum>
  <w:abstractNum w:abstractNumId="136">
    <w:nsid w:val="2BB180D8"/>
    <w:multiLevelType w:val="hybridMultilevel"/>
    <w:lvl w:ilvl="0">
      <w:lvlJc w:val="left"/>
      <w:lvlText w:val="•"/>
      <w:numFmt w:val="bullet"/>
      <w:start w:val="1"/>
    </w:lvl>
  </w:abstractNum>
  <w:abstractNum w:abstractNumId="137">
    <w:nsid w:val="556B69ED"/>
    <w:multiLevelType w:val="hybridMultilevel"/>
    <w:lvl w:ilvl="0">
      <w:lvlJc w:val="left"/>
      <w:lvlText w:val="(%1)"/>
      <w:numFmt w:val="lowerRoman"/>
      <w:start w:val="2"/>
    </w:lvl>
  </w:abstractNum>
  <w:abstractNum w:abstractNumId="138">
    <w:nsid w:val="70836196"/>
    <w:multiLevelType w:val="hybridMultilevel"/>
    <w:lvl w:ilvl="0">
      <w:lvlJc w:val="left"/>
      <w:lvlText w:val="%1."/>
      <w:numFmt w:val="decimal"/>
      <w:start w:val="3"/>
    </w:lvl>
  </w:abstractNum>
  <w:abstractNum w:abstractNumId="139">
    <w:nsid w:val="539F7F12"/>
    <w:multiLevelType w:val="hybridMultilevel"/>
    <w:lvl w:ilvl="0">
      <w:lvlJc w:val="left"/>
      <w:lvlText w:val="%1."/>
      <w:numFmt w:val="decimal"/>
      <w:start w:val="4"/>
    </w:lvl>
  </w:abstractNum>
  <w:abstractNum w:abstractNumId="140">
    <w:nsid w:val="2817E7EC"/>
    <w:multiLevelType w:val="hybridMultilevel"/>
    <w:lvl w:ilvl="0">
      <w:lvlJc w:val="left"/>
      <w:lvlText w:val="(%1)"/>
      <w:numFmt w:val="decimal"/>
      <w:start w:val="1"/>
    </w:lvl>
  </w:abstractNum>
  <w:abstractNum w:abstractNumId="141">
    <w:nsid w:val="71482545"/>
    <w:multiLevelType w:val="hybridMultilevel"/>
    <w:lvl w:ilvl="0">
      <w:lvlJc w:val="left"/>
      <w:lvlText w:val="(%1)"/>
      <w:numFmt w:val="decimal"/>
      <w:start w:val="1"/>
    </w:lvl>
  </w:abstractNum>
  <w:abstractNum w:abstractNumId="142">
    <w:nsid w:val="17D78639"/>
    <w:multiLevelType w:val="hybridMultilevel"/>
    <w:lvl w:ilvl="0">
      <w:lvlJc w:val="left"/>
      <w:lvlText w:val="%1."/>
      <w:numFmt w:val="decimal"/>
      <w:start w:val="5"/>
    </w:lvl>
  </w:abstractNum>
  <w:abstractNum w:abstractNumId="143">
    <w:nsid w:val="141D2302"/>
    <w:multiLevelType w:val="hybridMultilevel"/>
    <w:lvl w:ilvl="0">
      <w:lvlJc w:val="left"/>
      <w:lvlText w:val="%1."/>
      <w:numFmt w:val="decimal"/>
      <w:start w:val="6"/>
    </w:lvl>
  </w:abstractNum>
  <w:abstractNum w:abstractNumId="144">
    <w:nsid w:val="407168D8"/>
    <w:multiLevelType w:val="hybridMultilevel"/>
    <w:lvl w:ilvl="0">
      <w:lvlJc w:val="left"/>
      <w:lvlText w:val="%1."/>
      <w:numFmt w:val="decimal"/>
      <w:start w:val="7"/>
    </w:lvl>
  </w:abstractNum>
  <w:abstractNum w:abstractNumId="145">
    <w:nsid w:val="6A1B45E5"/>
    <w:multiLevelType w:val="hybridMultilevel"/>
    <w:lvl w:ilvl="0">
      <w:lvlJc w:val="left"/>
      <w:lvlText w:val="%1."/>
      <w:numFmt w:val="decimal"/>
      <w:start w:val="8"/>
    </w:lvl>
  </w:abstractNum>
  <w:abstractNum w:abstractNumId="146">
    <w:nsid w:val="567BD50A"/>
    <w:multiLevelType w:val="hybridMultilevel"/>
    <w:lvl w:ilvl="0">
      <w:lvlJc w:val="left"/>
      <w:lvlText w:val="%1."/>
      <w:numFmt w:val="decimal"/>
      <w:start w:val="9"/>
    </w:lvl>
  </w:abstractNum>
  <w:abstractNum w:abstractNumId="147">
    <w:nsid w:val="73BBD7F8"/>
    <w:multiLevelType w:val="hybridMultilevel"/>
    <w:lvl w:ilvl="0">
      <w:lvlJc w:val="left"/>
      <w:lvlText w:val="%1."/>
      <w:numFmt w:val="decimal"/>
      <w:start w:val="10"/>
    </w:lvl>
  </w:abstractNum>
  <w:abstractNum w:abstractNumId="148">
    <w:nsid w:val="1876589D"/>
    <w:multiLevelType w:val="hybridMultilevel"/>
    <w:lvl w:ilvl="0">
      <w:lvlJc w:val="left"/>
      <w:lvlText w:val="(%1)"/>
      <w:numFmt w:val="decimal"/>
      <w:start w:val="2"/>
    </w:lvl>
  </w:abstractNum>
  <w:abstractNum w:abstractNumId="149">
    <w:nsid w:val="327FAC77"/>
    <w:multiLevelType w:val="hybridMultilevel"/>
    <w:lvl w:ilvl="0">
      <w:lvlJc w:val="left"/>
      <w:lvlText w:val="%1."/>
      <w:numFmt w:val="decimal"/>
      <w:start w:val="20"/>
    </w:lvl>
  </w:abstractNum>
  <w:abstractNum w:abstractNumId="150">
    <w:nsid w:val="5A606509"/>
    <w:multiLevelType w:val="hybridMultilevel"/>
    <w:lvl w:ilvl="0">
      <w:lvlJc w:val="left"/>
      <w:lvlText w:val="(%1)"/>
      <w:numFmt w:val="decimal"/>
      <w:start w:val="1"/>
    </w:lvl>
  </w:abstractNum>
  <w:abstractNum w:abstractNumId="151">
    <w:nsid w:val="6F38E6D1"/>
    <w:multiLevelType w:val="hybridMultilevel"/>
    <w:lvl w:ilvl="0">
      <w:lvlJc w:val="left"/>
      <w:lvlText w:val="(%1)"/>
      <w:numFmt w:val="decimal"/>
      <w:start w:val="1"/>
    </w:lvl>
  </w:abstractNum>
  <w:abstractNum w:abstractNumId="152">
    <w:nsid w:val="46111BA5"/>
    <w:multiLevelType w:val="hybridMultilevel"/>
    <w:lvl w:ilvl="0">
      <w:lvlJc w:val="left"/>
      <w:lvlText w:val="(%1)"/>
      <w:numFmt w:val="decimal"/>
      <w:start w:val="1"/>
    </w:lvl>
  </w:abstractNum>
  <w:abstractNum w:abstractNumId="153">
    <w:nsid w:val="5E963896"/>
    <w:multiLevelType w:val="hybridMultilevel"/>
    <w:lvl w:ilvl="0">
      <w:lvlJc w:val="left"/>
      <w:lvlText w:val="*"/>
      <w:numFmt w:val="bullet"/>
      <w:start w:val="1"/>
    </w:lvl>
  </w:abstractNum>
  <w:abstractNum w:abstractNumId="154">
    <w:nsid w:val="775BA7C1"/>
    <w:multiLevelType w:val="hybridMultilevel"/>
    <w:lvl w:ilvl="0">
      <w:lvlJc w:val="left"/>
      <w:lvlText w:val="+"/>
      <w:numFmt w:val="bullet"/>
      <w:start w:val="1"/>
    </w:lvl>
  </w:abstractNum>
  <w:abstractNum w:abstractNumId="155">
    <w:nsid w:val="1DD6D6F4"/>
    <w:multiLevelType w:val="hybridMultilevel"/>
    <w:lvl w:ilvl="0">
      <w:lvlJc w:val="left"/>
      <w:lvlText w:val="#"/>
      <w:numFmt w:val="bullet"/>
      <w:start w:val="1"/>
    </w:lvl>
  </w:abstractNum>
  <w:abstractNum w:abstractNumId="156">
    <w:nsid w:val="769A091F"/>
    <w:multiLevelType w:val="hybridMultilevel"/>
    <w:lvl w:ilvl="0">
      <w:lvlJc w:val="left"/>
      <w:lvlText w:val="%1."/>
      <w:numFmt w:val="upperLetter"/>
      <w:start w:val="1"/>
    </w:lvl>
  </w:abstractNum>
  <w:abstractNum w:abstractNumId="157">
    <w:nsid w:val="4695AE95"/>
    <w:multiLevelType w:val="hybridMultilevel"/>
    <w:lvl w:ilvl="0">
      <w:lvlJc w:val="left"/>
      <w:lvlText w:val="%1."/>
      <w:numFmt w:val="upperLetter"/>
      <w:start w:val="1"/>
    </w:lvl>
  </w:abstractNum>
  <w:abstractNum w:abstractNumId="158">
    <w:nsid w:val="777A4EAA"/>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159">
    <w:nsid w:val="3F48B98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60">
    <w:nsid w:val="46BA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1">
    <w:nsid w:val="783562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2">
    <w:nsid w:val="665ACA49"/>
    <w:multiLevelType w:val="hybridMultilevel"/>
    <w:lvl w:ilvl="0">
      <w:lvlJc w:val="left"/>
      <w:lvlText w:val="(%1)"/>
      <w:numFmt w:val="upperLetter"/>
      <w:start w:val="2"/>
    </w:lvl>
  </w:abstractNum>
  <w:abstractNum w:abstractNumId="163">
    <w:nsid w:val="6835B2A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164">
    <w:nsid w:val="4C187C9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65">
    <w:nsid w:val="541F28CD"/>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66">
    <w:nsid w:val="7F65FD16"/>
    <w:multiLevelType w:val="hybridMultilevel"/>
    <w:lvl w:ilvl="0">
      <w:lvlJc w:val="left"/>
      <w:lvlText w:val="%1."/>
      <w:numFmt w:val="decimal"/>
      <w:start w:val="4"/>
    </w:lvl>
  </w:abstractNum>
  <w:abstractNum w:abstractNumId="167">
    <w:nsid w:val="77C9FD68"/>
    <w:multiLevelType w:val="hybridMultilevel"/>
    <w:lvl w:ilvl="0">
      <w:lvlJc w:val="left"/>
      <w:lvlText w:val="(%1)"/>
      <w:numFmt w:val="lowerRoman"/>
      <w:start w:val="1"/>
    </w:lvl>
  </w:abstractNum>
  <w:abstractNum w:abstractNumId="168">
    <w:nsid w:val="298A92BA"/>
    <w:multiLevelType w:val="hybridMultilevel"/>
    <w:lvl w:ilvl="0">
      <w:lvlJc w:val="left"/>
      <w:lvlText w:val="(%1)"/>
      <w:numFmt w:val="lowerRoman"/>
      <w:start w:val="1"/>
    </w:lvl>
  </w:abstractNum>
  <w:abstractNum w:abstractNumId="169">
    <w:nsid w:val="6FE95EAC"/>
    <w:multiLevelType w:val="hybridMultilevel"/>
    <w:lvl w:ilvl="0">
      <w:lvlJc w:val="left"/>
      <w:lvlText w:val="(%1)"/>
      <w:numFmt w:val="lowerRoman"/>
      <w:start w:val="6"/>
    </w:lvl>
  </w:abstractNum>
  <w:abstractNum w:abstractNumId="170">
    <w:nsid w:val="4B697C7A"/>
    <w:multiLevelType w:val="hybridMultilevel"/>
    <w:lvl w:ilvl="0">
      <w:lvlJc w:val="left"/>
      <w:lvlText w:val="%1."/>
      <w:numFmt w:val="upperLetter"/>
      <w:start w:val="1"/>
    </w:lvl>
  </w:abstractNum>
  <w:abstractNum w:abstractNumId="171">
    <w:nsid w:val="51A27AA6"/>
    <w:multiLevelType w:val="hybridMultilevel"/>
    <w:lvl w:ilvl="0">
      <w:lvlJc w:val="left"/>
      <w:lvlText w:val="%1."/>
      <w:numFmt w:val="upperLetter"/>
      <w:start w:val="2"/>
    </w:lvl>
  </w:abstractNum>
  <w:abstractNum w:abstractNumId="172">
    <w:nsid w:val="613183F2"/>
    <w:multiLevelType w:val="hybridMultilevel"/>
    <w:lvl w:ilvl="0">
      <w:lvlJc w:val="left"/>
      <w:lvlText w:val="%1."/>
      <w:numFmt w:val="upperLetter"/>
      <w:start w:val="4"/>
    </w:lvl>
  </w:abstractNum>
  <w:abstractNum w:abstractNumId="173">
    <w:nsid w:val="634102B4"/>
    <w:multiLevelType w:val="hybridMultilevel"/>
    <w:lvl w:ilvl="0">
      <w:lvlJc w:val="left"/>
      <w:lvlText w:val="%1."/>
      <w:numFmt w:val="upperLetter"/>
      <w:start w:val="1"/>
    </w:lvl>
  </w:abstractNum>
  <w:abstractNum w:abstractNumId="174">
    <w:nsid w:val="65BF9DA8"/>
    <w:multiLevelType w:val="hybridMultilevel"/>
    <w:lvl w:ilvl="0">
      <w:lvlJc w:val="left"/>
      <w:lvlText w:val="%1."/>
      <w:numFmt w:val="upperLetter"/>
      <w:start w:val="2"/>
    </w:lvl>
  </w:abstractNum>
  <w:abstractNum w:abstractNumId="175">
    <w:nsid w:val="21A2ECCA"/>
    <w:multiLevelType w:val="hybridMultilevel"/>
    <w:lvl w:ilvl="0">
      <w:lvlJc w:val="left"/>
      <w:lvlText w:val="%1."/>
      <w:numFmt w:val="decimal"/>
      <w:start w:val="1"/>
    </w:lvl>
    <w:lvl w:ilvl="1">
      <w:lvlJc w:val="left"/>
      <w:lvlText w:val="(%2)"/>
      <w:numFmt w:val="lowerLetter"/>
      <w:start w:val="1"/>
    </w:lvl>
  </w:abstractNum>
  <w:abstractNum w:abstractNumId="176">
    <w:nsid w:val="4D5C4899"/>
    <w:multiLevelType w:val="hybridMultilevel"/>
    <w:lvl w:ilvl="0">
      <w:lvlJc w:val="left"/>
      <w:lvlText w:val="(%1)"/>
      <w:numFmt w:val="lowerLetter"/>
      <w:start w:val="3"/>
    </w:lvl>
  </w:abstractNum>
  <w:abstractNum w:abstractNumId="177">
    <w:nsid w:val="3C3B72B2"/>
    <w:multiLevelType w:val="hybridMultilevel"/>
    <w:lvl w:ilvl="0">
      <w:lvlJc w:val="left"/>
      <w:lvlText w:val="(%1)"/>
      <w:numFmt w:val="lowerLetter"/>
      <w:start w:val="8"/>
    </w:lvl>
  </w:abstractNum>
  <w:abstractNum w:abstractNumId="178">
    <w:nsid w:val="155EC4C2"/>
    <w:multiLevelType w:val="hybridMultilevel"/>
    <w:lvl w:ilvl="0">
      <w:lvlJc w:val="left"/>
      <w:lvlText w:val="(%1)"/>
      <w:numFmt w:val="lowerLetter"/>
      <w:start w:val="17"/>
    </w:lvl>
  </w:abstractNum>
  <w:abstractNum w:abstractNumId="179">
    <w:nsid w:val="65D2A137"/>
    <w:multiLevelType w:val="hybridMultilevel"/>
    <w:lvl w:ilvl="0">
      <w:lvlJc w:val="left"/>
      <w:lvlText w:val="(%1)"/>
      <w:numFmt w:val="lowerLetter"/>
      <w:start w:val="27"/>
    </w:lvl>
  </w:abstractNum>
  <w:abstractNum w:abstractNumId="180">
    <w:nsid w:val="6EBB1F2A"/>
    <w:multiLevelType w:val="hybridMultilevel"/>
    <w:lvl w:ilvl="0">
      <w:lvlJc w:val="left"/>
      <w:lvlText w:val="(%1)"/>
      <w:numFmt w:val="lowerLetter"/>
      <w:start w:val="29"/>
    </w:lvl>
  </w:abstractNum>
  <w:abstractNum w:abstractNumId="181">
    <w:nsid w:val="6FBF29CB"/>
    <w:multiLevelType w:val="hybridMultilevel"/>
    <w:lvl w:ilvl="0">
      <w:lvlJc w:val="left"/>
      <w:lvlText w:val="(%1)"/>
      <w:numFmt w:val="lowerLetter"/>
      <w:start w:val="1"/>
    </w:lvl>
  </w:abstractNum>
  <w:abstractNum w:abstractNumId="182">
    <w:nsid w:val="550B8808"/>
    <w:multiLevelType w:val="hybridMultilevel"/>
    <w:lvl w:ilvl="0">
      <w:lvlJc w:val="left"/>
      <w:lvlText w:val="(%1)"/>
      <w:numFmt w:val="lowerLetter"/>
      <w:start w:val="3"/>
    </w:lvl>
    <w:lvl w:ilvl="1">
      <w:lvlJc w:val="left"/>
      <w:lvlText w:val="(%2)"/>
      <w:numFmt w:val="lowerRoman"/>
      <w:start w:val="1"/>
    </w:lvl>
  </w:abstractNum>
  <w:abstractNum w:abstractNumId="183">
    <w:nsid w:val="34CC3ACF"/>
    <w:multiLevelType w:val="hybridMultilevel"/>
    <w:lvl w:ilvl="0">
      <w:lvlJc w:val="left"/>
      <w:lvlText w:val="(%1)"/>
      <w:numFmt w:val="decimal"/>
      <w:start w:val="5"/>
    </w:lvl>
  </w:abstractNum>
  <w:abstractNum w:abstractNumId="184">
    <w:nsid w:val="4E556261"/>
    <w:multiLevelType w:val="hybridMultilevel"/>
    <w:lvl w:ilvl="0">
      <w:lvlJc w:val="left"/>
      <w:lvlText w:val="(%1)"/>
      <w:numFmt w:val="lowerLetter"/>
      <w:start w:val="1"/>
    </w:lvl>
  </w:abstractNum>
  <w:abstractNum w:abstractNumId="185">
    <w:nsid w:val="4C672FC9"/>
    <w:multiLevelType w:val="hybridMultilevel"/>
    <w:lvl w:ilvl="0">
      <w:lvlJc w:val="left"/>
      <w:lvlText w:val="(%1)"/>
      <w:numFmt w:val="lowerLetter"/>
      <w:start w:val="2"/>
    </w:lvl>
  </w:abstractNum>
  <w:abstractNum w:abstractNumId="186">
    <w:nsid w:val="52A311C3"/>
    <w:multiLevelType w:val="hybridMultilevel"/>
    <w:lvl w:ilvl="0">
      <w:lvlJc w:val="left"/>
      <w:lvlText w:val="(%1)"/>
      <w:numFmt w:val="lowerLetter"/>
      <w:start w:val="3"/>
    </w:lvl>
  </w:abstractNum>
  <w:abstractNum w:abstractNumId="187">
    <w:nsid w:val="44EF6B80"/>
    <w:multiLevelType w:val="hybridMultilevel"/>
    <w:lvl w:ilvl="0">
      <w:lvlJc w:val="left"/>
      <w:lvlText w:val="(%1)"/>
      <w:numFmt w:val="lowerLetter"/>
      <w:start w:val="1"/>
    </w:lvl>
  </w:abstractNum>
  <w:abstractNum w:abstractNumId="188">
    <w:nsid w:val="12FCDE5E"/>
    <w:multiLevelType w:val="hybridMultilevel"/>
    <w:lvl w:ilvl="0">
      <w:lvlJc w:val="left"/>
      <w:lvlText w:val="(%1)"/>
      <w:numFmt w:val="lowerLetter"/>
      <w:start w:val="6"/>
    </w:lvl>
  </w:abstractNum>
  <w:abstractNum w:abstractNumId="189">
    <w:nsid w:val="4A1D606E"/>
    <w:multiLevelType w:val="hybridMultilevel"/>
    <w:lvl w:ilvl="0">
      <w:lvlJc w:val="left"/>
      <w:lvlText w:val="(%1)"/>
      <w:numFmt w:val="lowerLetter"/>
      <w:start w:val="1"/>
    </w:lvl>
  </w:abstractNum>
  <w:abstractNum w:abstractNumId="190">
    <w:nsid w:val="4382503"/>
    <w:multiLevelType w:val="hybridMultilevel"/>
    <w:lvl w:ilvl="0">
      <w:lvlJc w:val="left"/>
      <w:lvlText w:val="%1"/>
      <w:numFmt w:val="lowerLetter"/>
      <w:start w:val="1"/>
    </w:lvl>
    <w:lvl w:ilvl="1">
      <w:lvlJc w:val="left"/>
      <w:lvlText w:val="(%2)"/>
      <w:numFmt w:val="lowerLetter"/>
      <w:start w:val="1"/>
    </w:lvl>
  </w:abstractNum>
  <w:abstractNum w:abstractNumId="191">
    <w:nsid w:val="59B76E28"/>
    <w:multiLevelType w:val="hybridMultilevel"/>
    <w:lvl w:ilvl="0">
      <w:lvlJc w:val="left"/>
      <w:lvlText w:val="(%1)"/>
      <w:numFmt w:val="lowerLetter"/>
      <w:start w:val="9"/>
    </w:lvl>
    <w:lvl w:ilvl="1">
      <w:lvlJc w:val="left"/>
      <w:lvlText w:val="%2"/>
      <w:numFmt w:val="lowerLetter"/>
      <w:start w:val="1"/>
    </w:lvl>
  </w:abstractNum>
  <w:abstractNum w:abstractNumId="192">
    <w:nsid w:val="4252C2DA"/>
    <w:multiLevelType w:val="hybridMultilevel"/>
    <w:lvl w:ilvl="0">
      <w:lvlJc w:val="left"/>
      <w:lvlText w:val="(%1)"/>
      <w:numFmt w:val="lowerLetter"/>
      <w:start w:val="2"/>
    </w:lvl>
  </w:abstractNum>
  <w:abstractNum w:abstractNumId="193">
    <w:nsid w:val="6A92EF4C"/>
    <w:multiLevelType w:val="hybridMultilevel"/>
    <w:lvl w:ilvl="0">
      <w:lvlJc w:val="left"/>
      <w:lvlText w:val="(%1)"/>
      <w:numFmt w:val="lowerLetter"/>
      <w:start w:val="4"/>
    </w:lvl>
  </w:abstractNum>
  <w:abstractNum w:abstractNumId="194">
    <w:nsid w:val="41ED20D7"/>
    <w:multiLevelType w:val="hybridMultilevel"/>
    <w:lvl w:ilvl="0">
      <w:lvlJc w:val="left"/>
      <w:lvlText w:val="(%1)"/>
      <w:numFmt w:val="lowerLetter"/>
      <w:start w:val="1"/>
    </w:lvl>
  </w:abstractNum>
  <w:abstractNum w:abstractNumId="195">
    <w:nsid w:val="E6B3F6A"/>
    <w:multiLevelType w:val="hybridMultilevel"/>
    <w:lvl w:ilvl="0">
      <w:lvlJc w:val="left"/>
      <w:lvlText w:val="(%1)"/>
      <w:numFmt w:val="lowerLetter"/>
      <w:start w:val="3"/>
    </w:lvl>
  </w:abstractNum>
  <w:abstractNum w:abstractNumId="196">
    <w:nsid w:val="3EB21819"/>
    <w:multiLevelType w:val="hybridMultilevel"/>
    <w:lvl w:ilvl="0">
      <w:lvlJc w:val="left"/>
      <w:lvlText w:val="(%1)"/>
      <w:numFmt w:val="lowerLetter"/>
      <w:start w:val="1"/>
    </w:lvl>
  </w:abstractNum>
  <w:abstractNum w:abstractNumId="197">
    <w:nsid w:val="41531DED"/>
    <w:multiLevelType w:val="hybridMultilevel"/>
    <w:lvl w:ilvl="0">
      <w:lvlJc w:val="left"/>
      <w:lvlText w:val="(%1)"/>
      <w:numFmt w:val="lowerLetter"/>
      <w:start w:val="6"/>
    </w:lvl>
  </w:abstractNum>
  <w:abstractNum w:abstractNumId="198">
    <w:nsid w:val="6353CD2"/>
    <w:multiLevelType w:val="hybridMultilevel"/>
    <w:lvl w:ilvl="0">
      <w:lvlJc w:val="left"/>
      <w:lvlText w:val="%1."/>
      <w:numFmt w:val="decimal"/>
      <w:start w:val="2"/>
    </w:lvl>
  </w:abstractNum>
  <w:abstractNum w:abstractNumId="199">
    <w:nsid w:val="683CAAD3"/>
    <w:multiLevelType w:val="hybridMultilevel"/>
    <w:lvl w:ilvl="0">
      <w:lvlJc w:val="left"/>
      <w:lvlText w:val="(%1)"/>
      <w:numFmt w:val="lowerLetter"/>
      <w:start w:val="1"/>
    </w:lvl>
  </w:abstractNum>
  <w:abstractNum w:abstractNumId="200">
    <w:nsid w:val="313C7C99"/>
    <w:multiLevelType w:val="hybridMultilevel"/>
    <w:lvl w:ilvl="0">
      <w:lvlJc w:val="left"/>
      <w:lvlText w:val="(%1)"/>
      <w:numFmt w:val="lowerLetter"/>
      <w:start w:val="4"/>
    </w:lvl>
  </w:abstractNum>
  <w:abstractNum w:abstractNumId="201">
    <w:nsid w:val="519EB94C"/>
    <w:multiLevelType w:val="hybridMultilevel"/>
    <w:lvl w:ilvl="0">
      <w:lvlJc w:val="left"/>
      <w:lvlText w:val="(%1)"/>
      <w:numFmt w:val="lowerLetter"/>
      <w:start w:val="1"/>
    </w:lvl>
  </w:abstractNum>
  <w:abstractNum w:abstractNumId="202">
    <w:nsid w:val="39DF2579"/>
    <w:multiLevelType w:val="hybridMultilevel"/>
    <w:lvl w:ilvl="0">
      <w:lvlJc w:val="left"/>
      <w:lvlText w:val="(%1)"/>
      <w:numFmt w:val="lowerLetter"/>
      <w:start w:val="3"/>
    </w:lvl>
  </w:abstractNum>
  <w:abstractNum w:abstractNumId="203">
    <w:nsid w:val="126E008B"/>
    <w:multiLevelType w:val="hybridMultilevel"/>
    <w:lvl w:ilvl="0">
      <w:lvlJc w:val="left"/>
      <w:lvlText w:val="(%1)"/>
      <w:numFmt w:val="lowerLetter"/>
      <w:start w:val="1"/>
    </w:lvl>
  </w:abstractNum>
  <w:abstractNum w:abstractNumId="204">
    <w:nsid w:val="34DFBC00"/>
    <w:multiLevelType w:val="hybridMultilevel"/>
    <w:lvl w:ilvl="0">
      <w:lvlJc w:val="left"/>
      <w:lvlText w:val="(%1)"/>
      <w:numFmt w:val="lowerLetter"/>
      <w:start w:val="3"/>
    </w:lvl>
  </w:abstractNum>
  <w:abstractNum w:abstractNumId="205">
    <w:nsid w:val="1F9EC322"/>
    <w:multiLevelType w:val="hybridMultilevel"/>
    <w:lvl w:ilvl="0">
      <w:lvlJc w:val="left"/>
      <w:lvlText w:val="%1."/>
      <w:numFmt w:val="decimal"/>
      <w:start w:val="3"/>
    </w:lvl>
  </w:abstractNum>
  <w:abstractNum w:abstractNumId="206">
    <w:nsid w:val="3410ED56"/>
    <w:multiLevelType w:val="hybridMultilevel"/>
    <w:lvl w:ilvl="0">
      <w:lvlJc w:val="left"/>
      <w:lvlText w:val="%1."/>
      <w:numFmt w:val="decimal"/>
      <w:start w:val="1"/>
    </w:lvl>
    <w:lvl w:ilvl="1">
      <w:lvlJc w:val="left"/>
      <w:lvlText w:val="(%2)"/>
      <w:numFmt w:val="lowerLetter"/>
      <w:start w:val="1"/>
    </w:lvl>
  </w:abstractNum>
  <w:abstractNum w:abstractNumId="207">
    <w:nsid w:val="23C04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8">
    <w:nsid w:val="5BDA35D4"/>
    <w:multiLevelType w:val="hybridMultilevel"/>
    <w:lvl w:ilvl="0">
      <w:lvlJc w:val="left"/>
      <w:lvlText w:val="%1."/>
      <w:numFmt w:val="decimal"/>
      <w:start w:val="4"/>
    </w:lvl>
  </w:abstractNum>
  <w:abstractNum w:abstractNumId="209">
    <w:nsid w:val="496FB218"/>
    <w:multiLevelType w:val="hybridMultilevel"/>
    <w:lvl w:ilvl="0">
      <w:lvlJc w:val="left"/>
      <w:lvlText w:val="%1."/>
      <w:numFmt w:val="decimal"/>
      <w:start w:val="5"/>
    </w:lvl>
    <w:lvl w:ilvl="1">
      <w:lvlJc w:val="left"/>
      <w:lvlText w:val="(%2)"/>
      <w:numFmt w:val="lowerLetter"/>
      <w:start w:val="1"/>
    </w:lvl>
  </w:abstractNum>
  <w:abstractNum w:abstractNumId="210">
    <w:nsid w:val="680EA5D1"/>
    <w:multiLevelType w:val="hybridMultilevel"/>
    <w:lvl w:ilvl="0">
      <w:lvlJc w:val="left"/>
      <w:lvlText w:val="(%1)"/>
      <w:numFmt w:val="lowerLetter"/>
      <w:start w:val="2"/>
    </w:lvl>
    <w:lvl w:ilvl="1">
      <w:lvlJc w:val="left"/>
      <w:lvlText w:val="(%2)"/>
      <w:numFmt w:val="lowerRoman"/>
      <w:start w:val="1"/>
    </w:lvl>
  </w:abstractNum>
  <w:abstractNum w:abstractNumId="211">
    <w:nsid w:val="4A9554FE"/>
    <w:multiLevelType w:val="hybridMultilevel"/>
    <w:lvl w:ilvl="0">
      <w:lvlJc w:val="left"/>
      <w:lvlText w:val="%1"/>
      <w:numFmt w:val="lowerLetter"/>
      <w:start w:val="1"/>
    </w:lvl>
    <w:lvl w:ilvl="1">
      <w:lvlJc w:val="left"/>
      <w:lvlText w:val="(%2)"/>
      <w:numFmt w:val="lowerRoman"/>
      <w:start w:val="2"/>
    </w:lvl>
  </w:abstractNum>
  <w:abstractNum w:abstractNumId="212">
    <w:nsid w:val="392EDBE4"/>
    <w:multiLevelType w:val="hybridMultilevel"/>
    <w:lvl w:ilvl="0">
      <w:lvlJc w:val="left"/>
      <w:lvlText w:val="(%1)"/>
      <w:numFmt w:val="lowerLetter"/>
      <w:start w:val="8"/>
    </w:lvl>
    <w:lvl w:ilvl="1">
      <w:lvlJc w:val="left"/>
      <w:lvlText w:val="%2"/>
      <w:numFmt w:val="lowerRoman"/>
      <w:start w:val="1"/>
    </w:lvl>
  </w:abstractNum>
  <w:abstractNum w:abstractNumId="213">
    <w:nsid w:val="3D1A2DD9"/>
    <w:multiLevelType w:val="hybridMultilevel"/>
    <w:lvl w:ilvl="0">
      <w:lvlJc w:val="left"/>
      <w:lvlText w:val="%1."/>
      <w:numFmt w:val="decimal"/>
      <w:start w:val="7"/>
    </w:lvl>
    <w:lvl w:ilvl="1">
      <w:lvlJc w:val="left"/>
      <w:lvlText w:val="(%2)"/>
      <w:numFmt w:val="lowerLetter"/>
      <w:start w:val="1"/>
    </w:lvl>
  </w:abstractNum>
  <w:abstractNum w:abstractNumId="214">
    <w:nsid w:val="7F618FCD"/>
    <w:multiLevelType w:val="hybridMultilevel"/>
    <w:lvl w:ilvl="0">
      <w:lvlJc w:val="left"/>
      <w:lvlText w:val="%1"/>
      <w:numFmt w:val="decimal"/>
      <w:start w:val="1"/>
    </w:lvl>
    <w:lvl w:ilvl="1">
      <w:lvlJc w:val="left"/>
      <w:lvlText w:val="(%2)"/>
      <w:numFmt w:val="lowerLetter"/>
      <w:start w:val="2"/>
    </w:lvl>
  </w:abstractNum>
  <w:abstractNum w:abstractNumId="215">
    <w:nsid w:val="7843E45"/>
    <w:multiLevelType w:val="hybridMultilevel"/>
    <w:lvl w:ilvl="0">
      <w:lvlJc w:val="left"/>
      <w:lvlText w:val="%1."/>
      <w:numFmt w:val="decimal"/>
      <w:start w:val="9"/>
    </w:lvl>
    <w:lvl w:ilvl="1">
      <w:lvlJc w:val="left"/>
      <w:lvlText w:val="%2"/>
      <w:numFmt w:val="lowerLetter"/>
      <w:start w:val="1"/>
    </w:lvl>
  </w:abstractNum>
  <w:abstractNum w:abstractNumId="216">
    <w:nsid w:val="9815DA3"/>
    <w:multiLevelType w:val="hybridMultilevel"/>
    <w:lvl w:ilvl="0">
      <w:lvlJc w:val="left"/>
      <w:lvlText w:val="%1."/>
      <w:numFmt w:val="decimal"/>
      <w:start w:val="12"/>
    </w:lvl>
  </w:abstractNum>
  <w:abstractNum w:abstractNumId="217">
    <w:nsid w:val="5204A191"/>
    <w:multiLevelType w:val="hybridMultilevel"/>
    <w:lvl w:ilvl="0">
      <w:lvlJc w:val="left"/>
      <w:lvlText w:val="%1."/>
      <w:numFmt w:val="decimal"/>
      <w:start w:val="16"/>
    </w:lvl>
    <w:lvl w:ilvl="1">
      <w:lvlJc w:val="left"/>
      <w:lvlText w:val="(%2)"/>
      <w:numFmt w:val="lowerLetter"/>
      <w:start w:val="1"/>
    </w:lvl>
  </w:abstractNum>
  <w:abstractNum w:abstractNumId="218">
    <w:nsid w:val="4C73A9C6"/>
    <w:multiLevelType w:val="hybridMultilevel"/>
    <w:lvl w:ilvl="0">
      <w:lvlJc w:val="left"/>
      <w:lvlText w:val="%1"/>
      <w:numFmt w:val="decimal"/>
      <w:start w:val="1"/>
    </w:lvl>
    <w:lvl w:ilvl="1">
      <w:lvlJc w:val="left"/>
      <w:lvlText w:val="(%2)"/>
      <w:numFmt w:val="lowerLetter"/>
      <w:start w:val="3"/>
    </w:lvl>
  </w:abstractNum>
  <w:abstractNum w:abstractNumId="219">
    <w:nsid w:val="1C7E3C01"/>
    <w:multiLevelType w:val="hybridMultilevel"/>
    <w:lvl w:ilvl="0">
      <w:lvlJc w:val="left"/>
      <w:lvlText w:val="%1."/>
      <w:numFmt w:val="decimal"/>
      <w:start w:val="21"/>
    </w:lvl>
    <w:lvl w:ilvl="1">
      <w:lvlJc w:val="left"/>
      <w:lvlText w:val="(%2)"/>
      <w:numFmt w:val="lowerLetter"/>
      <w:start w:val="35"/>
    </w:lvl>
  </w:abstractNum>
  <w:abstractNum w:abstractNumId="220">
    <w:nsid w:val="1C2201FF"/>
    <w:multiLevelType w:val="hybridMultilevel"/>
    <w:lvl w:ilvl="0">
      <w:lvlJc w:val="left"/>
      <w:lvlText w:val="☐"/>
      <w:numFmt w:val="bullet"/>
      <w:start w:val="1"/>
    </w:lvl>
  </w:abstractNum>
  <w:abstractNum w:abstractNumId="221">
    <w:nsid w:val="50ABCEC9"/>
    <w:multiLevelType w:val="hybridMultilevel"/>
    <w:lvl w:ilvl="0">
      <w:lvlJc w:val="left"/>
      <w:lvlText w:val="·"/>
      <w:numFmt w:val="bullet"/>
      <w:start w:val="1"/>
    </w:lvl>
  </w:abstractNum>
  <w:abstractNum w:abstractNumId="222">
    <w:nsid w:val="7635AA2A"/>
    <w:multiLevelType w:val="hybridMultilevel"/>
    <w:lvl w:ilvl="0">
      <w:lvlJc w:val="left"/>
      <w:lvlText w:val="(%1)"/>
      <w:numFmt w:val="lowerLetter"/>
      <w:start w:val="1"/>
    </w:lvl>
  </w:abstractNum>
  <w:abstractNum w:abstractNumId="223">
    <w:nsid w:val="5E74C4D9"/>
    <w:multiLevelType w:val="hybridMultilevel"/>
    <w:lvl w:ilvl="0">
      <w:lvlJc w:val="left"/>
      <w:lvlText w:val="(%1)"/>
      <w:numFmt w:val="lowerLetter"/>
      <w:start w:val="2"/>
    </w:lvl>
  </w:abstractNum>
  <w:abstractNum w:abstractNumId="224">
    <w:nsid w:val="3B3EBE15"/>
    <w:multiLevelType w:val="hybridMultilevel"/>
    <w:lvl w:ilvl="0">
      <w:lvlJc w:val="left"/>
      <w:lvlText w:val="(%1)"/>
      <w:numFmt w:val="lowerLetter"/>
      <w:start w:val="5"/>
    </w:lvl>
  </w:abstractNum>
  <w:abstractNum w:abstractNumId="225">
    <w:nsid w:val="3822CB01"/>
    <w:multiLevelType w:val="hybridMultilevel"/>
    <w:lvl w:ilvl="0">
      <w:lvlJc w:val="left"/>
      <w:lvlText w:val="(%1)"/>
      <w:numFmt w:val="lowerLetter"/>
      <w:start w:val="1"/>
    </w:lvl>
  </w:abstractNum>
  <w:abstractNum w:abstractNumId="226">
    <w:nsid w:val="6CE00443"/>
    <w:multiLevelType w:val="hybridMultilevel"/>
    <w:lvl w:ilvl="0">
      <w:lvlJc w:val="left"/>
      <w:lvlText w:val="(%1)"/>
      <w:numFmt w:val="lowerLetter"/>
      <w:start w:val="1"/>
    </w:lvl>
  </w:abstractNum>
  <w:abstractNum w:abstractNumId="227">
    <w:nsid w:val="79F0D62F"/>
    <w:multiLevelType w:val="hybridMultilevel"/>
    <w:lvl w:ilvl="0">
      <w:lvlJc w:val="left"/>
      <w:lvlText w:val="(%1)"/>
      <w:numFmt w:val="lowerLetter"/>
      <w:start w:val="5"/>
    </w:lvl>
  </w:abstractNum>
  <w:abstractNum w:abstractNumId="228">
    <w:nsid w:val="7975E8EE"/>
    <w:multiLevelType w:val="hybridMultilevel"/>
    <w:lvl w:ilvl="0">
      <w:lvlJc w:val="left"/>
      <w:lvlText w:val="(%1)"/>
      <w:numFmt w:val="decimal"/>
      <w:start w:val="1"/>
    </w:lvl>
  </w:abstractNum>
  <w:abstractNum w:abstractNumId="229">
    <w:nsid w:val="73154115"/>
    <w:multiLevelType w:val="hybridMultilevel"/>
    <w:lvl w:ilvl="0">
      <w:lvlJc w:val="left"/>
      <w:lvlText w:val="(%1)"/>
      <w:numFmt w:val="lowerLetter"/>
      <w:start w:val="1"/>
    </w:lvl>
  </w:abstractNum>
  <w:abstractNum w:abstractNumId="230">
    <w:nsid w:val="622D8102"/>
    <w:multiLevelType w:val="hybridMultilevel"/>
    <w:lvl w:ilvl="0">
      <w:lvlJc w:val="left"/>
      <w:lvlText w:val="%1."/>
      <w:numFmt w:val="decimal"/>
      <w:start w:val="1"/>
    </w:lvl>
  </w:abstractNum>
  <w:abstractNum w:abstractNumId="231">
    <w:nsid w:val="2AB26587"/>
    <w:multiLevelType w:val="hybridMultilevel"/>
    <w:lvl w:ilvl="0">
      <w:lvlJc w:val="left"/>
      <w:lvlText w:val="%1."/>
      <w:numFmt w:val="decimal"/>
      <w:start w:val="2"/>
    </w:lvl>
  </w:abstractNum>
  <w:abstractNum w:abstractNumId="232">
    <w:nsid w:val="44B3FA61"/>
    <w:multiLevelType w:val="hybridMultilevel"/>
    <w:lvl w:ilvl="0">
      <w:lvlJc w:val="left"/>
      <w:lvlText w:val="%1."/>
      <w:numFmt w:val="decimal"/>
      <w:start w:val="3"/>
    </w:lvl>
  </w:abstractNum>
  <w:abstractNum w:abstractNumId="233">
    <w:nsid w:val="1C0CA67C"/>
    <w:multiLevelType w:val="hybridMultilevel"/>
    <w:lvl w:ilvl="0">
      <w:lvlJc w:val="left"/>
      <w:lvlText w:val="(%1)"/>
      <w:numFmt w:val="lowerLetter"/>
      <w:start w:val="1"/>
    </w:lvl>
  </w:abstractNum>
  <w:abstractNum w:abstractNumId="234">
    <w:nsid w:val="3D206613"/>
    <w:multiLevelType w:val="hybridMultilevel"/>
    <w:lvl w:ilvl="0">
      <w:lvlJc w:val="left"/>
      <w:lvlText w:val="(%1)"/>
      <w:numFmt w:val="lowerLetter"/>
      <w:start w:val="1"/>
    </w:lvl>
  </w:abstractNum>
  <w:abstractNum w:abstractNumId="235">
    <w:nsid w:val="7993B662"/>
    <w:multiLevelType w:val="hybridMultilevel"/>
    <w:lvl w:ilvl="0">
      <w:lvlJc w:val="left"/>
      <w:lvlText w:val="(%1)"/>
      <w:numFmt w:val="lowerLetter"/>
      <w:start w:val="1"/>
    </w:lvl>
  </w:abstractNum>
  <w:abstractNum w:abstractNumId="236">
    <w:nsid w:val="3BAB699E"/>
    <w:multiLevelType w:val="hybridMultilevel"/>
    <w:lvl w:ilvl="0">
      <w:lvlJc w:val="left"/>
      <w:lvlText w:val="(%1)"/>
      <w:numFmt w:val="decimal"/>
      <w:start w:val="1"/>
    </w:lvl>
  </w:abstractNum>
  <w:abstractNum w:abstractNumId="237">
    <w:nsid w:val="71315369"/>
    <w:multiLevelType w:val="hybridMultilevel"/>
    <w:lvl w:ilvl="0">
      <w:lvlJc w:val="left"/>
      <w:lvlText w:val="(%1)"/>
      <w:numFmt w:val="decimal"/>
      <w:start w:val="3"/>
    </w:lvl>
  </w:abstractNum>
  <w:abstractNum w:abstractNumId="238">
    <w:nsid w:val="7BCFBAFC"/>
    <w:multiLevelType w:val="hybridMultilevel"/>
    <w:lvl w:ilvl="0">
      <w:lvlJc w:val="left"/>
      <w:lvlText w:val="(%1)"/>
      <w:numFmt w:val="lowerLetter"/>
      <w:start w:val="1"/>
    </w:lvl>
  </w:abstractNum>
  <w:abstractNum w:abstractNumId="239">
    <w:nsid w:val="17859F72"/>
    <w:multiLevelType w:val="hybridMultilevel"/>
    <w:lvl w:ilvl="0">
      <w:lvlJc w:val="left"/>
      <w:lvlText w:val="%1."/>
      <w:numFmt w:val="decimal"/>
      <w:start w:val="1"/>
    </w:lvl>
  </w:abstractNum>
  <w:abstractNum w:abstractNumId="240">
    <w:nsid w:val="3AA10581"/>
    <w:multiLevelType w:val="hybridMultilevel"/>
    <w:lvl w:ilvl="0">
      <w:lvlJc w:val="left"/>
      <w:lvlText w:val="%1."/>
      <w:numFmt w:val="decimal"/>
      <w:start w:val="2"/>
    </w:lvl>
  </w:abstractNum>
  <w:abstractNum w:abstractNumId="241">
    <w:nsid w:val="63DE60CD"/>
    <w:multiLevelType w:val="hybridMultilevel"/>
    <w:lvl w:ilvl="0">
      <w:lvlJc w:val="left"/>
      <w:lvlText w:val="%1."/>
      <w:numFmt w:val="decimal"/>
      <w:start w:val="3"/>
    </w:lvl>
  </w:abstractNum>
  <w:abstractNum w:abstractNumId="242">
    <w:nsid w:val="621AF471"/>
    <w:multiLevelType w:val="hybridMultilevel"/>
    <w:lvl w:ilvl="0">
      <w:lvlJc w:val="left"/>
      <w:lvlText w:val="%1."/>
      <w:numFmt w:val="decimal"/>
      <w:start w:val="1"/>
    </w:lvl>
  </w:abstractNum>
  <w:abstractNum w:abstractNumId="243">
    <w:nsid w:val="73CFE165"/>
    <w:multiLevelType w:val="hybridMultilevel"/>
    <w:lvl w:ilvl="0">
      <w:lvlJc w:val="left"/>
      <w:lvlText w:val="(%1)"/>
      <w:numFmt w:val="lowerLetter"/>
      <w:start w:val="1"/>
    </w:lvl>
  </w:abstractNum>
  <w:abstractNum w:abstractNumId="244">
    <w:nsid w:val="20F88EA6"/>
    <w:multiLevelType w:val="hybridMultilevel"/>
    <w:lvl w:ilvl="0">
      <w:lvlJc w:val="left"/>
      <w:lvlText w:val="(%1)"/>
      <w:numFmt w:val="lowerRoman"/>
      <w:start w:val="1"/>
    </w:lvl>
  </w:abstractNum>
  <w:abstractNum w:abstractNumId="245">
    <w:nsid w:val="617C843E"/>
    <w:multiLevelType w:val="hybridMultilevel"/>
    <w:lvl w:ilvl="0">
      <w:lvlJc w:val="left"/>
      <w:lvlText w:val="(%1)"/>
      <w:numFmt w:val="lowerRoman"/>
      <w:start w:val="2"/>
    </w:lvl>
  </w:abstractNum>
  <w:abstractNum w:abstractNumId="246">
    <w:nsid w:val="7B541FAB"/>
    <w:multiLevelType w:val="hybridMultilevel"/>
    <w:lvl w:ilvl="0">
      <w:lvlJc w:val="left"/>
      <w:lvlText w:val="(%1)"/>
      <w:numFmt w:val="upperLetter"/>
      <w:start w:val="1"/>
    </w:lvl>
  </w:abstractNum>
  <w:abstractNum w:abstractNumId="247">
    <w:nsid w:val="2A79EC49"/>
    <w:multiLevelType w:val="hybridMultilevel"/>
    <w:lvl w:ilvl="0">
      <w:lvlJc w:val="left"/>
      <w:lvlText w:val="(%1)"/>
      <w:numFmt w:val="lowerLetter"/>
      <w:start w:val="5"/>
    </w:lvl>
  </w:abstractNum>
  <w:abstractNum w:abstractNumId="248">
    <w:nsid w:val="338125CF"/>
    <w:multiLevelType w:val="hybridMultilevel"/>
    <w:lvl w:ilvl="0">
      <w:lvlJc w:val="left"/>
      <w:lvlText w:val="(%1)"/>
      <w:numFmt w:val="lowerRoman"/>
      <w:start w:val="1"/>
    </w:lvl>
  </w:abstractNum>
  <w:abstractNum w:abstractNumId="249">
    <w:nsid w:val="47C7C971"/>
    <w:multiLevelType w:val="hybridMultilevel"/>
    <w:lvl w:ilvl="0">
      <w:lvlJc w:val="left"/>
      <w:lvlText w:val="(%1)"/>
      <w:numFmt w:val="lowerRoman"/>
      <w:start w:val="2"/>
    </w:lvl>
  </w:abstractNum>
  <w:abstractNum w:abstractNumId="250">
    <w:nsid w:val="46F8284B"/>
    <w:multiLevelType w:val="hybridMultilevel"/>
    <w:lvl w:ilvl="0">
      <w:lvlJc w:val="left"/>
      <w:lvlText w:val="(%1)"/>
      <w:numFmt w:val="lowerLetter"/>
      <w:start w:val="6"/>
    </w:lvl>
  </w:abstractNum>
  <w:abstractNum w:abstractNumId="251">
    <w:nsid w:val="4FA327CE"/>
    <w:multiLevelType w:val="hybridMultilevel"/>
    <w:lvl w:ilvl="0">
      <w:lvlJc w:val="left"/>
      <w:lvlText w:val="%1."/>
      <w:numFmt w:val="decimal"/>
      <w:start w:val="3"/>
    </w:lvl>
  </w:abstractNum>
  <w:abstractNum w:abstractNumId="252">
    <w:nsid w:val="1873983A"/>
    <w:multiLevelType w:val="hybridMultilevel"/>
    <w:lvl w:ilvl="0">
      <w:lvlJc w:val="left"/>
      <w:lvlText w:val="(%1)"/>
      <w:numFmt w:val="lowerLetter"/>
      <w:start w:val="1"/>
    </w:lvl>
  </w:abstractNum>
  <w:abstractNum w:abstractNumId="253">
    <w:nsid w:val="3D2DD275"/>
    <w:multiLevelType w:val="hybridMultilevel"/>
    <w:lvl w:ilvl="0">
      <w:lvlJc w:val="left"/>
      <w:lvlText w:val="(%1)"/>
      <w:numFmt w:val="lowerLetter"/>
      <w:start w:val="3"/>
    </w:lvl>
  </w:abstractNum>
  <w:abstractNum w:abstractNumId="254">
    <w:nsid w:val="2E17ECA7"/>
    <w:multiLevelType w:val="hybridMultilevel"/>
    <w:lvl w:ilvl="0">
      <w:lvlJc w:val="left"/>
      <w:lvlText w:val="%1."/>
      <w:numFmt w:val="decimal"/>
      <w:start w:val="4"/>
    </w:lvl>
  </w:abstractNum>
  <w:abstractNum w:abstractNumId="255">
    <w:nsid w:val="53B2564F"/>
    <w:multiLevelType w:val="hybridMultilevel"/>
    <w:lvl w:ilvl="0">
      <w:lvlJc w:val="left"/>
      <w:lvlText w:val="(%1)"/>
      <w:numFmt w:val="lowerLetter"/>
      <w:start w:val="1"/>
    </w:lvl>
  </w:abstractNum>
  <w:abstractNum w:abstractNumId="256">
    <w:nsid w:val="75509D76"/>
    <w:multiLevelType w:val="hybridMultilevel"/>
    <w:lvl w:ilvl="0">
      <w:lvlJc w:val="left"/>
      <w:lvlText w:val="(%1)"/>
      <w:numFmt w:val="lowerLetter"/>
      <w:start w:val="2"/>
    </w:lvl>
  </w:abstractNum>
  <w:abstractNum w:abstractNumId="257">
    <w:nsid w:val="1AF7F0EA"/>
    <w:multiLevelType w:val="hybridMultilevel"/>
    <w:lvl w:ilvl="0">
      <w:lvlJc w:val="left"/>
      <w:lvlText w:val="%1."/>
      <w:numFmt w:val="decimal"/>
      <w:start w:val="5"/>
    </w:lvl>
  </w:abstractNum>
  <w:abstractNum w:abstractNumId="258">
    <w:nsid w:val="4DA32C7E"/>
    <w:multiLevelType w:val="hybridMultilevel"/>
    <w:lvl w:ilvl="0">
      <w:lvlJc w:val="left"/>
      <w:lvlText w:val="(%1)"/>
      <w:numFmt w:val="lowerLetter"/>
      <w:start w:val="1"/>
    </w:lvl>
  </w:abstractNum>
  <w:abstractNum w:abstractNumId="259">
    <w:nsid w:val="6EC68664"/>
    <w:multiLevelType w:val="hybridMultilevel"/>
    <w:lvl w:ilvl="0">
      <w:lvlJc w:val="left"/>
      <w:lvlText w:val="(%1)"/>
      <w:numFmt w:val="lowerLetter"/>
      <w:start w:val="4"/>
    </w:lvl>
  </w:abstractNum>
  <w:abstractNum w:abstractNumId="260">
    <w:nsid w:val="E0D31FF"/>
    <w:multiLevelType w:val="hybridMultilevel"/>
    <w:lvl w:ilvl="0">
      <w:lvlJc w:val="left"/>
      <w:lvlText w:val="%1."/>
      <w:numFmt w:val="decimal"/>
      <w:start w:val="6"/>
    </w:lvl>
  </w:abstractNum>
  <w:abstractNum w:abstractNumId="261">
    <w:nsid w:val="2FD0AD81"/>
    <w:multiLevelType w:val="hybridMultilevel"/>
    <w:lvl w:ilvl="0">
      <w:lvlJc w:val="left"/>
      <w:lvlText w:val="(%1)"/>
      <w:numFmt w:val="lowerLetter"/>
      <w:start w:val="1"/>
    </w:lvl>
  </w:abstractNum>
  <w:abstractNum w:abstractNumId="262">
    <w:nsid w:val="1978EBEB"/>
    <w:multiLevelType w:val="hybridMultilevel"/>
    <w:lvl w:ilvl="0">
      <w:lvlJc w:val="left"/>
      <w:lvlText w:val="(%1)"/>
      <w:numFmt w:val="lowerRoman"/>
      <w:start w:val="1"/>
    </w:lvl>
  </w:abstractNum>
  <w:abstractNum w:abstractNumId="263">
    <w:nsid w:val="52C12C61"/>
    <w:multiLevelType w:val="hybridMultilevel"/>
    <w:lvl w:ilvl="0">
      <w:lvlJc w:val="left"/>
      <w:lvlText w:val="(%1)"/>
      <w:numFmt w:val="lowerRoman"/>
      <w:start w:val="3"/>
    </w:lvl>
  </w:abstractNum>
  <w:abstractNum w:abstractNumId="264">
    <w:nsid w:val="4BDD53FD"/>
    <w:multiLevelType w:val="hybridMultilevel"/>
    <w:lvl w:ilvl="0">
      <w:lvlJc w:val="left"/>
      <w:lvlText w:val="(%1)"/>
      <w:numFmt w:val="lowerLetter"/>
      <w:start w:val="4"/>
    </w:lvl>
  </w:abstractNum>
  <w:abstractNum w:abstractNumId="265">
    <w:nsid w:val="569951FE"/>
    <w:multiLevelType w:val="hybridMultilevel"/>
    <w:lvl w:ilvl="0">
      <w:lvlJc w:val="left"/>
      <w:lvlText w:val="(%1)"/>
      <w:numFmt w:val="lowerLetter"/>
      <w:start w:val="7"/>
    </w:lvl>
  </w:abstractNum>
  <w:abstractNum w:abstractNumId="266">
    <w:nsid w:val="4C54E2C3"/>
    <w:multiLevelType w:val="hybridMultilevel"/>
    <w:lvl w:ilvl="0">
      <w:lvlJc w:val="left"/>
      <w:lvlText w:val="%1."/>
      <w:numFmt w:val="decimal"/>
      <w:start w:val="7"/>
    </w:lvl>
  </w:abstractNum>
  <w:abstractNum w:abstractNumId="267">
    <w:nsid w:val="788BD9B"/>
    <w:multiLevelType w:val="hybridMultilevel"/>
    <w:lvl w:ilvl="0">
      <w:lvlJc w:val="left"/>
      <w:lvlText w:val="(%1)"/>
      <w:numFmt w:val="lowerLetter"/>
      <w:start w:val="1"/>
    </w:lvl>
  </w:abstractNum>
  <w:abstractNum w:abstractNumId="268">
    <w:nsid w:val="47CAA567"/>
    <w:multiLevelType w:val="hybridMultilevel"/>
    <w:lvl w:ilvl="0">
      <w:lvlJc w:val="left"/>
      <w:lvlText w:val="%1."/>
      <w:numFmt w:val="decimal"/>
      <w:start w:val="8"/>
    </w:lvl>
  </w:abstractNum>
  <w:abstractNum w:abstractNumId="269">
    <w:nsid w:val="48249DBF"/>
    <w:multiLevelType w:val="hybridMultilevel"/>
    <w:lvl w:ilvl="0">
      <w:lvlJc w:val="left"/>
      <w:lvlText w:val="(%1)"/>
      <w:numFmt w:val="lowerLetter"/>
      <w:start w:val="1"/>
    </w:lvl>
  </w:abstractNum>
  <w:abstractNum w:abstractNumId="270">
    <w:nsid w:val="1F0E5D0D"/>
    <w:multiLevelType w:val="hybridMultilevel"/>
    <w:lvl w:ilvl="0">
      <w:lvlJc w:val="left"/>
      <w:lvlText w:val="%1."/>
      <w:numFmt w:val="decimal"/>
      <w:start w:val="9"/>
    </w:lvl>
  </w:abstractNum>
  <w:abstractNum w:abstractNumId="271">
    <w:nsid w:val="26BAAE9"/>
    <w:multiLevelType w:val="hybridMultilevel"/>
    <w:lvl w:ilvl="0">
      <w:lvlJc w:val="left"/>
      <w:lvlText w:val="(%1)"/>
      <w:numFmt w:val="lowerLetter"/>
      <w:start w:val="1"/>
    </w:lvl>
  </w:abstractNum>
  <w:abstractNum w:abstractNumId="272">
    <w:nsid w:val="2C02FE8C"/>
    <w:multiLevelType w:val="hybridMultilevel"/>
    <w:lvl w:ilvl="0">
      <w:lvlJc w:val="left"/>
      <w:lvlText w:val="(%1)"/>
      <w:numFmt w:val="lowerRoman"/>
      <w:start w:val="1"/>
    </w:lvl>
  </w:abstractNum>
  <w:abstractNum w:abstractNumId="273">
    <w:nsid w:val="129517E"/>
    <w:multiLevelType w:val="hybridMultilevel"/>
    <w:lvl w:ilvl="0">
      <w:lvlJc w:val="left"/>
      <w:lvlText w:val="%1."/>
      <w:numFmt w:val="decimal"/>
      <w:start w:val="10"/>
    </w:lvl>
  </w:abstractNum>
  <w:abstractNum w:abstractNumId="274">
    <w:nsid w:val="763B8C4E"/>
    <w:multiLevelType w:val="hybridMultilevel"/>
    <w:lvl w:ilvl="0">
      <w:lvlJc w:val="left"/>
      <w:lvlText w:val="%1."/>
      <w:numFmt w:val="decimal"/>
      <w:start w:val="15"/>
    </w:lvl>
  </w:abstractNum>
  <w:abstractNum w:abstractNumId="275">
    <w:nsid w:val="4CFB8D32"/>
    <w:multiLevelType w:val="hybridMultilevel"/>
    <w:lvl w:ilvl="0">
      <w:lvlJc w:val="left"/>
      <w:lvlText w:val="(%1)"/>
      <w:numFmt w:val="lowerLetter"/>
      <w:start w:val="1"/>
    </w:lvl>
  </w:abstractNum>
  <w:abstractNum w:abstractNumId="276">
    <w:nsid w:val="62A5D5BD"/>
    <w:multiLevelType w:val="hybridMultilevel"/>
    <w:lvl w:ilvl="0">
      <w:lvlJc w:val="left"/>
      <w:lvlText w:val="(%1)"/>
      <w:numFmt w:val="lowerLetter"/>
      <w:start w:val="5"/>
    </w:lvl>
  </w:abstractNum>
  <w:abstractNum w:abstractNumId="277">
    <w:nsid w:val="718FABF9"/>
    <w:multiLevelType w:val="hybridMultilevel"/>
    <w:lvl w:ilvl="0">
      <w:lvlJc w:val="left"/>
      <w:lvlText w:val="%1."/>
      <w:numFmt w:val="decimal"/>
      <w:start w:val="16"/>
    </w:lvl>
  </w:abstractNum>
  <w:abstractNum w:abstractNumId="278">
    <w:nsid w:val="7775797C"/>
    <w:multiLevelType w:val="hybridMultilevel"/>
    <w:lvl w:ilvl="0">
      <w:lvlJc w:val="left"/>
      <w:lvlText w:val="(%1)"/>
      <w:numFmt w:val="lowerLetter"/>
      <w:start w:val="1"/>
    </w:lvl>
  </w:abstractNum>
  <w:abstractNum w:abstractNumId="279">
    <w:nsid w:val="1626FB8C"/>
    <w:multiLevelType w:val="hybridMultilevel"/>
    <w:lvl w:ilvl="0">
      <w:lvlJc w:val="left"/>
      <w:lvlText w:val="(%1)"/>
      <w:numFmt w:val="lowerLetter"/>
      <w:start w:val="5"/>
    </w:lvl>
  </w:abstractNum>
  <w:abstractNum w:abstractNumId="280">
    <w:nsid w:val="3957756A"/>
    <w:multiLevelType w:val="hybridMultilevel"/>
    <w:lvl w:ilvl="0">
      <w:lvlJc w:val="left"/>
      <w:lvlText w:val="(%1)"/>
      <w:numFmt w:val="lowerLetter"/>
      <w:start w:val="1"/>
    </w:lvl>
  </w:abstractNum>
  <w:abstractNum w:abstractNumId="281">
    <w:nsid w:val="3E6DA1C7"/>
    <w:multiLevelType w:val="hybridMultilevel"/>
    <w:lvl w:ilvl="0">
      <w:lvlJc w:val="left"/>
      <w:lvlText w:val="(%1)"/>
      <w:numFmt w:val="lowerLetter"/>
      <w:start w:val="2"/>
    </w:lvl>
  </w:abstractNum>
  <w:abstractNum w:abstractNumId="282">
    <w:nsid w:val="65CA235B"/>
    <w:multiLevelType w:val="hybridMultilevel"/>
    <w:lvl w:ilvl="0">
      <w:lvlJc w:val="left"/>
      <w:lvlText w:val="%1."/>
      <w:numFmt w:val="decimal"/>
      <w:start w:val="1"/>
    </w:lvl>
    <w:lvl w:ilvl="1">
      <w:lvlJc w:val="left"/>
      <w:lvlText w:val="☐"/>
      <w:numFmt w:val="bullet"/>
      <w:start w:val="1"/>
    </w:lvl>
  </w:abstractNum>
  <w:abstractNum w:abstractNumId="283">
    <w:nsid w:val="51CB0DA4"/>
    <w:multiLevelType w:val="hybridMultilevel"/>
    <w:lvl w:ilvl="0">
      <w:lvlJc w:val="left"/>
      <w:lvlText w:val="%1."/>
      <w:numFmt w:val="decimal"/>
      <w:start w:val="1"/>
    </w:lvl>
    <w:lvl w:ilvl="1">
      <w:lvlJc w:val="left"/>
      <w:lvlText w:val="☒"/>
      <w:numFmt w:val="bullet"/>
      <w:start w:val="1"/>
    </w:lvl>
  </w:abstractNum>
  <w:abstractNum w:abstractNumId="284">
    <w:nsid w:val="7B9B743C"/>
    <w:multiLevelType w:val="hybridMultilevel"/>
    <w:lvl w:ilvl="0">
      <w:lvlJc w:val="left"/>
      <w:lvlText w:val="%1."/>
      <w:numFmt w:val="decimal"/>
      <w:start w:val="1"/>
    </w:lvl>
    <w:lvl w:ilvl="1">
      <w:lvlJc w:val="left"/>
      <w:lvlText w:val="(%2)"/>
      <w:numFmt w:val="lowerLetter"/>
      <w:start w:val="1"/>
    </w:lvl>
  </w:abstractNum>
  <w:abstractNum w:abstractNumId="285">
    <w:nsid w:val="13E21002"/>
    <w:multiLevelType w:val="hybridMultilevel"/>
    <w:lvl w:ilvl="0">
      <w:lvlJc w:val="left"/>
      <w:lvlText w:val="(%1)"/>
      <w:numFmt w:val="lowerLetter"/>
      <w:start w:val="5"/>
    </w:lvl>
  </w:abstractNum>
  <w:abstractNum w:abstractNumId="286">
    <w:nsid w:val="257D63F4"/>
    <w:multiLevelType w:val="hybridMultilevel"/>
    <w:lvl w:ilvl="0">
      <w:lvlJc w:val="left"/>
      <w:lvlText w:val="(%1)"/>
      <w:numFmt w:val="lowerLetter"/>
      <w:start w:val="11"/>
    </w:lvl>
  </w:abstractNum>
  <w:abstractNum w:abstractNumId="287">
    <w:nsid w:val="70EC11B2"/>
    <w:multiLevelType w:val="hybridMultilevel"/>
    <w:lvl w:ilvl="0">
      <w:lvlJc w:val="left"/>
      <w:lvlText w:val="(%1)"/>
      <w:numFmt w:val="lowerLetter"/>
      <w:start w:val="19"/>
    </w:lvl>
    <w:lvl w:ilvl="1">
      <w:lvlJc w:val="left"/>
      <w:lvlText w:val="(%2)"/>
      <w:numFmt w:val="lowerRoman"/>
      <w:start w:val="1"/>
    </w:lvl>
  </w:abstractNum>
  <w:abstractNum w:abstractNumId="288">
    <w:nsid w:val="2EDA00ED"/>
    <w:multiLevelType w:val="hybridMultilevel"/>
    <w:lvl w:ilvl="0">
      <w:lvlJc w:val="left"/>
      <w:lvlText w:val="(%1)"/>
      <w:numFmt w:val="lowerLetter"/>
      <w:start w:val="26"/>
    </w:lvl>
  </w:abstractNum>
  <w:abstractNum w:abstractNumId="289">
    <w:nsid w:val="73209072"/>
    <w:multiLevelType w:val="hybridMultilevel"/>
    <w:lvl w:ilvl="0">
      <w:lvlJc w:val="left"/>
      <w:lvlText w:val="(%1)"/>
      <w:numFmt w:val="lowerLetter"/>
      <w:start w:val="27"/>
    </w:lvl>
  </w:abstractNum>
  <w:abstractNum w:abstractNumId="290">
    <w:nsid w:val="5FB29816"/>
    <w:multiLevelType w:val="hybridMultilevel"/>
    <w:lvl w:ilvl="0">
      <w:lvlJc w:val="left"/>
      <w:lvlText w:val="%1"/>
      <w:numFmt w:val="decimal"/>
      <w:start w:val="1"/>
    </w:lvl>
    <w:lvl w:ilvl="1">
      <w:lvlJc w:val="left"/>
      <w:lvlText w:val="(%2)"/>
      <w:numFmt w:val="lowerLetter"/>
      <w:start w:val="40"/>
    </w:lvl>
  </w:abstractNum>
  <w:abstractNum w:abstractNumId="291">
    <w:nsid w:val="3CE732EC"/>
    <w:multiLevelType w:val="hybridMultilevel"/>
    <w:lvl w:ilvl="0">
      <w:lvlJc w:val="left"/>
      <w:lvlText w:val="%1."/>
      <w:numFmt w:val="decimal"/>
      <w:start w:val="3"/>
    </w:lvl>
    <w:lvl w:ilvl="1">
      <w:lvlJc w:val="left"/>
      <w:lvlText w:val="(%2)"/>
      <w:numFmt w:val="lowerLetter"/>
      <w:start w:val="1"/>
    </w:lvl>
  </w:abstractNum>
  <w:abstractNum w:abstractNumId="292">
    <w:nsid w:val="22F13D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3">
    <w:nsid w:val="792B84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4">
    <w:nsid w:val="FA85F4D"/>
    <w:multiLevelType w:val="hybridMultilevel"/>
    <w:lvl w:ilvl="0">
      <w:lvlJc w:val="left"/>
      <w:lvlText w:val="(%1)"/>
      <w:numFmt w:val="lowerRoman"/>
      <w:start w:val="5"/>
    </w:lvl>
  </w:abstractNum>
  <w:abstractNum w:abstractNumId="295">
    <w:nsid w:val="6ECE91F0"/>
    <w:multiLevelType w:val="hybridMultilevel"/>
    <w:lvl w:ilvl="0">
      <w:lvlJc w:val="left"/>
      <w:lvlText w:val="%1"/>
      <w:numFmt w:val="lowerLetter"/>
      <w:start w:val="1"/>
    </w:lvl>
    <w:lvl w:ilvl="1">
      <w:lvlJc w:val="left"/>
      <w:lvlText w:val="(%2)"/>
      <w:numFmt w:val="lowerRoman"/>
      <w:start w:val="12"/>
    </w:lvl>
  </w:abstractNum>
  <w:abstractNum w:abstractNumId="296">
    <w:nsid w:val="4FC4D600"/>
    <w:multiLevelType w:val="hybridMultilevel"/>
    <w:lvl w:ilvl="0">
      <w:lvlJc w:val="left"/>
      <w:lvlText w:val="(%1)"/>
      <w:numFmt w:val="lowerLetter"/>
      <w:start w:val="4"/>
    </w:lvl>
    <w:lvl w:ilvl="1">
      <w:lvlJc w:val="left"/>
      <w:lvlText w:val="%2"/>
      <w:numFmt w:val="lowerRoman"/>
      <w:start w:val="1"/>
    </w:lvl>
  </w:abstractNum>
  <w:abstractNum w:abstractNumId="297">
    <w:nsid w:val="5BFD421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98">
    <w:nsid w:val="76574F8B"/>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299">
    <w:nsid w:val="178F7B67"/>
    <w:multiLevelType w:val="hybridMultilevel"/>
    <w:lvl w:ilvl="0">
      <w:lvlJc w:val="left"/>
      <w:lvlText w:val="%1"/>
      <w:numFmt w:val="decimal"/>
      <w:start w:val="1"/>
    </w:lvl>
    <w:lvl w:ilvl="1">
      <w:lvlJc w:val="left"/>
      <w:lvlText w:val="(%2)"/>
      <w:numFmt w:val="lowerLetter"/>
      <w:start w:val="2"/>
    </w:lvl>
  </w:abstractNum>
  <w:abstractNum w:abstractNumId="300">
    <w:nsid w:val="2421DFCF"/>
    <w:multiLevelType w:val="hybridMultilevel"/>
    <w:lvl w:ilvl="0">
      <w:lvlJc w:val="left"/>
      <w:lvlText w:val="%1."/>
      <w:numFmt w:val="decimal"/>
      <w:start w:val="7"/>
    </w:lvl>
    <w:lvl w:ilvl="1">
      <w:lvlJc w:val="left"/>
      <w:lvlText w:val="%2"/>
      <w:numFmt w:val="lowerLetter"/>
      <w:start w:val="1"/>
    </w:lvl>
  </w:abstractNum>
  <w:abstractNum w:abstractNumId="301">
    <w:nsid w:val="1565AC99"/>
    <w:multiLevelType w:val="hybridMultilevel"/>
    <w:lvl w:ilvl="0">
      <w:lvlJc w:val="left"/>
      <w:lvlText w:val="(%1)"/>
      <w:numFmt w:val="lowerLetter"/>
      <w:start w:val="1"/>
    </w:lvl>
  </w:abstractNum>
  <w:abstractNum w:abstractNumId="302">
    <w:nsid w:val="19FB265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3">
    <w:nsid w:val="5024DE5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4">
    <w:nsid w:val="168EFE17"/>
    <w:multiLevelType w:val="hybridMultilevel"/>
    <w:lvl w:ilvl="0">
      <w:lvlJc w:val="left"/>
      <w:lvlText w:val="%1"/>
      <w:numFmt w:val="lowerRoman"/>
      <w:start w:val="1"/>
    </w:lvl>
    <w:lvl w:ilvl="1">
      <w:lvlJc w:val="left"/>
      <w:lvlText w:val="(%2)"/>
      <w:numFmt w:val="upperLetter"/>
      <w:start w:val="5"/>
    </w:lvl>
  </w:abstractNum>
  <w:abstractNum w:abstractNumId="305">
    <w:nsid w:val="1036B29F"/>
    <w:multiLevelType w:val="hybridMultilevel"/>
    <w:lvl w:ilvl="0">
      <w:lvlJc w:val="left"/>
      <w:lvlText w:val="(%1)"/>
      <w:numFmt w:val="lowerRoman"/>
      <w:start w:val="2"/>
    </w:lvl>
    <w:lvl w:ilvl="1">
      <w:lvlJc w:val="left"/>
      <w:lvlText w:val="%2"/>
      <w:numFmt w:val="upperLetter"/>
      <w:start w:val="1"/>
    </w:lvl>
  </w:abstractNum>
  <w:abstractNum w:abstractNumId="306">
    <w:nsid w:val="1D206B8E"/>
    <w:multiLevelType w:val="hybridMultilevel"/>
    <w:lvl w:ilvl="0">
      <w:lvlJc w:val="left"/>
      <w:lvlText w:val="(%1)"/>
      <w:numFmt w:val="upperLetter"/>
      <w:start w:val="1"/>
    </w:lvl>
  </w:abstractNum>
  <w:abstractNum w:abstractNumId="307">
    <w:nsid w:val="7934D3D4"/>
    <w:multiLevelType w:val="hybridMultilevel"/>
    <w:lvl w:ilvl="0">
      <w:lvlJc w:val="left"/>
      <w:lvlText w:val="(%1)"/>
      <w:numFmt w:val="upperLetter"/>
      <w:start w:val="2"/>
    </w:lvl>
  </w:abstractNum>
  <w:abstractNum w:abstractNumId="308">
    <w:nsid w:val="1C65E9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309">
    <w:nsid w:val="1495E50A"/>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310">
    <w:nsid w:val="F5BCF61"/>
    <w:multiLevelType w:val="hybridMultilevel"/>
    <w:lvl w:ilvl="0">
      <w:lvlJc w:val="left"/>
      <w:lvlText w:val="%1"/>
      <w:numFmt w:val="decimal"/>
      <w:start w:val="1"/>
    </w:lvl>
    <w:lvl w:ilvl="1">
      <w:lvlJc w:val="left"/>
      <w:lvlText w:val="(%2)"/>
      <w:numFmt w:val="lowerLetter"/>
      <w:start w:val="4"/>
    </w:lvl>
  </w:abstractNum>
  <w:abstractNum w:abstractNumId="311">
    <w:nsid w:val="3B1DD403"/>
    <w:multiLevelType w:val="hybridMultilevel"/>
    <w:lvl w:ilvl="0">
      <w:lvlJc w:val="left"/>
      <w:lvlText w:val="%1."/>
      <w:numFmt w:val="decimal"/>
      <w:start w:val="10"/>
    </w:lvl>
    <w:lvl w:ilvl="1">
      <w:lvlJc w:val="left"/>
      <w:lvlText w:val="(%2)"/>
      <w:numFmt w:val="lowerLetter"/>
      <w:start w:val="1"/>
    </w:lvl>
  </w:abstractNum>
  <w:abstractNum w:abstractNumId="312">
    <w:nsid w:val="530386D1"/>
    <w:multiLevelType w:val="hybridMultilevel"/>
    <w:lvl w:ilvl="0">
      <w:lvlJc w:val="left"/>
      <w:lvlText w:val="%1"/>
      <w:numFmt w:val="decimal"/>
      <w:start w:val="1"/>
    </w:lvl>
    <w:lvl w:ilvl="1">
      <w:lvlJc w:val="left"/>
      <w:lvlText w:val="(%2)"/>
      <w:numFmt w:val="lowerLetter"/>
      <w:start w:val="2"/>
    </w:lvl>
  </w:abstractNum>
  <w:abstractNum w:abstractNumId="313">
    <w:nsid w:val="7525F2BC"/>
    <w:multiLevelType w:val="hybridMultilevel"/>
    <w:lvl w:ilvl="0">
      <w:lvlJc w:val="left"/>
      <w:lvlText w:val="%1."/>
      <w:numFmt w:val="decimal"/>
      <w:start w:val="11"/>
    </w:lvl>
    <w:lvl w:ilvl="1">
      <w:lvlJc w:val="left"/>
      <w:lvlText w:val="(%2)"/>
      <w:numFmt w:val="lowerLetter"/>
      <w:start w:val="1"/>
    </w:lvl>
  </w:abstractNum>
  <w:abstractNum w:abstractNumId="314">
    <w:nsid w:val="CE8E1A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15">
    <w:nsid w:val="4E9EFB0D"/>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316">
    <w:nsid w:val="90802BE"/>
    <w:multiLevelType w:val="hybridMultilevel"/>
    <w:lvl w:ilvl="0">
      <w:lvlJc w:val="left"/>
      <w:lvlText w:val="%1"/>
      <w:numFmt w:val="lowerLetter"/>
      <w:start w:val="1"/>
    </w:lvl>
    <w:lvl w:ilvl="1">
      <w:lvlJc w:val="left"/>
      <w:lvlText w:val="(%2)"/>
      <w:numFmt w:val="lowerLetter"/>
      <w:start w:val="35"/>
    </w:lvl>
  </w:abstractNum>
  <w:abstractNum w:abstractNumId="317">
    <w:nsid w:val="3266459B"/>
    <w:multiLevelType w:val="hybridMultilevel"/>
    <w:lvl w:ilvl="0">
      <w:lvlJc w:val="left"/>
      <w:lvlText w:val="(%1)"/>
      <w:numFmt w:val="lowerLetter"/>
      <w:start w:val="2"/>
    </w:lvl>
    <w:lvl w:ilvl="1">
      <w:lvlJc w:val="left"/>
      <w:lvlText w:val="%2"/>
      <w:numFmt w:val="lowerLetter"/>
      <w:start w:val="1"/>
    </w:lvl>
  </w:abstractNum>
  <w:abstractNum w:abstractNumId="318">
    <w:nsid w:val="3F8B0CBF"/>
    <w:multiLevelType w:val="hybridMultilevel"/>
    <w:lvl w:ilvl="0">
      <w:lvlJc w:val="left"/>
      <w:lvlText w:val="%1"/>
      <w:numFmt w:val="decimal"/>
      <w:start w:val="1"/>
    </w:lvl>
    <w:lvl w:ilvl="1">
      <w:lvlJc w:val="left"/>
      <w:lvlText w:val="(%2)"/>
      <w:numFmt w:val="lowerLetter"/>
      <w:start w:val="3"/>
    </w:lvl>
  </w:abstractNum>
  <w:abstractNum w:abstractNumId="319">
    <w:nsid w:val="37E203AB"/>
    <w:multiLevelType w:val="hybridMultilevel"/>
    <w:lvl w:ilvl="0">
      <w:lvlJc w:val="left"/>
      <w:lvlText w:val="%1."/>
      <w:numFmt w:val="decimal"/>
      <w:start w:val="13"/>
    </w:lvl>
    <w:lvl w:ilvl="1">
      <w:lvlJc w:val="left"/>
      <w:lvlText w:val="%2"/>
      <w:numFmt w:val="lowerLetter"/>
      <w:start w:val="1"/>
    </w:lvl>
  </w:abstractNum>
  <w:abstractNum w:abstractNumId="320">
    <w:nsid w:val="2586D60E"/>
    <w:multiLevelType w:val="hybridMultilevel"/>
    <w:lvl w:ilvl="0">
      <w:lvlJc w:val="left"/>
      <w:lvlText w:val="%1."/>
      <w:numFmt w:val="decimal"/>
      <w:start w:val="14"/>
    </w:lvl>
    <w:lvl w:ilvl="1">
      <w:lvlJc w:val="left"/>
      <w:lvlText w:val="(%2)"/>
      <w:numFmt w:val="lowerLetter"/>
      <w:start w:val="1"/>
    </w:lvl>
  </w:abstractNum>
  <w:abstractNum w:abstractNumId="321">
    <w:nsid w:val="1F3DA4D5"/>
    <w:multiLevelType w:val="hybridMultilevel"/>
    <w:lvl w:ilvl="0">
      <w:lvlJc w:val="left"/>
      <w:lvlText w:val="%1"/>
      <w:numFmt w:val="decimal"/>
      <w:start w:val="1"/>
    </w:lvl>
    <w:lvl w:ilvl="1">
      <w:lvlJc w:val="left"/>
      <w:lvlText w:val="(%2)"/>
      <w:numFmt w:val="lowerLetter"/>
      <w:start w:val="4"/>
    </w:lvl>
  </w:abstractNum>
  <w:abstractNum w:abstractNumId="322">
    <w:nsid w:val="74C93698"/>
    <w:multiLevelType w:val="hybridMultilevel"/>
    <w:lvl w:ilvl="0">
      <w:lvlJc w:val="left"/>
      <w:lvlText w:val="%1."/>
      <w:numFmt w:val="decimal"/>
      <w:start w:val="15"/>
    </w:lvl>
    <w:lvl w:ilvl="1">
      <w:lvlJc w:val="left"/>
      <w:lvlText w:val="(%2)"/>
      <w:numFmt w:val="lowerLetter"/>
      <w:start w:val="1"/>
    </w:lvl>
  </w:abstractNum>
  <w:abstractNum w:abstractNumId="323">
    <w:nsid w:val="48781401"/>
    <w:multiLevelType w:val="hybridMultilevel"/>
    <w:lvl w:ilvl="0">
      <w:lvlJc w:val="left"/>
      <w:lvlText w:val="%1."/>
      <w:numFmt w:val="decimal"/>
      <w:start w:val="18"/>
    </w:lvl>
  </w:abstractNum>
  <w:abstractNum w:abstractNumId="324">
    <w:nsid w:val="186928D6"/>
    <w:multiLevelType w:val="hybridMultilevel"/>
    <w:lvl w:ilvl="0">
      <w:lvlJc w:val="left"/>
      <w:lvlText w:val="%1."/>
      <w:numFmt w:val="decimal"/>
      <w:start w:val="22"/>
    </w:lvl>
    <w:lvl w:ilvl="1">
      <w:lvlJc w:val="left"/>
      <w:lvlText w:val="(%2)"/>
      <w:numFmt w:val="lowerLetter"/>
      <w:start w:val="1"/>
    </w:lvl>
  </w:abstractNum>
  <w:abstractNum w:abstractNumId="325">
    <w:nsid w:val="47195E5"/>
    <w:multiLevelType w:val="hybridMultilevel"/>
    <w:lvl w:ilvl="0">
      <w:lvlJc w:val="left"/>
      <w:lvlText w:val="%1."/>
      <w:numFmt w:val="decimal"/>
      <w:start w:val="26"/>
    </w:lvl>
    <w:lvl w:ilvl="1">
      <w:lvlJc w:val="left"/>
      <w:lvlText w:val="(%2)"/>
      <w:numFmt w:val="lowerLetter"/>
      <w:start w:val="1"/>
    </w:lvl>
  </w:abstractNum>
  <w:abstractNum w:abstractNumId="326">
    <w:nsid w:val="3746A5F2"/>
    <w:multiLevelType w:val="hybridMultilevel"/>
    <w:lvl w:ilvl="0">
      <w:lvlJc w:val="left"/>
      <w:lvlText w:val="%1"/>
      <w:numFmt w:val="decimal"/>
      <w:start w:val="1"/>
    </w:lvl>
    <w:lvl w:ilvl="1">
      <w:lvlJc w:val="left"/>
      <w:lvlText w:val="(%2)"/>
      <w:numFmt w:val="lowerLetter"/>
      <w:start w:val="3"/>
    </w:lvl>
  </w:abstractNum>
  <w:abstractNum w:abstractNumId="327">
    <w:nsid w:val="682DFED6"/>
    <w:multiLevelType w:val="hybridMultilevel"/>
    <w:lvl w:ilvl="0">
      <w:lvlJc w:val="left"/>
      <w:lvlText w:val="%1."/>
      <w:numFmt w:val="decimal"/>
      <w:start w:val="32"/>
    </w:lvl>
    <w:lvl w:ilvl="1">
      <w:lvlJc w:val="left"/>
      <w:lvlText w:val="(%2)"/>
      <w:numFmt w:val="lowerLetter"/>
      <w:start w:val="1"/>
    </w:lvl>
  </w:abstractNum>
  <w:abstractNum w:abstractNumId="328">
    <w:nsid w:val="606ED7F6"/>
    <w:multiLevelType w:val="hybridMultilevel"/>
    <w:lvl w:ilvl="0">
      <w:lvlJc w:val="left"/>
      <w:lvlText w:val="%1."/>
      <w:numFmt w:val="decimal"/>
      <w:start w:val="1"/>
    </w:lvl>
  </w:abstractNum>
  <w:abstractNum w:abstractNumId="329">
    <w:nsid w:val="2D9DF57D"/>
    <w:multiLevelType w:val="hybridMultilevel"/>
    <w:lvl w:ilvl="0">
      <w:lvlJc w:val="left"/>
      <w:lvlText w:val="%1."/>
      <w:numFmt w:val="decimal"/>
      <w:start w:val="6"/>
    </w:lvl>
  </w:abstractNum>
  <w:abstractNum w:abstractNumId="330">
    <w:nsid w:val="7FBD7A3E"/>
    <w:multiLevelType w:val="hybridMultilevel"/>
    <w:lvl w:ilvl="0">
      <w:lvlJc w:val="left"/>
      <w:lvlText w:val="%1"/>
      <w:numFmt w:val="decimal"/>
      <w:start w:val="1"/>
    </w:lvl>
    <w:lvl w:ilvl="1">
      <w:lvlJc w:val="left"/>
      <w:lvlText w:val="(%2)"/>
      <w:numFmt w:val="lowerLetter"/>
      <w:start w:val="1"/>
    </w:lvl>
  </w:abstractNum>
  <w:abstractNum w:abstractNumId="331">
    <w:nsid w:val="490B7C5"/>
    <w:multiLevelType w:val="hybridMultilevel"/>
    <w:lvl w:ilvl="0">
      <w:lvlJc w:val="left"/>
      <w:lvlText w:val="%1."/>
      <w:numFmt w:val="decimal"/>
      <w:start w:val="10"/>
    </w:lvl>
    <w:lvl w:ilvl="1">
      <w:lvlJc w:val="left"/>
      <w:lvlText w:val="%2"/>
      <w:numFmt w:val="lowerLetter"/>
      <w:start w:val="1"/>
    </w:lvl>
  </w:abstractNum>
  <w:abstractNum w:abstractNumId="332">
    <w:nsid w:val="4303A216"/>
    <w:multiLevelType w:val="hybridMultilevel"/>
    <w:lvl w:ilvl="0">
      <w:lvlJc w:val="left"/>
      <w:lvlText w:val="%1."/>
      <w:numFmt w:val="decimal"/>
      <w:start w:val="11"/>
    </w:lvl>
    <w:lvl w:ilvl="1">
      <w:lvlJc w:val="left"/>
      <w:lvlText w:val="(%2)"/>
      <w:numFmt w:val="lowerLetter"/>
      <w:start w:val="1"/>
    </w:lvl>
  </w:abstractNum>
  <w:abstractNum w:abstractNumId="333">
    <w:nsid w:val="19B8A08E"/>
    <w:multiLevelType w:val="hybridMultilevel"/>
    <w:lvl w:ilvl="0">
      <w:lvlJc w:val="left"/>
      <w:lvlText w:val="(%1)"/>
      <w:numFmt w:val="lowerLetter"/>
      <w:start w:val="3"/>
    </w:lvl>
  </w:abstractNum>
  <w:abstractNum w:abstractNumId="334">
    <w:nsid w:val="54B59621"/>
    <w:multiLevelType w:val="hybridMultilevel"/>
    <w:lvl w:ilvl="0">
      <w:lvlJc w:val="left"/>
      <w:lvlText w:val="(%1)"/>
      <w:numFmt w:val="lowerLetter"/>
      <w:start w:val="7"/>
    </w:lvl>
  </w:abstractNum>
  <w:abstractNum w:abstractNumId="335">
    <w:nsid w:val="5992A02E"/>
    <w:multiLevelType w:val="hybridMultilevel"/>
    <w:lvl w:ilvl="0">
      <w:lvlJc w:val="left"/>
      <w:lvlText w:val="%1."/>
      <w:numFmt w:val="decimal"/>
      <w:start w:val="13"/>
    </w:lvl>
  </w:abstractNum>
  <w:abstractNum w:abstractNumId="336">
    <w:nsid w:val="29EF532D"/>
    <w:multiLevelType w:val="hybridMultilevel"/>
    <w:lvl w:ilvl="0">
      <w:lvlJc w:val="left"/>
      <w:lvlText w:val="%1."/>
      <w:numFmt w:val="decimal"/>
      <w:start w:val="1"/>
    </w:lvl>
    <w:lvl w:ilvl="1">
      <w:lvlJc w:val="left"/>
      <w:lvlText w:val="(%2)"/>
      <w:numFmt w:val="lowerLetter"/>
      <w:start w:val="1"/>
    </w:lvl>
  </w:abstractNum>
  <w:abstractNum w:abstractNumId="337">
    <w:nsid w:val="71D601AF"/>
    <w:multiLevelType w:val="hybridMultilevel"/>
    <w:lvl w:ilvl="0">
      <w:lvlJc w:val="left"/>
      <w:lvlText w:val="%1"/>
      <w:numFmt w:val="decimal"/>
      <w:start w:val="1"/>
    </w:lvl>
    <w:lvl w:ilvl="1">
      <w:lvlJc w:val="left"/>
      <w:lvlText w:val="(%2)"/>
      <w:numFmt w:val="lowerLetter"/>
      <w:start w:val="2"/>
    </w:lvl>
  </w:abstractNum>
  <w:abstractNum w:abstractNumId="338">
    <w:nsid w:val="52C77402"/>
    <w:multiLevelType w:val="hybridMultilevel"/>
    <w:lvl w:ilvl="0">
      <w:lvlJc w:val="left"/>
      <w:lvlText w:val="%1."/>
      <w:numFmt w:val="decimal"/>
      <w:start w:val="6"/>
    </w:lvl>
    <w:lvl w:ilvl="1">
      <w:lvlJc w:val="left"/>
      <w:lvlText w:val="%2"/>
      <w:numFmt w:val="lowerLetter"/>
      <w:start w:val="1"/>
    </w:lvl>
  </w:abstractNum>
  <w:abstractNum w:abstractNumId="339">
    <w:nsid w:val="2BB5B1C6"/>
    <w:multiLevelType w:val="hybridMultilevel"/>
    <w:lvl w:ilvl="0">
      <w:lvlJc w:val="left"/>
      <w:lvlText w:val="%1."/>
      <w:numFmt w:val="decimal"/>
      <w:start w:val="8"/>
    </w:lvl>
    <w:lvl w:ilvl="1">
      <w:lvlJc w:val="left"/>
      <w:lvlText w:val="(%2)"/>
      <w:numFmt w:val="lowerLetter"/>
      <w:start w:val="1"/>
    </w:lvl>
  </w:abstractNum>
  <w:abstractNum w:abstractNumId="340">
    <w:nsid w:val="66BE6B9"/>
    <w:multiLevelType w:val="hybridMultilevel"/>
    <w:lvl w:ilvl="0">
      <w:lvlJc w:val="left"/>
      <w:lvlText w:val="%1."/>
      <w:numFmt w:val="decimal"/>
      <w:start w:val="11"/>
    </w:lvl>
    <w:lvl w:ilvl="1">
      <w:lvlJc w:val="left"/>
      <w:lvlText w:val="(%2)"/>
      <w:numFmt w:val="lowerLetter"/>
      <w:start w:val="1"/>
    </w:lvl>
  </w:abstractNum>
  <w:abstractNum w:abstractNumId="341">
    <w:nsid w:val="62234363"/>
    <w:multiLevelType w:val="hybridMultilevel"/>
    <w:lvl w:ilvl="0">
      <w:lvlJc w:val="left"/>
      <w:lvlText w:val="(%1)"/>
      <w:numFmt w:val="lowerLetter"/>
      <w:start w:val="3"/>
    </w:lvl>
  </w:abstractNum>
  <w:abstractNum w:abstractNumId="342">
    <w:nsid w:val="66D385C9"/>
    <w:multiLevelType w:val="hybridMultilevel"/>
    <w:lvl w:ilvl="0">
      <w:lvlJc w:val="left"/>
      <w:lvlText w:val="%1"/>
      <w:numFmt w:val="decimal"/>
      <w:start w:val="1"/>
    </w:lvl>
    <w:lvl w:ilvl="1">
      <w:lvlJc w:val="left"/>
      <w:lvlText w:val="(%2)"/>
      <w:numFmt w:val="lowerLetter"/>
      <w:start w:val="8"/>
    </w:lvl>
  </w:abstractNum>
  <w:abstractNum w:abstractNumId="343">
    <w:nsid w:val="596F6D8A"/>
    <w:multiLevelType w:val="hybridMultilevel"/>
    <w:lvl w:ilvl="0">
      <w:lvlJc w:val="left"/>
      <w:lvlText w:val="%1."/>
      <w:numFmt w:val="decimal"/>
      <w:start w:val="13"/>
    </w:lvl>
    <w:lvl w:ilvl="1">
      <w:lvlJc w:val="left"/>
      <w:lvlText w:val="%2"/>
      <w:numFmt w:val="lowerLetter"/>
      <w:start w:val="1"/>
    </w:lvl>
  </w:abstractNum>
  <w:abstractNum w:abstractNumId="344">
    <w:nsid w:val="5749361F"/>
    <w:multiLevelType w:val="hybridMultilevel"/>
    <w:lvl w:ilvl="0">
      <w:lvlJc w:val="left"/>
      <w:lvlText w:val="%1."/>
      <w:numFmt w:val="decimal"/>
      <w:start w:val="1"/>
    </w:lvl>
    <w:lvl w:ilvl="1">
      <w:lvlJc w:val="left"/>
      <w:lvlText w:val="(%2)"/>
      <w:numFmt w:val="lowerLetter"/>
      <w:start w:val="1"/>
    </w:lvl>
  </w:abstractNum>
  <w:abstractNum w:abstractNumId="345">
    <w:nsid w:val="73BC6770"/>
    <w:multiLevelType w:val="hybridMultilevel"/>
    <w:lvl w:ilvl="0">
      <w:lvlJc w:val="left"/>
      <w:lvlText w:val="%1."/>
      <w:numFmt w:val="decimal"/>
      <w:start w:val="4"/>
    </w:lvl>
    <w:lvl w:ilvl="1">
      <w:lvlJc w:val="left"/>
      <w:lvlText w:val="(%2)"/>
      <w:numFmt w:val="lowerLetter"/>
      <w:start w:val="1"/>
    </w:lvl>
  </w:abstractNum>
  <w:abstractNum w:abstractNumId="346">
    <w:nsid w:val="280E6897"/>
    <w:multiLevelType w:val="hybridMultilevel"/>
    <w:lvl w:ilvl="0">
      <w:lvlJc w:val="left"/>
      <w:lvlText w:val="%1."/>
      <w:numFmt w:val="decimal"/>
      <w:start w:val="5"/>
    </w:lvl>
  </w:abstractNum>
  <w:abstractNum w:abstractNumId="347">
    <w:nsid w:val="605138DE"/>
    <w:multiLevelType w:val="hybridMultilevel"/>
    <w:lvl w:ilvl="0">
      <w:lvlJc w:val="left"/>
      <w:lvlText w:val="%1."/>
      <w:numFmt w:val="decimal"/>
      <w:start w:val="9"/>
    </w:lvl>
    <w:lvl w:ilvl="1">
      <w:lvlJc w:val="left"/>
      <w:lvlText w:val="(%2)"/>
      <w:numFmt w:val="lowerLetter"/>
      <w:start w:val="1"/>
    </w:lvl>
  </w:abstractNum>
  <w:abstractNum w:abstractNumId="348">
    <w:nsid w:val="2622AD0C"/>
    <w:multiLevelType w:val="hybridMultilevel"/>
    <w:lvl w:ilvl="0">
      <w:lvlJc w:val="left"/>
      <w:lvlText w:val="%1."/>
      <w:numFmt w:val="decimal"/>
      <w:start w:val="11"/>
    </w:lvl>
  </w:abstractNum>
  <w:abstractNum w:abstractNumId="349">
    <w:nsid w:val="67997556"/>
    <w:multiLevelType w:val="hybridMultilevel"/>
    <w:lvl w:ilvl="0">
      <w:lvlJc w:val="left"/>
      <w:lvlText w:val="%1."/>
      <w:numFmt w:val="decimal"/>
      <w:start w:val="15"/>
    </w:lvl>
    <w:lvl w:ilvl="1">
      <w:lvlJc w:val="left"/>
      <w:lvlText w:val="(%2)"/>
      <w:numFmt w:val="lowerLetter"/>
      <w:start w:val="1"/>
    </w:lvl>
  </w:abstractNum>
  <w:abstractNum w:abstractNumId="350">
    <w:nsid w:val="18333C8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51">
    <w:nsid w:val="4BA9831A"/>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352">
    <w:nsid w:val="6D71A2B"/>
    <w:multiLevelType w:val="hybridMultilevel"/>
    <w:lvl w:ilvl="0">
      <w:lvlJc w:val="left"/>
      <w:lvlText w:val="(%1)"/>
      <w:numFmt w:val="lowerLetter"/>
      <w:start w:val="4"/>
    </w:lvl>
  </w:abstractNum>
  <w:abstractNum w:abstractNumId="353">
    <w:nsid w:val="CFC7321"/>
    <w:multiLevelType w:val="hybridMultilevel"/>
    <w:lvl w:ilvl="0">
      <w:lvlJc w:val="left"/>
      <w:lvlText w:val="%1"/>
      <w:numFmt w:val="decimal"/>
      <w:start w:val="1"/>
    </w:lvl>
    <w:lvl w:ilvl="1">
      <w:lvlJc w:val="left"/>
      <w:lvlText w:val="(%2)"/>
      <w:numFmt w:val="lowerLetter"/>
      <w:start w:val="9"/>
    </w:lvl>
  </w:abstractNum>
  <w:abstractNum w:abstractNumId="354">
    <w:nsid w:val="1421971B"/>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jpe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1002" Type="http://schemas.openxmlformats.org/officeDocument/2006/relationships/image" Target="media/image983.png"/><Relationship Id="rId1003" Type="http://schemas.openxmlformats.org/officeDocument/2006/relationships/image" Target="media/image984.png"/><Relationship Id="rId1004" Type="http://schemas.openxmlformats.org/officeDocument/2006/relationships/image" Target="media/image985.png"/><Relationship Id="rId1005" Type="http://schemas.openxmlformats.org/officeDocument/2006/relationships/image" Target="media/image986.png"/><Relationship Id="rId1006" Type="http://schemas.openxmlformats.org/officeDocument/2006/relationships/image" Target="media/image987.png"/><Relationship Id="rId1007" Type="http://schemas.openxmlformats.org/officeDocument/2006/relationships/image" Target="media/image988.png"/><Relationship Id="rId1008" Type="http://schemas.openxmlformats.org/officeDocument/2006/relationships/image" Target="media/image989.png"/><Relationship Id="rId1009" Type="http://schemas.openxmlformats.org/officeDocument/2006/relationships/image" Target="media/image990.png"/><Relationship Id="rId1010" Type="http://schemas.openxmlformats.org/officeDocument/2006/relationships/image" Target="media/image991.png"/><Relationship Id="rId1011" Type="http://schemas.openxmlformats.org/officeDocument/2006/relationships/image" Target="media/image992.png"/><Relationship Id="rId1012" Type="http://schemas.openxmlformats.org/officeDocument/2006/relationships/image" Target="media/image993.png"/><Relationship Id="rId1013" Type="http://schemas.openxmlformats.org/officeDocument/2006/relationships/image" Target="media/image994.png"/><Relationship Id="rId1014" Type="http://schemas.openxmlformats.org/officeDocument/2006/relationships/image" Target="media/image995.png"/><Relationship Id="rId1015" Type="http://schemas.openxmlformats.org/officeDocument/2006/relationships/image" Target="media/image996.png"/><Relationship Id="rId1016" Type="http://schemas.openxmlformats.org/officeDocument/2006/relationships/image" Target="media/image997.png"/><Relationship Id="rId1017" Type="http://schemas.openxmlformats.org/officeDocument/2006/relationships/image" Target="media/image998.png"/><Relationship Id="rId1018" Type="http://schemas.openxmlformats.org/officeDocument/2006/relationships/image" Target="media/image999.png"/><Relationship Id="rId1019" Type="http://schemas.openxmlformats.org/officeDocument/2006/relationships/image" Target="media/image1000.png"/><Relationship Id="rId1020" Type="http://schemas.openxmlformats.org/officeDocument/2006/relationships/image" Target="media/image1001.png"/><Relationship Id="rId1021" Type="http://schemas.openxmlformats.org/officeDocument/2006/relationships/image" Target="media/image1002.png"/><Relationship Id="rId1022" Type="http://schemas.openxmlformats.org/officeDocument/2006/relationships/image" Target="media/image1003.png"/><Relationship Id="rId1023" Type="http://schemas.openxmlformats.org/officeDocument/2006/relationships/image" Target="media/image1004.png"/><Relationship Id="rId1024" Type="http://schemas.openxmlformats.org/officeDocument/2006/relationships/image" Target="media/image1005.png"/><Relationship Id="rId1025" Type="http://schemas.openxmlformats.org/officeDocument/2006/relationships/image" Target="media/image1006.png"/><Relationship Id="rId1026" Type="http://schemas.openxmlformats.org/officeDocument/2006/relationships/image" Target="media/image1007.png"/><Relationship Id="rId1027" Type="http://schemas.openxmlformats.org/officeDocument/2006/relationships/image" Target="media/image1008.png"/><Relationship Id="rId1028" Type="http://schemas.openxmlformats.org/officeDocument/2006/relationships/image" Target="media/image1009.png"/><Relationship Id="rId1029" Type="http://schemas.openxmlformats.org/officeDocument/2006/relationships/image" Target="media/image1010.png"/><Relationship Id="rId1030" Type="http://schemas.openxmlformats.org/officeDocument/2006/relationships/image" Target="media/image1011.png"/><Relationship Id="rId1031" Type="http://schemas.openxmlformats.org/officeDocument/2006/relationships/image" Target="media/image1012.png"/><Relationship Id="rId1032" Type="http://schemas.openxmlformats.org/officeDocument/2006/relationships/image" Target="media/image1013.png"/><Relationship Id="rId1033" Type="http://schemas.openxmlformats.org/officeDocument/2006/relationships/image" Target="media/image1014.png"/><Relationship Id="rId1034" Type="http://schemas.openxmlformats.org/officeDocument/2006/relationships/image" Target="media/image1015.png"/><Relationship Id="rId1035" Type="http://schemas.openxmlformats.org/officeDocument/2006/relationships/image" Target="media/image1016.png"/><Relationship Id="rId1036" Type="http://schemas.openxmlformats.org/officeDocument/2006/relationships/image" Target="media/image1017.png"/><Relationship Id="rId1037" Type="http://schemas.openxmlformats.org/officeDocument/2006/relationships/image" Target="media/image1018.png"/><Relationship Id="rId1038" Type="http://schemas.openxmlformats.org/officeDocument/2006/relationships/image" Target="media/image1019.png"/><Relationship Id="rId1039" Type="http://schemas.openxmlformats.org/officeDocument/2006/relationships/image" Target="media/image1020.png"/><Relationship Id="rId1040" Type="http://schemas.openxmlformats.org/officeDocument/2006/relationships/image" Target="media/image1021.png"/><Relationship Id="rId1041" Type="http://schemas.openxmlformats.org/officeDocument/2006/relationships/image" Target="media/image1022.png"/><Relationship Id="rId1042" Type="http://schemas.openxmlformats.org/officeDocument/2006/relationships/image" Target="media/image1023.png"/><Relationship Id="rId1043" Type="http://schemas.openxmlformats.org/officeDocument/2006/relationships/image" Target="media/image1024.png"/><Relationship Id="rId1044" Type="http://schemas.openxmlformats.org/officeDocument/2006/relationships/image" Target="media/image1025.png"/><Relationship Id="rId1045" Type="http://schemas.openxmlformats.org/officeDocument/2006/relationships/image" Target="media/image1026.png"/><Relationship Id="rId1046" Type="http://schemas.openxmlformats.org/officeDocument/2006/relationships/image" Target="media/image1027.png"/><Relationship Id="rId1047" Type="http://schemas.openxmlformats.org/officeDocument/2006/relationships/image" Target="media/image1028.png"/><Relationship Id="rId1048" Type="http://schemas.openxmlformats.org/officeDocument/2006/relationships/image" Target="media/image1029.png"/><Relationship Id="rId1049" Type="http://schemas.openxmlformats.org/officeDocument/2006/relationships/image" Target="media/image1030.png"/><Relationship Id="rId1050" Type="http://schemas.openxmlformats.org/officeDocument/2006/relationships/image" Target="media/image1031.png"/><Relationship Id="rId1051" Type="http://schemas.openxmlformats.org/officeDocument/2006/relationships/image" Target="media/image1032.png"/><Relationship Id="rId1052" Type="http://schemas.openxmlformats.org/officeDocument/2006/relationships/image" Target="media/image1033.png"/><Relationship Id="rId1053" Type="http://schemas.openxmlformats.org/officeDocument/2006/relationships/image" Target="media/image1034.png"/><Relationship Id="rId1054" Type="http://schemas.openxmlformats.org/officeDocument/2006/relationships/image" Target="media/image1035.png"/><Relationship Id="rId1055" Type="http://schemas.openxmlformats.org/officeDocument/2006/relationships/image" Target="media/image1036.png"/><Relationship Id="rId1056" Type="http://schemas.openxmlformats.org/officeDocument/2006/relationships/image" Target="media/image1037.png"/><Relationship Id="rId1057" Type="http://schemas.openxmlformats.org/officeDocument/2006/relationships/image" Target="media/image1038.png"/><Relationship Id="rId1058" Type="http://schemas.openxmlformats.org/officeDocument/2006/relationships/image" Target="media/image1039.png"/><Relationship Id="rId1059" Type="http://schemas.openxmlformats.org/officeDocument/2006/relationships/image" Target="media/image1040.png"/><Relationship Id="rId1060" Type="http://schemas.openxmlformats.org/officeDocument/2006/relationships/image" Target="media/image1041.png"/><Relationship Id="rId1061" Type="http://schemas.openxmlformats.org/officeDocument/2006/relationships/image" Target="media/image1042.png"/><Relationship Id="rId1062" Type="http://schemas.openxmlformats.org/officeDocument/2006/relationships/image" Target="media/image1043.png"/><Relationship Id="rId1063" Type="http://schemas.openxmlformats.org/officeDocument/2006/relationships/image" Target="media/image1044.png"/><Relationship Id="rId1064" Type="http://schemas.openxmlformats.org/officeDocument/2006/relationships/image" Target="media/image1045.png"/><Relationship Id="rId1065" Type="http://schemas.openxmlformats.org/officeDocument/2006/relationships/image" Target="media/image1046.png"/><Relationship Id="rId1066" Type="http://schemas.openxmlformats.org/officeDocument/2006/relationships/image" Target="media/image1047.png"/><Relationship Id="rId1067" Type="http://schemas.openxmlformats.org/officeDocument/2006/relationships/image" Target="media/image1048.png"/><Relationship Id="rId1068" Type="http://schemas.openxmlformats.org/officeDocument/2006/relationships/image" Target="media/image1049.png"/><Relationship Id="rId1069" Type="http://schemas.openxmlformats.org/officeDocument/2006/relationships/image" Target="media/image1050.png"/><Relationship Id="rId1070" Type="http://schemas.openxmlformats.org/officeDocument/2006/relationships/image" Target="media/image1051.png"/><Relationship Id="rId1071" Type="http://schemas.openxmlformats.org/officeDocument/2006/relationships/image" Target="media/image1052.png"/><Relationship Id="rId1072" Type="http://schemas.openxmlformats.org/officeDocument/2006/relationships/image" Target="media/image1053.png"/><Relationship Id="rId1073" Type="http://schemas.openxmlformats.org/officeDocument/2006/relationships/image" Target="media/image1054.png"/><Relationship Id="rId1074" Type="http://schemas.openxmlformats.org/officeDocument/2006/relationships/image" Target="media/image1055.png"/><Relationship Id="rId1075" Type="http://schemas.openxmlformats.org/officeDocument/2006/relationships/image" Target="media/image1056.png"/><Relationship Id="rId1076" Type="http://schemas.openxmlformats.org/officeDocument/2006/relationships/image" Target="media/image1057.png"/><Relationship Id="rId1077" Type="http://schemas.openxmlformats.org/officeDocument/2006/relationships/image" Target="media/image1058.png"/><Relationship Id="rId1078" Type="http://schemas.openxmlformats.org/officeDocument/2006/relationships/image" Target="media/image1059.png"/><Relationship Id="rId1079" Type="http://schemas.openxmlformats.org/officeDocument/2006/relationships/image" Target="media/image1060.png"/><Relationship Id="rId1080" Type="http://schemas.openxmlformats.org/officeDocument/2006/relationships/image" Target="media/image1061.png"/><Relationship Id="rId1081" Type="http://schemas.openxmlformats.org/officeDocument/2006/relationships/image" Target="media/image1062.png"/><Relationship Id="rId1082" Type="http://schemas.openxmlformats.org/officeDocument/2006/relationships/image" Target="media/image1063.png"/><Relationship Id="rId1083" Type="http://schemas.openxmlformats.org/officeDocument/2006/relationships/image" Target="media/image1064.png"/><Relationship Id="rId1084" Type="http://schemas.openxmlformats.org/officeDocument/2006/relationships/image" Target="media/image1065.png"/><Relationship Id="rId1085" Type="http://schemas.openxmlformats.org/officeDocument/2006/relationships/image" Target="media/image1066.png"/><Relationship Id="rId1086" Type="http://schemas.openxmlformats.org/officeDocument/2006/relationships/image" Target="media/image1067.png"/><Relationship Id="rId1087" Type="http://schemas.openxmlformats.org/officeDocument/2006/relationships/image" Target="media/image1068.png"/><Relationship Id="rId1088" Type="http://schemas.openxmlformats.org/officeDocument/2006/relationships/image" Target="media/image1069.png"/><Relationship Id="rId1089" Type="http://schemas.openxmlformats.org/officeDocument/2006/relationships/image" Target="media/image1070.png"/><Relationship Id="rId1090" Type="http://schemas.openxmlformats.org/officeDocument/2006/relationships/image" Target="media/image1071.png"/><Relationship Id="rId1091" Type="http://schemas.openxmlformats.org/officeDocument/2006/relationships/image" Target="media/image1072.png"/><Relationship Id="rId1092" Type="http://schemas.openxmlformats.org/officeDocument/2006/relationships/image" Target="media/image1073.png"/><Relationship Id="rId1093" Type="http://schemas.openxmlformats.org/officeDocument/2006/relationships/image" Target="media/image1074.png"/><Relationship Id="rId1094" Type="http://schemas.openxmlformats.org/officeDocument/2006/relationships/image" Target="media/image1075.png"/><Relationship Id="rId1095" Type="http://schemas.openxmlformats.org/officeDocument/2006/relationships/image" Target="media/image1076.png"/><Relationship Id="rId1096" Type="http://schemas.openxmlformats.org/officeDocument/2006/relationships/image" Target="media/image1077.png"/><Relationship Id="rId1097" Type="http://schemas.openxmlformats.org/officeDocument/2006/relationships/image" Target="media/image1078.png"/><Relationship Id="rId1098" Type="http://schemas.openxmlformats.org/officeDocument/2006/relationships/image" Target="media/image1079.png"/><Relationship Id="rId1099" Type="http://schemas.openxmlformats.org/officeDocument/2006/relationships/image" Target="media/image1080.png"/><Relationship Id="rId1100" Type="http://schemas.openxmlformats.org/officeDocument/2006/relationships/image" Target="media/image1081.png"/><Relationship Id="rId1101" Type="http://schemas.openxmlformats.org/officeDocument/2006/relationships/image" Target="media/image1082.png"/><Relationship Id="rId1102" Type="http://schemas.openxmlformats.org/officeDocument/2006/relationships/image" Target="media/image1083.png"/><Relationship Id="rId1103" Type="http://schemas.openxmlformats.org/officeDocument/2006/relationships/image" Target="media/image1084.png"/><Relationship Id="rId1104" Type="http://schemas.openxmlformats.org/officeDocument/2006/relationships/image" Target="media/image1085.png"/><Relationship Id="rId1105" Type="http://schemas.openxmlformats.org/officeDocument/2006/relationships/image" Target="media/image1086.png"/><Relationship Id="rId1106" Type="http://schemas.openxmlformats.org/officeDocument/2006/relationships/image" Target="media/image1087.png"/><Relationship Id="rId1107" Type="http://schemas.openxmlformats.org/officeDocument/2006/relationships/image" Target="media/image1088.png"/><Relationship Id="rId1108" Type="http://schemas.openxmlformats.org/officeDocument/2006/relationships/image" Target="media/image1089.png"/><Relationship Id="rId1109" Type="http://schemas.openxmlformats.org/officeDocument/2006/relationships/image" Target="media/image1090.png"/><Relationship Id="rId1110" Type="http://schemas.openxmlformats.org/officeDocument/2006/relationships/image" Target="media/image1091.png"/><Relationship Id="rId1111" Type="http://schemas.openxmlformats.org/officeDocument/2006/relationships/image" Target="media/image1092.png"/><Relationship Id="rId1112" Type="http://schemas.openxmlformats.org/officeDocument/2006/relationships/image" Target="media/image1093.png"/><Relationship Id="rId1113" Type="http://schemas.openxmlformats.org/officeDocument/2006/relationships/image" Target="media/image1094.png"/><Relationship Id="rId1114" Type="http://schemas.openxmlformats.org/officeDocument/2006/relationships/image" Target="media/image1095.png"/><Relationship Id="rId1115" Type="http://schemas.openxmlformats.org/officeDocument/2006/relationships/image" Target="media/image1096.png"/><Relationship Id="rId1116" Type="http://schemas.openxmlformats.org/officeDocument/2006/relationships/image" Target="media/image1097.png"/><Relationship Id="rId1117" Type="http://schemas.openxmlformats.org/officeDocument/2006/relationships/image" Target="media/image1098.png"/><Relationship Id="rId1118" Type="http://schemas.openxmlformats.org/officeDocument/2006/relationships/image" Target="media/image1099.png"/><Relationship Id="rId1119" Type="http://schemas.openxmlformats.org/officeDocument/2006/relationships/image" Target="media/image1100.png"/><Relationship Id="rId1120" Type="http://schemas.openxmlformats.org/officeDocument/2006/relationships/image" Target="media/image1101.png"/><Relationship Id="rId1121" Type="http://schemas.openxmlformats.org/officeDocument/2006/relationships/image" Target="media/image1102.png"/><Relationship Id="rId1122" Type="http://schemas.openxmlformats.org/officeDocument/2006/relationships/image" Target="media/image1103.png"/><Relationship Id="rId1123" Type="http://schemas.openxmlformats.org/officeDocument/2006/relationships/image" Target="media/image1104.png"/><Relationship Id="rId1124" Type="http://schemas.openxmlformats.org/officeDocument/2006/relationships/image" Target="media/image1105.png"/><Relationship Id="rId1125" Type="http://schemas.openxmlformats.org/officeDocument/2006/relationships/image" Target="media/image1106.png"/><Relationship Id="rId1126" Type="http://schemas.openxmlformats.org/officeDocument/2006/relationships/image" Target="media/image1107.png"/><Relationship Id="rId1127" Type="http://schemas.openxmlformats.org/officeDocument/2006/relationships/image" Target="media/image1108.png"/><Relationship Id="rId1128" Type="http://schemas.openxmlformats.org/officeDocument/2006/relationships/image" Target="media/image1109.png"/><Relationship Id="rId1129" Type="http://schemas.openxmlformats.org/officeDocument/2006/relationships/image" Target="media/image1110.png"/><Relationship Id="rId1130" Type="http://schemas.openxmlformats.org/officeDocument/2006/relationships/image" Target="media/image1111.png"/><Relationship Id="rId1131" Type="http://schemas.openxmlformats.org/officeDocument/2006/relationships/image" Target="media/image1112.png"/><Relationship Id="rId1132" Type="http://schemas.openxmlformats.org/officeDocument/2006/relationships/image" Target="media/image1113.png"/><Relationship Id="rId1133" Type="http://schemas.openxmlformats.org/officeDocument/2006/relationships/image" Target="media/image1114.png"/><Relationship Id="rId1134" Type="http://schemas.openxmlformats.org/officeDocument/2006/relationships/image" Target="media/image1115.png"/><Relationship Id="rId1135" Type="http://schemas.openxmlformats.org/officeDocument/2006/relationships/image" Target="media/image1116.png"/><Relationship Id="rId1136" Type="http://schemas.openxmlformats.org/officeDocument/2006/relationships/image" Target="media/image1117.png"/><Relationship Id="rId1137" Type="http://schemas.openxmlformats.org/officeDocument/2006/relationships/image" Target="media/image1118.png"/><Relationship Id="rId1138" Type="http://schemas.openxmlformats.org/officeDocument/2006/relationships/image" Target="media/image1119.png"/><Relationship Id="rId1139" Type="http://schemas.openxmlformats.org/officeDocument/2006/relationships/image" Target="media/image1120.png"/><Relationship Id="rId1140" Type="http://schemas.openxmlformats.org/officeDocument/2006/relationships/image" Target="media/image1121.png"/><Relationship Id="rId1141" Type="http://schemas.openxmlformats.org/officeDocument/2006/relationships/image" Target="media/image1122.png"/><Relationship Id="rId1142" Type="http://schemas.openxmlformats.org/officeDocument/2006/relationships/image" Target="media/image1123.png"/><Relationship Id="rId1143" Type="http://schemas.openxmlformats.org/officeDocument/2006/relationships/image" Target="media/image1124.png"/><Relationship Id="rId1144" Type="http://schemas.openxmlformats.org/officeDocument/2006/relationships/image" Target="media/image1125.png"/><Relationship Id="rId1145" Type="http://schemas.openxmlformats.org/officeDocument/2006/relationships/image" Target="media/image1126.png"/><Relationship Id="rId1146" Type="http://schemas.openxmlformats.org/officeDocument/2006/relationships/image" Target="media/image1127.png"/><Relationship Id="rId1147" Type="http://schemas.openxmlformats.org/officeDocument/2006/relationships/image" Target="media/image1128.png"/><Relationship Id="rId1148" Type="http://schemas.openxmlformats.org/officeDocument/2006/relationships/image" Target="media/image1129.png"/><Relationship Id="rId1149" Type="http://schemas.openxmlformats.org/officeDocument/2006/relationships/image" Target="media/image1130.png"/><Relationship Id="rId1150" Type="http://schemas.openxmlformats.org/officeDocument/2006/relationships/image" Target="media/image1131.png"/><Relationship Id="rId1151" Type="http://schemas.openxmlformats.org/officeDocument/2006/relationships/image" Target="media/image1132.png"/><Relationship Id="rId1152" Type="http://schemas.openxmlformats.org/officeDocument/2006/relationships/image" Target="media/image1133.png"/><Relationship Id="rId1153" Type="http://schemas.openxmlformats.org/officeDocument/2006/relationships/image" Target="media/image1134.png"/><Relationship Id="rId1154" Type="http://schemas.openxmlformats.org/officeDocument/2006/relationships/image" Target="media/image1135.png"/><Relationship Id="rId1155" Type="http://schemas.openxmlformats.org/officeDocument/2006/relationships/image" Target="media/image1136.png"/><Relationship Id="rId1156" Type="http://schemas.openxmlformats.org/officeDocument/2006/relationships/image" Target="media/image1137.png"/><Relationship Id="rId1157" Type="http://schemas.openxmlformats.org/officeDocument/2006/relationships/image" Target="media/image1138.png"/><Relationship Id="rId1158" Type="http://schemas.openxmlformats.org/officeDocument/2006/relationships/image" Target="media/image1139.png"/><Relationship Id="rId1159" Type="http://schemas.openxmlformats.org/officeDocument/2006/relationships/image" Target="media/image1140.png"/><Relationship Id="rId1160" Type="http://schemas.openxmlformats.org/officeDocument/2006/relationships/image" Target="media/image1141.png"/><Relationship Id="rId1161" Type="http://schemas.openxmlformats.org/officeDocument/2006/relationships/image" Target="media/image1142.png"/><Relationship Id="rId1162" Type="http://schemas.openxmlformats.org/officeDocument/2006/relationships/image" Target="media/image1143.png"/><Relationship Id="rId1163" Type="http://schemas.openxmlformats.org/officeDocument/2006/relationships/image" Target="media/image1144.png"/><Relationship Id="rId1164" Type="http://schemas.openxmlformats.org/officeDocument/2006/relationships/image" Target="media/image1145.png"/><Relationship Id="rId1165" Type="http://schemas.openxmlformats.org/officeDocument/2006/relationships/image" Target="media/image1146.png"/><Relationship Id="rId1166" Type="http://schemas.openxmlformats.org/officeDocument/2006/relationships/image" Target="media/image1147.png"/><Relationship Id="rId1167" Type="http://schemas.openxmlformats.org/officeDocument/2006/relationships/image" Target="media/image1148.png"/><Relationship Id="rId1168" Type="http://schemas.openxmlformats.org/officeDocument/2006/relationships/image" Target="media/image1149.png"/><Relationship Id="rId1169" Type="http://schemas.openxmlformats.org/officeDocument/2006/relationships/image" Target="media/image1150.png"/><Relationship Id="rId1170" Type="http://schemas.openxmlformats.org/officeDocument/2006/relationships/image" Target="media/image1151.png"/><Relationship Id="rId1171" Type="http://schemas.openxmlformats.org/officeDocument/2006/relationships/image" Target="media/image1152.png"/><Relationship Id="rId1172" Type="http://schemas.openxmlformats.org/officeDocument/2006/relationships/image" Target="media/image1153.png"/><Relationship Id="rId1173" Type="http://schemas.openxmlformats.org/officeDocument/2006/relationships/image" Target="media/image1154.png"/><Relationship Id="rId1174" Type="http://schemas.openxmlformats.org/officeDocument/2006/relationships/image" Target="media/image1155.png"/><Relationship Id="rId1175" Type="http://schemas.openxmlformats.org/officeDocument/2006/relationships/image" Target="media/image1156.png"/><Relationship Id="rId1176" Type="http://schemas.openxmlformats.org/officeDocument/2006/relationships/image" Target="media/image1157.png"/><Relationship Id="rId1177" Type="http://schemas.openxmlformats.org/officeDocument/2006/relationships/image" Target="media/image1158.png"/><Relationship Id="rId1178" Type="http://schemas.openxmlformats.org/officeDocument/2006/relationships/image" Target="media/image1159.png"/><Relationship Id="rId1179" Type="http://schemas.openxmlformats.org/officeDocument/2006/relationships/image" Target="media/image1160.png"/><Relationship Id="rId1180" Type="http://schemas.openxmlformats.org/officeDocument/2006/relationships/image" Target="media/image1161.png"/><Relationship Id="rId1181" Type="http://schemas.openxmlformats.org/officeDocument/2006/relationships/image" Target="media/image1162.png"/><Relationship Id="rId1182" Type="http://schemas.openxmlformats.org/officeDocument/2006/relationships/image" Target="media/image1163.png"/><Relationship Id="rId1183" Type="http://schemas.openxmlformats.org/officeDocument/2006/relationships/image" Target="media/image1164.png"/><Relationship Id="rId1184" Type="http://schemas.openxmlformats.org/officeDocument/2006/relationships/image" Target="media/image1165.png"/><Relationship Id="rId1185" Type="http://schemas.openxmlformats.org/officeDocument/2006/relationships/image" Target="media/image1166.png"/><Relationship Id="rId1186" Type="http://schemas.openxmlformats.org/officeDocument/2006/relationships/image" Target="media/image1167.png"/><Relationship Id="rId1187" Type="http://schemas.openxmlformats.org/officeDocument/2006/relationships/image" Target="media/image1168.png"/><Relationship Id="rId1188" Type="http://schemas.openxmlformats.org/officeDocument/2006/relationships/image" Target="media/image1169.png"/><Relationship Id="rId1189" Type="http://schemas.openxmlformats.org/officeDocument/2006/relationships/image" Target="media/image1170.png"/><Relationship Id="rId1190" Type="http://schemas.openxmlformats.org/officeDocument/2006/relationships/image" Target="media/image1171.png"/><Relationship Id="rId1191" Type="http://schemas.openxmlformats.org/officeDocument/2006/relationships/image" Target="media/image1172.png"/><Relationship Id="rId1192" Type="http://schemas.openxmlformats.org/officeDocument/2006/relationships/image" Target="media/image1173.png"/><Relationship Id="rId1193" Type="http://schemas.openxmlformats.org/officeDocument/2006/relationships/image" Target="media/image1174.png"/><Relationship Id="rId1194" Type="http://schemas.openxmlformats.org/officeDocument/2006/relationships/image" Target="media/image1175.png"/><Relationship Id="rId1195" Type="http://schemas.openxmlformats.org/officeDocument/2006/relationships/image" Target="media/image1176.png"/><Relationship Id="rId1196" Type="http://schemas.openxmlformats.org/officeDocument/2006/relationships/image" Target="media/image1177.png"/><Relationship Id="rId1197" Type="http://schemas.openxmlformats.org/officeDocument/2006/relationships/image" Target="media/image1178.png"/><Relationship Id="rId1198" Type="http://schemas.openxmlformats.org/officeDocument/2006/relationships/image" Target="media/image1179.png"/><Relationship Id="rId1199" Type="http://schemas.openxmlformats.org/officeDocument/2006/relationships/image" Target="media/image1180.png"/><Relationship Id="rId1200" Type="http://schemas.openxmlformats.org/officeDocument/2006/relationships/image" Target="media/image1181.png"/><Relationship Id="rId1201" Type="http://schemas.openxmlformats.org/officeDocument/2006/relationships/image" Target="media/image1182.png"/><Relationship Id="rId1202" Type="http://schemas.openxmlformats.org/officeDocument/2006/relationships/image" Target="media/image1183.png"/><Relationship Id="rId1203" Type="http://schemas.openxmlformats.org/officeDocument/2006/relationships/image" Target="media/image1184.png"/><Relationship Id="rId1204" Type="http://schemas.openxmlformats.org/officeDocument/2006/relationships/image" Target="media/image1185.png"/><Relationship Id="rId1205" Type="http://schemas.openxmlformats.org/officeDocument/2006/relationships/image" Target="media/image1186.png"/><Relationship Id="rId1206" Type="http://schemas.openxmlformats.org/officeDocument/2006/relationships/image" Target="media/image1187.png"/><Relationship Id="rId1207" Type="http://schemas.openxmlformats.org/officeDocument/2006/relationships/image" Target="media/image1188.png"/><Relationship Id="rId1208" Type="http://schemas.openxmlformats.org/officeDocument/2006/relationships/image" Target="media/image1189.png"/><Relationship Id="rId1209" Type="http://schemas.openxmlformats.org/officeDocument/2006/relationships/image" Target="media/image1190.png"/><Relationship Id="rId1210" Type="http://schemas.openxmlformats.org/officeDocument/2006/relationships/image" Target="media/image1191.png"/><Relationship Id="rId1211" Type="http://schemas.openxmlformats.org/officeDocument/2006/relationships/image" Target="media/image1192.png"/><Relationship Id="rId1212" Type="http://schemas.openxmlformats.org/officeDocument/2006/relationships/image" Target="media/image1193.png"/><Relationship Id="rId1213" Type="http://schemas.openxmlformats.org/officeDocument/2006/relationships/image" Target="media/image1194.png"/><Relationship Id="rId1214" Type="http://schemas.openxmlformats.org/officeDocument/2006/relationships/image" Target="media/image1195.png"/><Relationship Id="rId1215" Type="http://schemas.openxmlformats.org/officeDocument/2006/relationships/image" Target="media/image1196.png"/><Relationship Id="rId1216" Type="http://schemas.openxmlformats.org/officeDocument/2006/relationships/image" Target="media/image1197.png"/><Relationship Id="rId1217" Type="http://schemas.openxmlformats.org/officeDocument/2006/relationships/image" Target="media/image1198.png"/><Relationship Id="rId1218" Type="http://schemas.openxmlformats.org/officeDocument/2006/relationships/image" Target="media/image1199.png"/><Relationship Id="rId1219" Type="http://schemas.openxmlformats.org/officeDocument/2006/relationships/image" Target="media/image1200.png"/><Relationship Id="rId1220" Type="http://schemas.openxmlformats.org/officeDocument/2006/relationships/image" Target="media/image1201.png"/><Relationship Id="rId1221" Type="http://schemas.openxmlformats.org/officeDocument/2006/relationships/image" Target="media/image1202.png"/><Relationship Id="rId1222" Type="http://schemas.openxmlformats.org/officeDocument/2006/relationships/image" Target="media/image1203.png"/><Relationship Id="rId1223" Type="http://schemas.openxmlformats.org/officeDocument/2006/relationships/image" Target="media/image1204.png"/><Relationship Id="rId1224" Type="http://schemas.openxmlformats.org/officeDocument/2006/relationships/image" Target="media/image1205.png"/><Relationship Id="rId1225" Type="http://schemas.openxmlformats.org/officeDocument/2006/relationships/image" Target="media/image1206.png"/><Relationship Id="rId1226" Type="http://schemas.openxmlformats.org/officeDocument/2006/relationships/image" Target="media/image1207.png"/><Relationship Id="rId1227" Type="http://schemas.openxmlformats.org/officeDocument/2006/relationships/image" Target="media/image1208.png"/><Relationship Id="rId1228" Type="http://schemas.openxmlformats.org/officeDocument/2006/relationships/image" Target="media/image1209.png"/><Relationship Id="rId1229" Type="http://schemas.openxmlformats.org/officeDocument/2006/relationships/image" Target="media/image1210.png"/><Relationship Id="rId1230" Type="http://schemas.openxmlformats.org/officeDocument/2006/relationships/image" Target="media/image1211.png"/><Relationship Id="rId1231" Type="http://schemas.openxmlformats.org/officeDocument/2006/relationships/image" Target="media/image1212.png"/><Relationship Id="rId1232" Type="http://schemas.openxmlformats.org/officeDocument/2006/relationships/image" Target="media/image1213.png"/><Relationship Id="rId1233" Type="http://schemas.openxmlformats.org/officeDocument/2006/relationships/image" Target="media/image1214.png"/><Relationship Id="rId1234" Type="http://schemas.openxmlformats.org/officeDocument/2006/relationships/image" Target="media/image1215.png"/><Relationship Id="rId1235" Type="http://schemas.openxmlformats.org/officeDocument/2006/relationships/image" Target="media/image1216.png"/><Relationship Id="rId1236" Type="http://schemas.openxmlformats.org/officeDocument/2006/relationships/image" Target="media/image1217.png"/><Relationship Id="rId1237" Type="http://schemas.openxmlformats.org/officeDocument/2006/relationships/image" Target="media/image1218.png"/><Relationship Id="rId1238" Type="http://schemas.openxmlformats.org/officeDocument/2006/relationships/image" Target="media/image1219.png"/><Relationship Id="rId1239" Type="http://schemas.openxmlformats.org/officeDocument/2006/relationships/image" Target="media/image1220.png"/><Relationship Id="rId1240" Type="http://schemas.openxmlformats.org/officeDocument/2006/relationships/image" Target="media/image1221.png"/><Relationship Id="rId1241" Type="http://schemas.openxmlformats.org/officeDocument/2006/relationships/image" Target="media/image1222.png"/><Relationship Id="rId1242" Type="http://schemas.openxmlformats.org/officeDocument/2006/relationships/image" Target="media/image1223.png"/><Relationship Id="rId1243" Type="http://schemas.openxmlformats.org/officeDocument/2006/relationships/image" Target="media/image1224.png"/><Relationship Id="rId1244" Type="http://schemas.openxmlformats.org/officeDocument/2006/relationships/image" Target="media/image1225.png"/><Relationship Id="rId1245" Type="http://schemas.openxmlformats.org/officeDocument/2006/relationships/image" Target="media/image1226.png"/><Relationship Id="rId1246" Type="http://schemas.openxmlformats.org/officeDocument/2006/relationships/image" Target="media/image1227.png"/><Relationship Id="rId1247" Type="http://schemas.openxmlformats.org/officeDocument/2006/relationships/image" Target="media/image1228.png"/><Relationship Id="rId1248" Type="http://schemas.openxmlformats.org/officeDocument/2006/relationships/image" Target="media/image1229.png"/><Relationship Id="rId1249" Type="http://schemas.openxmlformats.org/officeDocument/2006/relationships/image" Target="media/image1230.png"/><Relationship Id="rId1250" Type="http://schemas.openxmlformats.org/officeDocument/2006/relationships/image" Target="media/image1231.png"/><Relationship Id="rId1251" Type="http://schemas.openxmlformats.org/officeDocument/2006/relationships/image" Target="media/image1232.png"/><Relationship Id="rId1252" Type="http://schemas.openxmlformats.org/officeDocument/2006/relationships/image" Target="media/image1233.png"/><Relationship Id="rId1253" Type="http://schemas.openxmlformats.org/officeDocument/2006/relationships/image" Target="media/image1234.png"/><Relationship Id="rId1254" Type="http://schemas.openxmlformats.org/officeDocument/2006/relationships/image" Target="media/image1235.png"/><Relationship Id="rId1255" Type="http://schemas.openxmlformats.org/officeDocument/2006/relationships/image" Target="media/image1236.png"/><Relationship Id="rId1256" Type="http://schemas.openxmlformats.org/officeDocument/2006/relationships/image" Target="media/image1237.png"/><Relationship Id="rId1257" Type="http://schemas.openxmlformats.org/officeDocument/2006/relationships/image" Target="media/image1238.png"/><Relationship Id="rId1258" Type="http://schemas.openxmlformats.org/officeDocument/2006/relationships/image" Target="media/image1239.png"/><Relationship Id="rId1259" Type="http://schemas.openxmlformats.org/officeDocument/2006/relationships/image" Target="media/image1240.png"/><Relationship Id="rId1260" Type="http://schemas.openxmlformats.org/officeDocument/2006/relationships/image" Target="media/image1241.png"/><Relationship Id="rId1261" Type="http://schemas.openxmlformats.org/officeDocument/2006/relationships/image" Target="media/image1242.png"/><Relationship Id="rId1262" Type="http://schemas.openxmlformats.org/officeDocument/2006/relationships/image" Target="media/image1243.png"/><Relationship Id="rId1263" Type="http://schemas.openxmlformats.org/officeDocument/2006/relationships/image" Target="media/image1244.png"/><Relationship Id="rId1264" Type="http://schemas.openxmlformats.org/officeDocument/2006/relationships/image" Target="media/image1245.png"/><Relationship Id="rId1265" Type="http://schemas.openxmlformats.org/officeDocument/2006/relationships/image" Target="media/image1246.png"/><Relationship Id="rId1266" Type="http://schemas.openxmlformats.org/officeDocument/2006/relationships/image" Target="media/image1247.png"/><Relationship Id="rId1267" Type="http://schemas.openxmlformats.org/officeDocument/2006/relationships/image" Target="media/image1248.png"/><Relationship Id="rId1268" Type="http://schemas.openxmlformats.org/officeDocument/2006/relationships/image" Target="media/image1249.png"/><Relationship Id="rId1269" Type="http://schemas.openxmlformats.org/officeDocument/2006/relationships/image" Target="media/image1250.png"/><Relationship Id="rId1270" Type="http://schemas.openxmlformats.org/officeDocument/2006/relationships/image" Target="media/image1251.png"/><Relationship Id="rId1271" Type="http://schemas.openxmlformats.org/officeDocument/2006/relationships/image" Target="media/image1252.png"/><Relationship Id="rId1272" Type="http://schemas.openxmlformats.org/officeDocument/2006/relationships/image" Target="media/image1253.png"/><Relationship Id="rId1273" Type="http://schemas.openxmlformats.org/officeDocument/2006/relationships/image" Target="media/image1254.png"/><Relationship Id="rId1274" Type="http://schemas.openxmlformats.org/officeDocument/2006/relationships/image" Target="media/image1255.png"/><Relationship Id="rId1275" Type="http://schemas.openxmlformats.org/officeDocument/2006/relationships/image" Target="media/image1256.png"/><Relationship Id="rId1276" Type="http://schemas.openxmlformats.org/officeDocument/2006/relationships/image" Target="media/image1257.png"/><Relationship Id="rId1277" Type="http://schemas.openxmlformats.org/officeDocument/2006/relationships/image" Target="media/image1258.png"/><Relationship Id="rId1278" Type="http://schemas.openxmlformats.org/officeDocument/2006/relationships/image" Target="media/image1259.png"/><Relationship Id="rId1279" Type="http://schemas.openxmlformats.org/officeDocument/2006/relationships/image" Target="media/image1260.png"/><Relationship Id="rId1280" Type="http://schemas.openxmlformats.org/officeDocument/2006/relationships/image" Target="media/image1261.png"/><Relationship Id="rId1281" Type="http://schemas.openxmlformats.org/officeDocument/2006/relationships/image" Target="media/image1262.png"/><Relationship Id="rId1282" Type="http://schemas.openxmlformats.org/officeDocument/2006/relationships/image" Target="media/image1263.png"/><Relationship Id="rId1283" Type="http://schemas.openxmlformats.org/officeDocument/2006/relationships/image" Target="media/image1264.png"/><Relationship Id="rId1284" Type="http://schemas.openxmlformats.org/officeDocument/2006/relationships/image" Target="media/image1265.png"/><Relationship Id="rId1285" Type="http://schemas.openxmlformats.org/officeDocument/2006/relationships/image" Target="media/image1266.png"/><Relationship Id="rId1286" Type="http://schemas.openxmlformats.org/officeDocument/2006/relationships/image" Target="media/image1267.png"/><Relationship Id="rId1287" Type="http://schemas.openxmlformats.org/officeDocument/2006/relationships/image" Target="media/image1268.png"/><Relationship Id="rId1288" Type="http://schemas.openxmlformats.org/officeDocument/2006/relationships/image" Target="media/image1269.png"/><Relationship Id="rId1289" Type="http://schemas.openxmlformats.org/officeDocument/2006/relationships/image" Target="media/image1270.png"/><Relationship Id="rId1290" Type="http://schemas.openxmlformats.org/officeDocument/2006/relationships/image" Target="media/image1271.png"/><Relationship Id="rId1291" Type="http://schemas.openxmlformats.org/officeDocument/2006/relationships/image" Target="media/image1272.png"/><Relationship Id="rId1292" Type="http://schemas.openxmlformats.org/officeDocument/2006/relationships/image" Target="media/image1273.png"/><Relationship Id="rId1293" Type="http://schemas.openxmlformats.org/officeDocument/2006/relationships/image" Target="media/image1274.png"/><Relationship Id="rId1294" Type="http://schemas.openxmlformats.org/officeDocument/2006/relationships/image" Target="media/image1275.png"/><Relationship Id="rId1295" Type="http://schemas.openxmlformats.org/officeDocument/2006/relationships/image" Target="media/image1276.png"/><Relationship Id="rId1296" Type="http://schemas.openxmlformats.org/officeDocument/2006/relationships/image" Target="media/image1277.png"/><Relationship Id="rId1297" Type="http://schemas.openxmlformats.org/officeDocument/2006/relationships/image" Target="media/image1278.png"/><Relationship Id="rId1298" Type="http://schemas.openxmlformats.org/officeDocument/2006/relationships/image" Target="media/image1279.png"/><Relationship Id="rId1299" Type="http://schemas.openxmlformats.org/officeDocument/2006/relationships/image" Target="media/image1280.png"/><Relationship Id="rId1300" Type="http://schemas.openxmlformats.org/officeDocument/2006/relationships/image" Target="media/image1281.png"/><Relationship Id="rId1301" Type="http://schemas.openxmlformats.org/officeDocument/2006/relationships/image" Target="media/image1282.png"/><Relationship Id="rId1302" Type="http://schemas.openxmlformats.org/officeDocument/2006/relationships/image" Target="media/image1283.png"/><Relationship Id="rId1303" Type="http://schemas.openxmlformats.org/officeDocument/2006/relationships/image" Target="media/image1284.png"/><Relationship Id="rId1304" Type="http://schemas.openxmlformats.org/officeDocument/2006/relationships/image" Target="media/image1285.png"/><Relationship Id="rId1305" Type="http://schemas.openxmlformats.org/officeDocument/2006/relationships/image" Target="media/image1286.png"/><Relationship Id="rId1306" Type="http://schemas.openxmlformats.org/officeDocument/2006/relationships/image" Target="media/image1287.png"/><Relationship Id="rId1307" Type="http://schemas.openxmlformats.org/officeDocument/2006/relationships/image" Target="media/image1288.png"/><Relationship Id="rId1308" Type="http://schemas.openxmlformats.org/officeDocument/2006/relationships/image" Target="media/image1289.png"/><Relationship Id="rId1309" Type="http://schemas.openxmlformats.org/officeDocument/2006/relationships/image" Target="media/image1290.png"/><Relationship Id="rId1310" Type="http://schemas.openxmlformats.org/officeDocument/2006/relationships/image" Target="media/image1291.png"/><Relationship Id="rId1311" Type="http://schemas.openxmlformats.org/officeDocument/2006/relationships/image" Target="media/image1292.png"/><Relationship Id="rId1312" Type="http://schemas.openxmlformats.org/officeDocument/2006/relationships/image" Target="media/image1293.png"/><Relationship Id="rId1313" Type="http://schemas.openxmlformats.org/officeDocument/2006/relationships/image" Target="media/image1294.png"/><Relationship Id="rId1314" Type="http://schemas.openxmlformats.org/officeDocument/2006/relationships/image" Target="media/image1295.png"/><Relationship Id="rId1315" Type="http://schemas.openxmlformats.org/officeDocument/2006/relationships/image" Target="media/image1296.png"/><Relationship Id="rId1316" Type="http://schemas.openxmlformats.org/officeDocument/2006/relationships/image" Target="media/image1297.png"/><Relationship Id="rId1317" Type="http://schemas.openxmlformats.org/officeDocument/2006/relationships/image" Target="media/image1298.png"/><Relationship Id="rId1318" Type="http://schemas.openxmlformats.org/officeDocument/2006/relationships/image" Target="media/image1299.png"/><Relationship Id="rId1319" Type="http://schemas.openxmlformats.org/officeDocument/2006/relationships/image" Target="media/image1300.png"/><Relationship Id="rId1320" Type="http://schemas.openxmlformats.org/officeDocument/2006/relationships/image" Target="media/image1301.png"/><Relationship Id="rId1321" Type="http://schemas.openxmlformats.org/officeDocument/2006/relationships/image" Target="media/image1302.png"/><Relationship Id="rId1322" Type="http://schemas.openxmlformats.org/officeDocument/2006/relationships/image" Target="media/image1303.png"/><Relationship Id="rId1323" Type="http://schemas.openxmlformats.org/officeDocument/2006/relationships/image" Target="media/image1304.png"/><Relationship Id="rId1324" Type="http://schemas.openxmlformats.org/officeDocument/2006/relationships/image" Target="media/image1305.png"/><Relationship Id="rId1325" Type="http://schemas.openxmlformats.org/officeDocument/2006/relationships/image" Target="media/image1306.png"/><Relationship Id="rId1326" Type="http://schemas.openxmlformats.org/officeDocument/2006/relationships/image" Target="media/image1307.png"/><Relationship Id="rId1327" Type="http://schemas.openxmlformats.org/officeDocument/2006/relationships/image" Target="media/image1308.png"/><Relationship Id="rId1328" Type="http://schemas.openxmlformats.org/officeDocument/2006/relationships/image" Target="media/image1309.png"/><Relationship Id="rId1329" Type="http://schemas.openxmlformats.org/officeDocument/2006/relationships/image" Target="media/image1310.png"/><Relationship Id="rId1330" Type="http://schemas.openxmlformats.org/officeDocument/2006/relationships/image" Target="media/image1311.png"/><Relationship Id="rId1331" Type="http://schemas.openxmlformats.org/officeDocument/2006/relationships/image" Target="media/image1312.png"/><Relationship Id="rId1332" Type="http://schemas.openxmlformats.org/officeDocument/2006/relationships/image" Target="media/image1313.png"/><Relationship Id="rId1333" Type="http://schemas.openxmlformats.org/officeDocument/2006/relationships/image" Target="media/image1314.png"/><Relationship Id="rId1334" Type="http://schemas.openxmlformats.org/officeDocument/2006/relationships/image" Target="media/image1315.png"/><Relationship Id="rId1335" Type="http://schemas.openxmlformats.org/officeDocument/2006/relationships/image" Target="media/image1316.png"/><Relationship Id="rId1336" Type="http://schemas.openxmlformats.org/officeDocument/2006/relationships/image" Target="media/image1317.png"/><Relationship Id="rId1337" Type="http://schemas.openxmlformats.org/officeDocument/2006/relationships/image" Target="media/image1318.png"/><Relationship Id="rId1338" Type="http://schemas.openxmlformats.org/officeDocument/2006/relationships/image" Target="media/image1319.png"/><Relationship Id="rId1339" Type="http://schemas.openxmlformats.org/officeDocument/2006/relationships/image" Target="media/image1320.png"/><Relationship Id="rId1340" Type="http://schemas.openxmlformats.org/officeDocument/2006/relationships/image" Target="media/image1321.png"/><Relationship Id="rId1341" Type="http://schemas.openxmlformats.org/officeDocument/2006/relationships/image" Target="media/image1322.png"/><Relationship Id="rId1342" Type="http://schemas.openxmlformats.org/officeDocument/2006/relationships/image" Target="media/image1323.png"/><Relationship Id="rId1343" Type="http://schemas.openxmlformats.org/officeDocument/2006/relationships/image" Target="media/image1324.png"/><Relationship Id="rId1344" Type="http://schemas.openxmlformats.org/officeDocument/2006/relationships/image" Target="media/image1325.png"/><Relationship Id="rId1345" Type="http://schemas.openxmlformats.org/officeDocument/2006/relationships/image" Target="media/image1326.png"/><Relationship Id="rId1346" Type="http://schemas.openxmlformats.org/officeDocument/2006/relationships/image" Target="media/image1327.png"/><Relationship Id="rId1347" Type="http://schemas.openxmlformats.org/officeDocument/2006/relationships/image" Target="media/image1328.png"/><Relationship Id="rId1348" Type="http://schemas.openxmlformats.org/officeDocument/2006/relationships/image" Target="media/image1329.png"/><Relationship Id="rId1349" Type="http://schemas.openxmlformats.org/officeDocument/2006/relationships/image" Target="media/image1330.png"/><Relationship Id="rId1350" Type="http://schemas.openxmlformats.org/officeDocument/2006/relationships/image" Target="media/image1331.png"/><Relationship Id="rId1351" Type="http://schemas.openxmlformats.org/officeDocument/2006/relationships/image" Target="media/image1332.png"/><Relationship Id="rId1352" Type="http://schemas.openxmlformats.org/officeDocument/2006/relationships/image" Target="media/image1333.png"/><Relationship Id="rId1353" Type="http://schemas.openxmlformats.org/officeDocument/2006/relationships/image" Target="media/image1334.png"/><Relationship Id="rId1354" Type="http://schemas.openxmlformats.org/officeDocument/2006/relationships/image" Target="media/image1335.png"/><Relationship Id="rId1355" Type="http://schemas.openxmlformats.org/officeDocument/2006/relationships/image" Target="media/image1336.png"/><Relationship Id="rId1356" Type="http://schemas.openxmlformats.org/officeDocument/2006/relationships/image" Target="media/image1337.png"/><Relationship Id="rId1357" Type="http://schemas.openxmlformats.org/officeDocument/2006/relationships/image" Target="media/image1338.png"/><Relationship Id="rId1358" Type="http://schemas.openxmlformats.org/officeDocument/2006/relationships/image" Target="media/image1339.png"/><Relationship Id="rId1359" Type="http://schemas.openxmlformats.org/officeDocument/2006/relationships/image" Target="media/image1340.png"/><Relationship Id="rId1360" Type="http://schemas.openxmlformats.org/officeDocument/2006/relationships/image" Target="media/image1341.png"/><Relationship Id="rId1361" Type="http://schemas.openxmlformats.org/officeDocument/2006/relationships/image" Target="media/image1342.png"/><Relationship Id="rId1362" Type="http://schemas.openxmlformats.org/officeDocument/2006/relationships/image" Target="media/image1343.png"/><Relationship Id="rId1363" Type="http://schemas.openxmlformats.org/officeDocument/2006/relationships/image" Target="media/image1344.png"/><Relationship Id="rId1364" Type="http://schemas.openxmlformats.org/officeDocument/2006/relationships/image" Target="media/image1345.png"/><Relationship Id="rId1365" Type="http://schemas.openxmlformats.org/officeDocument/2006/relationships/image" Target="media/image1346.png"/><Relationship Id="rId1366" Type="http://schemas.openxmlformats.org/officeDocument/2006/relationships/image" Target="media/image1347.png"/><Relationship Id="rId1367" Type="http://schemas.openxmlformats.org/officeDocument/2006/relationships/image" Target="media/image1348.png"/><Relationship Id="rId1368" Type="http://schemas.openxmlformats.org/officeDocument/2006/relationships/image" Target="media/image1349.png"/><Relationship Id="rId1369" Type="http://schemas.openxmlformats.org/officeDocument/2006/relationships/image" Target="media/image1350.png"/><Relationship Id="rId1370" Type="http://schemas.openxmlformats.org/officeDocument/2006/relationships/image" Target="media/image1351.png"/><Relationship Id="rId1371" Type="http://schemas.openxmlformats.org/officeDocument/2006/relationships/image" Target="media/image1352.png"/><Relationship Id="rId1372" Type="http://schemas.openxmlformats.org/officeDocument/2006/relationships/image" Target="media/image1353.png"/><Relationship Id="rId1373" Type="http://schemas.openxmlformats.org/officeDocument/2006/relationships/image" Target="media/image1354.png"/><Relationship Id="rId1374" Type="http://schemas.openxmlformats.org/officeDocument/2006/relationships/image" Target="media/image1355.png"/><Relationship Id="rId1375" Type="http://schemas.openxmlformats.org/officeDocument/2006/relationships/image" Target="media/image1356.png"/><Relationship Id="rId1376" Type="http://schemas.openxmlformats.org/officeDocument/2006/relationships/image" Target="media/image1357.png"/><Relationship Id="rId1377" Type="http://schemas.openxmlformats.org/officeDocument/2006/relationships/image" Target="media/image1358.png"/><Relationship Id="rId990" Type="http://schemas.openxmlformats.org/officeDocument/2006/relationships/hyperlink" Target="http://www.sec.gov/Archives/edgar/data/1820953/000110465920126927/tm2026663d5_ex3-1.htm" TargetMode="External"/><Relationship Id="rId991" Type="http://schemas.openxmlformats.org/officeDocument/2006/relationships/hyperlink" Target="http://www.sec.gov/Archives/edgar/data/1820953/000110465920126927/tm2026663d5_ex3-2.htm" TargetMode="External"/><Relationship Id="rId992" Type="http://schemas.openxmlformats.org/officeDocument/2006/relationships/hyperlink" Target="http://www.sec.gov/Archives/edgar/data/1820953/000110465920126927/tm2026663d5_ex3-4.htm" TargetMode="External"/><Relationship Id="rId993" Type="http://schemas.openxmlformats.org/officeDocument/2006/relationships/hyperlink" Target="http://www.sec.gov/Archives/edgar/data/1820953/000110465920126927/tm2026663d5_ex10-1.htm" TargetMode="External"/><Relationship Id="rId994" Type="http://schemas.openxmlformats.org/officeDocument/2006/relationships/hyperlink" Target="http://www.sec.gov/Archives/edgar/data/1820953/000110465920128032/tm2026663d8_ex10-3.htm" TargetMode="External"/><Relationship Id="rId995" Type="http://schemas.openxmlformats.org/officeDocument/2006/relationships/hyperlink" Target="http://www.sec.gov/Archives/edgar/data/1820953/000110465920128032/tm2026663d8_ex10-4.htm" TargetMode="External"/><Relationship Id="rId996" Type="http://schemas.openxmlformats.org/officeDocument/2006/relationships/hyperlink" Target="http://www.sec.gov/Archives/edgar/data/1820953/000110465920128032/tm2026663d8_ex10-5.htm" TargetMode="External"/><Relationship Id="rId997" Type="http://schemas.openxmlformats.org/officeDocument/2006/relationships/hyperlink" Target="http://www.sec.gov/Archives/edgar/data/1820953/000110465920126927/tm2026663d5_ex10-6.htm" TargetMode="External"/><Relationship Id="rId998" Type="http://schemas.openxmlformats.org/officeDocument/2006/relationships/hyperlink" Target="http://www.sec.gov/Archives/edgar/data/1820953/000110465920128032/tm2026663d8_ex10-7.htm" TargetMode="External"/><Relationship Id="rId999" Type="http://schemas.openxmlformats.org/officeDocument/2006/relationships/hyperlink" Target="http://www.sec.gov/Archives/edgar/data/1820953/000110465920126927/tm2026663d5_ex16-1.htm" TargetMode="External"/><Relationship Id="rId1000" Type="http://schemas.openxmlformats.org/officeDocument/2006/relationships/hyperlink" Target="http://www.sec.gov/Archives/edgar/data/1820953/000110465920126927/tm2026663d5_ex21-1.htm" TargetMode="External"/><Relationship Id="rId1001" Type="http://schemas.openxmlformats.org/officeDocument/2006/relationships/hyperlink" Target="http://www.sec.gov/Archives/edgar/data/1820953/000110465920126927/tm2026663-4_s1.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2020-12-14T05:46:31Z</dcterms:created>
  <dcterms:modified xsi:type="dcterms:W3CDTF">2020-12-14T05:46:31Z</dcterms:modified>
</cp:coreProperties>
</file>