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1540" w:right="1260" w:hanging="328"/>
        <w:spacing w:after="0" w:line="255" w:lineRule="auto"/>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1" w:lineRule="exact"/>
        <w:rPr>
          <w:sz w:val="24"/>
          <w:szCs w:val="24"/>
          <w:color w:val="auto"/>
        </w:rPr>
      </w:pPr>
    </w:p>
    <w:p>
      <w:pPr>
        <w:ind w:left="1540" w:right="1240" w:hanging="328"/>
        <w:spacing w:after="0" w:line="255"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001-39888</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20" w:type="dxa"/>
            <w:vAlign w:val="bottom"/>
          </w:tcPr>
          <w:p>
            <w:pPr>
              <w:jc w:val="center"/>
              <w:ind w:left="61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organization)</w:t>
            </w:r>
          </w:p>
        </w:tc>
        <w:tc>
          <w:tcPr>
            <w:tcW w:w="3320" w:type="dxa"/>
            <w:vAlign w:val="bottom"/>
          </w:tcPr>
          <w:p>
            <w:pPr>
              <w:spacing w:after="0"/>
              <w:rPr>
                <w:sz w:val="20"/>
                <w:szCs w:val="20"/>
                <w:color w:val="auto"/>
              </w:rPr>
            </w:pPr>
          </w:p>
        </w:tc>
      </w:tr>
      <w:tr>
        <w:trPr>
          <w:trHeight w:val="306"/>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California Street</w:t>
            </w:r>
          </w:p>
        </w:tc>
        <w:tc>
          <w:tcPr>
            <w:tcW w:w="3320" w:type="dxa"/>
            <w:vAlign w:val="bottom"/>
          </w:tcPr>
          <w:p>
            <w:pPr>
              <w:spacing w:after="0"/>
              <w:rPr>
                <w:sz w:val="24"/>
                <w:szCs w:val="24"/>
                <w:color w:val="auto"/>
              </w:rPr>
            </w:pPr>
          </w:p>
        </w:tc>
      </w:tr>
      <w:tr>
        <w:trPr>
          <w:trHeight w:val="279"/>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3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960-1518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Pr>
          <w:p>
            <w:pPr>
              <w:spacing w:after="0"/>
              <w:rPr>
                <w:sz w:val="17"/>
                <w:szCs w:val="17"/>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AFRM</w:t>
            </w:r>
          </w:p>
        </w:tc>
        <w:tc>
          <w:tcPr>
            <w:tcW w:w="100" w:type="dxa"/>
            <w:vAlign w:val="bottom"/>
          </w:tcPr>
          <w:p>
            <w:pPr>
              <w:spacing w:after="0"/>
              <w:rPr>
                <w:sz w:val="17"/>
                <w:szCs w:val="17"/>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4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1" w:lineRule="exact"/>
        <w:rPr>
          <w:sz w:val="24"/>
          <w:szCs w:val="24"/>
          <w:color w:val="auto"/>
        </w:rPr>
      </w:pPr>
    </w:p>
    <w:p>
      <w:pPr>
        <w:ind w:right="400"/>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0"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8" w:lineRule="exact"/>
        <w:rPr>
          <w:sz w:val="24"/>
          <w:szCs w:val="24"/>
          <w:color w:val="auto"/>
        </w:rPr>
      </w:pPr>
    </w:p>
    <w:p>
      <w:pPr>
        <w:ind w:right="160"/>
        <w:spacing w:after="0" w:line="351" w:lineRule="auto"/>
        <w:rPr>
          <w:sz w:val="20"/>
          <w:szCs w:val="20"/>
          <w:color w:val="auto"/>
        </w:rPr>
      </w:pPr>
      <w:r>
        <w:rPr>
          <w:rFonts w:ascii="Times New Roman" w:cs="Times New Roman" w:eastAsia="Times New Roman" w:hAnsi="Times New Roman"/>
          <w:sz w:val="16"/>
          <w:szCs w:val="16"/>
          <w:color w:val="auto"/>
        </w:rPr>
        <w:t>As of November 1, 2024, the number of shares of the registrant’s Class A common stock outstanding was 271,918,122 and the number of shares of the registrant’s Class B common stock outstanding was 42,137,975.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Cover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2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020" w:type="dxa"/>
            <w:vAlign w:val="bottom"/>
            <w:gridSpan w:val="7"/>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CONT. (Unaudited)</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OPERATIONS AND COMPREHENSIVE LOSS (Unaudited)</w:t>
            </w:r>
          </w:p>
        </w:tc>
        <w:tc>
          <w:tcPr>
            <w:tcW w:w="15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1540" w:type="dxa"/>
            <w:vAlign w:val="bottom"/>
          </w:tcPr>
          <w:p>
            <w:pPr>
              <w:spacing w:after="0"/>
              <w:rPr>
                <w:sz w:val="16"/>
                <w:szCs w:val="16"/>
                <w:color w:val="auto"/>
              </w:rPr>
            </w:pP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6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980" w:type="dxa"/>
            <w:vAlign w:val="bottom"/>
            <w:gridSpan w:val="5"/>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CONT. (Unaudited)</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 Business Description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982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 Revenue</w:t>
            </w:r>
          </w:p>
        </w:tc>
        <w:tc>
          <w:tcPr>
            <w:tcW w:w="9180" w:type="dxa"/>
            <w:vAlign w:val="bottom"/>
            <w:tcBorders>
              <w:bottom w:val="single" w:sz="8" w:color="CCEEFF"/>
            </w:tcBorders>
            <w:gridSpan w:val="3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4. Loans Held for Investment and Allowance for Credit Losses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0000FF"/>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5. Balance Sheet Components</w:t>
            </w:r>
          </w:p>
        </w:tc>
        <w:tc>
          <w:tcPr>
            <w:tcW w:w="7880" w:type="dxa"/>
            <w:vAlign w:val="bottom"/>
            <w:tcBorders>
              <w:bottom w:val="single" w:sz="8" w:color="CCEEFF"/>
            </w:tcBorders>
            <w:gridSpan w:val="18"/>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6. Leases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0000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7. Commitments and Contingencies</w:t>
            </w:r>
          </w:p>
        </w:tc>
        <w:tc>
          <w:tcPr>
            <w:tcW w:w="7460" w:type="dxa"/>
            <w:vAlign w:val="bottom"/>
            <w:tcBorders>
              <w:bottom w:val="single" w:sz="8" w:color="CCEEFF"/>
            </w:tcBorders>
            <w:gridSpan w:val="1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8. Debt</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Securitization and Variable Interest Entities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9820" w:type="dxa"/>
            <w:vAlign w:val="bottom"/>
            <w:gridSpan w:val="40"/>
          </w:tcPr>
          <w:p>
            <w:pPr>
              <w:ind w:left="100"/>
              <w:spacing w:after="0" w:line="189" w:lineRule="exact"/>
              <w:rPr>
                <w:sz w:val="20"/>
                <w:szCs w:val="20"/>
                <w:color w:val="auto"/>
              </w:rPr>
            </w:pPr>
            <w:r>
              <w:rPr>
                <w:rFonts w:ascii="Times New Roman" w:cs="Times New Roman" w:eastAsia="Times New Roman" w:hAnsi="Times New Roman"/>
                <w:sz w:val="18"/>
                <w:szCs w:val="18"/>
                <w:color w:val="0000FF"/>
              </w:rPr>
              <w:t>Investments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9820" w:type="dxa"/>
            <w:vAlign w:val="bottom"/>
            <w:gridSpan w:val="40"/>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Derivative Financial Instruments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12. Fair Value of Financial Assets and Liabilities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13. Stockholders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Equity</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14. Equity Incentive Plans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15. Restructuring</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FF"/>
              </w:rPr>
              <w:t>16. Income Taxes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17. Net Loss per Share Attributable to Common Stockholders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s Discussion and Analysis of Financial Condition and Results of Operations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0000FF"/>
            </w:tcBorders>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340" w:type="dxa"/>
            <w:vAlign w:val="bottom"/>
            <w:tcBorders>
              <w:bottom w:val="single" w:sz="8" w:color="CCEEFF"/>
            </w:tcBorders>
            <w:gridSpan w:val="8"/>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8660" w:type="dxa"/>
            <w:vAlign w:val="bottom"/>
            <w:tcBorders>
              <w:bottom w:val="single" w:sz="8" w:color="CCEEFF"/>
            </w:tcBorders>
            <w:gridSpan w:val="27"/>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80" w:type="dxa"/>
            <w:vAlign w:val="bottom"/>
            <w:tcBorders>
              <w:top w:val="single" w:sz="8" w:color="0000FF"/>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380" w:type="dxa"/>
            <w:vAlign w:val="bottom"/>
            <w:tcBorders>
              <w:top w:val="single" w:sz="8" w:color="CCEEFF"/>
            </w:tcBorders>
            <w:gridSpan w:val="16"/>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0000FF"/>
            </w:tcBorders>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380" w:type="dxa"/>
            <w:vAlign w:val="bottom"/>
            <w:tcBorders>
              <w:bottom w:val="single" w:sz="8" w:color="CCEEFF"/>
            </w:tcBorders>
            <w:gridSpan w:val="2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-5691505</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revenue, expenses, and other operating results and key operating metrics;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merchant partners and commerce platforms and grow our relationships with existing merchant partners and commerce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a highly competitive and evolving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consumers and retain and grow our relationships with our existing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innovation, introduction of, and demand for, our products;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relationship with existing originating bank partners and card issuing bank partners and engage additional originating bank partners and card issuing bank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renew or replace our existing funding arrangements and build and grow new funding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of our funding sources becoming unwilling or unable to provide funding to us on terms acceptable to us,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loans facilitated and originated through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rate of our revenue and related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sustained profitability in the future;</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acquisitions, investments, and other strategic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regulatory inquiries, and proceedings;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regulatory environment;</w:t>
      </w:r>
    </w:p>
    <w:p>
      <w:pPr>
        <w:spacing w:after="0" w:line="103"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on our business, including the impacts of inflation, an elevated interest rate environment and corresponding elevated negotiated interest rate spreads, ongoing recessionary concerns, and the potential impact of those macroeconomic conditions on the stability of the financial institutions with whom we do business; and</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2024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1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16"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1,046,160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1,013,106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282,293</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1,073,685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1,131,628</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6,310,834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5,670,056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(309,097)</w:t>
            </w: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5,960,228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5,360,959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353,028</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427,686</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533,439</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104,602</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298,661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299,340</w:t>
            </w:r>
          </w:p>
        </w:tc>
        <w:tc>
          <w:tcPr>
            <w:tcW w:w="0" w:type="dxa"/>
            <w:vAlign w:val="bottom"/>
          </w:tcPr>
          <w:p>
            <w:pPr>
              <w:spacing w:after="0"/>
              <w:rPr>
                <w:sz w:val="1"/>
                <w:szCs w:val="1"/>
                <w:color w:val="auto"/>
              </w:rPr>
            </w:pPr>
          </w:p>
        </w:tc>
      </w:tr>
      <w:tr>
        <w:trPr>
          <w:trHeight w:val="228"/>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10,139,159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9,519,619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159,643</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147,429</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1,202,519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1,341,430</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3,985,484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3,236,873</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1,744,040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1,836,909</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7,303,587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6,787,630</w:t>
            </w:r>
          </w:p>
        </w:tc>
        <w:tc>
          <w:tcPr>
            <w:tcW w:w="0" w:type="dxa"/>
            <w:vAlign w:val="bottom"/>
          </w:tcPr>
          <w:p>
            <w:pPr>
              <w:spacing w:after="0"/>
              <w:rPr>
                <w:sz w:val="1"/>
                <w:szCs w:val="1"/>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271,833,469 shares issued and</w:t>
            </w: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outstanding as of September 30, 2024; 3,030,000,000 shares authorized, 267,305,456 shares issued and outstanding as of</w:t>
            </w:r>
          </w:p>
        </w:tc>
        <w:tc>
          <w:tcPr>
            <w:tcW w:w="1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42,143,934 shares issued and outstanding</w:t>
            </w: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September 30, 2024; 140,000,000 authorized, 43,747,575 shares issued and outstanding as of June 30, 2024</w:t>
            </w:r>
          </w:p>
        </w:tc>
        <w:tc>
          <w:tcPr>
            <w:tcW w:w="18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6,053,917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5,862,555</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(3,209,226)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(3,109,004)</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(21,565)</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2,835,572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2,731,989</w:t>
            </w:r>
          </w:p>
        </w:tc>
        <w:tc>
          <w:tcPr>
            <w:tcW w:w="0" w:type="dxa"/>
            <w:vAlign w:val="bottom"/>
          </w:tcPr>
          <w:p>
            <w:pPr>
              <w:spacing w:after="0"/>
              <w:rPr>
                <w:sz w:val="1"/>
                <w:szCs w:val="1"/>
                <w:color w:val="auto"/>
              </w:rPr>
            </w:pP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10,139,159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9,519,619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p>
      <w:pPr>
        <w:ind w:right="60" w:firstLine="177"/>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7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210,254</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145,829</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5,461,660</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(242,991)</w:t>
            </w:r>
          </w:p>
        </w:tc>
      </w:tr>
      <w:tr>
        <w:trPr>
          <w:trHeight w:val="203"/>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5,848,273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5,218,669</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w:t>
            </w: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6,066,344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5,378,135</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24,220</w:t>
            </w:r>
          </w:p>
        </w:tc>
      </w:tr>
      <w:tr>
        <w:trPr>
          <w:trHeight w:val="195"/>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w:t>
            </w:r>
          </w:p>
        </w:tc>
      </w:tr>
      <w:tr>
        <w:trPr>
          <w:trHeight w:val="21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3,985,484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3,236,873</w:t>
            </w:r>
          </w:p>
        </w:tc>
      </w:tr>
      <w:tr>
        <w:trPr>
          <w:trHeight w:val="19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Funding debt</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1,717,243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1,794,984</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2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5,734,822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5,070,022</w:t>
            </w:r>
          </w:p>
        </w:tc>
      </w:tr>
      <w:tr>
        <w:trPr>
          <w:trHeight w:val="202"/>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 of consolidated VIEs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331,522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308,113</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184,339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145,950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network revenue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33,476</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network revenue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179,426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262,679</w:t>
            </w:r>
          </w:p>
        </w:tc>
        <w:tc>
          <w:tcPr>
            <w:tcW w:w="0" w:type="dxa"/>
            <w:vAlign w:val="bottom"/>
          </w:tcPr>
          <w:p>
            <w:pPr>
              <w:spacing w:after="0"/>
              <w:rPr>
                <w:sz w:val="1"/>
                <w:szCs w:val="1"/>
                <w:color w:val="auto"/>
              </w:rPr>
            </w:pPr>
          </w:p>
        </w:tc>
      </w:tr>
      <w:tr>
        <w:trPr>
          <w:trHeight w:val="195"/>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sales of loans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34,285</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20,157</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698,479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496,547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99,696</w:t>
            </w:r>
          </w:p>
        </w:tc>
        <w:tc>
          <w:tcPr>
            <w:tcW w:w="0" w:type="dxa"/>
            <w:vAlign w:val="bottom"/>
          </w:tcPr>
          <w:p>
            <w:pPr>
              <w:spacing w:after="0"/>
              <w:rPr>
                <w:sz w:val="1"/>
                <w:szCs w:val="1"/>
                <w:color w:val="auto"/>
              </w:rPr>
            </w:pPr>
          </w:p>
        </w:tc>
      </w:tr>
      <w:tr>
        <w:trPr>
          <w:trHeight w:val="195"/>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73,931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75,671</w:t>
            </w:r>
          </w:p>
        </w:tc>
        <w:tc>
          <w:tcPr>
            <w:tcW w:w="0" w:type="dxa"/>
            <w:vAlign w:val="bottom"/>
          </w:tcPr>
          <w:p>
            <w:pPr>
              <w:spacing w:after="0"/>
              <w:rPr>
                <w:sz w:val="1"/>
                <w:szCs w:val="1"/>
                <w:color w:val="auto"/>
              </w:rPr>
            </w:pPr>
          </w:p>
        </w:tc>
      </w:tr>
      <w:tr>
        <w:trPr>
          <w:trHeight w:val="195"/>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132,965</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146,866</w:t>
            </w:r>
          </w:p>
        </w:tc>
        <w:tc>
          <w:tcPr>
            <w:tcW w:w="0" w:type="dxa"/>
            <w:vAlign w:val="bottom"/>
          </w:tcPr>
          <w:p>
            <w:pPr>
              <w:spacing w:after="0"/>
              <w:rPr>
                <w:sz w:val="1"/>
                <w:szCs w:val="1"/>
                <w:color w:val="auto"/>
              </w:rPr>
            </w:pPr>
          </w:p>
        </w:tc>
      </w:tr>
      <w:tr>
        <w:trPr>
          <w:trHeight w:val="195"/>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140,334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and other</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831,102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705,994</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(132,623)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(209,447)</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38,707</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(98,320)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(170,740)</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(100,222)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(171,783)</w:t>
            </w:r>
          </w:p>
        </w:tc>
        <w:tc>
          <w:tcPr>
            <w:tcW w:w="0" w:type="dxa"/>
            <w:vAlign w:val="bottom"/>
          </w:tcPr>
          <w:p>
            <w:pPr>
              <w:spacing w:after="0"/>
              <w:rPr>
                <w:sz w:val="1"/>
                <w:szCs w:val="1"/>
                <w:color w:val="auto"/>
              </w:rPr>
            </w:pPr>
          </w:p>
        </w:tc>
      </w:tr>
      <w:tr>
        <w:trPr>
          <w:trHeight w:val="17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cash flow hedges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income (loss)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12,443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(9,782)</w:t>
            </w:r>
          </w:p>
        </w:tc>
        <w:tc>
          <w:tcPr>
            <w:tcW w:w="0" w:type="dxa"/>
            <w:vAlign w:val="bottom"/>
          </w:tcPr>
          <w:p>
            <w:pPr>
              <w:spacing w:after="0"/>
              <w:rPr>
                <w:sz w:val="1"/>
                <w:szCs w:val="1"/>
                <w:color w:val="auto"/>
              </w:rPr>
            </w:pPr>
          </w:p>
        </w:tc>
      </w:tr>
      <w:tr>
        <w:trPr>
          <w:trHeight w:val="22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(87,779)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(181,565)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 for Class A and Class B</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318,234,555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303,839,670</w:t>
            </w:r>
          </w:p>
        </w:tc>
        <w:tc>
          <w:tcPr>
            <w:tcW w:w="0" w:type="dxa"/>
            <w:vAlign w:val="bottom"/>
          </w:tcPr>
          <w:p>
            <w:pPr>
              <w:spacing w:after="0"/>
              <w:rPr>
                <w:sz w:val="1"/>
                <w:szCs w:val="1"/>
                <w:color w:val="auto"/>
              </w:rPr>
            </w:pPr>
          </w:p>
        </w:tc>
      </w:tr>
      <w:tr>
        <w:trPr>
          <w:trHeight w:val="188"/>
        </w:trPr>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318,234,555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303,839,670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4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6"/>
                <w:szCs w:val="16"/>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311,053,031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5,862,555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(3,109,004)</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(21,565)</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2,731,989</w:t>
            </w:r>
          </w:p>
        </w:tc>
        <w:tc>
          <w:tcPr>
            <w:tcW w:w="0" w:type="dxa"/>
            <w:vAlign w:val="bottom"/>
          </w:tcPr>
          <w:p>
            <w:pPr>
              <w:spacing w:after="0"/>
              <w:rPr>
                <w:sz w:val="1"/>
                <w:szCs w:val="1"/>
                <w:color w:val="auto"/>
              </w:rPr>
            </w:pPr>
          </w:p>
        </w:tc>
      </w:tr>
      <w:tr>
        <w:trPr>
          <w:trHeight w:val="139"/>
        </w:trPr>
        <w:tc>
          <w:tcPr>
            <w:tcW w:w="32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432,277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2,492,095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4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4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4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313,977,403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6,053,917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(3,209,226)</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(9,122)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2,835,572</w:t>
            </w:r>
          </w:p>
        </w:tc>
        <w:tc>
          <w:tcPr>
            <w:tcW w:w="0" w:type="dxa"/>
            <w:vAlign w:val="bottom"/>
          </w:tcPr>
          <w:p>
            <w:pPr>
              <w:spacing w:after="0"/>
              <w:rPr>
                <w:sz w:val="1"/>
                <w:szCs w:val="1"/>
                <w:color w:val="auto"/>
              </w:rPr>
            </w:pPr>
          </w:p>
        </w:tc>
      </w:tr>
      <w:tr>
        <w:trPr>
          <w:trHeight w:val="651"/>
        </w:trPr>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ind w:left="36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7"/>
                <w:szCs w:val="17"/>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0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296,846,217</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5,140,850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(2,591,247)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(15,423)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2,534,183</w:t>
            </w: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495,350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3,740,320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95,910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95,910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151,162</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4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cash flow hedges</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(171,783)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(171,783)</w:t>
            </w: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4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301,081,887</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5,355,032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(2,763,030)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(25,205)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2,566,800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162560</wp:posOffset>
            </wp:positionV>
            <wp:extent cx="101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73" w:lineRule="exact"/>
        <w:rPr>
          <w:sz w:val="20"/>
          <w:szCs w:val="20"/>
          <w:color w:val="auto"/>
        </w:rPr>
      </w:pPr>
    </w:p>
    <w:p>
      <w:pPr>
        <w:ind w:left="560" w:hanging="308"/>
        <w:spacing w:after="0"/>
        <w:tabs>
          <w:tab w:leader="none" w:pos="5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40" w:type="dxa"/>
            <w:vAlign w:val="bottom"/>
            <w:tcBorders>
              <w:bottom w:val="single" w:sz="8" w:color="auto"/>
            </w:tcBorders>
          </w:tcPr>
          <w:p>
            <w:pPr>
              <w:spacing w:after="0"/>
              <w:rPr>
                <w:sz w:val="15"/>
                <w:szCs w:val="15"/>
                <w:color w:val="auto"/>
              </w:rPr>
            </w:pPr>
          </w:p>
        </w:tc>
      </w:tr>
      <w:tr>
        <w:trPr>
          <w:trHeight w:val="171"/>
        </w:trPr>
        <w:tc>
          <w:tcPr>
            <w:tcW w:w="79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bottom w:val="single" w:sz="8" w:color="auto"/>
            </w:tcBorders>
          </w:tcPr>
          <w:p>
            <w:pPr>
              <w:spacing w:after="0"/>
              <w:rPr>
                <w:sz w:val="14"/>
                <w:szCs w:val="14"/>
                <w:color w:val="auto"/>
              </w:rPr>
            </w:pP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(100,222)</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(171,783)</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 for losses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159,824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99,696</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premiums and discounts on loans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(52,064)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(41,138)</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sales of loans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(63,613)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(34,285)</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fair value of assets and liabilities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(4,110)</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commercial agreement assets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21,557</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5,534</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discount on securities available for sale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(12,120)</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Commercial agreement warrant expense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107,263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95,910</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94,233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112,359</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46,720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40,131</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Impairment of right of use assets</w:t>
            </w:r>
          </w:p>
        </w:tc>
        <w:tc>
          <w:tcPr>
            <w:tcW w:w="9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r>
      <w:tr>
        <w:trPr>
          <w:trHeight w:val="170"/>
        </w:trPr>
        <w:tc>
          <w:tcPr>
            <w:tcW w:w="79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(4,730)</w:t>
            </w:r>
          </w:p>
        </w:tc>
      </w:tr>
      <w:tr>
        <w:trPr>
          <w:trHeight w:val="181"/>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Purchases and origination of loans held for sale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(1,219,022)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(1,222,224)</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Proceeds from the sale of loans held for sale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1,219,061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1,228,110</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41,117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(42,208)</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(12,566)</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Payable to third-party loan buyers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55,646</w:t>
            </w:r>
          </w:p>
        </w:tc>
      </w:tr>
      <w:tr>
        <w:trPr>
          <w:trHeight w:val="170"/>
        </w:trPr>
        <w:tc>
          <w:tcPr>
            <w:tcW w:w="79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interest payable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6,264</w:t>
            </w:r>
          </w:p>
        </w:tc>
      </w:tr>
      <w:tr>
        <w:trPr>
          <w:trHeight w:val="181"/>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(23,755)</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(20,636)</w:t>
            </w:r>
          </w:p>
        </w:tc>
      </w:tr>
      <w:tr>
        <w:trPr>
          <w:trHeight w:val="16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196,867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98,902</w:t>
            </w:r>
          </w:p>
        </w:tc>
      </w:tr>
      <w:tr>
        <w:trPr>
          <w:trHeight w:val="16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and origination of loans held for investment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(6,388,350)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(4,229,667)</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the sale of loans held for investment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1,630,671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899,238</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repayments and other loan servicing activity</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4,132,682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3,184,851</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Additions to property, equipment and software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(35,817)</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securities available for sale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(136,727)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(96,813)</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maturities and repayments of securities available for sale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215,680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262,293</w:t>
            </w:r>
          </w:p>
        </w:tc>
      </w:tr>
      <w:tr>
        <w:trPr>
          <w:trHeight w:val="17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cash inflows</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15,197</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(574,999)</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(15,859)</w:t>
            </w:r>
          </w:p>
        </w:tc>
      </w:tr>
      <w:tr>
        <w:trPr>
          <w:trHeight w:val="151"/>
        </w:trPr>
        <w:tc>
          <w:tcPr>
            <w:tcW w:w="79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funding debt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3,188,998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2,896,251</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(10,490)</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 repayments of funding debt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(3,289,384)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(2,938,674)</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Extinguishment of convertible debt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(120,056)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notes and certificates by securitization trust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r>
      <w:tr>
        <w:trPr>
          <w:trHeight w:val="170"/>
        </w:trPr>
        <w:tc>
          <w:tcPr>
            <w:tcW w:w="7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 repayments of notes issued by securitization trust</w:t>
            </w:r>
          </w:p>
        </w:tc>
        <w:tc>
          <w:tcPr>
            <w:tcW w:w="9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(515,377)</w:t>
            </w:r>
          </w:p>
        </w:tc>
      </w:tr>
      <w:tr>
        <w:trPr>
          <w:trHeight w:val="18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exercise of common stock options and warrants and contributions to ESPP</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3,611</w:t>
            </w:r>
          </w:p>
        </w:tc>
      </w:tr>
      <w:tr>
        <w:trPr>
          <w:trHeight w:val="17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Payments of tax withholding for stock-based compensation</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(63,208)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(36,515)</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465,625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148,806</w:t>
            </w:r>
          </w:p>
        </w:tc>
      </w:tr>
      <w:tr>
        <w:trPr>
          <w:trHeight w:val="17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(3,301)</w:t>
            </w:r>
          </w:p>
        </w:tc>
      </w:tr>
      <w:tr>
        <w:trPr>
          <w:trHeight w:val="17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89,223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228,548</w:t>
            </w:r>
          </w:p>
        </w:tc>
      </w:tr>
      <w:tr>
        <w:trPr>
          <w:trHeight w:val="17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1,295,399</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1,259,944</w:t>
            </w:r>
          </w:p>
        </w:tc>
      </w:tr>
      <w:tr>
        <w:trPr>
          <w:trHeight w:val="20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1,384,622</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1,488,492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1,046,160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1,079,261</w:t>
            </w:r>
          </w:p>
        </w:tc>
      </w:tr>
      <w:tr>
        <w:trPr>
          <w:trHeight w:val="20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338,462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409,231</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1,384,622</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1,488,492</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7"/>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99,506</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64,868</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88"/>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49,478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38,803</w:t>
            </w: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consumers more effectively through our frictionless point-of-sale payment solutions.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2024. The balance sheet as of June 30, 2024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self-originated loans, the evaluation for impairment of intangible assets and goodwill, the fair value of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debt securities including retained interests in our securitization trusts, the fair value of risk sharing arrangements,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1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7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significant accounting policies as disclosed in Note 2. Summary of Significant Accounting Policies of our Annual Report on Form 10-K for the fiscal year ended June 30, 2024, which was filed with the SEC on August 28,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2"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7"/>
          <w:szCs w:val="17"/>
          <w:color w:val="auto"/>
        </w:rPr>
        <w:t>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The new guidance modifies the existing annual and interim segment reporting disclosures. The purpose of the update is to enable investors to better understand an entity’s overall performance and assess potential future cash flows, primarily through enhanced disclosure requirements on significant segment expenses. The ASU is effective for annual reporting periods beginning after December 15, 2023 and interim periods within fiscal years beginning after December 15, 2024, and should be applied retrospectively to all prior periods presented in the financial statements. Early adoption is permitted. We are in the process of evaluating the impact of adopting this accounting standard update on our consolidated financial statements and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6"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new guidance is expected to increase transparency and usefulness of income tax disclosures through improvements to the rate reconciliation, income taxes paid, and other disclosure requirements. The ASU is effective for fiscal years beginning after December 15, 2024 and should be applied on a prospective basis, although retrospective application is permitted. Early adoption is permitted for annual financial statements that have not yet been issued or made available for issuance. We are in the process of evaluating the impact of adopting this accounting standard update on our consolidated financial statements and disclosures.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revenue source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145,950</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 network revenue</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33,476</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377,064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262,679</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34,285</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2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698,479</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496,547</w:t>
            </w:r>
          </w:p>
        </w:tc>
      </w:tr>
      <w:tr>
        <w:trPr>
          <w:trHeight w:val="21"/>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 — Revenue from Contracts with Customers</w:t>
      </w:r>
    </w:p>
    <w:p>
      <w:pPr>
        <w:spacing w:after="0" w:line="2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w:t>
      </w:r>
    </w:p>
    <w:p>
      <w:pPr>
        <w:spacing w:after="0" w:line="20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September 30, 2024 and 2023, there were no merchants that exceeded 10% of total revenue.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 — Revenue from Contracts with Customers</w:t>
      </w:r>
    </w:p>
    <w:p>
      <w:pPr>
        <w:spacing w:after="0" w:line="254"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We have agreements with card-issuing partners to facilitate the issuance of physical and virtual cards to be used by consumers at checkout. Prior to purchase, consumers can apply at Affirm.com or via the Affirm app and, upon approval, use a physical or virtual card to complete their purchase online or in-store. The card is funded at the time a transaction is authorized using cash held by the card-issuing partner in a reserve fund. Eligible consumers can also use the Affirm Card, a card issued by a card-issuing partner to pay in full, via their linked bank account, or pay later, by using a unique post-purchase feature that allows them to instantly convert any eligible transaction into an installment loan. Where applicable, our originating bank partner, or wholly-owned subsidiaries, then originates a loan to the consumer after the transaction is confirmed by the merchant. The merchant is charged interchange fees for each successful card transaction, and a portion of this revenue is shared with us by our card-issuing partners.</w:t>
      </w:r>
    </w:p>
    <w:p>
      <w:pPr>
        <w:spacing w:after="0" w:line="21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service comprises a single performance obligation to the card-issuing partner to facilitate transactions with consumers.</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80" w:type="dxa"/>
            <w:vAlign w:val="bottom"/>
            <w:tcBorders>
              <w:bottom w:val="single" w:sz="8" w:color="auto"/>
            </w:tcBorders>
          </w:tcPr>
          <w:p>
            <w:pPr>
              <w:spacing w:after="0"/>
              <w:rPr>
                <w:sz w:val="18"/>
                <w:szCs w:val="18"/>
                <w:color w:val="auto"/>
              </w:rPr>
            </w:pPr>
          </w:p>
        </w:tc>
      </w:tr>
      <w:tr>
        <w:trPr>
          <w:trHeight w:val="211"/>
        </w:trPr>
        <w:tc>
          <w:tcPr>
            <w:tcW w:w="72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income on unpaid principal balance</w:t>
            </w: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226,158</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discount on loans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45,118</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receivable charged-off, net of recoveries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262,679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September 30, 2024 and June 30, 2024, the balance of loans held for investment on non-accrual status was $4.3 million and $2.6 million, respectively.</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charged-off.</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recognize a risk sharing asset or liability in certain arrangements where payments are made or received based on the actual versus expected loan performance, as contractually agreed upon with the third party. Refer to Note 12. Fair Value of Financial Assets and Liabilities for further discussion of risk sharing arrangements.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25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6,330,283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5,697,965</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62,796</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loan purchase commitment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(63,682)</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directly originated loans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(34,829)</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Fair value adjustment on loans acquired through business combination</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6,310,834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5,670,056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$6.4 billion and $4.6 billion during the three months ended September 30, 2024 and 2023, respectively. We directly originated $1.3 billion and $0.9 billion of loans during the three months ended September 30, 2024 and 2023, respectively.</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portfolio consists of interest bearing and non-interest bearing consumer loans with original term lengths of up to sixty months originated in markets including the U.S. and Canada, with the majority of loans originated within the U.S. Given that our loan portfolio focuses on one product segment, unsecured consumer installment loans, we generally evaluate the entire portfolio as a single homogeneous loan portfolio to predict future losses, considering factors such as country of origin, loan product, origination channel, merchant and various borrower characteristics.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Our proprietary score (“ITACs”) is assigned to most loans facilitated through our technology platform, ranging from zero to 100, with 100 representing the highest credit quality and therefore the lowest likelihood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an analysis of the credit quality, by ITACs score, of the amortized cost basis excluding accrued interest receivable, by fiscal year of origination on loans held for investment and loans held for sale as of September 30, 2024 and June 30,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1,789,407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4,132,054</w:t>
            </w:r>
          </w:p>
        </w:tc>
      </w:tr>
      <w:tr>
        <w:trPr>
          <w:trHeight w:val="230"/>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94 – 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1,697,102</w:t>
            </w:r>
          </w:p>
        </w:tc>
      </w:tr>
      <w:tr>
        <w:trPr>
          <w:trHeight w:val="229"/>
        </w:trPr>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94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296,007</w:t>
            </w: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51,780</w:t>
            </w:r>
          </w:p>
        </w:tc>
      </w:tr>
      <w:tr>
        <w:trPr>
          <w:trHeight w:val="230"/>
        </w:trPr>
        <w:tc>
          <w:tcPr>
            <w:tcW w:w="20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 score </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61,384</w:t>
            </w:r>
          </w:p>
        </w:tc>
      </w:tr>
      <w:tr>
        <w:trPr>
          <w:trHeight w:val="223"/>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6,238,327</w:t>
            </w:r>
          </w:p>
        </w:tc>
      </w:tr>
      <w:tr>
        <w:trPr>
          <w:trHeight w:val="21"/>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71"/>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1"/>
        </w:trPr>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1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3,438,135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3,631,572</w:t>
            </w:r>
          </w:p>
        </w:tc>
      </w:tr>
      <w:tr>
        <w:trPr>
          <w:trHeight w:val="229"/>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94 – 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1,538,829</w:t>
            </w:r>
          </w:p>
        </w:tc>
      </w:tr>
      <w:tr>
        <w:trPr>
          <w:trHeight w:val="230"/>
        </w:trPr>
        <w:tc>
          <w:tcPr>
            <w:tcW w:w="2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94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291,342</w:t>
            </w: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45,367</w:t>
            </w:r>
          </w:p>
        </w:tc>
      </w:tr>
      <w:tr>
        <w:trPr>
          <w:trHeight w:val="230"/>
        </w:trPr>
        <w:tc>
          <w:tcPr>
            <w:tcW w:w="20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 score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100,186</w:t>
            </w:r>
          </w:p>
        </w:tc>
      </w:tr>
      <w:tr>
        <w:trPr>
          <w:trHeight w:val="223"/>
        </w:trPr>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2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5,607,296</w:t>
            </w:r>
          </w:p>
        </w:tc>
      </w:tr>
      <w:tr>
        <w:trPr>
          <w:trHeight w:val="20"/>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ind w:left="660" w:right="220" w:hanging="328"/>
        <w:spacing w:after="0" w:line="22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balance represents loan receivables without sufficient data available for use by the Affirm scoring methodology including new markets and certain developing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charge-offs by fiscal year of origination as of September 30, 2024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charge-offs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(94)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(121,448)</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recoveries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Current period net charge-</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(104,219)</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(113,296)</w:t>
            </w:r>
          </w:p>
        </w:tc>
        <w:tc>
          <w:tcPr>
            <w:tcW w:w="0" w:type="dxa"/>
            <w:vAlign w:val="bottom"/>
          </w:tcPr>
          <w:p>
            <w:pPr>
              <w:spacing w:after="0"/>
              <w:rPr>
                <w:sz w:val="1"/>
                <w:szCs w:val="1"/>
                <w:color w:val="auto"/>
              </w:rPr>
            </w:pPr>
          </w:p>
        </w:tc>
      </w:tr>
      <w:tr>
        <w:trPr>
          <w:trHeight w:val="23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offs</w:t>
            </w: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5,899,332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5,331,462</w:t>
            </w:r>
          </w:p>
        </w:tc>
      </w:tr>
      <w:tr>
        <w:trPr>
          <w:trHeight w:val="229"/>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134,434</w:t>
            </w: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55,021</w:t>
            </w:r>
          </w:p>
        </w:tc>
      </w:tr>
      <w:tr>
        <w:trPr>
          <w:trHeight w:val="229"/>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47,764</w:t>
            </w:r>
          </w:p>
        </w:tc>
      </w:tr>
      <w:tr>
        <w:trPr>
          <w:trHeight w:val="229"/>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90 – 119 calendar days past due</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6,238,327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5,607,296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03" w:lineRule="exact"/>
        <w:rPr>
          <w:sz w:val="20"/>
          <w:szCs w:val="20"/>
          <w:color w:val="auto"/>
        </w:rPr>
      </w:pPr>
    </w:p>
    <w:p>
      <w:pPr>
        <w:ind w:left="660" w:right="240" w:hanging="328"/>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$47.7 million and $38.6 million of loan receivables as of September 30, 2024 and June 30, 2024, respectively, that are 90 days or more past due, but are not on non-accrual status.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maintain an allowance for credit losses at a level sufficient to absorb expected credit losses based on evaluating known and inherent risks in our loan portfolio. The allowance for credit losses reflects our estimate of expected lifetime credit losses, which consider the remaining contractual term, historical credit losses, consumer payment trends, estimated recoveries, and future payment expectations as of each balance sheet date. Adjustments to the allowance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off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the allowance for credit losses, including charge-offs, recoveries and provision for loan losses (in thousands):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8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2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204,531</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154,805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92,827</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(70,842)</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20" w:type="dxa"/>
            <w:vAlign w:val="bottom"/>
            <w:tcBorders>
              <w:bottom w:val="single" w:sz="8" w:color="auto"/>
            </w:tcBorders>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232,068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for Borrowers Experiencing Financial Difficulty</w:t>
      </w:r>
    </w:p>
    <w:p>
      <w:pPr>
        <w:spacing w:after="0" w:line="3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a loan modification program for borrowers experiencing financial difficulty if certain eligibility criteria are met. A loan is evaluated for modification program eligibility when a borrower self-reports financial hardship, either when a borrower contacts us directly or upon making contact with the borrower to determine eligibility when a loan payment is past due. The objectives of the loan modification program are to offer borrowers assistance during times of financial stress, increase collections, and minimize losses.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 provides the borrower relief by lowering monthly payments through extending the term length of the loan; however, the total remaining term may not exceed twenty-four months. In addition, the total interest due from the consumer will not exceed the initial total interest due prior to modification, and a loan may not be re-amortized more than once.</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loans excluding accrued interest receivable that were modified for borrowers experiencing financial difficulty during the three months ended September 30, 2024 and 2023, by type of modification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40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70"/>
              <w:spacing w:after="0" w:line="223"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deferral</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8,990</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 re-amortization</w:t>
            </w:r>
          </w:p>
        </w:tc>
        <w:tc>
          <w:tcPr>
            <w:tcW w:w="1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of total loan receivables outstanding</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4141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08" w:lineRule="exact"/>
        <w:rPr>
          <w:sz w:val="20"/>
          <w:szCs w:val="20"/>
          <w:color w:val="auto"/>
        </w:rPr>
      </w:pPr>
    </w:p>
    <w:p>
      <w:pPr>
        <w:ind w:left="660" w:right="80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previously disclosed excluded modifications made to borrowers where the loan was less than 30 days delinquent at the time of modification.</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payment deferrals during the three months ended September 30, 2024 and 2023, the length of each deferral period was one month.</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With respect to borrowers who received a loan re-amortization during the three months ended September 30, 2024 and 2023, the payment amount was reduced by half and the term of the loan was extended between one month and twelve months.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spacing w:after="0" w:line="16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delinquency status as of September 30, 2024 and 2023, by amortized cost basis excluding accrued interest receivable, of loan receivables that have been modified within the last 12 months where the borrower was experiencing financial difficulty at the time of modification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2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w:t>
            </w: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2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26,215</w:t>
            </w: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88"/>
        </w:trPr>
        <w:tc>
          <w:tcPr>
            <w:tcW w:w="2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 xml:space="preserve">September 30, 2023 </w:t>
            </w:r>
            <w:r>
              <w:rPr>
                <w:rFonts w:ascii="Times New Roman" w:cs="Times New Roman" w:eastAsia="Times New Roman" w:hAnsi="Times New Roman"/>
                <w:sz w:val="23"/>
                <w:szCs w:val="23"/>
                <w:b w:val="1"/>
                <w:bCs w:val="1"/>
                <w:color w:val="auto"/>
                <w:w w:val="96"/>
                <w:vertAlign w:val="superscript"/>
              </w:rPr>
              <w:t>(1)</w:t>
            </w:r>
          </w:p>
        </w:tc>
        <w:tc>
          <w:tcPr>
            <w:tcW w:w="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2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w:t>
            </w: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 119 calendar days past due</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w:t>
            </w: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117" w:lineRule="exact"/>
        <w:rPr>
          <w:sz w:val="20"/>
          <w:szCs w:val="20"/>
          <w:color w:val="auto"/>
        </w:rPr>
      </w:pPr>
    </w:p>
    <w:p>
      <w:pPr>
        <w:ind w:left="660" w:right="800" w:hanging="328"/>
        <w:spacing w:after="0" w:line="22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previously disclosed excluded modifications made to borrowers where the loan was less than 30 days delinquent at the time of modification</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With respect to modifications during the 12 months preceding September 30, 2024 and September 30, 2023, respectively, where the borrower was experiencing financial difficulty at the time of modification, the amortized cost basis of loans which have been charged off was $16.0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8"/>
          <w:szCs w:val="18"/>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$17.2 million and $14.9 million as of September 30, 2024 and June 30, 2024,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719,971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630,129</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669,892</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427,686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60" w:firstLine="648"/>
        <w:spacing w:after="0" w:line="297"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$46.1 million and $26.0 million for the three months ended September 30, 2024 and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three months ended September 30,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103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three months ended September 30, 2024 were as follows (in thousands):</w:t>
            </w:r>
          </w:p>
        </w:tc>
        <w:tc>
          <w:tcPr>
            <w:tcW w:w="880" w:type="dxa"/>
            <w:vAlign w:val="bottom"/>
          </w:tcPr>
          <w:p>
            <w:pPr>
              <w:spacing w:after="0"/>
              <w:rPr>
                <w:sz w:val="24"/>
                <w:szCs w:val="24"/>
                <w:color w:val="auto"/>
              </w:rPr>
            </w:pPr>
          </w:p>
        </w:tc>
      </w:tr>
      <w:tr>
        <w:trPr>
          <w:trHeight w:val="270"/>
        </w:trPr>
        <w:tc>
          <w:tcPr>
            <w:tcW w:w="22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9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533,439</w:t>
            </w:r>
          </w:p>
        </w:tc>
      </w:tr>
      <w:tr>
        <w:trPr>
          <w:trHeight w:val="230"/>
        </w:trPr>
        <w:tc>
          <w:tcPr>
            <w:tcW w:w="92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536,745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240" w:type="dxa"/>
            <w:vAlign w:val="bottom"/>
            <w:tcBorders>
              <w:bottom w:val="single" w:sz="8" w:color="auto"/>
            </w:tcBorders>
          </w:tcPr>
          <w:p>
            <w:pPr>
              <w:spacing w:after="0"/>
              <w:rPr>
                <w:sz w:val="15"/>
                <w:szCs w:val="15"/>
                <w:color w:val="auto"/>
              </w:rPr>
            </w:pPr>
          </w:p>
        </w:tc>
        <w:tc>
          <w:tcPr>
            <w:tcW w:w="7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87"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Adjustments to goodwill during the three months ended September 30, 2024 primarily pertained to foreign currency translation adjustments.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No impairment losses related to goodwill were recorded during the three months ended September 30, 2024 or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$0.6 million and $14.2 million for the three months ended September 30, 2024 and 2023, respectively. No impairment losses related to intangible assets were recorded during the three months ended September 30, 2024 and 2023.</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future amortization expense of these intangible assets as of September 30, 2024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8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9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Assets</w:t>
      </w:r>
    </w:p>
    <w:p>
      <w:pPr>
        <w:spacing w:after="0" w:line="256"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In November 2021, we granted warrants in connection with our commercial agreements with certain subsidiaries of Amazon.com, Inc. (“Amazon”). The warrants were granted in exchange for certain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expected benefit period of four years. For the three months ended September 30, 2024 and 2023, we recognized amortization expense of $5.2 million and $10.4 million, respectively, in our interim condensed consolidated statements of operations and comprehensive loss as a component of sales and marketing expense. Refer to Note 13. Stockholders’ Equity for further discussion of the warrants.</w:t>
      </w:r>
    </w:p>
    <w:p>
      <w:pPr>
        <w:spacing w:after="0" w:line="197"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September 30, 2024. During fiscal year 2022, the expected benefit period was extended from four to six years upon the execution of the commercial agreement term. The benefit period is reevaluated each reporting period. During the three months ended September 30, 2024 and 2023, we recorded amortization expense related to the commercial agreement asset of $9.0 million for both periods in our interim condensed consolidated statements of operations and comprehensive loss as a component of sales and marketing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reserves</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asset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at cost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deferred tax asset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term deposit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payroll taxes for stock-based compensation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Collateral held for derivative instruments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nine months to one year. As of September 30, 2024, we have not considered such provisions in the determination of the lease term, as it is not reasonably certain these options will be exercised. Leases have remaining terms that range from less than one year to six years.</w:t>
      </w:r>
    </w:p>
    <w:p>
      <w:pPr>
        <w:spacing w:after="0" w:line="19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September 30, 2024, the collateral totaled $7.4 million, which was in the form of securities that have been classified as securities available for sale at fair value in the interim condensed consolidated balance sheets. As of June 30, 2024, the collateral totaled $8.8 million, of which $2.0 million was in the form of cash that was classified as restricted cash, and $6.8 million was in the form of securities which was classified as securities available for sale at fair value on our consolidated balance sheets.</w:t>
      </w:r>
    </w:p>
    <w:p>
      <w:pPr>
        <w:spacing w:after="0" w:line="224"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No impairment charge was incurred related to leases during the three months ended September 30, 2024. During the three months ended September 30, 2023, we subleased a portion of our leased office space in San Francisco, resulting in an impairment charge of $0.8 million, included in general and administrative expense on our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is as follows (in thousands):</w:t>
      </w:r>
    </w:p>
    <w:p>
      <w:pPr>
        <w:spacing w:after="0" w:line="29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0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182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$2,986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Lease expenses for our short-term leases were immaterial for the periods presented.</w:t>
      </w:r>
    </w:p>
    <w:p>
      <w:pPr>
        <w:spacing w:after="0" w:line="225"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have subleased a portion of our leased facilities. Sublease income totaled $1.3 million and $0.9 million during the three months ended September 30, 2024 and 2023,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information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bottom w:val="single" w:sz="8" w:color="CCEEFF"/>
            </w:tcBorders>
          </w:tcPr>
          <w:p>
            <w:pPr>
              <w:spacing w:after="0"/>
              <w:rPr>
                <w:sz w:val="18"/>
                <w:szCs w:val="18"/>
                <w:color w:val="auto"/>
              </w:rPr>
            </w:pPr>
          </w:p>
        </w:tc>
        <w:tc>
          <w:tcPr>
            <w:tcW w:w="9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6"/>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r>
      <w:tr>
        <w:trPr>
          <w:trHeight w:val="234"/>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r>
      <w:tr>
        <w:trPr>
          <w:trHeight w:val="535"/>
        </w:trPr>
        <w:tc>
          <w:tcPr>
            <w:tcW w:w="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 of September 30, 2024, future minimum lease payments are as follows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4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9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Repurchase Obligations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September 30, 2024, the aggregate outstanding balance of loans held by third-party investors or unconsolidated VIEs was $5.2 billion, of which we have recorded a repurchase liability of $6.4 million within accrued expenses and other liabilities in our interim condensed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Kusnier v. Affirm Holdings, Inc.</w:t>
      </w:r>
    </w:p>
    <w:p>
      <w:pPr>
        <w:spacing w:after="0" w:line="254"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On December 8, 2022, plaintiff Mark Kusnier filed a putative class action lawsuit against Affirm, Max Levchin, and Michael Linford in the U.S. District Court for the Northern District of California (the “Kusnier 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w:t>
      </w:r>
    </w:p>
    <w:p>
      <w:pPr>
        <w:spacing w:after="0" w:line="3" w:lineRule="exact"/>
        <w:rPr>
          <w:sz w:val="20"/>
          <w:szCs w:val="20"/>
          <w:color w:val="auto"/>
        </w:rPr>
      </w:pPr>
    </w:p>
    <w:p>
      <w:pPr>
        <w:ind w:firstLine="8"/>
        <w:spacing w:after="0" w:line="25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contains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seek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Quiroga v. Levchin, et al.</w:t>
      </w:r>
    </w:p>
    <w:p>
      <w:pPr>
        <w:spacing w:after="0" w:line="2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Jeffries v. Levchin, et al.</w:t>
      </w:r>
    </w:p>
    <w:p>
      <w:pPr>
        <w:spacing w:after="0" w:line="25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Vallieres v. Levchin, et al.</w:t>
      </w:r>
    </w:p>
    <w:p>
      <w:pPr>
        <w:spacing w:after="0" w:line="254"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spacing w:after="0" w:line="22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 September 30, 2024 were not material. The ultimate outcome of legal proceedings involves judgments, estimates and inherent uncertainties, and cannot be predicted with certainty.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encompasses funding debt, convertible senior notes and our revolving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Borrowing Facilities</w:t>
      </w:r>
    </w:p>
    <w:p>
      <w:pPr>
        <w:spacing w:after="0" w:line="254"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U.S. and International secured borrowing facilities as of September 30, 2024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Advance Rate</w:t>
            </w: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Interest Rate Spread </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10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Unused</w:t>
            </w: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0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Min - Max</w:t>
            </w:r>
          </w:p>
        </w:tc>
        <w:tc>
          <w:tcPr>
            <w:tcW w:w="9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Min - Max</w:t>
            </w:r>
          </w:p>
        </w:tc>
        <w:tc>
          <w:tcPr>
            <w:tcW w:w="9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360" w:type="dxa"/>
            <w:vAlign w:val="bottom"/>
            <w:gridSpan w:val="3"/>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00" w:type="dxa"/>
            <w:vAlign w:val="bottom"/>
            <w:vMerge w:val="continue"/>
          </w:tcPr>
          <w:p>
            <w:pPr>
              <w:spacing w:after="0"/>
              <w:rPr>
                <w:sz w:val="17"/>
                <w:szCs w:val="17"/>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vMerge w:val="continue"/>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Commitment Fees</w:t>
            </w:r>
          </w:p>
        </w:tc>
        <w:tc>
          <w:tcPr>
            <w:tcW w:w="1040" w:type="dxa"/>
            <w:vAlign w:val="bottom"/>
            <w:gridSpan w:val="2"/>
            <w:vMerge w:val="continue"/>
          </w:tcPr>
          <w:p>
            <w:pPr>
              <w:spacing w:after="0"/>
              <w:rPr>
                <w:sz w:val="17"/>
                <w:szCs w:val="17"/>
                <w:color w:val="auto"/>
              </w:rPr>
            </w:pPr>
          </w:p>
        </w:tc>
        <w:tc>
          <w:tcPr>
            <w:tcW w:w="1360" w:type="dxa"/>
            <w:vAlign w:val="bottom"/>
            <w:gridSpan w:val="3"/>
          </w:tcPr>
          <w:p>
            <w:pPr>
              <w:jc w:val="right"/>
              <w:ind w:right="34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Collateral </w:t>
            </w:r>
            <w:r>
              <w:rPr>
                <w:rFonts w:ascii="Times New Roman" w:cs="Times New Roman" w:eastAsia="Times New Roman" w:hAnsi="Times New Roman"/>
                <w:sz w:val="18"/>
                <w:szCs w:val="18"/>
                <w:b w:val="1"/>
                <w:bCs w:val="1"/>
                <w:color w:val="auto"/>
                <w:vertAlign w:val="superscript"/>
              </w:rPr>
              <w:t>(3)</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6"/>
        </w:trPr>
        <w:tc>
          <w:tcPr>
            <w:tcW w:w="1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facilities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4,975,000</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70% - 86%</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1.75% - 2.20%</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0.00% - 0.75%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2025 - 2027</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1,579,348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1,327,040</w:t>
            </w: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International</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652,906</w:t>
            </w:r>
          </w:p>
        </w:tc>
        <w:tc>
          <w:tcPr>
            <w:tcW w:w="100" w:type="dxa"/>
            <w:vAlign w:val="bottom"/>
          </w:tcPr>
          <w:p>
            <w:pPr>
              <w:spacing w:after="0"/>
              <w:rPr>
                <w:sz w:val="11"/>
                <w:szCs w:val="11"/>
                <w:color w:val="auto"/>
              </w:rPr>
            </w:pP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67% - 88%</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1.25% - 4.25%</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1.70%</w:t>
            </w:r>
          </w:p>
        </w:tc>
        <w:tc>
          <w:tcPr>
            <w:tcW w:w="13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0.30% - 0.45%</w:t>
            </w:r>
          </w:p>
        </w:tc>
        <w:tc>
          <w:tcPr>
            <w:tcW w:w="1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2028 - 2030</w:t>
            </w: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489,270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406,984</w:t>
            </w:r>
          </w:p>
        </w:tc>
        <w:tc>
          <w:tcPr>
            <w:tcW w:w="0" w:type="dxa"/>
            <w:vAlign w:val="bottom"/>
          </w:tcPr>
          <w:p>
            <w:pPr>
              <w:spacing w:after="0"/>
              <w:rPr>
                <w:sz w:val="1"/>
                <w:szCs w:val="1"/>
                <w:color w:val="auto"/>
              </w:rPr>
            </w:pPr>
          </w:p>
        </w:tc>
      </w:tr>
      <w:tr>
        <w:trPr>
          <w:trHeight w:val="201"/>
        </w:trPr>
        <w:tc>
          <w:tcPr>
            <w:tcW w:w="108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facilities </w:t>
            </w:r>
            <w:r>
              <w:rPr>
                <w:rFonts w:ascii="Times New Roman" w:cs="Times New Roman" w:eastAsia="Times New Roman" w:hAnsi="Times New Roman"/>
                <w:sz w:val="18"/>
                <w:szCs w:val="18"/>
                <w:color w:val="auto"/>
                <w:vertAlign w:val="superscript"/>
              </w:rPr>
              <w:t>(1)</w:t>
            </w:r>
          </w:p>
        </w:tc>
        <w:tc>
          <w:tcPr>
            <w:tcW w:w="9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before unamortized debt issuance costs, premiums and discounts</w:t>
            </w:r>
          </w:p>
        </w:tc>
        <w:tc>
          <w:tcPr>
            <w:tcW w:w="1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1,734,024</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premiums and discounts</w:t>
            </w:r>
          </w:p>
        </w:tc>
        <w:tc>
          <w:tcPr>
            <w:tcW w:w="13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(12,429)</w:t>
            </w:r>
          </w:p>
        </w:tc>
        <w:tc>
          <w:tcPr>
            <w:tcW w:w="0" w:type="dxa"/>
            <w:vAlign w:val="bottom"/>
          </w:tcPr>
          <w:p>
            <w:pPr>
              <w:spacing w:after="0"/>
              <w:rPr>
                <w:sz w:val="1"/>
                <w:szCs w:val="1"/>
                <w:color w:val="auto"/>
              </w:rPr>
            </w:pPr>
          </w:p>
        </w:tc>
      </w:tr>
      <w:tr>
        <w:trPr>
          <w:trHeight w:val="228"/>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1,721,595</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2024, international facilities finance the origination of loan receivables in Canada and are denominated in CAD.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61"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20" w:hanging="332"/>
        <w:spacing w:after="0" w:line="22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 rates as of September 30, 2024 under our U.S. facilities bear interest at an annual benchmark rate of Secured Overnight Financing Rate (“SOFR”) or an alternative commercial paper rate plus an applicable spread. Reference rates as of September 30, 2024 under our international facilities bear interest at an annual benchmark rate of the Canadian Overnight Repo Rate Average (“CORRA”), Government of Canadian benchmark bond yields, or an alternative commercial paper rate plus an applicable spread. As debt arrangements are renewed, the reference rate and/or spread are subject to change.</w:t>
      </w:r>
    </w:p>
    <w:p>
      <w:pPr>
        <w:spacing w:after="0" w:line="1" w:lineRule="exact"/>
        <w:rPr>
          <w:rFonts w:ascii="Times New Roman" w:cs="Times New Roman" w:eastAsia="Times New Roman" w:hAnsi="Times New Roman"/>
          <w:sz w:val="23"/>
          <w:szCs w:val="23"/>
          <w:color w:val="auto"/>
          <w:vertAlign w:val="superscript"/>
        </w:rPr>
      </w:pPr>
    </w:p>
    <w:p>
      <w:pPr>
        <w:ind w:left="340" w:right="220" w:hanging="332"/>
        <w:spacing w:after="0" w:line="21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2024, represents the unpaid principal balance of loans, directly originated by us or purchased from the originating bank partner, pledged as collateral for borrowings in our facilities.</w:t>
      </w:r>
    </w:p>
    <w:p>
      <w:pPr>
        <w:spacing w:after="0" w:line="22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the U.S., through trusts, we have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classified as funding debt in the interim condensed consolidated balance sheets and proceeds from the borrowings can only be used for the purposes of facilitating loan funding and origination. These warehouse credit facility trusts, which have been classified as VIEs, are bankruptcy-remote special-purpose vehicles in which creditors do not have recourse against the general credit of Affirm. Additionally, we have various credit facilities utilized to finance the origination of loan receivables in Canada. Similar to our warehouse credit facilities in the U.S., borrowings under these agreements are classified as funding debt in the interim condensed consolidated balance sheets, and proceeds from the borrowings may only be used for the purposes of facilitating loan funding and origination.</w:t>
      </w:r>
    </w:p>
    <w:p>
      <w:pPr>
        <w:spacing w:after="0" w:line="21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Financing terms, including the advance rate and financing spread, vary across these revolving facilities and generally depend on the types of collateral that may be pledged and respective concentration limits. The revolving period for each facility generally ends 4 - 12 months prior to the final maturity date, after which additional borrowings are not permitted.</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funding debt agreements contain certain customary negative covenants and financial covenants including maintaining certain levels of minimum liquidity, maximum leverage, and minimum tangible net worth. As of September 30, 2024, we were in compliance with all applicable covenants in the agreements.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future maturities of our secured borrowing facilities consists of the following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6"/>
        </w:trPr>
        <w:tc>
          <w:tcPr>
            <w:tcW w:w="9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260,698</w:t>
            </w:r>
          </w:p>
        </w:tc>
      </w:tr>
      <w:tr>
        <w:trPr>
          <w:trHeight w:val="230"/>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838,507</w:t>
            </w: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250,280</w:t>
            </w: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206,802</w:t>
            </w: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w:t>
            </w:r>
          </w:p>
        </w:tc>
      </w:tr>
      <w:tr>
        <w:trPr>
          <w:trHeight w:val="23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161,755</w:t>
            </w:r>
          </w:p>
        </w:tc>
      </w:tr>
      <w:tr>
        <w:trPr>
          <w:trHeight w:val="22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1,756,469</w:t>
            </w:r>
          </w:p>
        </w:tc>
      </w:tr>
      <w:tr>
        <w:trPr>
          <w:trHeight w:val="23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w:t>
            </w:r>
          </w:p>
        </w:tc>
      </w:tr>
      <w:tr>
        <w:trPr>
          <w:trHeight w:val="248"/>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1,744,040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Repurchase Agreements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one or more repurchase date extensions, each for an additional three-month term or as mutually agreed upon with the counterparty at market interest rates on such extension date. As of September 30, 2024, the interest rates were 6.66% for both the senior pledged securities and the residual certificate pledged securities. We had $22.4 million and $34.5 million in debt outstanding under our repurchase agreements classified within funding debt in the interim condensed consolidated balance sheets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September 30, 2024 and June 30, 2024, respectively. The debt will be amortized through regular principal and interest payments on the pledged securities. The outstanding debt relates to $35.5 million and $46.7 million in pledged securities disclosed within securities available for sale at fair value in the interim condensed consolidated balance sheets as of September 30, 2024 and June 30,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our senior unsecured obligations of the Company. The 2026 Notes do not bear interest except in special circumstances described below, and the principal amount of the 2026 Notes does not accrete. The 2026 Notes mature on November 15, 2026.</w:t>
      </w:r>
    </w:p>
    <w:p>
      <w:pPr>
        <w:spacing w:after="0" w:line="203"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19" w:lineRule="exact"/>
        <w:rPr>
          <w:sz w:val="20"/>
          <w:szCs w:val="20"/>
          <w:color w:val="auto"/>
        </w:rPr>
      </w:pPr>
    </w:p>
    <w:p>
      <w:pPr>
        <w:ind w:left="580" w:right="20" w:hanging="5"/>
        <w:spacing w:after="0" w:line="261" w:lineRule="auto"/>
        <w:tabs>
          <w:tab w:leader="none" w:pos="7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580" w:right="40" w:hanging="5"/>
        <w:spacing w:after="0" w:line="289" w:lineRule="auto"/>
        <w:tabs>
          <w:tab w:leader="none" w:pos="7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84" w:lineRule="exact"/>
        <w:rPr>
          <w:rFonts w:ascii="Times New Roman" w:cs="Times New Roman" w:eastAsia="Times New Roman" w:hAnsi="Times New Roman"/>
          <w:sz w:val="17"/>
          <w:szCs w:val="17"/>
          <w:color w:val="auto"/>
        </w:rPr>
      </w:pPr>
    </w:p>
    <w:p>
      <w:pPr>
        <w:ind w:left="580" w:right="180" w:hanging="5"/>
        <w:spacing w:after="0" w:line="282" w:lineRule="auto"/>
        <w:tabs>
          <w:tab w:leader="none" w:pos="7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2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at a redemption price equal to 100% of the principal amount of the notes to be redeemed, plus accrued and unpaid special interest, if any.</w:t>
      </w:r>
    </w:p>
    <w:p>
      <w:pPr>
        <w:spacing w:after="0" w:line="252"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199"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color w:val="auto"/>
        </w:rPr>
        <w:t>On December 6, 2023, the Board of Directors authorized the repurchase of up to $800 million in aggregate principal amount of the 2026 Notes. This authorization succeeds the $800 million repurchase authorization approved by the Board of Directors on June 7, 2023. Note repurchases under the December 2023 authorization may be made from time to time through December 31, 2024 through open market purchases, privately negotiated purchases, purchase plans under Rule 10b5-1 of the Securities Exchange Act of 1934, as amended (“Rule 10b5-1”), or through a combination thereof. Repurchases are subject to available liquidity, general market and economic conditions, alternate uses for the capital, and other factors, and there is no minimum principal amount of 2026 Notes that the Company is obligated to repurchase.</w:t>
      </w:r>
    </w:p>
    <w:p>
      <w:pPr>
        <w:spacing w:after="0" w:line="20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paid $120.1 million in cash for the repurchase of $140.5 million aggregate principal amount of our 2026 Notes under the December 2023 authorization. The carrying amount of the extinguished 2026 Notes was approximately $139.7 million resulting in a $19.6 million gain on early extinguishment of debt for the three months ended September 30, 2024, which is reported as a component of other income, net within our interim consolidated statements of operations and comprehensive loss. The repurchased 2026 Notes were received and canceled.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convertible senior notes outstanding as of September 30, 2024 consisted of the following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6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Unamortized Discount and</w:t>
            </w:r>
          </w:p>
        </w:tc>
        <w:tc>
          <w:tcPr>
            <w:tcW w:w="120" w:type="dxa"/>
            <w:vAlign w:val="bottom"/>
          </w:tcPr>
          <w:p>
            <w:pPr>
              <w:spacing w:after="0"/>
              <w:rPr>
                <w:sz w:val="16"/>
                <w:szCs w:val="16"/>
                <w:color w:val="auto"/>
              </w:rPr>
            </w:pPr>
          </w:p>
        </w:tc>
        <w:tc>
          <w:tcPr>
            <w:tcW w:w="168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Issuance Cost</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1,208,704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1,202,519</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8"/>
          <w:szCs w:val="18"/>
          <w:color w:val="auto"/>
        </w:rPr>
        <w:t>The 2026 Notes do not bear interest. We recognized $0.8 million and $0.9 million during the three months ended September 30, 2024 and 2023, respectively, of interest expense related to the amortization of debt discount and issuance costs in the interim condensed consolidated statements of operations and comprehensive loss within other income, net. As of September 30, 2024, the remaining life of the 2026 Notes is approximately 26 months.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2024, we entered into an amendment to our Revolving Credit Agreement, where we increased the unsecured revolving commitments under the facility from $205.0 million to $330.0 million. This facility bears interest at a rate equal to, at our option, either (a) a SOFR rate determined by reference to the forward-looking term SOFR rate for the interest period, plus an applicable margin of 1.75% per annum or (b) a base rate determined by reference to the highest of (i) the federal funds rate plus 0.50% per annum, (ii) the rate last quoted by the Wall Street Journal as the U.S. prime rate and (iii) the one-month forward-looking term SOFR rate plus 1.00% per annum, in each case, plus an applicable margin of 0.75% per annum. Under the terms of amendment the final maturity date was extended from February 4, 2025 to June 26, 2027. The facility contains certain financial covenants which may result in an acceleration of the maturity if not maintained, and requires payment of a monthly unused commitment fee of 0.20% per annum on the undrawn balance available. As of September 30, 2024, there are no borrowings outstanding under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Securitization and Variable Interest Entities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5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We established certain entities, deemed to be VIEs, to enter into warehouse credit facilities for the purpose of purchasing loans from our originating bank partners and funding directly originated loans. Refer to Note 8.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Securitizations</w:t>
      </w:r>
    </w:p>
    <w:p>
      <w:pPr>
        <w:spacing w:after="0" w:line="268"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1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8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8"/>
          <w:szCs w:val="18"/>
          <w:color w:val="auto"/>
        </w:rPr>
        <w:t>For each securitization, the residual trust certificates represent the right to receive excess cash on the loans each collection period after all fees and required distributions have been made to the note holders on the related payment date. In addition to the retained residual trust certificates, our continued involvement includes loan servicing responsibilities over the life of the underlying loans.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defer and amortize debt issuance costs for consolidated securitization trusts on a straight-line basis over the expected life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aggregate carrying value of financial assets and liabilities from our involvement with consolidated VIEs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1,982,755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244,368</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4,083,589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331,522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1,823,794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229,087</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3,246,228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79,026</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308,113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ind w:right="580" w:firstLine="648"/>
        <w:spacing w:after="0" w:line="297" w:lineRule="auto"/>
        <w:rPr>
          <w:sz w:val="20"/>
          <w:szCs w:val="20"/>
          <w:color w:val="auto"/>
        </w:rPr>
      </w:pPr>
      <w:r>
        <w:rPr>
          <w:rFonts w:ascii="Times New Roman" w:cs="Times New Roman" w:eastAsia="Times New Roman" w:hAnsi="Times New Roman"/>
          <w:sz w:val="18"/>
          <w:szCs w:val="18"/>
          <w:color w:val="auto"/>
        </w:rPr>
        <w:t>Our transactions with unconsolidated VIEs include securitization trusts where we did not retain significant economic exposure through our variable interests and therefore we determined that we are not the primary beneficiary as of September 30,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unconsolidated VIEs where we hold a variable interest but are not the primary beneficiary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721,160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693,824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39,135</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721,160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693,824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967,256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51,861</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967,256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920,004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242424"/>
        </w:rPr>
        <w:t xml:space="preserve">Maximum </w:t>
      </w:r>
      <w:r>
        <w:rPr>
          <w:rFonts w:ascii="Times New Roman" w:cs="Times New Roman" w:eastAsia="Times New Roman" w:hAnsi="Times New Roman"/>
          <w:sz w:val="18"/>
          <w:szCs w:val="18"/>
          <w:color w:val="000000"/>
        </w:rPr>
        <w:t>exposure to losses represents our exposure through our continuing involvement as servicer and through our retained interests. For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unconsolidated VIEs, this includes $38.9 million in retained notes and residual trust certificates disclosed within securities available for sale at fair value in our interim condensed consolidated balance sheets and $0.2 million related to our net servicing assets disclosed within our interim condensed consolidated balance sheets as of September 30, 2024.</w:t>
      </w:r>
    </w:p>
    <w:p>
      <w:pPr>
        <w:spacing w:after="0" w:line="21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experience a loss due to future repurchase obligations resulting from breaches in representations and warranties in our securitization and third-party sale agreements. This amount was not material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Beneficial Interests in Unconsolidated VIEs</w:t>
      </w:r>
    </w:p>
    <w:p>
      <w:pPr>
        <w:spacing w:after="0" w:line="256" w:lineRule="exact"/>
        <w:rPr>
          <w:sz w:val="20"/>
          <w:szCs w:val="20"/>
          <w:color w:val="auto"/>
        </w:rPr>
      </w:pPr>
    </w:p>
    <w:p>
      <w:pPr>
        <w:jc w:val="both"/>
        <w:ind w:right="260" w:firstLine="648"/>
        <w:spacing w:after="0" w:line="297" w:lineRule="auto"/>
        <w:rPr>
          <w:sz w:val="20"/>
          <w:szCs w:val="20"/>
          <w:color w:val="auto"/>
        </w:rPr>
      </w:pPr>
      <w:r>
        <w:rPr>
          <w:rFonts w:ascii="Times New Roman" w:cs="Times New Roman" w:eastAsia="Times New Roman" w:hAnsi="Times New Roman"/>
          <w:sz w:val="17"/>
          <w:szCs w:val="17"/>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1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Refer to Note 12. Fair Value of Financial Assets and Liabilities for additional information on the fair value sensitivity of the notes receivable and residual trust certificates. Additionally, as of September 30, 2024, we have pledged certain of our retained beneficial interests as collateral in a sale and repurchase agreement as described in Note 8.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63,389</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57,964</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bonds - US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34,473</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242,660</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239,882</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30"/>
        </w:trPr>
        <w:tc>
          <w:tcPr>
            <w:tcW w:w="71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538,556</w:t>
            </w:r>
          </w:p>
        </w:tc>
      </w:tr>
      <w:tr>
        <w:trPr>
          <w:trHeight w:val="230"/>
        </w:trPr>
        <w:tc>
          <w:tcPr>
            <w:tcW w:w="7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51,670</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1,256,473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3" w:lineRule="exact"/>
        <w:rPr>
          <w:sz w:val="20"/>
          <w:szCs w:val="20"/>
          <w:color w:val="auto"/>
        </w:rPr>
      </w:pPr>
    </w:p>
    <w:p>
      <w:pPr>
        <w:ind w:left="660" w:right="560" w:hanging="328"/>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2024 and June 30, 2024, these securities include $55.2 million and $54.1 million, respectively, pledged as collateral in connection with our standby letters of credit for office leases and certain commercial agreements.</w:t>
      </w:r>
    </w:p>
    <w:p>
      <w:pPr>
        <w:ind w:left="660" w:right="600" w:hanging="328"/>
        <w:spacing w:after="0" w:line="21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include $35.5 million and $46.7 million as of September 30, 2024 and June 30, 2024, respectively, pledged as collateral in connection with sale and repurchase agreements as discussed within Note 8. Debt.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gross unrealized gains and losses, allowance for credit losses, and fair value of securities available for sale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June 30, 2024 were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jc w:val="right"/>
              <w:ind w:right="2814"/>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30"/>
        </w:trPr>
        <w:tc>
          <w:tcPr>
            <w:tcW w:w="3720" w:type="dxa"/>
            <w:vAlign w:val="bottom"/>
          </w:tcPr>
          <w:p>
            <w:pPr>
              <w:jc w:val="right"/>
              <w:ind w:right="2814"/>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541,242</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37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jc w:val="right"/>
              <w:ind w:right="2894"/>
              <w:spacing w:after="0"/>
              <w:rPr>
                <w:sz w:val="20"/>
                <w:szCs w:val="20"/>
                <w:color w:val="auto"/>
              </w:rPr>
            </w:pPr>
            <w:r>
              <w:rPr>
                <w:rFonts w:ascii="Times New Roman" w:cs="Times New Roman" w:eastAsia="Times New Roman" w:hAnsi="Times New Roman"/>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29"/>
        </w:trPr>
        <w:tc>
          <w:tcPr>
            <w:tcW w:w="3720" w:type="dxa"/>
            <w:vAlign w:val="bottom"/>
          </w:tcPr>
          <w:p>
            <w:pPr>
              <w:jc w:val="right"/>
              <w:ind w:right="2894"/>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 (2)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542,048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1,193,084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60" w:hanging="328"/>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Commercial paper and US government bonds include $13.8 million and $61.5 million as of September 30, 2024 and June 30, 2024, respectively, classified as cash and cash equivalents within the interim condensed consolidated balance sheets.</w:t>
      </w:r>
    </w:p>
    <w:p>
      <w:pPr>
        <w:ind w:left="660" w:right="560" w:hanging="328"/>
        <w:spacing w:after="0" w:line="21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2024 and June 30, 2024, these securities include $55.2 million and $54.1 million, respectively, pledged as collateral in connection with our standby letters of credit for office leases and certain commercial agreements.</w:t>
      </w:r>
    </w:p>
    <w:p>
      <w:pPr>
        <w:spacing w:after="0" w:line="1" w:lineRule="exact"/>
        <w:rPr>
          <w:rFonts w:ascii="Times New Roman" w:cs="Times New Roman" w:eastAsia="Times New Roman" w:hAnsi="Times New Roman"/>
          <w:sz w:val="23"/>
          <w:szCs w:val="23"/>
          <w:color w:val="auto"/>
          <w:vertAlign w:val="superscript"/>
        </w:rPr>
      </w:pPr>
    </w:p>
    <w:p>
      <w:pPr>
        <w:ind w:left="660" w:right="40" w:hanging="328"/>
        <w:spacing w:after="0" w:line="21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$35.5 million and $46.7 million as of September 30, 2024 and June 30, 2024, respectively, of these securities have been pledged as collateral in connection with sale and repurchase agreements discussed within Note 8. Debt.</w:t>
      </w:r>
    </w:p>
    <w:p>
      <w:pPr>
        <w:spacing w:after="0" w:line="22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June 30, 2024,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firstLine="648"/>
        <w:spacing w:after="0" w:line="274" w:lineRule="auto"/>
        <w:rPr>
          <w:sz w:val="20"/>
          <w:szCs w:val="20"/>
          <w:color w:val="auto"/>
        </w:rPr>
      </w:pPr>
      <w:r>
        <w:rPr>
          <w:rFonts w:ascii="Times New Roman" w:cs="Times New Roman" w:eastAsia="Times New Roman" w:hAnsi="Times New Roman"/>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September 30, 2024 and June 30, 2024,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33,536</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251,113</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374,746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636,066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191,497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827,563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900" w:hanging="328"/>
        <w:spacing w:after="0" w:line="229"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positions with unrealized losses for which an allowance for credit losses has not been recorded totaled 19 and 137 as of September 30, 2024 and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length of time to contractual maturities of securities available for sale as of September 30, 2024 and June 30, 2024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tcBorders>
              <w:top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4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841,376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1,084,996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8"/>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8"/>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8"/>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34,473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242,660</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297,846</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542,048</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51,670</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928,965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927,222</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266,830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265,862</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1,195,795</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1,193,084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6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Commercial paper and US government bonds include $13.8 million and $61.5 million as of September 30, 2024 and June 30, 2024, respectively, classified as cash and cash equivalents within the interim condensed consolidated balance sheets.</w:t>
      </w:r>
    </w:p>
    <w:p>
      <w:pPr>
        <w:ind w:left="640" w:hanging="308"/>
        <w:spacing w:after="0" w:line="196" w:lineRule="auto"/>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life of expected cash flows as of September 30, 2024 and June 30, 2024.</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Gross proceeds from matured or redeemed securities were $303.4 million and $381.8 million for the three months ended September 30, 2024 and 2023, respectively.</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available for sale securities realized gains and losses from portfolio sales were not material for the three months ended September 30,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held at cost were $35.8 million and $37.8 million as of September 30, 2024 and June 30, 2024, respectively, and are included in other assets within the interim condensed consolidated balance sheets.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an impairment of $3.0 million within other income, net in the interim consolidated statements of operations and comprehensive loss in connection with one of our non-marketable equity security investments. The fair value of the investment was determined utilizing a methodology based on significant unobservable inputs, including management estimates and assumptions, and thus represent Level 3 measurements. We did not record any impairment during the three months ended September 30, 2023.</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upward or downward adjustments due to observable changes in orderly transactions for the three months ended September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Term Deposits</w:t>
      </w:r>
    </w:p>
    <w:p>
      <w:pPr>
        <w:spacing w:after="0" w:line="25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Fixed term deposits were $21.1 million and $35.2 million as of September 30, 2024 and June 30, 2024, respectively, consist of interest bearing deposits held at financial institutions with an original maturities greater than three months but no more than twelve months. These deposits are carried at cost, which approximates fair value, and are included in other assets within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fair value, including interest accruals, and outstanding notional amounts of derivative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June 30, 2024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1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Derivative</w:t>
            </w:r>
          </w:p>
        </w:tc>
      </w:tr>
      <w:tr>
        <w:trPr>
          <w:trHeight w:val="241"/>
        </w:trPr>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8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2"/>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 cash flow hedges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590,507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derivative assets/liabilities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590,507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impact of the cash flow hedges on Accumulated Other Comprehensive Income (“AOCI”) (in thousands):</w:t>
      </w:r>
    </w:p>
    <w:p>
      <w:pPr>
        <w:spacing w:after="0" w:line="28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reclassified into earnings </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72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at end of period </w:t>
            </w:r>
            <w:r>
              <w:rPr>
                <w:rFonts w:ascii="Times New Roman" w:cs="Times New Roman" w:eastAsia="Times New Roman" w:hAnsi="Times New Roman"/>
                <w:sz w:val="23"/>
                <w:szCs w:val="23"/>
                <w:color w:val="auto"/>
                <w:vertAlign w:val="superscript"/>
              </w:rPr>
              <w:t>(2)</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0"/>
        </w:trPr>
        <w:tc>
          <w:tcPr>
            <w:tcW w:w="7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into earnings are presented in the interim consolidated statements of income within funding costs.</w:t>
      </w:r>
    </w:p>
    <w:p>
      <w:pPr>
        <w:spacing w:after="0" w:line="1" w:lineRule="exact"/>
        <w:rPr>
          <w:rFonts w:ascii="Times New Roman" w:cs="Times New Roman" w:eastAsia="Times New Roman" w:hAnsi="Times New Roman"/>
          <w:sz w:val="23"/>
          <w:szCs w:val="23"/>
          <w:color w:val="auto"/>
          <w:vertAlign w:val="superscript"/>
        </w:rPr>
      </w:pPr>
    </w:p>
    <w:p>
      <w:pPr>
        <w:ind w:left="660" w:right="260" w:hanging="328"/>
        <w:spacing w:after="0" w:line="21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2024, we estimated that $0.3 million of net derivative gains included in AOCI are expected to be reclassified into earnings within the next 12 months.</w:t>
      </w:r>
    </w:p>
    <w:p>
      <w:pPr>
        <w:spacing w:after="0" w:line="22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the derivative instruments on income and indicates where within the interim consolidated statements of operations and comprehensive loss such impact is reported (in thousands):</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of gains (losses) where the effects of derivatives are recorded</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30"/>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effects of cash flow hedging</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Funding costs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effects of derivatives not designated in hedging relationships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September 30, 2024 and June 30, 2024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173,988</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w:t>
            </w: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247,299</w:t>
            </w: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198,358</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541,242</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38,926</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45,330</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173,988</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1,314,840</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sharing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 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239,882</w:t>
            </w:r>
          </w:p>
        </w:tc>
        <w:tc>
          <w:tcPr>
            <w:tcW w:w="0" w:type="dxa"/>
            <w:vAlign w:val="bottom"/>
          </w:tcPr>
          <w:p>
            <w:pPr>
              <w:spacing w:after="0"/>
              <w:rPr>
                <w:sz w:val="1"/>
                <w:szCs w:val="1"/>
                <w:color w:val="auto"/>
              </w:rPr>
            </w:pP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29"/>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538,556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asset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1,308,138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sharing liability</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and June 30, 2024, there were no transfers between levels.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(Level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Marketable Securities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we held marketable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Instruments</w:t>
      </w:r>
    </w:p>
    <w:p>
      <w:pPr>
        <w:spacing w:after="0" w:line="25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June 30, 2024, we used a combination of interest rate cap agreements and interest rate swaps to manage interest costs and the risks associated with variable interest rates. These derivative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11. Derivative Financial Instruments in the notes to the interim condensed consolidated financial statements for further details on our derivative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254"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We sold loans with an unpaid principal balance of $2.8 billion and $2.2 billion for the three months ended September 30, 2024 and 2023, respectively, for which we retained servicing rights.</w:t>
      </w:r>
    </w:p>
    <w:p>
      <w:pPr>
        <w:spacing w:after="0" w:line="18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June 30, 2024, we serviced loans which we sold with a remaining unpaid principal balance of $5.2 billion and $5.1 billion, respectively.</w:t>
      </w:r>
    </w:p>
    <w:p>
      <w:pPr>
        <w:spacing w:after="0" w:line="18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Significant assumptions used in the valuation of our servicing rights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Adequate Compensation</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estimate adequate compensation as the rate a willing market participant would require for servicing loans with similar characteristics as those in the serviced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5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Default Rate</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earned $26.0 million and $20.2 million of servicing income for the three months ended September 30, 2024 and 2023, respectively.</w:t>
      </w:r>
    </w:p>
    <w:p>
      <w:pPr>
        <w:spacing w:after="0" w:line="252"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and June 30, 2024, the aggregate fair value of the servicing assets was measured at $0.4 million and $0.6 million, respectively, and presented within other assets in the interim condensed consolidated balance sheets. As of September 30, 2024 and June 30, 2024, the aggregate fair value of the servicing liabilities was measured at $0.4 million and $0.7 million, respectively, and presented within accrued expenses and other liabilities 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1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3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
        </w:trPr>
        <w:tc>
          <w:tcPr>
            <w:tcW w:w="7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liabilities</w:t>
            </w:r>
          </w:p>
        </w:tc>
        <w:tc>
          <w:tcPr>
            <w:tcW w:w="1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3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1"/>
        </w:trPr>
        <w:tc>
          <w:tcPr>
            <w:tcW w:w="7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servicing assets and liabilities as of September 30, 2024 and 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13.44 %</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312"/>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347"/>
        </w:trPr>
        <w:tc>
          <w:tcPr>
            <w:tcW w:w="294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760" w:type="dxa"/>
            <w:vAlign w:val="bottom"/>
            <w:tcBorders>
              <w:bottom w:val="single" w:sz="8" w:color="auto"/>
            </w:tcBorders>
          </w:tcPr>
          <w:p>
            <w:pPr>
              <w:spacing w:after="0"/>
              <w:rPr>
                <w:sz w:val="24"/>
                <w:szCs w:val="24"/>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jc w:val="right"/>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Weighted Average </w:t>
            </w:r>
            <w:r>
              <w:rPr>
                <w:rFonts w:ascii="Times New Roman" w:cs="Times New Roman" w:eastAsia="Times New Roman" w:hAnsi="Times New Roman"/>
                <w:sz w:val="23"/>
                <w:szCs w:val="23"/>
                <w:b w:val="1"/>
                <w:bCs w:val="1"/>
                <w:color w:val="auto"/>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10.84 %</w:t>
            </w: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306"/>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41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5"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annual cost of servicing a loan as a percentage of unpaid principal balance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Annualized estimated gross charge-offs as a percentage of unpaid principal balance</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in the interim condensed consolidated balance sheets. Any changes in the fair value of the liability are reflected in other income, net, in the interim condensed consolidated statements of operations and comprehensive loss.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paid</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performance fee liability as of September 30, 2024 and 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w:t>
            </w:r>
          </w:p>
        </w:tc>
        <w:tc>
          <w:tcPr>
            <w:tcW w:w="0" w:type="dxa"/>
            <w:vAlign w:val="bottom"/>
          </w:tcPr>
          <w:p>
            <w:pPr>
              <w:spacing w:after="0"/>
              <w:rPr>
                <w:sz w:val="1"/>
                <w:szCs w:val="1"/>
                <w:color w:val="auto"/>
              </w:rPr>
            </w:pPr>
          </w:p>
        </w:tc>
      </w:tr>
      <w:tr>
        <w:trPr>
          <w:trHeight w:val="416"/>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9.81%</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remaining principal balances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Retained Beneficial Interests in Unconsolidated VIEs</w:t>
      </w:r>
    </w:p>
    <w:p>
      <w:pPr>
        <w:spacing w:after="0" w:line="26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we held notes receivable and residual trust certificates with an aggregate fair value of $38.9 million in connection with unconsolidated securitizations. The balances correspond to the 5% economic risk retention we are required to maintain as the securitization sponsor.</w:t>
      </w:r>
    </w:p>
    <w:p>
      <w:pPr>
        <w:spacing w:after="0" w:line="18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in the interim condensed consolidated balance sheets. Changes in the fair value, other than declines in fair value due to credit recognized as an allowance, are reflected in other comprehensive income in the interim condensed consolidated statements of operations and comprehensive loss. Declines in fair value due to credit are reflected in other income, net in the interim condensed consolidated statements of operations and comprehensive loss.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notes and residual trust certificates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2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(due to payments)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Reversal of (impairment on) securities available for sale</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22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w:t>
            </w:r>
          </w:p>
        </w:tc>
      </w:tr>
      <w:tr>
        <w:trPr>
          <w:trHeight w:val="20"/>
        </w:trPr>
        <w:tc>
          <w:tcPr>
            <w:tcW w:w="7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notes receivable and residual trust certificates as of September 30, 2024 and June 30,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30.29%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8.33%</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7.64%</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30.36%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321"/>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4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40" w:type="dxa"/>
            <w:vAlign w:val="bottom"/>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2"/>
              </w:rPr>
              <w:t xml:space="preserve">Average </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41.41%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8.93%</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27.70%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relative fair value</w:t>
      </w:r>
    </w:p>
    <w:p>
      <w:pPr>
        <w:spacing w:after="0" w:line="225"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notes receivable and residual trust certificates given hypothetical changes in significant unobservable inputs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 Share Liability</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profit share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1,974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Facilitation of loans</w:t>
            </w:r>
          </w:p>
        </w:tc>
        <w:tc>
          <w:tcPr>
            <w:tcW w:w="1260" w:type="dxa"/>
            <w:vAlign w:val="bottom"/>
          </w:tcPr>
          <w:p>
            <w:pPr>
              <w:spacing w:after="0"/>
              <w:rPr>
                <w:sz w:val="19"/>
                <w:szCs w:val="19"/>
                <w:color w:val="auto"/>
              </w:rPr>
            </w:pPr>
          </w:p>
        </w:tc>
        <w:tc>
          <w:tcPr>
            <w:tcW w:w="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1,227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performance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(3,028)</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1,842</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26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2,015</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profit sharing liability as of September 30, 2024 and June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700" w:type="dxa"/>
            <w:vAlign w:val="bottom"/>
            <w:tcBorders>
              <w:bottom w:val="single" w:sz="8" w:color="auto"/>
            </w:tcBorders>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00" w:type="dxa"/>
            <w:vAlign w:val="bottom"/>
          </w:tcPr>
          <w:p>
            <w:pPr>
              <w:ind w:left="1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w:t>
            </w:r>
          </w:p>
        </w:tc>
      </w:tr>
      <w:tr>
        <w:trPr>
          <w:trHeight w:val="316"/>
        </w:trPr>
        <w:tc>
          <w:tcPr>
            <w:tcW w:w="6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20" w:type="dxa"/>
            <w:vAlign w:val="bottom"/>
            <w:tcBorders>
              <w:bottom w:val="single" w:sz="8" w:color="auto"/>
            </w:tcBorders>
          </w:tcPr>
          <w:p>
            <w:pPr>
              <w:spacing w:after="0"/>
              <w:rPr>
                <w:sz w:val="24"/>
                <w:szCs w:val="24"/>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1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0.32%</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414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Unobservable inputs were weighted by relative fair value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 Sharing Arrangements</w:t>
      </w:r>
    </w:p>
    <w:p>
      <w:pPr>
        <w:spacing w:after="0" w:line="25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certain capital funding arrangements with third 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 As of September 30, 2024 and June 30, 2024, we have sold $5.6 billion and $4.2 billion, respectively, unpaid principal balance of loans under these risk sharing arrangements, of which our maximum exposure to losses is $101.5 million and $81.2 million, respectively. This amount includes our maximum potential loss with respect to risk sharing liabilities of $56.2 million and the fair value of risk sharing assets of $45.3 million, as of September 30, 2024.</w:t>
      </w:r>
    </w:p>
    <w:p>
      <w:pPr>
        <w:spacing w:after="0" w:line="216" w:lineRule="exact"/>
        <w:rPr>
          <w:sz w:val="20"/>
          <w:szCs w:val="20"/>
          <w:color w:val="auto"/>
        </w:rPr>
      </w:pPr>
    </w:p>
    <w:p>
      <w:pPr>
        <w:jc w:val="both"/>
        <w:ind w:right="200" w:firstLine="648"/>
        <w:spacing w:after="0" w:line="281" w:lineRule="auto"/>
        <w:rPr>
          <w:sz w:val="20"/>
          <w:szCs w:val="20"/>
          <w:color w:val="auto"/>
        </w:rPr>
      </w:pPr>
      <w:r>
        <w:rPr>
          <w:rFonts w:ascii="Times New Roman" w:cs="Times New Roman" w:eastAsia="Times New Roman" w:hAnsi="Times New Roman"/>
          <w:sz w:val="17"/>
          <w:szCs w:val="17"/>
          <w:color w:val="auto"/>
        </w:rPr>
        <w:t>We account for these arrangements as derivatives measured at fair value with gains and losses recognized in Gain on sale of loans in our interim condensed consolidated statements of operations and comprehensive loss. For each counterparty, we have recognized a net asset or net liability based on the estimated fair value of future payments we expect to receive from or make to the counterparty. As of September 30, 2024 and June 30, 2024, we held assets related to these arrangements of $45.3 million and $33.9 million, respectively, and liabilities of $1.8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we estimated the fair value of future settlements using a discounted cash flow model. Significant assumptions used in the valuation of our risk sharing assets and liabilities are as follows: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5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estimate future cash flows to be received or paid under the agreements are discounted as a part of determining the fair value of the risk sharing arrangements. The discount rate reflects the time value of money and a risk premium intended to reflect the amount of compensation market participants would require.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Rate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the loss rate as the probability of loan defaults and write-offs, which are used to project future risk-sharing cash flows.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Prepayment Rate</w:t>
      </w:r>
    </w:p>
    <w:p>
      <w:pPr>
        <w:spacing w:after="0" w:line="25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estimate the annualized prepayment rate as the expected excess loan payment received in a given month as a percentage of the outstanding principal balance at the beginning of the month minus the scheduled principal payment.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45,330</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1"/>
        </w:trPr>
        <w:tc>
          <w:tcPr>
            <w:tcW w:w="7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risk sharing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risk sharing arrangements as of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60" w:type="dxa"/>
            <w:vAlign w:val="bottom"/>
            <w:tcBorders>
              <w:bottom w:val="single" w:sz="8" w:color="auto"/>
            </w:tcBorders>
          </w:tcPr>
          <w:p>
            <w:pPr>
              <w:spacing w:after="0"/>
              <w:rPr>
                <w:sz w:val="18"/>
                <w:szCs w:val="18"/>
                <w:color w:val="auto"/>
              </w:rPr>
            </w:pPr>
          </w:p>
        </w:tc>
      </w:tr>
      <w:tr>
        <w:trPr>
          <w:trHeight w:val="213"/>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4.87%</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3.89%</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33.23%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27.88%</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60" w:type="dxa"/>
            <w:vAlign w:val="bottom"/>
            <w:tcBorders>
              <w:bottom w:val="single" w:sz="8" w:color="auto"/>
            </w:tcBorders>
          </w:tcPr>
          <w:p>
            <w:pPr>
              <w:spacing w:after="0"/>
              <w:rPr>
                <w:sz w:val="18"/>
                <w:szCs w:val="18"/>
                <w:color w:val="auto"/>
              </w:rPr>
            </w:pPr>
          </w:p>
        </w:tc>
      </w:tr>
      <w:tr>
        <w:trPr>
          <w:trHeight w:val="212"/>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Pr>
          <w:p>
            <w:pPr>
              <w:ind w:left="1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4.69%</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3.66%</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28.48%</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Unobservable inputs were weighted by principal balance of loans sold under each cohort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assets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w:t>
            </w: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Risk sharing 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41,677</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256" w:lineRule="exact"/>
        <w:rPr>
          <w:sz w:val="20"/>
          <w:szCs w:val="20"/>
          <w:color w:val="auto"/>
        </w:rPr>
      </w:pPr>
    </w:p>
    <w:p>
      <w:pPr>
        <w:ind w:right="6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fair value and our assessment of the classification of this measurement within the fair value hierarchy for financial assets and liabilities held at amortized cost as of September 30, 2024 and June 30,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5,960,228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6,275,319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5,989,118</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6,275,319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6,304,208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(2)</w:t>
            </w:r>
          </w:p>
        </w:tc>
        <w:tc>
          <w:tcPr>
            <w:tcW w:w="40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1,202,519</w:t>
            </w:r>
          </w:p>
        </w:tc>
        <w:tc>
          <w:tcPr>
            <w:tcW w:w="6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1,074,538</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1,074,538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3,985,484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4,028,898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4,028,898</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1,756,469</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1,756,246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1,756,246</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6,944,472</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1,074,538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5,785,143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6,859,681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Loans held for sale </w:t>
            </w:r>
            <w:r>
              <w:rPr>
                <w:rFonts w:ascii="Times New Roman" w:cs="Times New Roman" w:eastAsia="Times New Roman" w:hAnsi="Times New Roman"/>
                <w:sz w:val="23"/>
                <w:szCs w:val="23"/>
                <w:color w:val="auto"/>
                <w:vertAlign w:val="superscript"/>
              </w:rPr>
              <w:t>(1)</w:t>
            </w:r>
          </w:p>
        </w:tc>
        <w:tc>
          <w:tcPr>
            <w:tcW w:w="40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5,360,959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5,616,973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top w:val="single" w:sz="8" w:color="auto"/>
              <w:bottom w:val="single" w:sz="8" w:color="auto"/>
            </w:tcBorders>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5,404,207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5,616,973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5,660,221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(2)</w:t>
            </w:r>
          </w:p>
        </w:tc>
        <w:tc>
          <w:tcPr>
            <w:tcW w:w="4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1,341,430</w:t>
            </w: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1,124,773</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1,124,773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3,236,873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2,506,929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1,851,685</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top w:val="single" w:sz="8" w:color="auto"/>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6,430,002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4,358,614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5,483,387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Amortized cost approximates fair value for loans held for sale and other assets.</w:t>
      </w:r>
    </w:p>
    <w:p>
      <w:pPr>
        <w:spacing w:after="0" w:line="1" w:lineRule="exact"/>
        <w:rPr>
          <w:rFonts w:ascii="Times New Roman" w:cs="Times New Roman" w:eastAsia="Times New Roman" w:hAnsi="Times New Roman"/>
          <w:sz w:val="23"/>
          <w:szCs w:val="23"/>
          <w:color w:val="auto"/>
          <w:vertAlign w:val="superscript"/>
        </w:rPr>
      </w:pPr>
    </w:p>
    <w:p>
      <w:pPr>
        <w:ind w:left="660" w:right="100" w:hanging="328"/>
        <w:spacing w:after="0" w:line="21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60" w:right="360" w:hanging="328"/>
        <w:spacing w:after="0" w:line="21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30, 2024 and June 30, 2024, debt issuance costs in the amount of $12.4 million and $14.8 million, respectively, was included within funding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shares of common stock reserved for issuance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1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equity compensation plans</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53,863,501</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47,622,117</w:t>
            </w:r>
          </w:p>
        </w:tc>
      </w:tr>
      <w:tr>
        <w:trPr>
          <w:trHeight w:val="22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equity compensation plans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49,881,201</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43,492,755</w:t>
            </w:r>
          </w:p>
        </w:tc>
      </w:tr>
      <w:tr>
        <w:trPr>
          <w:trHeight w:val="248"/>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103,744,702</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91,114,872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warrants are included as a component of additional paid in capital within the interim condensed consolidated balance sheets.</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2021,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A portion of the warrants were fully vested at the grant date. Refer to Note 5. Balance Sheet Components for more information on the asset and related amortization during the period. The remaining grant-date fair value of the warrants will be recognized within our interim condensed consolidated statements of operations and comprehensive loss as a component of sales and marketing expense as the warrants vest, based upon Amazon’s satisfaction of the vesting conditions. During the three months ended September 30, 2024 and 2023, a total of $112.5 million and $106.3 million, respectively, was recognized within sales and marketing expense, which included $5.2 million and $10.4 million, respectively, in amortization expense of the commercial agreement asset and $107.3 million and $95.9 million, respectively, in expense based upon the grant-date fair value of the warrant shares that vested.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Plan</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our Amended and Restated 2012 Stock Plan (the “Plan”), we may grant incentive and nonqualified stock options, restricted stock, and restricted stock units (“RSUs”) to employees, officers, directors, and consultants. As of September 30, 2024, the maximum number of shares of common stock which may be issued under the Plan is 176,604,160 Class A shares. As of September 30, 2024 and June 30, 2024, there were 49,881,201 and 43,492,755 shares of Class A common stock, respectively, available for future grants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three months ended September 30,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16,794,697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17,011,341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September 30, 2024</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4.84</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383,090</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13,727,701</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Vested and exercisable, and expected to vest thereafter</w:t>
            </w:r>
            <w:r>
              <w:rPr>
                <w:rFonts w:ascii="Times New Roman" w:cs="Times New Roman" w:eastAsia="Times New Roman" w:hAnsi="Times New Roman"/>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16,853,585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expected to vest reflect the application of an estimated forfeiture rate.</w:t>
      </w:r>
    </w:p>
    <w:p>
      <w:pPr>
        <w:spacing w:after="0" w:line="22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September 30, 2024 was $31.28. As of September 30, 2024, unrecognized compensation expense related to unvested stock options was approximately $53.3 million, which is expected to be recognized over a remaining weighted-average period of 2.6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Award</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November 2020,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During the three months ended September 30, 2024 and 2023, we incurred stock-based compensation expense of $12.4 million and $19.6 million, respectively, associated with the Value Creation Award as a component of general and administrative expense within the interim condensed consolidated statements of operations and comprehensive loss.</w:t>
      </w:r>
    </w:p>
    <w:p>
      <w:pPr>
        <w:spacing w:after="0" w:line="21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unrecognized compensation expense related to the Value Creation Award was approximately $36.0 million, which is expected to be recognized over a remaining weighted-average period of 1.3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three months ended September 30, 2024:</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184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8"/>
              </w:rPr>
              <w:t>Weighted Average Grant</w:t>
            </w:r>
          </w:p>
        </w:tc>
        <w:tc>
          <w:tcPr>
            <w:tcW w:w="0" w:type="dxa"/>
            <w:vAlign w:val="bottom"/>
          </w:tcPr>
          <w:p>
            <w:pPr>
              <w:spacing w:after="0"/>
              <w:rPr>
                <w:sz w:val="1"/>
                <w:szCs w:val="1"/>
                <w:color w:val="auto"/>
              </w:rPr>
            </w:pPr>
          </w:p>
        </w:tc>
      </w:tr>
      <w:tr>
        <w:trPr>
          <w:trHeight w:val="214"/>
        </w:trPr>
        <w:tc>
          <w:tcPr>
            <w:tcW w:w="710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18,327,420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10,670,778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(3,934,964)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24,352,160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unrecognized compensation expense related to unvested RSUs was approximately $676.0 million, which is expected to be recognized over a remaining weighted-average period of 2.0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16.4 million shares of Class A common stock are reserved and available for issuance under the ESPP and 1.7 million shares have been issued as of September 30, 2024.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370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1"/>
        </w:trPr>
        <w:tc>
          <w:tcPr>
            <w:tcW w:w="75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70,184</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112,359</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38,803</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other</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2023, we committed to a restructuring plan (the “February 2023 Plan”) that included reducing our workforce and vacating a portion of our San Francisco office. The February 2023 Plan was completed during fiscal 2024, and we do not expect future costs or payments related to the plan.</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we did not incur any costs related to exit and disposal activities. For the three months ended September 30, 2023, exit and disposal costs were $1.7 million.</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restructuring and other exit and disposal cost accrual activity for the three months ended September 30, 2024 is summarized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 Exit and Disposal</w:t>
            </w:r>
          </w:p>
        </w:tc>
      </w:tr>
      <w:tr>
        <w:trPr>
          <w:trHeight w:val="240"/>
        </w:trPr>
        <w:tc>
          <w:tcPr>
            <w:tcW w:w="2240" w:type="dxa"/>
            <w:vAlign w:val="bottom"/>
            <w:tcBorders>
              <w:bottom w:val="single" w:sz="8" w:color="CCEEFF"/>
            </w:tcBorders>
          </w:tcPr>
          <w:p>
            <w:pPr>
              <w:spacing w:after="0"/>
              <w:rPr>
                <w:sz w:val="20"/>
                <w:szCs w:val="20"/>
                <w:color w:val="auto"/>
              </w:rPr>
            </w:pPr>
          </w:p>
        </w:tc>
        <w:tc>
          <w:tcPr>
            <w:tcW w:w="6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71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Activities </w:t>
            </w:r>
            <w:r>
              <w:rPr>
                <w:rFonts w:ascii="Times New Roman" w:cs="Times New Roman" w:eastAsia="Times New Roman" w:hAnsi="Times New Roman"/>
                <w:sz w:val="23"/>
                <w:szCs w:val="23"/>
                <w:b w:val="1"/>
                <w:bCs w:val="1"/>
                <w:color w:val="auto"/>
                <w:vertAlign w:val="superscript"/>
              </w:rPr>
              <w:t>(1)</w:t>
            </w:r>
          </w:p>
        </w:tc>
      </w:tr>
      <w:tr>
        <w:trPr>
          <w:trHeight w:val="22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and other costs, June 30,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48"/>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and other costs, September 30, 2024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240" w:type="dxa"/>
            <w:vAlign w:val="bottom"/>
            <w:tcBorders>
              <w:bottom w:val="single" w:sz="8" w:color="auto"/>
            </w:tcBorders>
          </w:tcPr>
          <w:p>
            <w:pPr>
              <w:spacing w:after="0"/>
              <w:rPr>
                <w:sz w:val="13"/>
                <w:szCs w:val="13"/>
                <w:color w:val="auto"/>
              </w:rPr>
            </w:pPr>
          </w:p>
        </w:tc>
        <w:tc>
          <w:tcPr>
            <w:tcW w:w="6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r>
    </w:tbl>
    <w:p>
      <w:pPr>
        <w:spacing w:after="0" w:line="46" w:lineRule="exact"/>
        <w:rPr>
          <w:sz w:val="20"/>
          <w:szCs w:val="20"/>
          <w:color w:val="auto"/>
        </w:rPr>
      </w:pPr>
    </w:p>
    <w:p>
      <w:pPr>
        <w:ind w:left="640" w:hanging="308"/>
        <w:spacing w:after="0"/>
        <w:tabs>
          <w:tab w:leader="none" w:pos="640" w:val="left"/>
        </w:tabs>
        <w:numPr>
          <w:ilvl w:val="1"/>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employee severance pay and related costs, contract cancellation charges, among other items, related to other exit and disposal activities</w:t>
      </w:r>
    </w:p>
    <w:p>
      <w:pPr>
        <w:spacing w:after="0" w:line="220"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recorded income tax expense of $1.9 million which was primarily attributable to various U.S state and foreign income taxes. For the three months ended September 30, 2023, we recorded income tax expense of $1.0 million which was primarily attributable to deferred tax expense recognized by our Canadian subsidiary, various U.S state and other foreign income taxes, and the tax amortization of certain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2024, 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us for the prior three fiscal years. The presence of a three-year cumulative loss limits the ability to consider other subjective evidence, such as our expectations of future taxable income and projections for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 Attributable to Common Stockholders</w:t>
      </w:r>
    </w:p>
    <w:p>
      <w:pPr>
        <w:spacing w:after="0" w:line="256"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presents basic and diluted net loss per share attributable to common stockholders for Class A and Class B common stock (in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80" w:type="dxa"/>
            <w:vAlign w:val="bottom"/>
          </w:tcPr>
          <w:p>
            <w:pPr>
              <w:spacing w:after="0"/>
              <w:rPr>
                <w:sz w:val="18"/>
                <w:szCs w:val="18"/>
                <w:color w:val="auto"/>
              </w:rPr>
            </w:pPr>
          </w:p>
        </w:tc>
        <w:tc>
          <w:tcPr>
            <w:tcW w:w="136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2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(33,705)</w:t>
            </w: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stockholders - basic</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(138,078)</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(33,705)</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274,886,393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43,348,162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244,224,777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59,614,893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274,886,393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43,348,162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244,224,777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59,614,893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80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40" w:type="dxa"/>
            <w:vAlign w:val="bottom"/>
            <w:tcBorders>
              <w:bottom w:val="single" w:sz="8" w:color="auto"/>
            </w:tcBorders>
          </w:tcPr>
          <w:p>
            <w:pPr>
              <w:spacing w:after="0"/>
              <w:rPr>
                <w:sz w:val="18"/>
                <w:szCs w:val="18"/>
                <w:color w:val="auto"/>
              </w:rPr>
            </w:pPr>
          </w:p>
        </w:tc>
      </w:tr>
      <w:tr>
        <w:trPr>
          <w:trHeight w:val="211"/>
        </w:trPr>
        <w:tc>
          <w:tcPr>
            <w:tcW w:w="71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24,352,160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21,731,951</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including early exercise of options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17,011,341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19,115,091</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5,734,551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5,743,523</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476,156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47,308,945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47,066,721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2024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responsibly and with confidence, easier for merchants and commerce platforms to convert sales and grow, and easier for commerce to thrive.</w:t>
      </w:r>
    </w:p>
    <w:p>
      <w:pPr>
        <w:spacing w:after="0" w:line="14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consumer acquisition tools. Our solutions empower merchants to more efficiently promote and sell their products, optimize their consumer acquisition strategies, and drive incremental sales. We also provide valuable product-level data and insights — information that merchants cannot easily get elsewhere — to better inform their strategies. Finally, for consumers, our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loan, manage payments, open a high-yield savings account, and access a personalized marketplace.</w:t>
      </w:r>
    </w:p>
    <w:p>
      <w:pPr>
        <w:spacing w:after="0" w:line="14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3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360" w:type="dxa"/>
            <w:vAlign w:val="bottom"/>
            <w:tcBorders>
              <w:bottom w:val="single" w:sz="8" w:color="auto"/>
            </w:tcBorders>
          </w:tcPr>
          <w:p>
            <w:pPr>
              <w:spacing w:after="0"/>
              <w:rPr>
                <w:sz w:val="18"/>
                <w:szCs w:val="18"/>
                <w:color w:val="auto"/>
              </w:rPr>
            </w:pPr>
          </w:p>
        </w:tc>
      </w:tr>
      <w:tr>
        <w:trPr>
          <w:trHeight w:val="209"/>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0"/>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w w:val="96"/>
              </w:rPr>
              <w:t>(in thousands, exc</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ept percentages)</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6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698,479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496,547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201,932</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41 %</w:t>
            </w:r>
          </w:p>
        </w:tc>
      </w:tr>
      <w:tr>
        <w:trPr>
          <w:trHeight w:val="208"/>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831,102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705,994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125,108</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18 %</w:t>
            </w:r>
          </w:p>
        </w:tc>
      </w:tr>
      <w:tr>
        <w:trPr>
          <w:trHeight w:val="211"/>
        </w:trPr>
        <w:tc>
          <w:tcPr>
            <w:tcW w:w="6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(209,447)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76,824</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r>
      <w:tr>
        <w:trPr>
          <w:trHeight w:val="207"/>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2"/>
        </w:trPr>
        <w:tc>
          <w:tcPr>
            <w:tcW w:w="6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(170,740)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72,420</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r>
      <w:tr>
        <w:trPr>
          <w:trHeight w:val="207"/>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37"/>
        </w:trPr>
        <w:tc>
          <w:tcPr>
            <w:tcW w:w="6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(100,222)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(171,783)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71,561</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three main loan product offerings: Pay-in-X, 0% annual percentage rate (“APR”) monthly installment loans and interest-bearing monthly installment loans. Pay-in-X consists of short-term payment plans with one to four 0% APR installments.</w:t>
      </w:r>
    </w:p>
    <w:p>
      <w:pPr>
        <w:spacing w:after="0" w:line="13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From merchants, we typically earn a fee when we help them convert a sale and facilitate a transaction. Merchant fees depend on the individual arrangement between us and each merchant and vary based on the terms of the product offering; we generally earn larger merchant fees on 0% APR financing products. For the three months ended September 30, 2024 and 2023, Pay-in-X represented 14% and 15%, respectively, of total GMV facilitated through our platform while 0% APR installment loans represented 11% for both periods.</w:t>
      </w:r>
    </w:p>
    <w:p>
      <w:pPr>
        <w:spacing w:after="0" w:line="14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 For the three months ended September 30, 2024 and 2023, interest bearing loans represented 75% and 74%, respectively, of total GMV facilitated through our platform.</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Similarly, we also facilitate the issuance of the Affirm Card, a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75"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interim condensed consolidated financial statements for more information on the performance fee liability.</w:t>
      </w:r>
    </w:p>
    <w:p>
      <w:pPr>
        <w:spacing w:after="0" w:line="22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and across several states in the U.S. through our consolidated subsidiaries. We directly originated approximately $1.3 billion, or 17%, and $0.9 billion, or 17%, of loans for the three months ended September 30, 2024 and 2023, respectively.</w:t>
      </w:r>
    </w:p>
    <w:p>
      <w:pPr>
        <w:spacing w:after="0" w:line="135"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act as the servicer on all loans that we originate directly or purchase from our originating bank partners and earn a servicing fee on loans held by third parties, including bank partners prior to loan purchase and third party loan buyers if subsequently sold as part of our funding strategy. In the normal course of business, we do not sell the servicing rights on any of the loans. To allow for flexible staffing to support overflow and seasonal traffic, we partner with several sub-servicers to manage consumer care, first priority collections, and third-party collections in accordance with our policies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As of September 30, 2024 and June 30, 2024, our equity capital as a percentage of our total platform portfolio has remained relatively unchanged at 5%.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20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shifts in merchant volumes and products offered in any period affect our operating results. These shifts impact GMV, revenue, our financial results, and our key operating metric performance for that period. Differences in loan product mix result in varying loan durations, APR, and mix of 0% APR and interest-bearing financings.</w:t>
      </w:r>
    </w:p>
    <w:p>
      <w:pPr>
        <w:spacing w:after="0" w:line="14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Product and economic terms of commercial agreements vary among our merchants, which may impact our results.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revenue as a percentage of GMV may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Additionally, our commercial agreements with our platform partners, the expansion of our consumer eligibility criteria, along with the growing repeat usage of our Affirm Card offerings, are driving an increase in low AOV transactions. As a result, while we expect that transactions per active consumer may increase, revenue as a percentage of GMV may decline in the medium term to the extent that a greater portion of our GMV comes from Affirm Card and other low-AOV offerings.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experience seasonal fluctuations in our business as a result of consumer spending patterns, including Affirm Card, which we expect to mimic the seasonality of our general business in the near term. Historically, our GMV has been the strongest during our fiscal second quarter due to increases in retail commerce during the holiday season and our loan delinquencies are at their lowest during our fiscal third and fourth quarter, as consumer savings benefit from tax refunds. Adverse events that occur during our second fiscal quarter could have a disproportionate effect on our financial results for the fiscal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Environment</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regularly monitor the direct and indirect impacts of the current macroeconomic conditions on our business, financial condition, and results of operations. Starting in fiscal 2023, the macroeconomic environment began to present a number of challenges to our business. In response to continued inflationary pressure, the U.S. Federal Reserve rapidly raised the federal funds interest rate from March 2022 through July 2023. Despite the Federal Reserve’s decision to decrease the federal funds interest rate in September 2024, uncertainty remains as to whether and to what extent the federal funds interest rate will remain at current levels, increase or decrease in future periods. Simultaneously, economic uncertainty and the prospect of economic recession has impacted consumer spending. These challenges have affected, and may continue to affect, our business and results of operations in the following ways:</w:t>
      </w:r>
    </w:p>
    <w:p>
      <w:pPr>
        <w:spacing w:after="0" w:line="144" w:lineRule="exact"/>
        <w:rPr>
          <w:sz w:val="20"/>
          <w:szCs w:val="20"/>
          <w:color w:val="auto"/>
        </w:rPr>
      </w:pPr>
    </w:p>
    <w:p>
      <w:pPr>
        <w:ind w:left="660" w:right="100" w:hanging="328"/>
        <w:spacing w:after="0" w:line="26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Shifts in consumer demand: </w:t>
      </w:r>
      <w:r>
        <w:rPr>
          <w:rFonts w:ascii="Times New Roman" w:cs="Times New Roman" w:eastAsia="Times New Roman" w:hAnsi="Times New Roman"/>
          <w:sz w:val="18"/>
          <w:szCs w:val="18"/>
          <w:color w:val="auto"/>
        </w:rPr>
        <w:t>Over the past two fiscal years, we have experienced varying levels of consumer demand across different categories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merchandise. While all merchandise categories except for Sporting Goods and Outdoors grew year-over-year, economic uncertainty, inflationary pressures and elevated interest rates remain. If macroeconomic conditions deteriorate in future periods, consumer demand may be negatively impacted.</w:t>
      </w:r>
    </w:p>
    <w:p>
      <w:pPr>
        <w:spacing w:after="0" w:line="203"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borrowing costs: </w:t>
      </w:r>
      <w:r>
        <w:rPr>
          <w:rFonts w:ascii="Times New Roman" w:cs="Times New Roman" w:eastAsia="Times New Roman" w:hAnsi="Times New Roman"/>
          <w:sz w:val="18"/>
          <w:szCs w:val="18"/>
          <w:color w:val="auto"/>
        </w:rPr>
        <w:t>Our borrowing costs have remained elevated due to the interest rate environment, resulting in sustained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costs. Despite the Federal Reserve decreasing the federal funds interest rate in September 2024, the interest rate environment remains elevated and, as a result, we may continue to experience higher transaction costs.</w:t>
      </w:r>
    </w:p>
    <w:p>
      <w:pPr>
        <w:spacing w:after="0" w:line="197" w:lineRule="exact"/>
        <w:rPr>
          <w:rFonts w:ascii="Times New Roman" w:cs="Times New Roman" w:eastAsia="Times New Roman" w:hAnsi="Times New Roman"/>
          <w:sz w:val="18"/>
          <w:szCs w:val="18"/>
          <w:color w:val="auto"/>
        </w:rPr>
      </w:pPr>
    </w:p>
    <w:p>
      <w:pPr>
        <w:ind w:left="660" w:hanging="328"/>
        <w:spacing w:after="0" w:line="25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Volatile capital markets: </w:t>
      </w:r>
      <w:r>
        <w:rPr>
          <w:rFonts w:ascii="Times New Roman" w:cs="Times New Roman" w:eastAsia="Times New Roman" w:hAnsi="Times New Roman"/>
          <w:sz w:val="18"/>
          <w:szCs w:val="18"/>
          <w:color w:val="auto"/>
        </w:rPr>
        <w:t>Since fiscal 2024, capital markets have shown improvement against recent periods, which has been evidenced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additions across our funding channels due to our strong loan performance. However, despite these improvements, uncertainties remain in the macroeconomic environment, especially with regard to inflation and the potential for increased unemployment. To address these uncertainties, we leverage our diverse funding channels and counterparties, which contribute to our resilience across various macroeconomic conditions and economic cycles.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Credit Optimization and Loan Performance</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continue to optimize our underwriting and take other actions to manage consumer loan repayment, increase collections and minimize losses. For example, we offer loan modifications to borrowers experiencing 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which may not exceed twenty-four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These loan modification programs also impact our delinquency rates, and such impact can vary over time. As disclosed in Note 4. Loans Held for Investment and Allowance for Credit Losses in the notes to the interim condensed consolidated financial statements, in fiscal 2024, we expanded the eligibility of our loan modification programs, which resulted in a modest benefit to delinquency rates for loans held for investment during that period. While the volume of loan modifications decreased during the fiscal quarter ended September 30, 2024 relative to the prior fiscal quarter, they remain elevated when compared to the fiscal quarter ended September 30, 2023. Loans modified within the last three and twelve months represent 0.18% and 0.42% , respectively, of the outstanding principal balance of loans held on our balance sheet as of September 30, 2024. Our reported delinquency and charge off rates include loans which have become past due or have charged off subsequent to modification. An unknown percentage of loans which have been modified and are current as of September 30, 2024 may become delinquent or charge off in the future. We continue to evaluate the effectiveness of these programs and may modify, expand, or contract their usage, which may affect the timing of reported delinquencies and charge offs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 In addition, we are supervised by the CFPB, which enables it, among other things, to conduct comprehensive and rigorous examinations to assess our compliance with consumer financial protection laws, which in turn could result in matters requiring attention, enforcement investigations and actions, regulatory fines and mandated changes to our business products, policies and procedures.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focus on several key operating metrics to measure the performance of our business and help determine our strategic direction. In addition to revenue, net loss, and other results under U.S. GAAP, the following tables set forth key operating metrics we use to evaluate our business.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center"/>
              <w:ind w:left="13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60" w:type="dxa"/>
            <w:vAlign w:val="bottom"/>
            <w:tcBorders>
              <w:bottom w:val="single" w:sz="8" w:color="auto"/>
            </w:tcBorders>
          </w:tcPr>
          <w:p>
            <w:pPr>
              <w:spacing w:after="0"/>
              <w:rPr>
                <w:sz w:val="18"/>
                <w:szCs w:val="18"/>
                <w:color w:val="auto"/>
              </w:rPr>
            </w:pPr>
          </w:p>
        </w:tc>
      </w:tr>
      <w:tr>
        <w:trPr>
          <w:trHeight w:val="211"/>
        </w:trPr>
        <w:tc>
          <w:tcPr>
            <w:tcW w:w="5560" w:type="dxa"/>
            <w:vAlign w:val="bottom"/>
          </w:tcPr>
          <w:p>
            <w:pPr>
              <w:spacing w:after="0"/>
              <w:rPr>
                <w:sz w:val="18"/>
                <w:szCs w:val="18"/>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2"/>
        </w:trPr>
        <w:tc>
          <w:tcPr>
            <w:tcW w:w="5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1460" w:type="dxa"/>
            <w:vAlign w:val="bottom"/>
          </w:tcPr>
          <w:p>
            <w:pPr>
              <w:spacing w:after="0"/>
              <w:rPr>
                <w:sz w:val="16"/>
                <w:szCs w:val="16"/>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GMV</w:t>
            </w: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5.6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54"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For the three months ended September 30, 2024, GMV was $7.6 billion which represented an increase of approximately 35% as compared to the same period in 2023. Overall, the increase in GMV was driven by an increase in volume at our top five merchants and platform partners as well as overall increases in our active merchant base, active consumers and average transactions per consumer. The increase in GMV for the three months ended September 30, 2024, was diversified across categories and products. During the three months ended September 30, 2024, growth was primarily attributable to an increase in the general and merchandise categories. Additionally, consumer demand across our travel and ticketing, electronics, and equipment and auto categories grew more than 20% year over year.</w:t>
      </w:r>
    </w:p>
    <w:p>
      <w:pPr>
        <w:spacing w:after="0" w:line="91"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For the three months ended September 30, 2024, our top five merchants and platform partners represented approximately 47% of total GMV, as compared to 42% for the three months ended September 30, 2023. GMV attributable to Amazon during the three months ended September 30, 2024 represented 23% of total GMV. GMV attributable to Amazon during the three months ended September 30, 2023 represented less than 20% of total GMV.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21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40" w:type="dxa"/>
            <w:vAlign w:val="bottom"/>
            <w:tcBorders>
              <w:bottom w:val="single" w:sz="8" w:color="auto"/>
            </w:tcBorders>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3"/>
        </w:trPr>
        <w:tc>
          <w:tcPr>
            <w:tcW w:w="5000" w:type="dxa"/>
            <w:vAlign w:val="bottom"/>
          </w:tcPr>
          <w:p>
            <w:pPr>
              <w:spacing w:after="0"/>
              <w:rPr>
                <w:sz w:val="16"/>
                <w:szCs w:val="16"/>
                <w:color w:val="auto"/>
              </w:rPr>
            </w:pPr>
          </w:p>
        </w:tc>
        <w:tc>
          <w:tcPr>
            <w:tcW w:w="4620" w:type="dxa"/>
            <w:vAlign w:val="bottom"/>
            <w:gridSpan w:val="2"/>
          </w:tcPr>
          <w:p>
            <w:pPr>
              <w:jc w:val="center"/>
              <w:ind w:left="1537"/>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1620" w:type="dxa"/>
            <w:vAlign w:val="bottom"/>
          </w:tcPr>
          <w:p>
            <w:pPr>
              <w:spacing w:after="0"/>
              <w:rPr>
                <w:sz w:val="16"/>
                <w:szCs w:val="16"/>
                <w:color w:val="auto"/>
              </w:rPr>
            </w:pPr>
          </w:p>
        </w:tc>
      </w:tr>
      <w:tr>
        <w:trPr>
          <w:trHeight w:val="23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consumers</w:t>
            </w:r>
          </w:p>
        </w:tc>
        <w:tc>
          <w:tcPr>
            <w:tcW w:w="21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19,491</w:t>
            </w:r>
          </w:p>
        </w:tc>
        <w:tc>
          <w:tcPr>
            <w:tcW w:w="24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16,933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per active consumer</w:t>
            </w:r>
          </w:p>
        </w:tc>
        <w:tc>
          <w:tcPr>
            <w:tcW w:w="21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5.1</w:t>
            </w:r>
          </w:p>
        </w:tc>
        <w:tc>
          <w:tcPr>
            <w:tcW w:w="24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Consumers</w:t>
      </w:r>
    </w:p>
    <w:p>
      <w:pPr>
        <w:spacing w:after="0" w:line="1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w:t>
      </w:r>
    </w:p>
    <w:p>
      <w:pPr>
        <w:spacing w:after="0" w:line="13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approximately 19.5 million active consumers, which represented an increase of 15% compared to approximately 16.9 million active consumers as of September 30, 2023. The increase was primarily due to a high retention rate of existing consumers and the acquisition of new consumers through an expansion in active merchants and platform partnerships as well as continued adoption of the Affirm Card.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per Active Consumer</w:t>
      </w:r>
    </w:p>
    <w:p>
      <w:pPr>
        <w:spacing w:after="0" w:line="20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we had approximately 5.1 transactions per active consumer, an increase of 25% compared to September 30, 2023. The increase was primarily due to platform growth, a higher frequency of repeat users driven by consumer engagement and growth of Affirm Card active consumers. As of September 30, 2024, Affirm Card represented approximately 11% of the total number of transactions compared to approximately 6%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interim condensed consolidated statements of operations and comprehensive loss data for each of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r>
      <w:tr>
        <w:trPr>
          <w:trHeight w:val="200"/>
        </w:trPr>
        <w:tc>
          <w:tcPr>
            <w:tcW w:w="2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145,950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 network revenue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network revenue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52,393</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8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114,385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58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698,479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496,547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201,932</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41 %</w:t>
            </w:r>
          </w:p>
        </w:tc>
      </w:tr>
      <w:tr>
        <w:trPr>
          <w:trHeight w:val="198"/>
        </w:trPr>
        <w:tc>
          <w:tcPr>
            <w:tcW w:w="55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1"/>
                <w:szCs w:val="21"/>
                <w:b w:val="1"/>
                <w:bCs w:val="1"/>
                <w:color w:val="auto"/>
                <w:vertAlign w:val="superscript"/>
              </w:rPr>
              <w:t>(2)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on loan purchase commitment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3"/>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9"/>
        </w:trPr>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08"/>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831,102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705,994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125,108</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18 %</w:t>
            </w:r>
          </w:p>
        </w:tc>
      </w:tr>
      <w:tr>
        <w:trPr>
          <w:trHeight w:val="211"/>
        </w:trPr>
        <w:tc>
          <w:tcPr>
            <w:tcW w:w="5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(132,623)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(209,447)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76,824</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r>
      <w:tr>
        <w:trPr>
          <w:trHeight w:val="207"/>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2"/>
        </w:trPr>
        <w:tc>
          <w:tcPr>
            <w:tcW w:w="5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(98,320)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(170,740)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72,420</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r>
      <w:tr>
        <w:trPr>
          <w:trHeight w:val="207"/>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(100,222)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(171,783)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71,561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2240" w:type="dxa"/>
            <w:vAlign w:val="bottom"/>
            <w:tcBorders>
              <w:bottom w:val="single" w:sz="8" w:color="auto"/>
            </w:tcBorders>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71" w:lineRule="exact"/>
        <w:rPr>
          <w:sz w:val="20"/>
          <w:szCs w:val="20"/>
          <w:color w:val="auto"/>
        </w:rPr>
      </w:pPr>
    </w:p>
    <w:p>
      <w:pPr>
        <w:ind w:left="340" w:right="20" w:hanging="332"/>
        <w:spacing w:after="0" w:line="244"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80" w:type="dxa"/>
            <w:vAlign w:val="bottom"/>
            <w:tcBorders>
              <w:bottom w:val="single" w:sz="8" w:color="auto"/>
            </w:tcBorders>
          </w:tcPr>
          <w:p>
            <w:pPr>
              <w:spacing w:after="0"/>
              <w:rPr>
                <w:sz w:val="18"/>
                <w:szCs w:val="18"/>
                <w:color w:val="auto"/>
              </w:rPr>
            </w:pPr>
          </w:p>
        </w:tc>
      </w:tr>
      <w:tr>
        <w:trPr>
          <w:trHeight w:val="211"/>
        </w:trPr>
        <w:tc>
          <w:tcPr>
            <w:tcW w:w="72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184"/>
        </w:trPr>
        <w:tc>
          <w:tcPr>
            <w:tcW w:w="7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gridSpan w:val="3"/>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6"/>
                <w:szCs w:val="16"/>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96,576</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loans purchased or originated, net of refunds</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78,189</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52,420</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(45,118)</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100,203</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89,862</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456057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605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13716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7"/>
                <w:szCs w:val="17"/>
                <w:color w:val="auto"/>
              </w:rPr>
            </w:pPr>
          </w:p>
        </w:tc>
      </w:tr>
      <w:tr>
        <w:trPr>
          <w:trHeight w:val="208"/>
        </w:trPr>
        <w:tc>
          <w:tcPr>
            <w:tcW w:w="72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184"/>
        </w:trPr>
        <w:tc>
          <w:tcPr>
            <w:tcW w:w="7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6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70,184</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35,135</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112,359</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49,478</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38,803</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143,711</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187"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Merchant network revenue increased by $38.4 million, or 26%, for the three months ended September 30, 2024 compared to the same period in 2023. The increase is primarily attributed to an increase of $2.0 billion, or 35%, in GMV for the three months ended September 30, 2024, compared to the same period in 2023. The increase in GMV is a result of continued growth at our top five merchants and platform partners representing approximately 47% and 42% as of September 30, 2024 and 2023, respectively. Our active merchant base and the number of active consumers also grew, reaching approximately 323 thousand and 19.5 million, respectively, as of September 30, 2024, up from approximately 266 thousand and 16.9 million, respectively, as of September 30, 2023.</w:t>
      </w:r>
    </w:p>
    <w:p>
      <w:pPr>
        <w:spacing w:after="0" w:line="14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frequency and mix of transactions, the transactions per active consumer increased from 4.1 as of September 30, 2023 to 5.1 as of September 30, 2024, however AOV decreased for the three months ended September 30, 2024 from $299 to $279 as compared to the same period in 2023. The decrease in AOV is driven by an increase in GMV in the general and merchandise categories, which tend to have a lower AOV, and our ongoing initiative to drive repeat usage of our platform beyond one-time high AOV purchases.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network revenue</w:t>
      </w:r>
    </w:p>
    <w:p>
      <w:pPr>
        <w:spacing w:after="0" w:line="20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Card network revenue increased by $14.0 million, or 42%, for the three months ended September 30, 2024 compared to the same period in 2023. Card network revenue growth is correlated with the growth of GMV processed by our card-issuing partners. As such, the increase is primarily driven by $2.5 billion of GMV processed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through our card-issuing partners, an increase of 38% for the three months ended September 30, 2024 as compared to the same period in 2023. This was driven by increased card activity primarily through our single use virtual cards and Affirm Card, as well as growth in existing and new merchants utilizing our agreement with card-issuing partners as a means of integrating Affirm services, which grew from approximately 1,400 merchants as of September 30, 2023 to 4,700 merchants as of September 30, 2024. Card network revenue is also impacted by the mix of merchants as different merchants can have different interchange rates depending on their industry or size, among other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increased by $114.4 million, or 44%, for the three months ended September 30, 2024, compared to the same period in 2023. Generally, interest income is correlated with the changes in the average balance of loans held for investment, which increased by 34% to $6.0 billion for the three months ended September 30, 2024 compared to the same period in 2023. As a result, interest income from interest-bearing loans increased by $111.0 million, or 49%, compared to the same period in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187" w:lineRule="exact"/>
        <w:rPr>
          <w:sz w:val="20"/>
          <w:szCs w:val="20"/>
          <w:color w:val="auto"/>
        </w:rPr>
      </w:pPr>
    </w:p>
    <w:p>
      <w:pPr>
        <w:ind w:left="120" w:right="20" w:firstLine="648"/>
        <w:spacing w:after="0" w:line="261" w:lineRule="auto"/>
        <w:rPr>
          <w:sz w:val="20"/>
          <w:szCs w:val="20"/>
          <w:color w:val="auto"/>
        </w:rPr>
      </w:pPr>
      <w:r>
        <w:rPr>
          <w:rFonts w:ascii="Times New Roman" w:cs="Times New Roman" w:eastAsia="Times New Roman" w:hAnsi="Times New Roman"/>
          <w:sz w:val="18"/>
          <w:szCs w:val="18"/>
          <w:color w:val="auto"/>
        </w:rPr>
        <w:t>Gain on sales of loans increased by $29.3 million, or 86%, for the three months ended September 30, 2024 compared to the same period in 2023. The increase is driven by factors including higher loan sale volume to third-party loan buyers and favorable transaction economics which are impacted by the composition of our loan portfolio sold, investor demand for our product, and other market factors. We sold loans with an unpaid principal balance of $2.8 billion for the three months ended September 30, 2024 compared to $2.2 billion for the same period in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187"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3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12. Fair Value of Financial Assets and Liabilities in the notes to the interim condensed consolidated financial statements.</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Servicing income increased by $5.8 million, or 29%, for the three months ended September 30, 2024, compared to the same period in 2023. The increase is primarily due to an increase in net servicing fee revenue which is calculated as a percentage of the unpaid principal balance of off-balance sheet loans. The average unpaid principal balance of off-balance sheet loans increased from $4.4 billion during the three months ended September 30, 2023 to $5.4 billion during the same period in 2024, an increase of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19"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8"/>
          <w:szCs w:val="18"/>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consolidated statements of operations and comprehensive loss. These costs are incurred on a per loan basis.</w:t>
      </w:r>
    </w:p>
    <w:p>
      <w:pPr>
        <w:spacing w:after="0" w:line="151"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Loss on loan purchase commitment increased by $19.4 million, or 56%, for the three months ended September 30, 2024 compared to the same period in 2023, primarily due to an increase in total volume of loans purchased. During the three months ended September 30, 2024, we purchased $6.4 billion of loans from our originating bank partners, compared to $4.6 billion in the same period in 2023, representing an increase of 40%.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6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increased by $60.1 million, or 60%, for the three months ended September 30, 2024 compared to the same period in 2023, primarily driven by growth in the volume of loans held for investment. Loans held for investment as of September 30, 2024 was $6.3 billion, an increase of $1.8 billion, or 39%, as compared to the same period in 2023. The allowance for credit losses as a percentage of loans held for investment increased from 5.1% as of September 30, 2023 to 5.6% as of September 30, 2024. The increase in the allowance rate from September 30, 2023 is primarily driven by an increase in loans held on our balance sheet as well as adjustments in our credit criteria in light of increasing interest income generated by our loans and changes in the loan mix.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Funding costs increased by $30.2 million, or 41%, for the three months ended September 30, 2024 compared to the same period in 2023. The increase is primarily due to an increase of funding debt and notes issued by securitization trusts during the three months ended September 30, 2024. The average total of funding debt from warehouses and securitizations for the three months ended September 30, 2024 was $5.4 billion compared to $4.0 billion during the same period in 2023, an increase of $1.4 billion, or 34%. The increase was also attributable to a larger volume of on-balance sheet loans being retained during the period. The average on-balance sheet loan balance was $6.0 billion for the three months ended September 30, 2024, an increase of 34% compared to $4.5 billion during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Processing and servicing expense increased by $19.5 million, or 26%, for the three months ended September 30, 2024 compared to the same period in 2023. This increase is driven primarily by an increase in payment processing fees of $15.4 million, or 38%, related to increased payment volume for the three months ended September 30, 2024. Additionally, during the three months ended September 30, 2024, our platform fees increased by $6.0 million, or 39%, due to an increase in volume with a large enterprise partner.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3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Technology and data analytics expense increased by $1.3 million, or 1%, for the three months ended September 30, 2024 compared to the same period in 2023. The increase is primarily driven by amortization of internally-developed software which increased by $13.5 million, or 44%, for the three months ended September 30, 2024 compared to the same period in 2023, as a result of an increase in the number of capitalized projects. Capitalized projects in service grew by 127% from approximately 440 projects as of September 30, 2023 to 1,000 projects as of September 30, 2024. The increase is partially offset by a decrease of $13.0 million, or 19%, in stock-based compensation and payroll and personnel-related costs for the three months ended September 30, 2024 compared to the same period in 2023, due to higher capitalized compensation costs related to internally-developed software.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of the expense related to warrants and other share-based payments granted to our enterprise partners, salaries and personnel-related costs, costs of marketing and promotional activities.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Sales and marketing expense decreased by $1.6 million, or 1%, during the three months ended September 30, 2024 compared to the same period in 2023. The decrease is primarily driven by a $7.1 million, or 92%, decrease in the amortization of intangible assets for the three months ended September 30, 2024, compared to the same period in 2023, as a result of Returnly’s intangible assets being fully amortized during the three months ended September 30, 2023, related to the wind down of our returns management platform. Additionally, amortization expense related to the Amazon commercial agreement decreased by $5.2 million, or 50%, primarily due to the renewal of the commercial partnership agreement in February 2024, which extended the amortization period of the commercial agreement asset. The decrease is partially offset by an $11.4 million, or 12%, increase in Amazon warrant expense during the three months ended September 30, 2024 compared to the same period in 2023, primarily due to an increase in the number of new users to the Amazon program in the current period, which is the basis for a portion of the warrant expense. The amortization expense related to stock appreciation rights granted to an enterprise partner as part of a commercial agreement decreased by $2.1 million, as the expected benefit period ended during the prior fiscal year and the asset was fully amortized. We did not incur any expenses related to the stock appreciation rights during the three months ended September 30,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by $1.9 million, or 1%, during the three months ended September 30, 2024 compared to the same period in 2023. The decrease is primarily due to a $9.4 million, or 8%, decrease in payroll and personnel-related costs compared to the same period in 2023, as a result of lower headcount during the period. The decrease is partially offset by an increase of $0.7 million in professional services compared to the same period in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1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Restructuring and other for the three months ended September 30, 2024 decreased by $1.9 million compared to the same period in 2023. During the three months ended September 30, 2024, we did not incur any costs related to exit and disposal activities. The associated restructuring and other expenses during the three months ended September 30, 2023 related to employee severance and other employment termination benefits offered in connection with the wind down of our returns management platform, Returnly.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income, net includes interest earned on our money market funds included in cash and cash equivalents and restricted cash, interest earned on securities available for sale, impairment or other adjustments to the cost basis of non-marketable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spacing w:after="0" w:line="12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Other income, net, decreased by $4.4 million, or 11%, during the three months ended September 30, 2024 compared to the same period in 2023, primarily driven by a decrease of $9.8 million in other non-operating income related to the wind-down of the Returnly business and our partnership with a third-party return provider during the three months ended September 30, 2023. Additionally, income from derivative instruments not designated in a hedge accounting relationship decreased by $7.9 million primarily driven by a decrease in the notional balance of the derivative instruments and a decrease in interest rates. We recognized a loss of $1.8 million on the change in fair value of liabilities, primarily related to our profit sharing liability, during the three months ended September 30, 2024 compared to a gain of $3.5 million during the same period in 2023, a decrease of $5.3 million. The decrease driven by each of these factors combined is partially offset by a $19.6 million gain recognized upon the repurchase of a portion of our 2026 Notes during the three months ended September 30, 2024.</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2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committed and long-term relationships with a diverse group of existing funding partners help provide flexibility as we optimize our funding to support the growth in loan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for sale securities, available capacity from warehouse and revolving credit facilities, securitization trusts, forward flow loan sale arrangements, and certain cash flows from our operations. As of September 30, 2024, we had $2.1 billion in cash and cash equivalents and available for sale securities, $3.9 billion in available funding debt capacity, excluding our purchase commitments from third party loan buyers, and $330.0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investments in debt securities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6"/>
        </w:trPr>
        <w:tc>
          <w:tcPr>
            <w:tcW w:w="718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1,013,106</w:t>
            </w:r>
          </w:p>
        </w:tc>
      </w:tr>
      <w:tr>
        <w:trPr>
          <w:trHeight w:val="229"/>
        </w:trPr>
        <w:tc>
          <w:tcPr>
            <w:tcW w:w="7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short-term debt securities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865,766</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long-term debt securities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265,862</w:t>
            </w:r>
          </w:p>
        </w:tc>
      </w:tr>
      <w:tr>
        <w:trPr>
          <w:trHeight w:val="223"/>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cash equivalent and investments in debt securities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2,144,734</w:t>
            </w:r>
          </w:p>
        </w:tc>
      </w:tr>
      <w:tr>
        <w:trPr>
          <w:trHeight w:val="21"/>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320" w:hanging="328"/>
        <w:spacing w:after="0" w:line="235"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consist of checking, money market and savings accounts held at financial institutions and short-term highly liquid marketable securities, including money market funds, government bonds, and other corporate securities purchased with an original maturity of three months or less.</w:t>
      </w:r>
    </w:p>
    <w:p>
      <w:pPr>
        <w:spacing w:after="0" w:line="2" w:lineRule="exact"/>
        <w:rPr>
          <w:rFonts w:ascii="Times New Roman" w:cs="Times New Roman" w:eastAsia="Times New Roman" w:hAnsi="Times New Roman"/>
          <w:sz w:val="23"/>
          <w:szCs w:val="23"/>
          <w:color w:val="auto"/>
          <w:vertAlign w:val="superscript"/>
        </w:rPr>
      </w:pPr>
    </w:p>
    <w:p>
      <w:pPr>
        <w:ind w:left="660" w:right="140" w:hanging="328"/>
        <w:spacing w:after="0" w:line="255" w:lineRule="auto"/>
        <w:tabs>
          <w:tab w:leader="none" w:pos="651"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Securities available for sale at fair value primarily consist of certificates of deposits, corporate bonds, commercial paper, agency bonds, and government bonds. Short-term securities have maturities less than or equal to one year, and long-term securities range from greater than one year to less than five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Funding debt as of September 30, 2024 primarily includes our warehouse credit facilities and sale and repurchase agreements. A detailed description of each of our borrowing arrangements is included in Note 8. Debt in the notes to the interim condensed consolidated financial statements. The following table summarizes our funding debt facilities as of September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160" w:type="dxa"/>
            <w:vAlign w:val="bottom"/>
          </w:tcPr>
          <w:p>
            <w:pPr>
              <w:spacing w:after="0"/>
              <w:rPr>
                <w:sz w:val="18"/>
                <w:szCs w:val="18"/>
                <w:color w:val="auto"/>
              </w:rPr>
            </w:pPr>
          </w:p>
        </w:tc>
        <w:tc>
          <w:tcPr>
            <w:tcW w:w="182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Principal Outstanding</w:t>
            </w:r>
          </w:p>
        </w:tc>
      </w:tr>
      <w:tr>
        <w:trPr>
          <w:trHeight w:val="193"/>
        </w:trPr>
        <w:tc>
          <w:tcPr>
            <w:tcW w:w="7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4"/>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260,698</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838,507</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206,802</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161,755</w:t>
            </w: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5,627,906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1,756,469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20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warehouse credit facilities allow us to borrow up to an aggregate of $5.0 billion, mature between 2025 and 2027 and subject to covenant compliance, generally permit borrowings up to 4 -12 months prior to the final maturity date. As of September 30, 2024, we have drawn an aggregate of $1.3 billion on our warehouse credit facilities. As of September 30, 2024, we were in compliance with all applicable covenants in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maturing between 2028 and 2030. As of September 30, 2024, the aggregate commitment amount of these facilities was $652.9 million on a revolving basis, of which $407.0 million was drawn.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and Repurchase Agreements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various sale and repurchase agreements pursuant to our retained interests in our off-balance sheet securitizations where we have sold these securities to a counterparty with an obligation to repurchase at a future date and price. These agreements have an initial term of three months and subject to mutual agreement by Affirm and the counterparty, we may enter into one or more repurchase date extensions, each for an additional three month term at market interest rates on such extension date. We had $22.4 million and $34.5 million in debt outstanding under our sale and repurchase agreements disclosed within funding debt in the interim condensed consolidated balance sheets as of September 30, 2024 and June 30,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87"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 Refer to Note 9. Securitization and Variable Interest Entities in the notes to the interim condensed consolidated financial statements for further details.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0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June 26, 2024, we entered into an amendment to our revolving credit agreement under the terms of which the aggregate commitment was increased to $330.0 million and the final maturity date was extended three years to June 26, 2027. As of September 30, 2024, there are no borrowings outstanding under the facility. The facility contains certain covenants and restrictions, including certain financial maintenance covenants. As of September 30, 2024, we were in compliance with all applicable covenants in the agreements. Refer to Note 8. Debt in the notes to the interim condensed consolidated financial statements for further details on our revolving credit facility.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Flow Loan Sale Arrangements</w:t>
      </w:r>
    </w:p>
    <w:p>
      <w:pPr>
        <w:spacing w:after="0" w:line="173"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during the periods indicated:</w:t>
      </w:r>
    </w:p>
    <w:p>
      <w:pPr>
        <w:spacing w:after="0" w:line="16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7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236"/>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80" w:type="dxa"/>
            <w:vAlign w:val="bottom"/>
            <w:shd w:val="clear" w:color="auto" w:fill="CCEEFF"/>
          </w:tcPr>
          <w:p>
            <w:pPr>
              <w:jc w:val="center"/>
              <w:ind w:right="575"/>
              <w:spacing w:after="0"/>
              <w:rPr>
                <w:sz w:val="20"/>
                <w:szCs w:val="20"/>
                <w:color w:val="auto"/>
              </w:rPr>
            </w:pPr>
            <w:r>
              <w:rPr>
                <w:rFonts w:ascii="Times New Roman" w:cs="Times New Roman" w:eastAsia="Times New Roman" w:hAnsi="Times New Roman"/>
                <w:sz w:val="18"/>
                <w:szCs w:val="18"/>
                <w:color w:val="auto"/>
                <w:w w:val="99"/>
              </w:rPr>
              <w:t>196,867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98,902</w:t>
            </w:r>
          </w:p>
        </w:tc>
      </w:tr>
      <w:tr>
        <w:trPr>
          <w:trHeight w:val="22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80" w:type="dxa"/>
            <w:vAlign w:val="bottom"/>
          </w:tcPr>
          <w:p>
            <w:pPr>
              <w:jc w:val="center"/>
              <w:ind w:right="615"/>
              <w:spacing w:after="0"/>
              <w:rPr>
                <w:sz w:val="20"/>
                <w:szCs w:val="20"/>
                <w:color w:val="auto"/>
              </w:rPr>
            </w:pPr>
            <w:r>
              <w:rPr>
                <w:rFonts w:ascii="Times New Roman" w:cs="Times New Roman" w:eastAsia="Times New Roman" w:hAnsi="Times New Roman"/>
                <w:sz w:val="18"/>
                <w:szCs w:val="18"/>
                <w:color w:val="auto"/>
                <w:w w:val="99"/>
              </w:rPr>
              <w:t>(574,999)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(15,859)</w:t>
            </w: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575"/>
              <w:spacing w:after="0"/>
              <w:rPr>
                <w:sz w:val="20"/>
                <w:szCs w:val="20"/>
                <w:color w:val="auto"/>
              </w:rPr>
            </w:pPr>
            <w:r>
              <w:rPr>
                <w:rFonts w:ascii="Times New Roman" w:cs="Times New Roman" w:eastAsia="Times New Roman" w:hAnsi="Times New Roman"/>
                <w:sz w:val="18"/>
                <w:szCs w:val="18"/>
                <w:color w:val="auto"/>
                <w:w w:val="99"/>
              </w:rPr>
              <w:t>465,625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22"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Net cash provided by operating activities was $196.9 million for the three months ended September 30, 2024. Net loss of $100.2 million was adjusted for the add back of non-cash items and other adjustments increasing operating cash flows by $276.7 million, and changing operating assets liabilities resulting in a net increase in operating cash flows of $20.3 million. The non-cash item adjustments are primarily attributable to $159.8 million provision for credit losses, $107.3 million commercial agreement warrant expense, $94.2 million stock-based compensation expense, and $46.7 million depreciation and amortization expense, which were partially offset by $63.6 million gain on sale of loans and $52.1 million amortization of premiums and discounts on loans. The net increase in cash from changes in operating assets and liabilities was primarily driven by cash proceeds generated from the sale of loans held for sale of $1.2 billion which was offset by cash used for the purchase and origination of loans held for sale of $1.2 billion, a decrease in accounts receivable of $41.1 million, and an increase in accounts payable of $16.5 million, which were partially offset by a decrease in accrued expenses and other liabilities of $23.8 million.</w:t>
      </w:r>
    </w:p>
    <w:p>
      <w:pPr>
        <w:spacing w:after="0" w:line="22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$98.9 million for the three months ended September 30, 2023. Net loss of $171.8 million was adjusted for the add back of net non-cash items and other adjustments increasing operating cash flows by $279.6 million, and changing operating assets liabilities resulting in a net increase of $8.9 million. The non-cash item adjustments are primarily attributable to $99.7 million provision for credit losses, $95.9 million commercial agreement warrant expense, $112.4 million stock-based compensation expense, and $40.1 million depreciation and amortization expense, which were partially offset by $34.3 million gain on sale of loans and $41.1 million amortization of premiums and discounts on loans. The net increase in cash from changes in operating assets and liabilities was primarily driven by net cash proceeds generated from the origination or purchase and sale of loans held for sale of $5.9 million and an increase in payable to third party loans owners of $55.6 million, which was partially offset by a decrease in accrued expenses and other liabilities of $20.6 million and an increase in accounts receivable of $42.2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$575.0 million for the three months ended September 30, 2024, which consisted of outflows related to $6.4 billion of purchases and origination of loans held for investment, including originated and purchased loans of $1.2 billion and $5.1 billion, respectively, during the period, $136.7 million of purchases of securities available for sale, and $44.2 million of property, equipment and software additions. Inflows related to $4.1 billion of principal repayments of loans, $1.6 billion of proceeds from sale of loans held for investment, and $215.7 million of proceeds from maturities of securities available for sale.</w:t>
      </w:r>
    </w:p>
    <w:p>
      <w:pPr>
        <w:spacing w:after="0" w:line="1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$15.9 million for the three months ended September 30, 2023, which consisted of outflows related to $4.2 billion of purchases and origination of loans held for investment, including originated and purchased loans of $0.9 billion and $3.3 billion, respectively, during the period, $96.8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million of purchases of securities available for sale, and $35.8 million of property, equipment and software additions. Inflows related to $3.2 billion of principal repayments of loans, $0.9 billion of proceeds from sale of loans held for investment, and $262.3 million of proceeds from maturities of securities available for sale.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$465.6 million for the three months ended September 30, 2024, and primarily consisted of net cash inflows of $750.0 million from the new issuance and repayment of notes and residual trust certificates issued by securitization trusts. This was partially offset by net cash outflows of $104.7 million related to borrowing and repayment of funding debt, $120.1 million related to the extinguishment of a portion of our 2026 Notes, and net cash outflows of $63.2 million related to taxes paid on vested RSUs.</w:t>
      </w:r>
    </w:p>
    <w:p>
      <w:pPr>
        <w:spacing w:after="0" w:line="139"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Net cash provided by financing activities was $148.8 million for the three months ended September 30, 2023, and primarily consisted of net cash inflows of $234.6 million from the new issuance and repayment of notes and residual trust certificates issued by securitization trusts. This was partially offset by net cash outflows of $52.9 million related to borrowing and repayment of funding debt and $36.5 million related to taxes paid on vested RSUs.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for the three months ended September 30, 2024 from the commitments and contractual obligations disclosed in the section titled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 Contractual Obligations</w:t>
      </w:r>
      <w:r>
        <w:rPr>
          <w:rFonts w:ascii="Times New Roman" w:cs="Times New Roman" w:eastAsia="Times New Roman" w:hAnsi="Times New Roman"/>
          <w:sz w:val="18"/>
          <w:szCs w:val="18"/>
          <w:color w:val="auto"/>
        </w:rPr>
        <w:t>,” set forth in our Annual Report on Form 10-K for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which was filed with the SEC on August 28,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interim condensed consolidated balance sheets, generally referred to as off-balance sheet arrangements. These activities involve transactions with unconsolidated VIEs, including our sponsored securitization transactions, which we contractually service.</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off-balance sheet loan sales where servicing is the only form of continuing involvement, we could experience a loss if we were required to repurchase a loan due to a breach in representations and warranties associated with our loan sale or servicing contracts.</w:t>
      </w:r>
    </w:p>
    <w:p>
      <w:pPr>
        <w:spacing w:after="0" w:line="17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For unconsolidated securitization transactions where Affirm is the sponsor and risk retention holder,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 Refer to Note 9. Securitization and Variable Interest Entities in the notes to the interim condensed consolidated financial statements for further details.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 aggregate outstanding balance of loans held by third-party investors and off-balance sheet securitizations was $5.2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differ materially from our estimates. To the extent that there are differences between our estimates and actual results, our future consolidated financial statement presentation, financial condition, results of operations, and cash flows may be affected.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months ended September 30, 2024.</w:t>
      </w:r>
    </w:p>
    <w:p>
      <w:pPr>
        <w:spacing w:after="0" w:line="13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and critical accounting estimates, refer to our Annual Report on Form 10-K for the year ended June 30, 2024 within Note 2 to the Notes to Consolidated Financial Statements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Critical Accounting Policies and Estimates.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securities available for sale at fair value as of September 30, 2024 included $1.1 billion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Continued volatility in interest rates and inflation, which may persist longer than previously expected, may adversely impact our consumers’ spending levels, and ability and willingness to pay outstanding amounts owed to us. Higher interest rates may lead to higher payment obligations on our future credit products but also for consumers’ other financial commitments, including their mortgages, credit cards, and other types of loans. Therefore, higher interest rates may lead to increased delinquencies, charge-offs, and allowances for loans and interest receivable, which could have an adverse effect on our operating results.</w:t>
      </w:r>
    </w:p>
    <w:p>
      <w:pPr>
        <w:spacing w:after="0" w:line="1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September 30, 2024, we estimate that a hypothetical instantaneous 100 basis point upward parallel shock to interest rates would have a less than $55.0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10"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To monitor portfolio performance, we utilize a wide range of internal and external metrics to review user and loan populations. Each week, management reviews performance for each consumer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and June 30, 2024, we were exposed to credit risk on $6.3 billion and $5.7 billion, respectively, of loans held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condensed consolidated balance sheet. Loan receivables are diversified geographically. As of both September 30, 2024 and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11% of loan receivables related to customers residing in the state of California. No other states or provinces exceeded 10%. In addition,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credit risk exposure in relation to certain off-balance sheet loans sold to third parties where we have entered into risk sharing arrangements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retained interests in unconsolidated securitization trusts. As of September 30, 2024 and June 30, 2024, we have sold $5.6 billion and $4.2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respectively, unpaid principal balance of loans which are subject to risk sharing arrangements, of which our maximum exposure to losses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million and $81.2 million, respectively. This amount includes our maximum potential loss with respect to risk sharing liabilities of $56.2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fair value of risk sharing assets of $45.3 million, as of September 30, 2024. The fair value of notes receivable and residual trust certificate retained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unconsolidated securitization trusts was $38.9 million and $14.0 million as of September 30, 2024 and September 30, 2023, respectively.</w:t>
      </w:r>
    </w:p>
    <w:p>
      <w:pPr>
        <w:spacing w:after="0" w:line="234"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September 30,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7. Commitments and Contingencies of the accompanying notes to our interim condensed consolidated financial statements.</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risks described under the heading “Risk Factors” in our Annual Report on Form 10-K for the fiscal year ended June 30, 2024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0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You should carefully read and consider such risks, together with all of the other information in our Annual Report on Form 10-K for the fiscal year ended June 30, 2024,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under the heading “Risk Factors” in our Annual Report on Form 10-K for the fiscal year ended June 30,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 following directors and officers of the Company adopted or terminated a “Rule 10b5-1 trading arrangement” or “non-Rule 10b5-1 trading arrangement,” as each term is defined in Item 408(a) of Regulation S-K, as follows:</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September 12, 2024, Keith Rabois, a member of our Board of Directors, adopted a Rule 10b5-1 trading arrangement providing for the sale of the Company's Class A common stock (a “Rule 10b5-1 Trading Plan”)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intended to satisfy the affirmative defense conditions of Exchange Act Rule 10b5-1(c). Mr. Rabois’ Rule 10b5-1 Trading Plan provides for the sale of up to 96,523 shares of our Class A common stock from December 12, 2024 until June 30, 2025, or earlier if all transactions under the trading arrangement are completed.</w:t>
      </w:r>
    </w:p>
    <w:p>
      <w:pPr>
        <w:spacing w:after="0" w:line="20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On September 13, 2024, Christa Quarles, a member of our Board of Directors, adopted a Rule 10b5-1 Trading Plan. Ms. Quarles’ Rule 10b5-1 Trading Plan provides for the sale of up to 45,000 shares of our Class A common stock pursuant to one or more limit orders, plus a portion of any additional shares of our Class A common stock to be received upon the vesting of RSUs to occur on various dates within the duration of the trading arrangement, from December 13, 2024 until November 30, 2025, or earlier if all transactions under the trading arrangement are completed.</w:t>
      </w:r>
    </w:p>
    <w:p>
      <w:pPr>
        <w:spacing w:after="0" w:line="20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September 13, 2024, Michael Linford, our Chief Operating Officer and Chief Financial Officer, adopted a Rule 10b5-1 Trading Plan. Mr. Linford’s Rule 10b5-1 Trading Plan provides for the exercise of up to 400,000 employee stock options and sale of the underlying shares of our Class A common stock pursuant to one or more limit orders from December 13, 2024 until September 15, 2025, or earlier if all transactions under the trading arrangement are completed.</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 other directors or officers, as defined in Rule 16a-1(f), adopted and/or terminated a “Rule 10b5-1 trading arrangement” or a “non-Rule 10b5-1 trading arrangement,” as defined in Regulation S-K Item 408, during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Pr>
          <w:p>
            <w:pPr>
              <w:spacing w:after="0"/>
              <w:rPr>
                <w:sz w:val="17"/>
                <w:szCs w:val="17"/>
                <w:color w:val="auto"/>
              </w:rPr>
            </w:pPr>
          </w:p>
        </w:tc>
        <w:tc>
          <w:tcPr>
            <w:tcW w:w="3080" w:type="dxa"/>
            <w:vAlign w:val="bottom"/>
            <w:gridSpan w:val="13"/>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5"/>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4.1</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First Amendment to the Amended and Restated Warrant to Purchase Class A</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4"/>
                <w:szCs w:val="14"/>
                <w:color w:val="0000FF"/>
              </w:rPr>
              <w:t>Common Stock of Affirm Holdings, Inc., by and between Affirm Holdings,</w:t>
            </w:r>
          </w:p>
        </w:tc>
        <w:tc>
          <w:tcPr>
            <w:tcW w:w="180" w:type="dxa"/>
            <w:vAlign w:val="bottom"/>
            <w:tcBorders>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4"/>
                <w:szCs w:val="14"/>
                <w:color w:val="0000FF"/>
                <w:w w:val="74"/>
              </w:rPr>
              <w:t>Inc.</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4720" w:type="dxa"/>
            <w:vAlign w:val="bottom"/>
            <w:gridSpan w:val="14"/>
          </w:tcPr>
          <w:p>
            <w:pPr>
              <w:spacing w:after="0" w:line="155" w:lineRule="exact"/>
              <w:rPr>
                <w:sz w:val="20"/>
                <w:szCs w:val="20"/>
                <w:color w:val="auto"/>
              </w:rPr>
            </w:pPr>
            <w:r>
              <w:rPr>
                <w:rFonts w:ascii="Times New Roman" w:cs="Times New Roman" w:eastAsia="Times New Roman" w:hAnsi="Times New Roman"/>
                <w:sz w:val="14"/>
                <w:szCs w:val="14"/>
                <w:color w:val="0000FF"/>
              </w:rPr>
              <w:t>and Amazon.com Services LLC, dated as of July 29, 2024</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Third Amendment to Amended and Restated Installment Financing Services</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0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4"/>
                <w:szCs w:val="14"/>
                <w:color w:val="0000FF"/>
              </w:rPr>
              <w:t>Agreement, dated as of April 4, 2024, by and between Affirm, Inc.,</w:t>
            </w: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4"/>
                <w:szCs w:val="14"/>
                <w:color w:val="0000FF"/>
              </w:rPr>
              <w:t>Amazon.com Services LLC and Amazon Payments, Inc.*</w:t>
            </w:r>
          </w:p>
        </w:tc>
        <w:tc>
          <w:tcPr>
            <w:tcW w:w="520" w:type="dxa"/>
            <w:vAlign w:val="bottom"/>
            <w:tcBorders>
              <w:top w:val="single" w:sz="8" w:color="0000FF"/>
            </w:tcBorders>
          </w:tcPr>
          <w:p>
            <w:pPr>
              <w:spacing w:after="0"/>
              <w:rPr>
                <w:sz w:val="13"/>
                <w:szCs w:val="13"/>
                <w:color w:val="auto"/>
              </w:rPr>
            </w:pPr>
          </w:p>
        </w:tc>
        <w:tc>
          <w:tcPr>
            <w:tcW w:w="860" w:type="dxa"/>
            <w:vAlign w:val="bottom"/>
            <w:gridSpan w:val="11"/>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31.1</w:t>
            </w:r>
          </w:p>
        </w:tc>
        <w:tc>
          <w:tcPr>
            <w:tcW w:w="4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34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80" w:type="dxa"/>
            <w:vAlign w:val="bottom"/>
            <w:tcBorders>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 the</w:t>
            </w:r>
          </w:p>
        </w:tc>
        <w:tc>
          <w:tcPr>
            <w:tcW w:w="24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31.2</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w:t>
            </w:r>
          </w:p>
        </w:tc>
        <w:tc>
          <w:tcPr>
            <w:tcW w:w="140" w:type="dxa"/>
            <w:vAlign w:val="bottom"/>
            <w:tcBorders>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FF"/>
                <w:w w:val="75"/>
              </w:rPr>
              <w:t>the</w:t>
            </w:r>
          </w:p>
        </w:tc>
        <w:tc>
          <w:tcPr>
            <w:tcW w:w="24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32.1</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260" w:type="dxa"/>
            <w:vAlign w:val="bottom"/>
            <w:gridSpan w:val="4"/>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32.2</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460" w:type="dxa"/>
            <w:vAlign w:val="bottom"/>
            <w:tcBorders>
              <w:top w:val="single" w:sz="8" w:color="0000FF"/>
            </w:tcBorders>
            <w:gridSpan w:val="8"/>
          </w:tcPr>
          <w:p>
            <w:pPr>
              <w:spacing w:after="0"/>
              <w:rPr>
                <w:sz w:val="12"/>
                <w:szCs w:val="12"/>
                <w:color w:val="auto"/>
              </w:rPr>
            </w:pPr>
          </w:p>
        </w:tc>
        <w:tc>
          <w:tcPr>
            <w:tcW w:w="16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101.INS</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101.SCH</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101.CAL</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101.DEF</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101.LAB</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101.PRE</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104</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Exhibit 101)</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980" w:right="20" w:hanging="583"/>
        <w:spacing w:after="0" w:line="282" w:lineRule="auto"/>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37" w:lineRule="exact"/>
        <w:rPr>
          <w:sz w:val="20"/>
          <w:szCs w:val="20"/>
          <w:color w:val="auto"/>
        </w:rPr>
      </w:pPr>
    </w:p>
    <w:p>
      <w:pPr>
        <w:ind w:left="1440"/>
        <w:spacing w:after="0"/>
        <w:tabs>
          <w:tab w:leader="none" w:pos="5820" w:val="left"/>
          <w:tab w:leader="none" w:pos="64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160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584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2160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4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Michael Linford</w:t>
      </w:r>
    </w:p>
    <w:p>
      <w:pPr>
        <w:spacing w:after="0" w:line="2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Operating Officer and</w:t>
      </w: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121" w:right="4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8"/>
        <w:spacing w:after="0" w:line="287" w:lineRule="auto"/>
        <w:rPr>
          <w:sz w:val="20"/>
          <w:szCs w:val="20"/>
          <w:color w:val="auto"/>
        </w:rPr>
      </w:pPr>
      <w:r>
        <w:rPr>
          <w:rFonts w:ascii="Times New Roman" w:cs="Times New Roman" w:eastAsia="Times New Roman" w:hAnsi="Times New Roman"/>
          <w:sz w:val="22"/>
          <w:szCs w:val="22"/>
          <w:b w:val="1"/>
          <w:bCs w:val="1"/>
          <w:color w:val="auto"/>
        </w:rPr>
        <w:t>FIRST AMENDMENT TO THE AMENDED AND RESTATED WARRANT TO PURCHASE CLASS A COMMON STOCK</w:t>
      </w:r>
    </w:p>
    <w:p>
      <w:pPr>
        <w:spacing w:after="0" w:line="128" w:lineRule="exact"/>
        <w:rPr>
          <w:sz w:val="20"/>
          <w:szCs w:val="20"/>
          <w:color w:val="auto"/>
        </w:rPr>
      </w:pPr>
    </w:p>
    <w:p>
      <w:pPr>
        <w:jc w:val="both"/>
        <w:ind w:left="2" w:right="120" w:firstLine="647"/>
        <w:spacing w:after="0" w:line="281" w:lineRule="auto"/>
        <w:rPr>
          <w:sz w:val="20"/>
          <w:szCs w:val="20"/>
          <w:color w:val="auto"/>
        </w:rPr>
      </w:pPr>
      <w:r>
        <w:rPr>
          <w:rFonts w:ascii="Times New Roman" w:cs="Times New Roman" w:eastAsia="Times New Roman" w:hAnsi="Times New Roman"/>
          <w:sz w:val="21"/>
          <w:szCs w:val="21"/>
          <w:color w:val="auto"/>
        </w:rPr>
        <w:t>This First Amendment to the Amended and Restated Warrant to Purchase Class A Common Stock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as of July 29, 2024 (the “</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 by and between Affirm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Amazon.com Services LLC, a Delaware limited liability company (“</w:t>
      </w:r>
      <w:r>
        <w:rPr>
          <w:rFonts w:ascii="Times New Roman" w:cs="Times New Roman" w:eastAsia="Times New Roman" w:hAnsi="Times New Roman"/>
          <w:sz w:val="21"/>
          <w:szCs w:val="21"/>
          <w:u w:val="single" w:color="auto"/>
          <w:color w:val="auto"/>
        </w:rPr>
        <w:t>Warrantholder</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jc w:val="both"/>
        <w:ind w:left="2" w:right="120" w:firstLine="647"/>
        <w:spacing w:after="0" w:line="263" w:lineRule="auto"/>
        <w:rPr>
          <w:sz w:val="20"/>
          <w:szCs w:val="20"/>
          <w:color w:val="auto"/>
        </w:rPr>
      </w:pPr>
      <w:r>
        <w:rPr>
          <w:rFonts w:ascii="Times New Roman" w:cs="Times New Roman" w:eastAsia="Times New Roman" w:hAnsi="Times New Roman"/>
          <w:sz w:val="22"/>
          <w:szCs w:val="22"/>
          <w:color w:val="auto"/>
        </w:rPr>
        <w:t>WHEREAS, the parties previously entered into an Amended and Restated Warrant to Purchase Class A Common Stock dated October 27, 2023, with original issue date of November 10, 2021, whereby Warrantholder holds a warrant to purchase 15,000,000 shares of Class A Common Stock of the Company (the “</w:t>
      </w:r>
      <w:r>
        <w:rPr>
          <w:rFonts w:ascii="Times New Roman" w:cs="Times New Roman" w:eastAsia="Times New Roman" w:hAnsi="Times New Roman"/>
          <w:sz w:val="22"/>
          <w:szCs w:val="22"/>
          <w:u w:val="single" w:color="auto"/>
          <w:color w:val="auto"/>
        </w:rPr>
        <w:t>A&amp;R Second Warrant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2" w:right="120" w:firstLine="647"/>
        <w:spacing w:after="0" w:line="271" w:lineRule="auto"/>
        <w:rPr>
          <w:sz w:val="20"/>
          <w:szCs w:val="20"/>
          <w:color w:val="auto"/>
        </w:rPr>
      </w:pPr>
      <w:r>
        <w:rPr>
          <w:rFonts w:ascii="Times New Roman" w:cs="Times New Roman" w:eastAsia="Times New Roman" w:hAnsi="Times New Roman"/>
          <w:sz w:val="22"/>
          <w:szCs w:val="22"/>
          <w:color w:val="auto"/>
        </w:rPr>
        <w:t>WHEREAS, simultaneously with the execution of this Amendment, Affirm, Inc., a Delaware corporation (“</w:t>
      </w:r>
      <w:r>
        <w:rPr>
          <w:rFonts w:ascii="Times New Roman" w:cs="Times New Roman" w:eastAsia="Times New Roman" w:hAnsi="Times New Roman"/>
          <w:sz w:val="22"/>
          <w:szCs w:val="22"/>
          <w:u w:val="single" w:color="auto"/>
          <w:color w:val="auto"/>
        </w:rPr>
        <w:t>Affirm</w:t>
      </w:r>
      <w:r>
        <w:rPr>
          <w:rFonts w:ascii="Times New Roman" w:cs="Times New Roman" w:eastAsia="Times New Roman" w:hAnsi="Times New Roman"/>
          <w:sz w:val="22"/>
          <w:szCs w:val="22"/>
          <w:color w:val="auto"/>
        </w:rPr>
        <w:t>”), and Warrantholder are entering into an amendment to the B2B Agreement (the “</w:t>
      </w:r>
      <w:r>
        <w:rPr>
          <w:rFonts w:ascii="Times New Roman" w:cs="Times New Roman" w:eastAsia="Times New Roman" w:hAnsi="Times New Roman"/>
          <w:sz w:val="22"/>
          <w:szCs w:val="22"/>
          <w:u w:val="single" w:color="auto"/>
          <w:color w:val="auto"/>
        </w:rPr>
        <w:t>B2B Agreement Amendment</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left="2" w:right="120" w:firstLine="647"/>
        <w:spacing w:after="0" w:line="263" w:lineRule="auto"/>
        <w:rPr>
          <w:sz w:val="20"/>
          <w:szCs w:val="20"/>
          <w:color w:val="auto"/>
        </w:rPr>
      </w:pPr>
      <w:r>
        <w:rPr>
          <w:rFonts w:ascii="Times New Roman" w:cs="Times New Roman" w:eastAsia="Times New Roman" w:hAnsi="Times New Roman"/>
          <w:sz w:val="22"/>
          <w:szCs w:val="22"/>
          <w:color w:val="auto"/>
        </w:rPr>
        <w:t>WHEREAS, in connection with the B2B Agreement Amendment and to memorialize the understanding of the parties under the A&amp;R Second Warrant following entry into the B2B Agreement Amendment between Affirm and Warrantholder, the parties desire to amend the A&amp;R Second Warrant as set forth in this Amendment.</w:t>
      </w:r>
    </w:p>
    <w:p>
      <w:pPr>
        <w:spacing w:after="0" w:line="167" w:lineRule="exact"/>
        <w:rPr>
          <w:sz w:val="20"/>
          <w:szCs w:val="20"/>
          <w:color w:val="auto"/>
        </w:rPr>
      </w:pPr>
    </w:p>
    <w:p>
      <w:pPr>
        <w:jc w:val="both"/>
        <w:ind w:left="2" w:right="120" w:firstLine="647"/>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herein, and further good and valuable consideration, the parties agree to amend the A&amp;R Second Warrant as follows:</w:t>
      </w:r>
    </w:p>
    <w:p>
      <w:pPr>
        <w:spacing w:after="0" w:line="158" w:lineRule="exact"/>
        <w:rPr>
          <w:sz w:val="20"/>
          <w:szCs w:val="20"/>
          <w:color w:val="auto"/>
        </w:rPr>
      </w:pPr>
    </w:p>
    <w:p>
      <w:pPr>
        <w:ind w:left="2" w:right="560" w:hanging="2"/>
        <w:spacing w:after="0" w:line="271" w:lineRule="auto"/>
        <w:tabs>
          <w:tab w:leader="none" w:pos="5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Definitions</w:t>
      </w:r>
      <w:r>
        <w:rPr>
          <w:rFonts w:ascii="Times New Roman" w:cs="Times New Roman" w:eastAsia="Times New Roman" w:hAnsi="Times New Roman"/>
          <w:sz w:val="22"/>
          <w:szCs w:val="22"/>
          <w:color w:val="auto"/>
        </w:rPr>
        <w:t>. Terms used herein without further definition shall have the same meanings ascribed to them as in the A&amp;R Second Warrant.</w:t>
      </w:r>
    </w:p>
    <w:p>
      <w:pPr>
        <w:spacing w:after="0" w:line="171" w:lineRule="exact"/>
        <w:rPr>
          <w:rFonts w:ascii="Times New Roman" w:cs="Times New Roman" w:eastAsia="Times New Roman" w:hAnsi="Times New Roman"/>
          <w:sz w:val="22"/>
          <w:szCs w:val="22"/>
          <w:color w:val="auto"/>
        </w:rPr>
      </w:pPr>
    </w:p>
    <w:p>
      <w:pPr>
        <w:ind w:left="642" w:hanging="642"/>
        <w:spacing w:after="0"/>
        <w:tabs>
          <w:tab w:leader="none" w:pos="64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 w:right="460" w:firstLine="647"/>
        <w:spacing w:after="0" w:line="271" w:lineRule="auto"/>
        <w:rPr>
          <w:sz w:val="20"/>
          <w:szCs w:val="20"/>
          <w:color w:val="auto"/>
        </w:rPr>
      </w:pPr>
      <w:r>
        <w:rPr>
          <w:rFonts w:ascii="Times New Roman" w:cs="Times New Roman" w:eastAsia="Times New Roman" w:hAnsi="Times New Roman"/>
          <w:sz w:val="22"/>
          <w:szCs w:val="22"/>
          <w:color w:val="auto"/>
        </w:rPr>
        <w:t xml:space="preserve">2.1. The definition of “Approved Business Customer,” as set forth on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is hereby amended and restated as follows:</w:t>
      </w:r>
    </w:p>
    <w:p>
      <w:pPr>
        <w:spacing w:after="0" w:line="158" w:lineRule="exact"/>
        <w:rPr>
          <w:sz w:val="20"/>
          <w:szCs w:val="20"/>
          <w:color w:val="auto"/>
        </w:rPr>
      </w:pPr>
    </w:p>
    <w:p>
      <w:pPr>
        <w:jc w:val="both"/>
        <w:ind w:left="642" w:right="1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Business Customer</w:t>
      </w:r>
      <w:r>
        <w:rPr>
          <w:rFonts w:ascii="Times New Roman" w:cs="Times New Roman" w:eastAsia="Times New Roman" w:hAnsi="Times New Roman"/>
          <w:sz w:val="22"/>
          <w:szCs w:val="22"/>
          <w:color w:val="auto"/>
        </w:rPr>
        <w:t>” means an Eligible Applicant whose application for Business Program Credit is approved by Affirm and for whom a loan is established in accordance with the terms of the B2B Agreement.”</w:t>
      </w:r>
    </w:p>
    <w:p>
      <w:pPr>
        <w:spacing w:after="0" w:line="171" w:lineRule="exact"/>
        <w:rPr>
          <w:sz w:val="20"/>
          <w:szCs w:val="20"/>
          <w:color w:val="auto"/>
        </w:rPr>
      </w:pPr>
    </w:p>
    <w:p>
      <w:pPr>
        <w:jc w:val="center"/>
        <w:ind w:right="38"/>
        <w:spacing w:after="0"/>
        <w:tabs>
          <w:tab w:leader="none" w:pos="2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 xml:space="preserve">The definition of “Eligible Applicant,” as set forth on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is hereby amended and restated as follows:</w:t>
      </w:r>
    </w:p>
    <w:p>
      <w:pPr>
        <w:spacing w:after="0" w:line="220" w:lineRule="exact"/>
        <w:rPr>
          <w:sz w:val="20"/>
          <w:szCs w:val="20"/>
          <w:color w:val="auto"/>
        </w:rPr>
      </w:pPr>
    </w:p>
    <w:p>
      <w:pPr>
        <w:jc w:val="both"/>
        <w:ind w:left="642"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Applicant</w:t>
      </w:r>
      <w:r>
        <w:rPr>
          <w:rFonts w:ascii="Times New Roman" w:cs="Times New Roman" w:eastAsia="Times New Roman" w:hAnsi="Times New Roman"/>
          <w:sz w:val="22"/>
          <w:szCs w:val="22"/>
          <w:color w:val="auto"/>
        </w:rPr>
        <w:t>” means an Amazon Customer whose Applying Beneficial Owner is at least 18 years old, with a Verified Address in the Territory, and completes and submits an application for Business Program Credit and meets Affirm’s or Bank’s underwriting criteria pursuant to the applicable Credit Underwriting Policy. An</w:t>
      </w:r>
    </w:p>
    <w:p>
      <w:pPr>
        <w:sectPr>
          <w:pgSz w:w="11900" w:h="16838" w:orient="portrait"/>
          <w:cols w:equalWidth="0" w:num="1">
            <w:col w:w="11142"/>
          </w:cols>
          <w:pgMar w:left="418" w:top="599" w:right="339" w:bottom="1440" w:gutter="0" w:footer="0" w:header="0"/>
        </w:sectPr>
      </w:pPr>
    </w:p>
    <w:bookmarkStart w:id="78" w:name="page79"/>
    <w:bookmarkEnd w:id="78"/>
    <w:p>
      <w:pPr>
        <w:jc w:val="both"/>
        <w:ind w:left="642"/>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Applying Beneficial Owner</w:t>
      </w:r>
      <w:r>
        <w:rPr>
          <w:rFonts w:ascii="Times New Roman" w:cs="Times New Roman" w:eastAsia="Times New Roman" w:hAnsi="Times New Roman"/>
          <w:sz w:val="22"/>
          <w:szCs w:val="22"/>
          <w:color w:val="auto"/>
        </w:rPr>
        <w:t>” of a business is an individual who directly or indirectly owns 25% or more of the interests in the business and applies for the Business Program Credit on behalf of the business.”</w:t>
      </w:r>
    </w:p>
    <w:p>
      <w:pPr>
        <w:spacing w:after="0" w:line="171" w:lineRule="exact"/>
        <w:rPr>
          <w:sz w:val="20"/>
          <w:szCs w:val="20"/>
          <w:color w:val="auto"/>
        </w:rPr>
      </w:pPr>
    </w:p>
    <w:p>
      <w:pPr>
        <w:ind w:left="642"/>
        <w:spacing w:after="0"/>
        <w:tabs>
          <w:tab w:leader="none" w:pos="1182"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 xml:space="preserve">The definition of “New User Acquired,” as set forth on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is hereby amended and restated as follows:</w:t>
      </w:r>
    </w:p>
    <w:p>
      <w:pPr>
        <w:spacing w:after="0" w:line="220" w:lineRule="exact"/>
        <w:rPr>
          <w:sz w:val="20"/>
          <w:szCs w:val="20"/>
          <w:color w:val="auto"/>
        </w:rPr>
      </w:pPr>
    </w:p>
    <w:p>
      <w:pPr>
        <w:jc w:val="both"/>
        <w:ind w:left="642"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User Acquired</w:t>
      </w:r>
      <w:r>
        <w:rPr>
          <w:rFonts w:ascii="Times New Roman" w:cs="Times New Roman" w:eastAsia="Times New Roman" w:hAnsi="Times New Roman"/>
          <w:sz w:val="22"/>
          <w:szCs w:val="22"/>
          <w:color w:val="auto"/>
        </w:rPr>
        <w:t>” means either an (A) Approved Customer whose Program Credit is the first with respect to the Amazon Site and any Additional Sites or (B) Applying Beneficial Owner with respect to any Approved Business Customer whose Business Program Credit (as jointly obtained by such Applying Beneficial Owner and Approved Business Customer) is the first with respect to the Amazon Business Site. For the avoidance of doubt, if any individual satisfies the criteria in both of the foregoing clauses (A) and (B), then such individual shall be counted as only one New User Acquired.”</w:t>
      </w:r>
    </w:p>
    <w:p>
      <w:pPr>
        <w:spacing w:after="0" w:line="181" w:lineRule="exact"/>
        <w:rPr>
          <w:sz w:val="20"/>
          <w:szCs w:val="20"/>
          <w:color w:val="auto"/>
        </w:rPr>
      </w:pPr>
    </w:p>
    <w:p>
      <w:pPr>
        <w:ind w:left="642" w:hanging="642"/>
        <w:spacing w:after="0"/>
        <w:tabs>
          <w:tab w:leader="none" w:pos="64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 w:firstLine="647"/>
        <w:spacing w:after="0" w:line="253"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Effectiveness; No Other Modification</w:t>
      </w:r>
      <w:r>
        <w:rPr>
          <w:rFonts w:ascii="Times New Roman" w:cs="Times New Roman" w:eastAsia="Times New Roman" w:hAnsi="Times New Roman"/>
          <w:sz w:val="22"/>
          <w:szCs w:val="22"/>
          <w:color w:val="auto"/>
        </w:rPr>
        <w:t>. This Amendment is effective as of the Amendment Effective Date. Except as modified in this Amendment, all of the terms and conditions of the A&amp;R Second Warrant remain unchanged and in full force and effect. In the event of any conflict between the terms of the A&amp;R Second Warrant and those in this Amendment, the terms of this Amendment shall govern with respect to the subject matter hereof. Any future reference to the Warrant shall be deemed to be a reference to the Warrant as modified by this Amendment.</w:t>
      </w:r>
    </w:p>
    <w:p>
      <w:pPr>
        <w:spacing w:after="0" w:line="179" w:lineRule="exact"/>
        <w:rPr>
          <w:sz w:val="20"/>
          <w:szCs w:val="20"/>
          <w:color w:val="auto"/>
        </w:rPr>
      </w:pPr>
    </w:p>
    <w:p>
      <w:pPr>
        <w:jc w:val="both"/>
        <w:ind w:left="2" w:firstLine="647"/>
        <w:spacing w:after="0" w:line="25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provisions of this Amendment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w:t>
      </w:r>
    </w:p>
    <w:p>
      <w:pPr>
        <w:spacing w:after="0" w:line="176" w:lineRule="exact"/>
        <w:rPr>
          <w:sz w:val="20"/>
          <w:szCs w:val="20"/>
          <w:color w:val="auto"/>
        </w:rPr>
      </w:pPr>
    </w:p>
    <w:p>
      <w:pPr>
        <w:jc w:val="both"/>
        <w:ind w:left="2" w:right="20" w:firstLine="647"/>
        <w:spacing w:after="0" w:line="257"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simultaneously in any number of counterparts, each of which may be deemed an original but all of which together constitute one and the same agreement. The parties may execute and deliver signatures to this Amendment electronically, including by facsimile or portable document format (PDF) file.</w:t>
      </w:r>
    </w:p>
    <w:p>
      <w:pPr>
        <w:spacing w:after="0" w:line="18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042"/>
          </w:cols>
          <w:pgMar w:left="418" w:top="1219" w:right="439" w:bottom="1440" w:gutter="0" w:footer="0" w:header="0"/>
        </w:sectPr>
      </w:pPr>
    </w:p>
    <w:bookmarkStart w:id="79" w:name="page80"/>
    <w:bookmarkEnd w:id="79"/>
    <w:p>
      <w:pPr>
        <w:spacing w:after="0" w:line="198" w:lineRule="exact"/>
        <w:rPr>
          <w:sz w:val="20"/>
          <w:szCs w:val="20"/>
          <w:color w:val="auto"/>
        </w:rPr>
      </w:pPr>
    </w:p>
    <w:p>
      <w:pPr>
        <w:ind w:firstLine="647"/>
        <w:spacing w:after="0" w:line="284"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to be effective as of the Amendment Effective Date.</w:t>
      </w: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AFFIRM HOLDINGS, INC.</w:t>
      </w:r>
    </w:p>
    <w:p>
      <w:pPr>
        <w:spacing w:after="0" w:line="200" w:lineRule="exact"/>
        <w:rPr>
          <w:sz w:val="20"/>
          <w:szCs w:val="20"/>
          <w:color w:val="auto"/>
        </w:rPr>
      </w:pPr>
    </w:p>
    <w:p>
      <w:pPr>
        <w:spacing w:after="0" w:line="257" w:lineRule="exact"/>
        <w:rPr>
          <w:sz w:val="20"/>
          <w:szCs w:val="20"/>
          <w:color w:val="auto"/>
        </w:rPr>
      </w:pPr>
    </w:p>
    <w:tbl>
      <w:tblPr>
        <w:tblLayout w:type="fixed"/>
        <w:tblInd w:w="4040" w:type="dxa"/>
        <w:tblCellMar>
          <w:top w:w="0" w:type="dxa"/>
          <w:left w:w="0" w:type="dxa"/>
          <w:bottom w:w="0" w:type="dxa"/>
          <w:right w:w="0" w:type="dxa"/>
        </w:tblCellMar>
      </w:tblPr>
      <w:tr>
        <w:trPr>
          <w:trHeight w:val="253"/>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Michael Linford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Name: Michael Linford</w:t>
            </w:r>
          </w:p>
        </w:tc>
      </w:tr>
      <w:tr>
        <w:trPr>
          <w:trHeight w:val="20"/>
        </w:trPr>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60" w:type="dxa"/>
            <w:vAlign w:val="bottom"/>
            <w:tcBorders>
              <w:left w:val="single" w:sz="8" w:color="auto"/>
            </w:tcBorders>
          </w:tcPr>
          <w:p>
            <w:pPr>
              <w:spacing w:after="0" w:line="20" w:lineRule="exact"/>
              <w:rPr>
                <w:sz w:val="1"/>
                <w:szCs w:val="1"/>
                <w:color w:val="auto"/>
              </w:rPr>
            </w:pPr>
          </w:p>
        </w:tc>
      </w:tr>
      <w:tr>
        <w:trPr>
          <w:trHeight w:val="289"/>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CFO</w:t>
            </w:r>
          </w:p>
        </w:tc>
        <w:tc>
          <w:tcPr>
            <w:tcW w:w="2160" w:type="dxa"/>
            <w:vAlign w:val="bottom"/>
          </w:tcPr>
          <w:p>
            <w:pPr>
              <w:spacing w:after="0"/>
              <w:rPr>
                <w:sz w:val="24"/>
                <w:szCs w:val="24"/>
                <w:color w:val="auto"/>
              </w:rPr>
            </w:pPr>
          </w:p>
        </w:tc>
      </w:tr>
      <w:tr>
        <w:trPr>
          <w:trHeight w:val="1053"/>
        </w:trPr>
        <w:tc>
          <w:tcPr>
            <w:tcW w:w="43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AMAZON.COM SERVICES LLC</w:t>
            </w:r>
          </w:p>
        </w:tc>
      </w:tr>
      <w:tr>
        <w:trPr>
          <w:trHeight w:val="690"/>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David Williams</w:t>
            </w: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David Williams</w:t>
            </w:r>
          </w:p>
        </w:tc>
      </w:tr>
      <w:tr>
        <w:trPr>
          <w:trHeight w:val="20"/>
        </w:trPr>
        <w:tc>
          <w:tcPr>
            <w:tcW w:w="3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10500"/>
          </w:cols>
          <w:pgMar w:left="420" w:top="144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the Amended and Restated Warrant to Purchase Class A Common Stock]</w:t>
      </w:r>
    </w:p>
    <w:p>
      <w:pPr>
        <w:sectPr>
          <w:pgSz w:w="11900" w:h="16838" w:orient="portrait"/>
          <w:cols w:equalWidth="0" w:num="1">
            <w:col w:w="10500"/>
          </w:cols>
          <w:pgMar w:left="420" w:top="1440" w:right="979" w:bottom="1440" w:gutter="0" w:footer="0" w:header="0"/>
          <w:type w:val="continuous"/>
        </w:sectPr>
      </w:pPr>
    </w:p>
    <w:bookmarkStart w:id="80" w:name="page81"/>
    <w:bookmarkEnd w:id="80"/>
    <w:p>
      <w:pPr>
        <w:ind w:left="101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110" w:lineRule="exact"/>
        <w:rPr>
          <w:sz w:val="20"/>
          <w:szCs w:val="20"/>
          <w:color w:val="auto"/>
        </w:rPr>
      </w:pPr>
    </w:p>
    <w:p>
      <w:pPr>
        <w:jc w:val="center"/>
        <w:ind w:right="100"/>
        <w:spacing w:after="0" w:line="261" w:lineRule="auto"/>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Third Amendment to Amended and Restated Installment Financing Services Agreement</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This Third Amendment to the Amended and Restated Installment Financing Services Agreement (the</w:t>
      </w:r>
    </w:p>
    <w:p>
      <w:pPr>
        <w:spacing w:after="0" w:line="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w:t>
      </w:r>
      <w:r>
        <w:rPr>
          <w:rFonts w:ascii="Times New Roman" w:cs="Times New Roman" w:eastAsia="Times New Roman" w:hAnsi="Times New Roman"/>
          <w:sz w:val="20"/>
          <w:szCs w:val="20"/>
          <w:color w:val="auto"/>
        </w:rPr>
        <w:t>”) is made as of April 4, 2024 (the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by and between (a) Affirm, Inc.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(b) Amazon.com Services LLC (“</w:t>
      </w:r>
      <w:r>
        <w:rPr>
          <w:rFonts w:ascii="Times New Roman" w:cs="Times New Roman" w:eastAsia="Times New Roman" w:hAnsi="Times New Roman"/>
          <w:sz w:val="20"/>
          <w:szCs w:val="20"/>
          <w:b w:val="1"/>
          <w:bCs w:val="1"/>
          <w:color w:val="auto"/>
        </w:rPr>
        <w:t>Amazon Services</w:t>
      </w:r>
      <w:r>
        <w:rPr>
          <w:rFonts w:ascii="Times New Roman" w:cs="Times New Roman" w:eastAsia="Times New Roman" w:hAnsi="Times New Roman"/>
          <w:sz w:val="20"/>
          <w:szCs w:val="20"/>
          <w:color w:val="auto"/>
        </w:rPr>
        <w:t>”) and (c) Amazon Payments, Inc. (“</w:t>
      </w:r>
      <w:r>
        <w:rPr>
          <w:rFonts w:ascii="Times New Roman" w:cs="Times New Roman" w:eastAsia="Times New Roman" w:hAnsi="Times New Roman"/>
          <w:sz w:val="20"/>
          <w:szCs w:val="20"/>
          <w:b w:val="1"/>
          <w:bCs w:val="1"/>
          <w:color w:val="auto"/>
        </w:rPr>
        <w:t>Amazon Payments</w:t>
      </w:r>
      <w:r>
        <w:rPr>
          <w:rFonts w:ascii="Times New Roman" w:cs="Times New Roman" w:eastAsia="Times New Roman" w:hAnsi="Times New Roman"/>
          <w:sz w:val="20"/>
          <w:szCs w:val="20"/>
          <w:color w:val="auto"/>
        </w:rPr>
        <w:t>”), and hereby amends and modifies the Amended and Restated Installment Financing Services Agreement between Amazon and Affirm dated November 10, 2021 (as amended, restated, supplemented or otherwise modified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Amazon Services and Amazon Payments may also be referred to herein individually as “</w:t>
      </w:r>
      <w:r>
        <w:rPr>
          <w:rFonts w:ascii="Times New Roman" w:cs="Times New Roman" w:eastAsia="Times New Roman" w:hAnsi="Times New Roman"/>
          <w:sz w:val="20"/>
          <w:szCs w:val="20"/>
          <w:b w:val="1"/>
          <w:bCs w:val="1"/>
          <w:color w:val="auto"/>
        </w:rPr>
        <w:t>Amazon</w:t>
      </w:r>
      <w:r>
        <w:rPr>
          <w:rFonts w:ascii="Times New Roman" w:cs="Times New Roman" w:eastAsia="Times New Roman" w:hAnsi="Times New Roman"/>
          <w:sz w:val="20"/>
          <w:szCs w:val="20"/>
          <w:color w:val="auto"/>
        </w:rPr>
        <w:t>”. Amazon and Affirm may sometimes be referred to herein together as the “Parties” or singularly as a “Party”. Unless otherwise defined herein, capitalized terms shall have the meanings ascribed to such terms in the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Amazon and Affirm are parties to the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Amazon and Affirm wish to amend the Agreement as set forth in this Third Amendment;</w:t>
      </w:r>
    </w:p>
    <w:p>
      <w:pPr>
        <w:spacing w:after="0" w:line="2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promises herein, and for good and valuable consideration, the receipt and sufficiency of which is hereby acknowledged, Amazon and Affirm agree as follows:</w:t>
      </w:r>
    </w:p>
    <w:p>
      <w:pPr>
        <w:spacing w:after="0" w:line="200" w:lineRule="exact"/>
        <w:rPr>
          <w:sz w:val="20"/>
          <w:szCs w:val="20"/>
          <w:color w:val="auto"/>
        </w:rPr>
      </w:pPr>
    </w:p>
    <w:p>
      <w:pPr>
        <w:jc w:val="both"/>
        <w:ind w:left="640" w:right="660" w:hanging="318"/>
        <w:spacing w:after="0" w:line="261" w:lineRule="auto"/>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Amazon Payments operates a collection payment service provider model [***] whereby Amazon Pay is offered as an online payment service as part of and alongside a wider payment service offering offered by a third-party payment service provider (“PSP”). [***].</w:t>
      </w:r>
    </w:p>
    <w:p>
      <w:pPr>
        <w:spacing w:after="0" w:line="190" w:lineRule="exact"/>
        <w:rPr>
          <w:rFonts w:ascii="Times New Roman" w:cs="Times New Roman" w:eastAsia="Times New Roman" w:hAnsi="Times New Roman"/>
          <w:sz w:val="20"/>
          <w:szCs w:val="20"/>
          <w:color w:val="auto"/>
        </w:rPr>
      </w:pPr>
    </w:p>
    <w:p>
      <w:pPr>
        <w:ind w:left="640" w:right="300" w:hanging="318"/>
        <w:spacing w:after="0" w:line="254" w:lineRule="auto"/>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Collaborative Resolution of Breaches. </w:t>
      </w:r>
      <w:r>
        <w:rPr>
          <w:rFonts w:ascii="Times New Roman" w:cs="Times New Roman" w:eastAsia="Times New Roman" w:hAnsi="Times New Roman"/>
          <w:sz w:val="20"/>
          <w:szCs w:val="20"/>
          <w:color w:val="auto"/>
        </w:rPr>
        <w:t>If Affirm observes [***] action or omission that Affirm reasonably believes violates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or policies of [***], including but not limited to, any third party terms and conditions which Amazon Payments is a third party beneficiary of, entered into by and between Amazon Payments and the applicable [***], then Affirm may ask Amazon to ensure the action or omission is remedied and Amazon will use commercially reasonable efforts to ensure such action or omission is remedied within ten (10) business days.</w:t>
      </w:r>
    </w:p>
    <w:p>
      <w:pPr>
        <w:spacing w:after="0" w:line="218" w:lineRule="exact"/>
        <w:rPr>
          <w:rFonts w:ascii="Times New Roman" w:cs="Times New Roman" w:eastAsia="Times New Roman" w:hAnsi="Times New Roman"/>
          <w:sz w:val="20"/>
          <w:szCs w:val="20"/>
          <w:color w:val="auto"/>
        </w:rPr>
      </w:pPr>
    </w:p>
    <w:p>
      <w:pPr>
        <w:ind w:left="640" w:right="240" w:hanging="318"/>
        <w:spacing w:after="0" w:line="261" w:lineRule="auto"/>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Amazon shall not be liable for failure to comply with any of its contractual obligations (either in whole or in part) contained in the Agreement by reason of either: a) a conflict between the terms of the Agreement and the terms of Amazon’s agreement [***]; or b) the structure of and contractual commitments under the [***].</w:t>
      </w:r>
    </w:p>
    <w:p>
      <w:pPr>
        <w:spacing w:after="0" w:line="271" w:lineRule="exact"/>
        <w:rPr>
          <w:rFonts w:ascii="Times New Roman" w:cs="Times New Roman" w:eastAsia="Times New Roman" w:hAnsi="Times New Roman"/>
          <w:sz w:val="20"/>
          <w:szCs w:val="20"/>
          <w:color w:val="auto"/>
        </w:rPr>
      </w:pPr>
    </w:p>
    <w:p>
      <w:pPr>
        <w:jc w:val="both"/>
        <w:ind w:left="640" w:right="220" w:hanging="318"/>
        <w:spacing w:after="0" w:line="255" w:lineRule="auto"/>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Indemnities. </w:t>
      </w:r>
      <w:r>
        <w:rPr>
          <w:rFonts w:ascii="Times New Roman" w:cs="Times New Roman" w:eastAsia="Times New Roman" w:hAnsi="Times New Roman"/>
          <w:sz w:val="20"/>
          <w:szCs w:val="20"/>
          <w:color w:val="auto"/>
        </w:rPr>
        <w:t>From and after the Amendment Effective Date, Amazon Payments will defend and indemnify the Affirm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Affiliates, and their respective directors, officers, employees, representatives and other Personnel from and against any loss, damage, judgment, settlement,</w:t>
      </w:r>
    </w:p>
    <w:p>
      <w:pPr>
        <w:spacing w:after="0" w:line="1" w:lineRule="exact"/>
        <w:rPr>
          <w:rFonts w:ascii="Times New Roman" w:cs="Times New Roman" w:eastAsia="Times New Roman" w:hAnsi="Times New Roman"/>
          <w:sz w:val="20"/>
          <w:szCs w:val="20"/>
          <w:color w:val="auto"/>
        </w:rPr>
      </w:pPr>
    </w:p>
    <w:p>
      <w:pPr>
        <w:ind w:left="640" w:right="58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interest, and any other liability (including reasonable attorneys’ fees and costs to the extent permitted by Applicable Law) related to or arising out of any Claim relating to: (a) Amazon Payments’ breach of an obligation under the terms and conditions of Amazon Pay</w:t>
      </w:r>
    </w:p>
    <w:p>
      <w:pPr>
        <w:spacing w:after="0" w:line="2"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Terms, including but not limited to, [***]; or (b) [***].</w:t>
      </w:r>
    </w:p>
    <w:p>
      <w:pPr>
        <w:sectPr>
          <w:pgSz w:w="11900" w:h="16838" w:orient="portrait"/>
          <w:cols w:equalWidth="0" w:num="1">
            <w:col w:w="11140"/>
          </w:cols>
          <w:pgMar w:left="420" w:top="1071" w:right="339" w:bottom="1440" w:gutter="0" w:footer="0" w:header="0"/>
        </w:sectPr>
      </w:pPr>
    </w:p>
    <w:bookmarkStart w:id="81" w:name="page82"/>
    <w:bookmarkEnd w:id="81"/>
    <w:p>
      <w:pPr>
        <w:ind w:left="320" w:hanging="318"/>
        <w:spacing w:after="0"/>
        <w:tabs>
          <w:tab w:leader="none" w:pos="3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ind w:left="320" w:right="80" w:hanging="318"/>
        <w:spacing w:after="0" w:line="254" w:lineRule="auto"/>
        <w:tabs>
          <w:tab w:leader="none" w:pos="3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and Forum</w:t>
      </w:r>
      <w:r>
        <w:rPr>
          <w:rFonts w:ascii="Times New Roman" w:cs="Times New Roman" w:eastAsia="Times New Roman" w:hAnsi="Times New Roman"/>
          <w:sz w:val="20"/>
          <w:szCs w:val="20"/>
          <w:color w:val="auto"/>
        </w:rPr>
        <w:t>. This Third Amendment is governed by the laws of the State of Washington, without reference to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conflict of law rules. Each Party agrees to exclusive personal jurisdiction and venue in the federal and state courts in King County, Washington for any dispute arising out of this Agreement. With respect to any proceeding or action arising out of or in any way relating to this Agreement (whether in contract, tort, equity or otherwise), the Parties knowingly, intentionally and irrevocably waive their right to trial by jury.</w:t>
      </w:r>
    </w:p>
    <w:p>
      <w:pPr>
        <w:spacing w:after="0" w:line="214" w:lineRule="exact"/>
        <w:rPr>
          <w:rFonts w:ascii="Times New Roman" w:cs="Times New Roman" w:eastAsia="Times New Roman" w:hAnsi="Times New Roman"/>
          <w:sz w:val="20"/>
          <w:szCs w:val="20"/>
          <w:color w:val="auto"/>
        </w:rPr>
      </w:pPr>
    </w:p>
    <w:p>
      <w:pPr>
        <w:jc w:val="both"/>
        <w:ind w:left="320" w:right="20" w:hanging="318"/>
        <w:spacing w:after="0" w:line="255" w:lineRule="auto"/>
        <w:tabs>
          <w:tab w:leader="none" w:pos="3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Effectiveness; No other Modification</w:t>
      </w:r>
      <w:r>
        <w:rPr>
          <w:rFonts w:ascii="Times New Roman" w:cs="Times New Roman" w:eastAsia="Times New Roman" w:hAnsi="Times New Roman"/>
          <w:sz w:val="20"/>
          <w:szCs w:val="20"/>
          <w:color w:val="auto"/>
        </w:rPr>
        <w:t>. This Amendment is effective as of the Third Amendment Effective Date.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in this Amendment, all of the terms and conditions of the Agreement remain unchanged and in full force and effect. In the event of any conflict between the terms of the Agreement and those in this Amendment, the terms of this Amendment shall govern with respect to the subject matter hereof.</w:t>
      </w:r>
    </w:p>
    <w:p>
      <w:pPr>
        <w:spacing w:after="0" w:line="210" w:lineRule="exact"/>
        <w:rPr>
          <w:rFonts w:ascii="Times New Roman" w:cs="Times New Roman" w:eastAsia="Times New Roman" w:hAnsi="Times New Roman"/>
          <w:sz w:val="20"/>
          <w:szCs w:val="20"/>
          <w:color w:val="auto"/>
        </w:rPr>
      </w:pPr>
    </w:p>
    <w:p>
      <w:pPr>
        <w:jc w:val="both"/>
        <w:ind w:left="320" w:hanging="318"/>
        <w:spacing w:after="0" w:line="263" w:lineRule="auto"/>
        <w:tabs>
          <w:tab w:leader="none" w:pos="3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simultaneously in any number of counterparts, each of which may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original but all of which together constitute one and the same agreement. The Parties may execute and deliver signatures to this Amendment electronically, including by facsimile or portable document format (PDF) file.</w:t>
      </w:r>
    </w:p>
    <w:p>
      <w:pPr>
        <w:spacing w:after="0" w:line="200" w:lineRule="exact"/>
        <w:rPr>
          <w:sz w:val="20"/>
          <w:szCs w:val="20"/>
          <w:color w:val="auto"/>
        </w:rPr>
      </w:pPr>
    </w:p>
    <w:p>
      <w:pPr>
        <w:spacing w:after="0" w:line="2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0720"/>
          </w:cols>
          <w:pgMar w:left="740" w:top="1318"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Third Amendment as of the Third date written above.</w:t>
      </w:r>
    </w:p>
    <w:p>
      <w:pPr>
        <w:sectPr>
          <w:pgSz w:w="11900" w:h="16838" w:orient="portrait"/>
          <w:cols w:equalWidth="0" w:num="1">
            <w:col w:w="10139"/>
          </w:cols>
          <w:pgMar w:left="320" w:top="1318"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AFFIRM,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Pat Suh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662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ind w:left="3980"/>
        <w:spacing w:after="0"/>
        <w:tabs>
          <w:tab w:leader="none" w:pos="4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Pat Suh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-15875</wp:posOffset>
            </wp:positionV>
            <wp:extent cx="51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ind w:left="3980"/>
        <w:spacing w:after="0"/>
        <w:tabs>
          <w:tab w:leader="none" w:pos="4580" w:val="left"/>
        </w:tabs>
        <w:rPr>
          <w:sz w:val="20"/>
          <w:szCs w:val="20"/>
          <w:color w:val="auto"/>
        </w:rPr>
      </w:pPr>
      <w:r>
        <w:rPr>
          <w:rFonts w:ascii="Times New Roman" w:cs="Times New Roman" w:eastAsia="Times New Roman" w:hAnsi="Times New Roman"/>
          <w:sz w:val="20"/>
          <w:szCs w:val="20"/>
          <w:color w:val="auto"/>
        </w:rPr>
        <w:t>Title:</w:t>
        <w:tab/>
        <w:t>SVP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-24765</wp:posOffset>
            </wp:positionV>
            <wp:extent cx="8267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AMAZON.COM SERVICES LLC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10699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2" w:lineRule="exact"/>
        <w:rPr>
          <w:sz w:val="20"/>
          <w:szCs w:val="20"/>
          <w:color w:val="auto"/>
        </w:rPr>
      </w:pPr>
    </w:p>
    <w:p>
      <w:pPr>
        <w:ind w:left="3980"/>
        <w:spacing w:after="0"/>
        <w:tabs>
          <w:tab w:leader="none" w:pos="4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David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-24765</wp:posOffset>
            </wp:positionV>
            <wp:extent cx="9194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jc w:val="center"/>
        <w:ind w:right="-180"/>
        <w:spacing w:after="0"/>
        <w:tabs>
          <w:tab w:leader="none" w:pos="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VP Payment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-20320</wp:posOffset>
            </wp:positionV>
            <wp:extent cx="1228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AMAZON PAYMENTS, INC.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98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Alan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-10795</wp:posOffset>
            </wp:positionV>
            <wp:extent cx="8585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ind w:left="3980"/>
        <w:spacing w:after="0" w:line="231" w:lineRule="auto"/>
        <w:tabs>
          <w:tab w:leader="none" w:pos="4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Alan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-6985</wp:posOffset>
            </wp:positionV>
            <wp:extent cx="7080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ind w:left="3980"/>
        <w:spacing w:after="0"/>
        <w:tabs>
          <w:tab w:leader="none" w:pos="4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-24765</wp:posOffset>
            </wp:positionV>
            <wp:extent cx="1517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0139"/>
          </w:cols>
          <w:pgMar w:left="320" w:top="1318" w:right="1440"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50" w:lineRule="auto"/>
        <w:tabs>
          <w:tab w:leader="none" w:pos="13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84" w:name="page85"/>
    <w:bookmarkEnd w:id="84"/>
    <w:p>
      <w:pPr>
        <w:ind w:left="1280" w:firstLine="166"/>
        <w:spacing w:after="0" w:line="282" w:lineRule="auto"/>
        <w:tabs>
          <w:tab w:leader="none" w:pos="19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34290</wp:posOffset>
            </wp:positionV>
            <wp:extent cx="25114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40" w:top="1012" w:right="4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74" w:lineRule="auto"/>
        <w:tabs>
          <w:tab w:leader="none" w:pos="13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86" w:name="page87"/>
    <w:bookmarkEnd w:id="86"/>
    <w:p>
      <w:pPr>
        <w:ind w:left="1280" w:firstLine="166"/>
        <w:spacing w:after="0" w:line="282" w:lineRule="auto"/>
        <w:tabs>
          <w:tab w:leader="none" w:pos="19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25114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40" w:top="1012" w:right="4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lowerRoman"/>
      <w:start w:val="2"/>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2"/>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lvl w:ilvl="1">
      <w:lvlJc w:val="left"/>
      <w:lvlText w:val="(%2)"/>
      <w:numFmt w:val="decimal"/>
      <w:start w:val="1"/>
    </w:lvl>
  </w:abstractNum>
  <w:abstractNum w:abstractNumId="25">
    <w:nsid w:val="22221A70"/>
    <w:multiLevelType w:val="hybridMultilevel"/>
    <w:lvl w:ilvl="0">
      <w:lvlJc w:val="left"/>
      <w:lvlText w:val="%1."/>
      <w:numFmt w:val="decimal"/>
      <w:start w:val="16"/>
    </w:lvl>
    <w:lvl w:ilvl="1">
      <w:lvlJc w:val="left"/>
      <w:lvlText w:val="%2"/>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2"/>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5"/>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lowerLetter"/>
      <w:start w:val="2"/>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2024-11-07T17:16:13Z</dcterms:created>
  <dcterms:modified xsi:type="dcterms:W3CDTF">2024-11-07T17:16:13Z</dcterms:modified>
</cp:coreProperties>
</file>